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07709A" w14:textId="261AE01C" w:rsidR="006F009E" w:rsidRPr="00C85731" w:rsidRDefault="004B296C" w:rsidP="008D52D7">
      <w:pPr>
        <w:pStyle w:val="Title"/>
        <w:rPr>
          <w:b/>
          <w:bCs w:val="0"/>
        </w:rPr>
      </w:pPr>
      <w:r w:rsidRPr="00C85731">
        <w:rPr>
          <w:b/>
          <w:bCs w:val="0"/>
        </w:rPr>
        <w:t xml:space="preserve">Peripheral </w:t>
      </w:r>
      <w:r w:rsidR="00B26061" w:rsidRPr="00C85731">
        <w:rPr>
          <w:b/>
          <w:bCs w:val="0"/>
        </w:rPr>
        <w:t>L</w:t>
      </w:r>
      <w:r w:rsidR="000A111E" w:rsidRPr="00C85731">
        <w:rPr>
          <w:b/>
          <w:bCs w:val="0"/>
        </w:rPr>
        <w:t>evels of C-</w:t>
      </w:r>
      <w:r w:rsidR="00574F82" w:rsidRPr="00C85731">
        <w:rPr>
          <w:b/>
          <w:bCs w:val="0"/>
        </w:rPr>
        <w:t>r</w:t>
      </w:r>
      <w:r w:rsidR="000A111E" w:rsidRPr="00C85731">
        <w:rPr>
          <w:b/>
          <w:bCs w:val="0"/>
        </w:rPr>
        <w:t xml:space="preserve">eactive </w:t>
      </w:r>
      <w:r w:rsidR="00574F82" w:rsidRPr="00C85731">
        <w:rPr>
          <w:b/>
          <w:bCs w:val="0"/>
        </w:rPr>
        <w:t>p</w:t>
      </w:r>
      <w:r w:rsidR="000A111E" w:rsidRPr="00C85731">
        <w:rPr>
          <w:b/>
          <w:bCs w:val="0"/>
        </w:rPr>
        <w:t xml:space="preserve">rotein, </w:t>
      </w:r>
      <w:r w:rsidR="00574F82" w:rsidRPr="00C85731">
        <w:rPr>
          <w:b/>
          <w:bCs w:val="0"/>
        </w:rPr>
        <w:t>t</w:t>
      </w:r>
      <w:r w:rsidR="000A111E" w:rsidRPr="00C85731">
        <w:rPr>
          <w:b/>
          <w:bCs w:val="0"/>
        </w:rPr>
        <w:t xml:space="preserve">umor </w:t>
      </w:r>
      <w:r w:rsidR="00574F82" w:rsidRPr="00C85731">
        <w:rPr>
          <w:b/>
          <w:bCs w:val="0"/>
        </w:rPr>
        <w:t>n</w:t>
      </w:r>
      <w:r w:rsidR="000A111E" w:rsidRPr="00C85731">
        <w:rPr>
          <w:b/>
          <w:bCs w:val="0"/>
        </w:rPr>
        <w:t xml:space="preserve">ecrosis </w:t>
      </w:r>
      <w:r w:rsidR="00574F82" w:rsidRPr="00C85731">
        <w:rPr>
          <w:b/>
          <w:bCs w:val="0"/>
        </w:rPr>
        <w:t>f</w:t>
      </w:r>
      <w:r w:rsidR="000A111E" w:rsidRPr="00C85731">
        <w:rPr>
          <w:b/>
          <w:bCs w:val="0"/>
        </w:rPr>
        <w:t>actor</w:t>
      </w:r>
      <w:r w:rsidR="00B26061" w:rsidRPr="00C85731">
        <w:rPr>
          <w:b/>
          <w:bCs w:val="0"/>
        </w:rPr>
        <w:t xml:space="preserve">-α, </w:t>
      </w:r>
      <w:r w:rsidR="00574F82" w:rsidRPr="00C85731">
        <w:rPr>
          <w:b/>
          <w:bCs w:val="0"/>
        </w:rPr>
        <w:t>i</w:t>
      </w:r>
      <w:r w:rsidR="000A111E" w:rsidRPr="00C85731">
        <w:rPr>
          <w:b/>
          <w:bCs w:val="0"/>
        </w:rPr>
        <w:t>nterleukin</w:t>
      </w:r>
      <w:r w:rsidR="00574F82" w:rsidRPr="00C85731">
        <w:rPr>
          <w:b/>
          <w:bCs w:val="0"/>
        </w:rPr>
        <w:t>-6, and interleukin-1</w:t>
      </w:r>
      <w:r w:rsidR="00816487" w:rsidRPr="00C85731">
        <w:rPr>
          <w:b/>
          <w:bCs w:val="0"/>
        </w:rPr>
        <w:t>β</w:t>
      </w:r>
      <w:r w:rsidR="00574F82" w:rsidRPr="00C85731">
        <w:rPr>
          <w:b/>
          <w:bCs w:val="0"/>
        </w:rPr>
        <w:t xml:space="preserve"> across the </w:t>
      </w:r>
      <w:r w:rsidR="00821A40" w:rsidRPr="00C85731">
        <w:rPr>
          <w:b/>
          <w:bCs w:val="0"/>
        </w:rPr>
        <w:t xml:space="preserve">mood spectrum in bipolar disorder: a meta-analysis </w:t>
      </w:r>
      <w:r w:rsidR="00B24021" w:rsidRPr="00C85731">
        <w:rPr>
          <w:b/>
          <w:bCs w:val="0"/>
        </w:rPr>
        <w:t>of mean differences and variability</w:t>
      </w:r>
    </w:p>
    <w:p w14:paraId="3D8C65A6" w14:textId="77777777" w:rsidR="002E1121" w:rsidRPr="002E1121" w:rsidRDefault="002E1121" w:rsidP="002E1121">
      <w:pPr>
        <w:rPr>
          <w:lang w:val="en-US"/>
        </w:rPr>
      </w:pPr>
    </w:p>
    <w:p w14:paraId="62BDAAE1" w14:textId="14B158CD" w:rsidR="00916282" w:rsidRPr="005C5EBC" w:rsidRDefault="00916282" w:rsidP="006A5045">
      <w:pPr>
        <w:spacing w:line="360" w:lineRule="auto"/>
        <w:jc w:val="both"/>
        <w:rPr>
          <w:rFonts w:ascii="Times New Roman" w:hAnsi="Times New Roman" w:cs="Times New Roman"/>
          <w:sz w:val="22"/>
          <w:szCs w:val="22"/>
          <w:vertAlign w:val="superscript"/>
          <w:lang w:val="it-IT"/>
        </w:rPr>
      </w:pPr>
      <w:r w:rsidRPr="005C5EBC">
        <w:rPr>
          <w:rFonts w:ascii="Times New Roman" w:hAnsi="Times New Roman" w:cs="Times New Roman"/>
          <w:sz w:val="22"/>
          <w:szCs w:val="22"/>
          <w:lang w:val="it-IT"/>
        </w:rPr>
        <w:t>Marco Solmi,</w:t>
      </w:r>
      <w:r w:rsidR="00AC6C08" w:rsidRPr="005C5EBC">
        <w:rPr>
          <w:rFonts w:ascii="Times New Roman" w:hAnsi="Times New Roman" w:cs="Times New Roman"/>
          <w:sz w:val="22"/>
          <w:szCs w:val="22"/>
          <w:vertAlign w:val="superscript"/>
          <w:lang w:val="it-IT"/>
        </w:rPr>
        <w:t>1,2,3</w:t>
      </w:r>
      <w:r w:rsidRPr="005C5EBC">
        <w:rPr>
          <w:rFonts w:ascii="Times New Roman" w:hAnsi="Times New Roman" w:cs="Times New Roman"/>
          <w:sz w:val="22"/>
          <w:szCs w:val="22"/>
          <w:lang w:val="it-IT"/>
        </w:rPr>
        <w:t xml:space="preserve"> Manu </w:t>
      </w:r>
      <w:r w:rsidR="00BC757A">
        <w:rPr>
          <w:rFonts w:ascii="Times New Roman" w:hAnsi="Times New Roman" w:cs="Times New Roman"/>
          <w:sz w:val="22"/>
          <w:szCs w:val="22"/>
          <w:lang w:val="it-IT"/>
        </w:rPr>
        <w:t xml:space="preserve">Suresh </w:t>
      </w:r>
      <w:r w:rsidRPr="005C5EBC">
        <w:rPr>
          <w:rFonts w:ascii="Times New Roman" w:hAnsi="Times New Roman" w:cs="Times New Roman"/>
          <w:sz w:val="22"/>
          <w:szCs w:val="22"/>
          <w:lang w:val="it-IT"/>
        </w:rPr>
        <w:t>Sharma,</w:t>
      </w:r>
      <w:r w:rsidR="00AC6C08" w:rsidRPr="005C5EBC">
        <w:rPr>
          <w:rFonts w:ascii="Times New Roman" w:hAnsi="Times New Roman" w:cs="Times New Roman"/>
          <w:sz w:val="22"/>
          <w:szCs w:val="22"/>
          <w:vertAlign w:val="superscript"/>
          <w:lang w:val="it-IT"/>
        </w:rPr>
        <w:t>4</w:t>
      </w:r>
      <w:r w:rsidRPr="005C5EBC">
        <w:rPr>
          <w:rFonts w:ascii="Times New Roman" w:hAnsi="Times New Roman" w:cs="Times New Roman"/>
          <w:sz w:val="22"/>
          <w:szCs w:val="22"/>
          <w:lang w:val="it-IT"/>
        </w:rPr>
        <w:t xml:space="preserve"> </w:t>
      </w:r>
      <w:r w:rsidR="004975E4" w:rsidRPr="005C5EBC">
        <w:rPr>
          <w:rFonts w:ascii="Times New Roman" w:hAnsi="Times New Roman" w:cs="Times New Roman"/>
          <w:sz w:val="22"/>
          <w:szCs w:val="22"/>
          <w:lang w:val="it-IT"/>
        </w:rPr>
        <w:t xml:space="preserve">Emanuele </w:t>
      </w:r>
      <w:r w:rsidR="00307D74">
        <w:rPr>
          <w:rFonts w:ascii="Times New Roman" w:hAnsi="Times New Roman" w:cs="Times New Roman"/>
          <w:sz w:val="22"/>
          <w:szCs w:val="22"/>
          <w:lang w:val="it-IT"/>
        </w:rPr>
        <w:t xml:space="preserve">F </w:t>
      </w:r>
      <w:r w:rsidR="004975E4" w:rsidRPr="005C5EBC">
        <w:rPr>
          <w:rFonts w:ascii="Times New Roman" w:hAnsi="Times New Roman" w:cs="Times New Roman"/>
          <w:sz w:val="22"/>
          <w:szCs w:val="22"/>
          <w:lang w:val="it-IT"/>
        </w:rPr>
        <w:t>Osimo,</w:t>
      </w:r>
      <w:r w:rsidR="00AC6C08" w:rsidRPr="005C5EBC">
        <w:rPr>
          <w:rFonts w:ascii="Times New Roman" w:hAnsi="Times New Roman" w:cs="Times New Roman"/>
          <w:sz w:val="22"/>
          <w:szCs w:val="22"/>
          <w:vertAlign w:val="superscript"/>
          <w:lang w:val="it-IT"/>
        </w:rPr>
        <w:t>5,6,7</w:t>
      </w:r>
      <w:r w:rsidR="004975E4" w:rsidRPr="005C5EBC">
        <w:rPr>
          <w:rFonts w:ascii="Times New Roman" w:hAnsi="Times New Roman" w:cs="Times New Roman"/>
          <w:sz w:val="22"/>
          <w:szCs w:val="22"/>
          <w:lang w:val="it-IT"/>
        </w:rPr>
        <w:t xml:space="preserve"> </w:t>
      </w:r>
      <w:r w:rsidR="00592507" w:rsidRPr="005C5EBC">
        <w:rPr>
          <w:rFonts w:ascii="Times New Roman" w:hAnsi="Times New Roman" w:cs="Times New Roman"/>
          <w:sz w:val="22"/>
          <w:szCs w:val="22"/>
          <w:lang w:val="it-IT"/>
        </w:rPr>
        <w:t>Michele Fornaro,</w:t>
      </w:r>
      <w:r w:rsidR="00DA0747" w:rsidRPr="005C5EBC">
        <w:rPr>
          <w:rFonts w:ascii="Times New Roman" w:hAnsi="Times New Roman" w:cs="Times New Roman"/>
          <w:sz w:val="22"/>
          <w:szCs w:val="22"/>
          <w:vertAlign w:val="superscript"/>
          <w:lang w:val="it-IT"/>
        </w:rPr>
        <w:t>8</w:t>
      </w:r>
      <w:r w:rsidR="00592507" w:rsidRPr="005C5EBC">
        <w:rPr>
          <w:rFonts w:ascii="Times New Roman" w:hAnsi="Times New Roman" w:cs="Times New Roman"/>
          <w:sz w:val="22"/>
          <w:szCs w:val="22"/>
          <w:lang w:val="it-IT"/>
        </w:rPr>
        <w:t xml:space="preserve"> </w:t>
      </w:r>
      <w:r w:rsidR="0080574B" w:rsidRPr="005C5EBC">
        <w:rPr>
          <w:rFonts w:ascii="Times New Roman" w:hAnsi="Times New Roman" w:cs="Times New Roman"/>
          <w:sz w:val="22"/>
          <w:szCs w:val="22"/>
          <w:lang w:val="it-IT"/>
        </w:rPr>
        <w:t>Beatrice Bortolato,</w:t>
      </w:r>
      <w:r w:rsidR="00AD45A8" w:rsidRPr="005C5EBC">
        <w:rPr>
          <w:rFonts w:ascii="Times New Roman" w:hAnsi="Times New Roman" w:cs="Times New Roman"/>
          <w:sz w:val="22"/>
          <w:szCs w:val="22"/>
          <w:vertAlign w:val="superscript"/>
          <w:lang w:val="it-IT"/>
        </w:rPr>
        <w:t>9</w:t>
      </w:r>
      <w:r w:rsidR="0080574B" w:rsidRPr="005C5EBC">
        <w:rPr>
          <w:rFonts w:ascii="Times New Roman" w:hAnsi="Times New Roman" w:cs="Times New Roman"/>
          <w:sz w:val="22"/>
          <w:szCs w:val="22"/>
          <w:lang w:val="it-IT"/>
        </w:rPr>
        <w:t xml:space="preserve"> </w:t>
      </w:r>
      <w:r w:rsidR="0001282F" w:rsidRPr="005C5EBC">
        <w:rPr>
          <w:rFonts w:ascii="Times New Roman" w:hAnsi="Times New Roman" w:cs="Times New Roman"/>
          <w:sz w:val="22"/>
          <w:szCs w:val="22"/>
          <w:lang w:val="it-IT"/>
        </w:rPr>
        <w:t>Giovanni Croatto,</w:t>
      </w:r>
      <w:r w:rsidR="00AD45A8" w:rsidRPr="005C5EBC">
        <w:rPr>
          <w:rFonts w:ascii="Times New Roman" w:hAnsi="Times New Roman" w:cs="Times New Roman"/>
          <w:sz w:val="22"/>
          <w:szCs w:val="22"/>
          <w:vertAlign w:val="superscript"/>
          <w:lang w:val="it-IT"/>
        </w:rPr>
        <w:t>1</w:t>
      </w:r>
      <w:r w:rsidR="0001282F" w:rsidRPr="005C5EBC">
        <w:rPr>
          <w:rFonts w:ascii="Times New Roman" w:hAnsi="Times New Roman" w:cs="Times New Roman"/>
          <w:sz w:val="22"/>
          <w:szCs w:val="22"/>
          <w:lang w:val="it-IT"/>
        </w:rPr>
        <w:t xml:space="preserve"> </w:t>
      </w:r>
      <w:r w:rsidR="00DE4937">
        <w:rPr>
          <w:rFonts w:ascii="Times New Roman" w:hAnsi="Times New Roman" w:cs="Times New Roman"/>
          <w:sz w:val="22"/>
          <w:szCs w:val="22"/>
          <w:lang w:val="it-IT"/>
        </w:rPr>
        <w:t>Alessandro Miola,</w:t>
      </w:r>
      <w:r w:rsidR="00DE4937" w:rsidRPr="005C5EBC">
        <w:rPr>
          <w:rFonts w:ascii="Times New Roman" w:hAnsi="Times New Roman" w:cs="Times New Roman"/>
          <w:sz w:val="22"/>
          <w:szCs w:val="22"/>
          <w:vertAlign w:val="superscript"/>
          <w:lang w:val="it-IT"/>
        </w:rPr>
        <w:t>1</w:t>
      </w:r>
      <w:r w:rsidR="00DE4937">
        <w:rPr>
          <w:rFonts w:ascii="Times New Roman" w:hAnsi="Times New Roman" w:cs="Times New Roman"/>
          <w:sz w:val="22"/>
          <w:szCs w:val="22"/>
          <w:lang w:val="it-IT"/>
        </w:rPr>
        <w:t xml:space="preserve"> </w:t>
      </w:r>
      <w:r w:rsidR="00FB1C8D" w:rsidRPr="005C5EBC">
        <w:rPr>
          <w:rFonts w:ascii="Times New Roman" w:hAnsi="Times New Roman" w:cs="Times New Roman"/>
          <w:sz w:val="22"/>
          <w:szCs w:val="22"/>
          <w:lang w:val="it-IT"/>
        </w:rPr>
        <w:t>Eduard Vieta,</w:t>
      </w:r>
      <w:r w:rsidR="007C7B0F" w:rsidRPr="005C5EBC">
        <w:rPr>
          <w:rFonts w:ascii="Times New Roman" w:hAnsi="Times New Roman" w:cs="Times New Roman"/>
          <w:sz w:val="22"/>
          <w:szCs w:val="22"/>
          <w:vertAlign w:val="superscript"/>
          <w:lang w:val="it-IT"/>
        </w:rPr>
        <w:t>10</w:t>
      </w:r>
      <w:r w:rsidR="00FB1C8D" w:rsidRPr="005C5EBC">
        <w:rPr>
          <w:rFonts w:ascii="Times New Roman" w:hAnsi="Times New Roman" w:cs="Times New Roman"/>
          <w:sz w:val="22"/>
          <w:szCs w:val="22"/>
          <w:vertAlign w:val="superscript"/>
          <w:lang w:val="it-IT"/>
        </w:rPr>
        <w:t xml:space="preserve"> </w:t>
      </w:r>
      <w:r w:rsidR="0027529F" w:rsidRPr="005C5EBC">
        <w:rPr>
          <w:rFonts w:ascii="Times New Roman" w:hAnsi="Times New Roman" w:cs="Times New Roman"/>
          <w:sz w:val="22"/>
          <w:szCs w:val="22"/>
          <w:lang w:val="it-IT"/>
        </w:rPr>
        <w:t>Carmine M Pariante,</w:t>
      </w:r>
      <w:r w:rsidR="00611641" w:rsidRPr="005C5EBC">
        <w:rPr>
          <w:rFonts w:ascii="Times New Roman" w:hAnsi="Times New Roman" w:cs="Times New Roman"/>
          <w:sz w:val="22"/>
          <w:szCs w:val="22"/>
          <w:vertAlign w:val="superscript"/>
          <w:lang w:val="it-IT"/>
        </w:rPr>
        <w:t>1</w:t>
      </w:r>
      <w:r w:rsidR="0073221D">
        <w:rPr>
          <w:rFonts w:ascii="Times New Roman" w:hAnsi="Times New Roman" w:cs="Times New Roman"/>
          <w:sz w:val="22"/>
          <w:szCs w:val="22"/>
          <w:vertAlign w:val="superscript"/>
          <w:lang w:val="it-IT"/>
        </w:rPr>
        <w:t>1</w:t>
      </w:r>
      <w:r w:rsidR="0027529F" w:rsidRPr="005C5EBC">
        <w:rPr>
          <w:rFonts w:ascii="Times New Roman" w:hAnsi="Times New Roman" w:cs="Times New Roman"/>
          <w:sz w:val="22"/>
          <w:szCs w:val="22"/>
          <w:lang w:val="it-IT"/>
        </w:rPr>
        <w:t xml:space="preserve"> </w:t>
      </w:r>
      <w:r w:rsidR="00BD5D38" w:rsidRPr="005C5EBC">
        <w:rPr>
          <w:rFonts w:ascii="Times New Roman" w:hAnsi="Times New Roman" w:cs="Times New Roman"/>
          <w:sz w:val="22"/>
          <w:szCs w:val="22"/>
          <w:lang w:val="it-IT"/>
        </w:rPr>
        <w:t>Lee Smith,</w:t>
      </w:r>
      <w:r w:rsidR="00E2669D" w:rsidRPr="005C5EBC">
        <w:rPr>
          <w:rFonts w:ascii="Times New Roman" w:hAnsi="Times New Roman" w:cs="Times New Roman"/>
          <w:sz w:val="22"/>
          <w:szCs w:val="22"/>
          <w:vertAlign w:val="superscript"/>
          <w:lang w:val="it-IT"/>
        </w:rPr>
        <w:t>1</w:t>
      </w:r>
      <w:r w:rsidR="0073221D">
        <w:rPr>
          <w:rFonts w:ascii="Times New Roman" w:hAnsi="Times New Roman" w:cs="Times New Roman"/>
          <w:sz w:val="22"/>
          <w:szCs w:val="22"/>
          <w:vertAlign w:val="superscript"/>
          <w:lang w:val="it-IT"/>
        </w:rPr>
        <w:t>2</w:t>
      </w:r>
      <w:r w:rsidR="00BD5D38" w:rsidRPr="005C5EBC">
        <w:rPr>
          <w:rFonts w:ascii="Times New Roman" w:hAnsi="Times New Roman" w:cs="Times New Roman"/>
          <w:sz w:val="22"/>
          <w:szCs w:val="22"/>
          <w:lang w:val="it-IT"/>
        </w:rPr>
        <w:t xml:space="preserve"> </w:t>
      </w:r>
      <w:r w:rsidR="00573A00" w:rsidRPr="005C5EBC">
        <w:rPr>
          <w:rFonts w:ascii="Times New Roman" w:hAnsi="Times New Roman" w:cs="Times New Roman"/>
          <w:sz w:val="22"/>
          <w:szCs w:val="22"/>
          <w:lang w:val="it-IT"/>
        </w:rPr>
        <w:t>Paolo Fusar-Poli,</w:t>
      </w:r>
      <w:r w:rsidR="004D67E4" w:rsidRPr="005C5EBC">
        <w:rPr>
          <w:rFonts w:ascii="Times New Roman" w:hAnsi="Times New Roman" w:cs="Times New Roman"/>
          <w:sz w:val="22"/>
          <w:szCs w:val="22"/>
          <w:vertAlign w:val="superscript"/>
          <w:lang w:val="it-IT"/>
        </w:rPr>
        <w:t>3,1</w:t>
      </w:r>
      <w:r w:rsidR="0073221D">
        <w:rPr>
          <w:rFonts w:ascii="Times New Roman" w:hAnsi="Times New Roman" w:cs="Times New Roman"/>
          <w:sz w:val="22"/>
          <w:szCs w:val="22"/>
          <w:vertAlign w:val="superscript"/>
          <w:lang w:val="it-IT"/>
        </w:rPr>
        <w:t>3,14</w:t>
      </w:r>
      <w:r w:rsidR="00573A00" w:rsidRPr="005C5EBC">
        <w:rPr>
          <w:rFonts w:ascii="Times New Roman" w:hAnsi="Times New Roman" w:cs="Times New Roman"/>
          <w:sz w:val="22"/>
          <w:szCs w:val="22"/>
          <w:lang w:val="it-IT"/>
        </w:rPr>
        <w:t xml:space="preserve"> </w:t>
      </w:r>
      <w:r w:rsidR="00227C3F" w:rsidRPr="005C5EBC">
        <w:rPr>
          <w:rFonts w:ascii="Times New Roman" w:hAnsi="Times New Roman" w:cs="Times New Roman"/>
          <w:sz w:val="22"/>
          <w:szCs w:val="22"/>
          <w:lang w:val="it-IT"/>
        </w:rPr>
        <w:t>Jae Il Shin,</w:t>
      </w:r>
      <w:r w:rsidR="004D67E4" w:rsidRPr="005C5EBC">
        <w:rPr>
          <w:rFonts w:ascii="Times New Roman" w:hAnsi="Times New Roman" w:cs="Times New Roman"/>
          <w:sz w:val="22"/>
          <w:szCs w:val="22"/>
          <w:vertAlign w:val="superscript"/>
          <w:lang w:val="it-IT"/>
        </w:rPr>
        <w:t>1</w:t>
      </w:r>
      <w:r w:rsidR="0073221D">
        <w:rPr>
          <w:rFonts w:ascii="Times New Roman" w:hAnsi="Times New Roman" w:cs="Times New Roman"/>
          <w:sz w:val="22"/>
          <w:szCs w:val="22"/>
          <w:vertAlign w:val="superscript"/>
          <w:lang w:val="it-IT"/>
        </w:rPr>
        <w:t>5</w:t>
      </w:r>
      <w:r w:rsidR="00227C3F" w:rsidRPr="005C5EBC">
        <w:rPr>
          <w:rFonts w:ascii="Times New Roman" w:hAnsi="Times New Roman" w:cs="Times New Roman"/>
          <w:sz w:val="22"/>
          <w:szCs w:val="22"/>
          <w:vertAlign w:val="superscript"/>
          <w:lang w:val="it-IT"/>
        </w:rPr>
        <w:t xml:space="preserve"> </w:t>
      </w:r>
      <w:r w:rsidR="00CF510E">
        <w:rPr>
          <w:rFonts w:ascii="Times New Roman" w:hAnsi="Times New Roman" w:cs="Times New Roman"/>
          <w:sz w:val="22"/>
          <w:szCs w:val="22"/>
          <w:lang w:val="it-IT"/>
        </w:rPr>
        <w:t>Michael Berk,</w:t>
      </w:r>
      <w:r w:rsidR="00A95B6D">
        <w:rPr>
          <w:rFonts w:ascii="Times New Roman" w:hAnsi="Times New Roman" w:cs="Times New Roman"/>
          <w:sz w:val="22"/>
          <w:szCs w:val="22"/>
          <w:vertAlign w:val="superscript"/>
          <w:lang w:val="it-IT"/>
        </w:rPr>
        <w:t>1</w:t>
      </w:r>
      <w:r w:rsidR="0073221D">
        <w:rPr>
          <w:rFonts w:ascii="Times New Roman" w:hAnsi="Times New Roman" w:cs="Times New Roman"/>
          <w:sz w:val="22"/>
          <w:szCs w:val="22"/>
          <w:vertAlign w:val="superscript"/>
          <w:lang w:val="it-IT"/>
        </w:rPr>
        <w:t>6,17,1</w:t>
      </w:r>
      <w:r w:rsidR="00A95B6D">
        <w:rPr>
          <w:rFonts w:ascii="Times New Roman" w:hAnsi="Times New Roman" w:cs="Times New Roman"/>
          <w:sz w:val="22"/>
          <w:szCs w:val="22"/>
          <w:vertAlign w:val="superscript"/>
          <w:lang w:val="it-IT"/>
        </w:rPr>
        <w:t>8,19</w:t>
      </w:r>
      <w:r w:rsidR="00CF510E">
        <w:rPr>
          <w:rFonts w:ascii="Times New Roman" w:hAnsi="Times New Roman" w:cs="Times New Roman"/>
          <w:sz w:val="22"/>
          <w:szCs w:val="22"/>
          <w:lang w:val="it-IT"/>
        </w:rPr>
        <w:t xml:space="preserve"> </w:t>
      </w:r>
      <w:r w:rsidR="00A35524" w:rsidRPr="005C5EBC">
        <w:rPr>
          <w:rFonts w:ascii="Times New Roman" w:hAnsi="Times New Roman" w:cs="Times New Roman"/>
          <w:sz w:val="22"/>
          <w:szCs w:val="22"/>
          <w:lang w:val="it-IT"/>
        </w:rPr>
        <w:t>Andr</w:t>
      </w:r>
      <w:r w:rsidR="009E7530">
        <w:rPr>
          <w:rFonts w:ascii="Times New Roman" w:hAnsi="Times New Roman" w:cs="Times New Roman"/>
          <w:sz w:val="22"/>
          <w:szCs w:val="22"/>
          <w:lang w:val="it-IT"/>
        </w:rPr>
        <w:t>e</w:t>
      </w:r>
      <w:r w:rsidR="00A35524" w:rsidRPr="005C5EBC">
        <w:rPr>
          <w:rFonts w:ascii="Times New Roman" w:hAnsi="Times New Roman" w:cs="Times New Roman"/>
          <w:sz w:val="22"/>
          <w:szCs w:val="22"/>
          <w:lang w:val="it-IT"/>
        </w:rPr>
        <w:t xml:space="preserve"> F Carvalho</w:t>
      </w:r>
      <w:r w:rsidR="00A95B6D">
        <w:rPr>
          <w:rFonts w:ascii="Times New Roman" w:hAnsi="Times New Roman" w:cs="Times New Roman"/>
          <w:sz w:val="22"/>
          <w:szCs w:val="22"/>
          <w:vertAlign w:val="superscript"/>
          <w:lang w:val="it-IT"/>
        </w:rPr>
        <w:t>1</w:t>
      </w:r>
      <w:r w:rsidR="0073221D">
        <w:rPr>
          <w:rFonts w:ascii="Times New Roman" w:hAnsi="Times New Roman" w:cs="Times New Roman"/>
          <w:sz w:val="22"/>
          <w:szCs w:val="22"/>
          <w:vertAlign w:val="superscript"/>
          <w:lang w:val="it-IT"/>
        </w:rPr>
        <w:t>6</w:t>
      </w:r>
      <w:r w:rsidR="007C37C3">
        <w:rPr>
          <w:rFonts w:ascii="Times New Roman" w:hAnsi="Times New Roman" w:cs="Times New Roman"/>
          <w:sz w:val="22"/>
          <w:szCs w:val="22"/>
          <w:vertAlign w:val="superscript"/>
          <w:lang w:val="it-IT"/>
        </w:rPr>
        <w:t>,#</w:t>
      </w:r>
    </w:p>
    <w:p w14:paraId="465649D6" w14:textId="77777777" w:rsidR="00821A40" w:rsidRPr="0007423C" w:rsidRDefault="00821A40" w:rsidP="002E1121">
      <w:pPr>
        <w:rPr>
          <w:rFonts w:ascii="Times New Roman" w:hAnsi="Times New Roman" w:cs="Times New Roman"/>
          <w:color w:val="212121"/>
          <w:sz w:val="18"/>
          <w:szCs w:val="18"/>
          <w:shd w:val="clear" w:color="auto" w:fill="FFFFFF"/>
          <w:lang w:val="it-IT"/>
        </w:rPr>
      </w:pPr>
    </w:p>
    <w:p w14:paraId="4B9CE972" w14:textId="60D5C40E" w:rsidR="00A35524" w:rsidRPr="009E7530" w:rsidRDefault="00A3552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 Neurosciences Department, University of Padova, Italy</w:t>
      </w:r>
    </w:p>
    <w:p w14:paraId="31FAF82A" w14:textId="1FD98DDB" w:rsidR="00A35524" w:rsidRPr="009E7530" w:rsidRDefault="00A3552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2 Padua Neuroscience Center, University of Padova, Italy</w:t>
      </w:r>
    </w:p>
    <w:p w14:paraId="7A1A42A8" w14:textId="5796FD7C" w:rsidR="00A35524" w:rsidRPr="009E7530" w:rsidRDefault="00A3552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 xml:space="preserve">3 </w:t>
      </w:r>
      <w:r w:rsidR="00117AE3" w:rsidRPr="009E7530">
        <w:rPr>
          <w:rFonts w:ascii="Times New Roman" w:hAnsi="Times New Roman" w:cs="Times New Roman"/>
          <w:color w:val="212121"/>
          <w:sz w:val="20"/>
          <w:szCs w:val="20"/>
          <w:shd w:val="clear" w:color="auto" w:fill="FFFFFF"/>
        </w:rPr>
        <w:t>Early Psychosis: Interventions and Clinical-detection (EPIC) lab, Department of Psychosis Studies, Institute of Psychiatry, Psychology&amp; Neuroscience, King</w:t>
      </w:r>
      <w:r w:rsidR="00B47F2B" w:rsidRPr="009E7530">
        <w:rPr>
          <w:rFonts w:ascii="Times New Roman" w:hAnsi="Times New Roman" w:cs="Times New Roman"/>
          <w:color w:val="212121"/>
          <w:sz w:val="20"/>
          <w:szCs w:val="20"/>
          <w:shd w:val="clear" w:color="auto" w:fill="FFFFFF"/>
        </w:rPr>
        <w:t>’</w:t>
      </w:r>
      <w:r w:rsidR="00117AE3" w:rsidRPr="009E7530">
        <w:rPr>
          <w:rFonts w:ascii="Times New Roman" w:hAnsi="Times New Roman" w:cs="Times New Roman"/>
          <w:color w:val="212121"/>
          <w:sz w:val="20"/>
          <w:szCs w:val="20"/>
          <w:shd w:val="clear" w:color="auto" w:fill="FFFFFF"/>
        </w:rPr>
        <w:t>s College London, London, UK</w:t>
      </w:r>
    </w:p>
    <w:p w14:paraId="712BB271" w14:textId="568769DE" w:rsidR="00A35524" w:rsidRPr="009E7530" w:rsidRDefault="00A3552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4</w:t>
      </w:r>
      <w:r w:rsidR="00804319" w:rsidRPr="009E7530">
        <w:rPr>
          <w:rFonts w:ascii="Times New Roman" w:hAnsi="Times New Roman" w:cs="Times New Roman"/>
          <w:color w:val="212121"/>
          <w:sz w:val="20"/>
          <w:szCs w:val="20"/>
          <w:shd w:val="clear" w:color="auto" w:fill="FFFFFF"/>
        </w:rPr>
        <w:t xml:space="preserve"> Behavio</w:t>
      </w:r>
      <w:r w:rsidR="00B47F2B" w:rsidRPr="009E7530">
        <w:rPr>
          <w:rFonts w:ascii="Times New Roman" w:hAnsi="Times New Roman" w:cs="Times New Roman"/>
          <w:color w:val="212121"/>
          <w:sz w:val="20"/>
          <w:szCs w:val="20"/>
          <w:shd w:val="clear" w:color="auto" w:fill="FFFFFF"/>
        </w:rPr>
        <w:t>u</w:t>
      </w:r>
      <w:r w:rsidR="00804319" w:rsidRPr="009E7530">
        <w:rPr>
          <w:rFonts w:ascii="Times New Roman" w:hAnsi="Times New Roman" w:cs="Times New Roman"/>
          <w:color w:val="212121"/>
          <w:sz w:val="20"/>
          <w:szCs w:val="20"/>
          <w:shd w:val="clear" w:color="auto" w:fill="FFFFFF"/>
        </w:rPr>
        <w:t xml:space="preserve">ral Health Network, Hartford Healthcare </w:t>
      </w:r>
    </w:p>
    <w:p w14:paraId="6D09AA40" w14:textId="76C4001D" w:rsidR="00307D74" w:rsidRPr="009E7530" w:rsidRDefault="00307D7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5 MRC London Institute of Medical Sciences, Institute of Clinical Sciences, Imperial College, Hammersmith Campus, London, UK</w:t>
      </w:r>
    </w:p>
    <w:p w14:paraId="78176796" w14:textId="77A399D1" w:rsidR="00AC6C08" w:rsidRPr="009E7530" w:rsidRDefault="00307D7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6</w:t>
      </w:r>
      <w:r w:rsidR="00804319" w:rsidRPr="009E7530">
        <w:rPr>
          <w:rFonts w:ascii="Times New Roman" w:hAnsi="Times New Roman" w:cs="Times New Roman"/>
          <w:color w:val="212121"/>
          <w:sz w:val="20"/>
          <w:szCs w:val="20"/>
          <w:shd w:val="clear" w:color="auto" w:fill="FFFFFF"/>
        </w:rPr>
        <w:t xml:space="preserve"> </w:t>
      </w:r>
      <w:r w:rsidR="00AC6C08" w:rsidRPr="009E7530">
        <w:rPr>
          <w:rFonts w:ascii="Times New Roman" w:hAnsi="Times New Roman" w:cs="Times New Roman"/>
          <w:color w:val="212121"/>
          <w:sz w:val="20"/>
          <w:szCs w:val="20"/>
          <w:shd w:val="clear" w:color="auto" w:fill="FFFFFF"/>
        </w:rPr>
        <w:t>Department of Psychiatry, University of Cambridge, Cambridge, UK</w:t>
      </w:r>
    </w:p>
    <w:p w14:paraId="4E55A9DB" w14:textId="6CDF4D63" w:rsidR="00AC6C08" w:rsidRPr="009E7530" w:rsidRDefault="00307D7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7</w:t>
      </w:r>
      <w:r w:rsidR="00AC6C08" w:rsidRPr="009E7530">
        <w:rPr>
          <w:rFonts w:ascii="Times New Roman" w:hAnsi="Times New Roman" w:cs="Times New Roman"/>
          <w:color w:val="212121"/>
          <w:sz w:val="20"/>
          <w:szCs w:val="20"/>
          <w:shd w:val="clear" w:color="auto" w:fill="FFFFFF"/>
        </w:rPr>
        <w:t xml:space="preserve"> Cambridgeshire and Peterborough NHS Foundation Trust, Cambridge, UK</w:t>
      </w:r>
    </w:p>
    <w:p w14:paraId="08A49220" w14:textId="3F76E7E6" w:rsidR="00A35524" w:rsidRPr="009E7530" w:rsidRDefault="00DA0747"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8 Department of Psychiatry, Federico II University, Naples, Italy</w:t>
      </w:r>
    </w:p>
    <w:p w14:paraId="7477BB7F" w14:textId="41398A89" w:rsidR="00A35524" w:rsidRPr="009E7530" w:rsidRDefault="00DA0747"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 xml:space="preserve">9 </w:t>
      </w:r>
      <w:r w:rsidR="00AD45A8" w:rsidRPr="009E7530">
        <w:rPr>
          <w:rFonts w:ascii="Times New Roman" w:hAnsi="Times New Roman" w:cs="Times New Roman"/>
          <w:color w:val="212121"/>
          <w:sz w:val="20"/>
          <w:szCs w:val="20"/>
          <w:shd w:val="clear" w:color="auto" w:fill="FFFFFF"/>
        </w:rPr>
        <w:t xml:space="preserve">Psychiatry Department, </w:t>
      </w:r>
      <w:r w:rsidRPr="009E7530">
        <w:rPr>
          <w:rFonts w:ascii="Times New Roman" w:hAnsi="Times New Roman" w:cs="Times New Roman"/>
          <w:color w:val="212121"/>
          <w:sz w:val="20"/>
          <w:szCs w:val="20"/>
          <w:shd w:val="clear" w:color="auto" w:fill="FFFFFF"/>
        </w:rPr>
        <w:t xml:space="preserve">Local Health Unit </w:t>
      </w:r>
      <w:r w:rsidR="00AD45A8" w:rsidRPr="009E7530">
        <w:rPr>
          <w:rFonts w:ascii="Times New Roman" w:hAnsi="Times New Roman" w:cs="Times New Roman"/>
          <w:color w:val="212121"/>
          <w:sz w:val="20"/>
          <w:szCs w:val="20"/>
          <w:shd w:val="clear" w:color="auto" w:fill="FFFFFF"/>
        </w:rPr>
        <w:t xml:space="preserve">(ULSS) </w:t>
      </w:r>
      <w:r w:rsidRPr="009E7530">
        <w:rPr>
          <w:rFonts w:ascii="Times New Roman" w:hAnsi="Times New Roman" w:cs="Times New Roman"/>
          <w:color w:val="212121"/>
          <w:sz w:val="20"/>
          <w:szCs w:val="20"/>
          <w:shd w:val="clear" w:color="auto" w:fill="FFFFFF"/>
        </w:rPr>
        <w:t>6</w:t>
      </w:r>
      <w:r w:rsidR="00AD45A8" w:rsidRPr="009E7530">
        <w:rPr>
          <w:rFonts w:ascii="Times New Roman" w:hAnsi="Times New Roman" w:cs="Times New Roman"/>
          <w:color w:val="212121"/>
          <w:sz w:val="20"/>
          <w:szCs w:val="20"/>
          <w:shd w:val="clear" w:color="auto" w:fill="FFFFFF"/>
        </w:rPr>
        <w:t xml:space="preserve"> Euganea, Padova, Italy</w:t>
      </w:r>
    </w:p>
    <w:p w14:paraId="7624E205" w14:textId="670DAB1D" w:rsidR="00A35524" w:rsidRPr="009E7530" w:rsidRDefault="007C7B0F"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10 Bipolar and depressive disorders unit, Department of Psychiatry and Psychology, Institute of Neuroscience, Hospital Clínic, University of Barcelona, IDIBAPS, CIBERSAM, Barcelona, Catalonia, Spain</w:t>
      </w:r>
    </w:p>
    <w:p w14:paraId="7A2B8E13" w14:textId="6DBD4EEB" w:rsidR="007C7B0F" w:rsidRPr="009E7530" w:rsidRDefault="00611641"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1</w:t>
      </w:r>
      <w:r w:rsidRPr="009E7530">
        <w:rPr>
          <w:rFonts w:ascii="Times New Roman" w:hAnsi="Times New Roman" w:cs="Times New Roman"/>
          <w:color w:val="212121"/>
          <w:sz w:val="20"/>
          <w:szCs w:val="20"/>
          <w:shd w:val="clear" w:color="auto" w:fill="FFFFFF"/>
        </w:rPr>
        <w:t xml:space="preserve"> Stress, Psychiatry and Immunology Laboratory, Department of Psychological Medicine, Institute of Psychiatry, Psychology and Neuroscience, King's College, London, UK.</w:t>
      </w:r>
    </w:p>
    <w:p w14:paraId="42AD8E91" w14:textId="12898CD4" w:rsidR="007C7B0F" w:rsidRPr="009E7530" w:rsidRDefault="007C7B0F"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2</w:t>
      </w:r>
      <w:r w:rsidR="00E2669D" w:rsidRPr="009E7530">
        <w:rPr>
          <w:rFonts w:ascii="Times New Roman" w:hAnsi="Times New Roman" w:cs="Times New Roman"/>
          <w:color w:val="212121"/>
          <w:sz w:val="20"/>
          <w:szCs w:val="20"/>
          <w:shd w:val="clear" w:color="auto" w:fill="FFFFFF"/>
        </w:rPr>
        <w:t xml:space="preserve"> The Cambridge Centre for Sport and Exercise Sciences, Anglia Ruskin University, Cambridge, UK</w:t>
      </w:r>
    </w:p>
    <w:p w14:paraId="5E0140E9" w14:textId="41EC5371" w:rsidR="004D67E4" w:rsidRPr="009E7530" w:rsidRDefault="00E2669D"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3</w:t>
      </w:r>
      <w:r w:rsidR="004D67E4" w:rsidRPr="009E7530">
        <w:rPr>
          <w:rFonts w:ascii="Times New Roman" w:hAnsi="Times New Roman" w:cs="Times New Roman"/>
          <w:color w:val="212121"/>
          <w:sz w:val="20"/>
          <w:szCs w:val="20"/>
          <w:shd w:val="clear" w:color="auto" w:fill="FFFFFF"/>
        </w:rPr>
        <w:t xml:space="preserve"> Department of Brain and Behavioral Sciences, University of Pavia, Pavia, Italy; </w:t>
      </w:r>
    </w:p>
    <w:p w14:paraId="43228C87" w14:textId="0AEC1F56" w:rsidR="007C7B0F" w:rsidRPr="009E7530" w:rsidRDefault="004D67E4"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4</w:t>
      </w:r>
      <w:r w:rsidRPr="009E7530">
        <w:rPr>
          <w:rFonts w:ascii="Times New Roman" w:hAnsi="Times New Roman" w:cs="Times New Roman"/>
          <w:color w:val="212121"/>
          <w:sz w:val="20"/>
          <w:szCs w:val="20"/>
          <w:shd w:val="clear" w:color="auto" w:fill="FFFFFF"/>
        </w:rPr>
        <w:t xml:space="preserve"> OASIS Service, South London and Maudsley National Health Service (NHS) Foundation Trust, London, United Kingdom</w:t>
      </w:r>
    </w:p>
    <w:p w14:paraId="636A5BDA" w14:textId="1F7AEF3A" w:rsidR="00E2669D" w:rsidRPr="009E7530" w:rsidRDefault="00E2669D"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5</w:t>
      </w:r>
      <w:r w:rsidR="0024785A" w:rsidRPr="009E7530">
        <w:rPr>
          <w:rFonts w:ascii="Times New Roman" w:hAnsi="Times New Roman" w:cs="Times New Roman"/>
          <w:color w:val="212121"/>
          <w:sz w:val="20"/>
          <w:szCs w:val="20"/>
          <w:shd w:val="clear" w:color="auto" w:fill="FFFFFF"/>
        </w:rPr>
        <w:t xml:space="preserve"> Department of Pediatrics, Yonsei University College of Medicine, Seoul, South Korea</w:t>
      </w:r>
    </w:p>
    <w:p w14:paraId="70DA7666" w14:textId="4A383466" w:rsidR="00201470" w:rsidRPr="009E7530" w:rsidRDefault="00201470"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6</w:t>
      </w:r>
      <w:r w:rsidRPr="009E7530">
        <w:rPr>
          <w:rFonts w:ascii="Times New Roman" w:hAnsi="Times New Roman" w:cs="Times New Roman"/>
          <w:color w:val="212121"/>
          <w:sz w:val="20"/>
          <w:szCs w:val="20"/>
          <w:shd w:val="clear" w:color="auto" w:fill="FFFFFF"/>
        </w:rPr>
        <w:t xml:space="preserve"> Deakin University, IMPACT - the Institute for Mental and Physical Health and Clinical Translation, School of Medicine, Barwon Health, 75 Pigdon's Road, Waurn Ponds, Geelong, VIC, 3216, Australia</w:t>
      </w:r>
    </w:p>
    <w:p w14:paraId="63226A4A" w14:textId="693F0CF6" w:rsidR="00201470" w:rsidRPr="009E7530" w:rsidRDefault="00201470"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w:t>
      </w:r>
      <w:r w:rsidR="0073221D" w:rsidRPr="009E7530">
        <w:rPr>
          <w:rFonts w:ascii="Times New Roman" w:hAnsi="Times New Roman" w:cs="Times New Roman"/>
          <w:color w:val="212121"/>
          <w:sz w:val="20"/>
          <w:szCs w:val="20"/>
          <w:shd w:val="clear" w:color="auto" w:fill="FFFFFF"/>
        </w:rPr>
        <w:t>7</w:t>
      </w:r>
      <w:r w:rsidRPr="009E7530">
        <w:rPr>
          <w:rFonts w:ascii="Times New Roman" w:hAnsi="Times New Roman" w:cs="Times New Roman"/>
          <w:color w:val="212121"/>
          <w:sz w:val="20"/>
          <w:szCs w:val="20"/>
          <w:shd w:val="clear" w:color="auto" w:fill="FFFFFF"/>
        </w:rPr>
        <w:t xml:space="preserve"> </w:t>
      </w:r>
      <w:r w:rsidR="000825E5" w:rsidRPr="009E7530">
        <w:rPr>
          <w:rFonts w:ascii="Times New Roman" w:hAnsi="Times New Roman" w:cs="Times New Roman"/>
          <w:color w:val="212121"/>
          <w:sz w:val="20"/>
          <w:szCs w:val="20"/>
          <w:shd w:val="clear" w:color="auto" w:fill="FFFFFF"/>
        </w:rPr>
        <w:t>School of Public Health and Preventive Medicine, Monash University, Melbourne, VIC, 3004, Australia. </w:t>
      </w:r>
    </w:p>
    <w:p w14:paraId="10E513AB" w14:textId="32E12664" w:rsidR="000825E5" w:rsidRPr="009E7530" w:rsidRDefault="0073221D"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18</w:t>
      </w:r>
      <w:r w:rsidR="000825E5" w:rsidRPr="009E7530">
        <w:rPr>
          <w:rFonts w:ascii="Times New Roman" w:hAnsi="Times New Roman" w:cs="Times New Roman"/>
          <w:color w:val="212121"/>
          <w:sz w:val="20"/>
          <w:szCs w:val="20"/>
          <w:shd w:val="clear" w:color="auto" w:fill="FFFFFF"/>
        </w:rPr>
        <w:t xml:space="preserve"> Department of Psychiatry, University of Melbourne, Parkville, VIC, 3052, Australia.</w:t>
      </w:r>
    </w:p>
    <w:p w14:paraId="1C365E07" w14:textId="4893378C" w:rsidR="000825E5" w:rsidRPr="009E7530" w:rsidRDefault="0073221D" w:rsidP="009E7530">
      <w:pPr>
        <w:spacing w:line="360" w:lineRule="auto"/>
        <w:rPr>
          <w:rFonts w:ascii="Times New Roman" w:hAnsi="Times New Roman" w:cs="Times New Roman"/>
          <w:color w:val="212121"/>
          <w:sz w:val="20"/>
          <w:szCs w:val="20"/>
          <w:shd w:val="clear" w:color="auto" w:fill="FFFFFF"/>
        </w:rPr>
      </w:pPr>
      <w:r w:rsidRPr="009E7530">
        <w:rPr>
          <w:rFonts w:ascii="Times New Roman" w:hAnsi="Times New Roman" w:cs="Times New Roman"/>
          <w:color w:val="212121"/>
          <w:sz w:val="20"/>
          <w:szCs w:val="20"/>
          <w:shd w:val="clear" w:color="auto" w:fill="FFFFFF"/>
        </w:rPr>
        <w:t>19</w:t>
      </w:r>
      <w:r w:rsidR="000825E5" w:rsidRPr="009E7530">
        <w:rPr>
          <w:rFonts w:ascii="Times New Roman" w:hAnsi="Times New Roman" w:cs="Times New Roman"/>
          <w:color w:val="212121"/>
          <w:sz w:val="20"/>
          <w:szCs w:val="20"/>
          <w:shd w:val="clear" w:color="auto" w:fill="FFFFFF"/>
        </w:rPr>
        <w:t xml:space="preserve"> </w:t>
      </w:r>
      <w:r w:rsidR="00A95B6D" w:rsidRPr="009E7530">
        <w:rPr>
          <w:rFonts w:ascii="Times New Roman" w:hAnsi="Times New Roman" w:cs="Times New Roman"/>
          <w:color w:val="212121"/>
          <w:sz w:val="20"/>
          <w:szCs w:val="20"/>
          <w:shd w:val="clear" w:color="auto" w:fill="FFFFFF"/>
        </w:rPr>
        <w:t>Orygen Youth Health, 35 Poplar Road, Parkville, VIC, 3052, Australia</w:t>
      </w:r>
    </w:p>
    <w:p w14:paraId="5D29BB2E" w14:textId="77777777" w:rsidR="0073221D" w:rsidRPr="00821A40" w:rsidRDefault="0073221D" w:rsidP="002E1121">
      <w:pPr>
        <w:rPr>
          <w:rFonts w:ascii="Times New Roman" w:hAnsi="Times New Roman" w:cs="Times New Roman"/>
          <w:sz w:val="18"/>
          <w:szCs w:val="18"/>
          <w:lang w:val="en-US"/>
        </w:rPr>
      </w:pPr>
    </w:p>
    <w:p w14:paraId="723583F7" w14:textId="5B687EB6" w:rsidR="00A35524" w:rsidRDefault="00A35524" w:rsidP="00916282">
      <w:pPr>
        <w:rPr>
          <w:lang w:val="en-US"/>
        </w:rPr>
      </w:pPr>
    </w:p>
    <w:p w14:paraId="52D20114" w14:textId="77777777" w:rsidR="00D2307D" w:rsidRDefault="00D2307D" w:rsidP="00916282">
      <w:pPr>
        <w:rPr>
          <w:lang w:val="en-US"/>
        </w:rPr>
      </w:pPr>
    </w:p>
    <w:p w14:paraId="393E32D0" w14:textId="72A86405" w:rsidR="00916282" w:rsidRPr="00137500" w:rsidRDefault="007C37C3" w:rsidP="00916282">
      <w:pPr>
        <w:rPr>
          <w:lang w:val="en-CA"/>
        </w:rPr>
      </w:pPr>
      <w:r>
        <w:rPr>
          <w:lang w:val="en-CA"/>
        </w:rPr>
        <w:t>#</w:t>
      </w:r>
      <w:r w:rsidR="000603F2" w:rsidRPr="00137500">
        <w:rPr>
          <w:lang w:val="en-CA"/>
        </w:rPr>
        <w:t>Co</w:t>
      </w:r>
      <w:r w:rsidR="00C243AA" w:rsidRPr="00137500">
        <w:rPr>
          <w:lang w:val="en-CA"/>
        </w:rPr>
        <w:t>rresponding author</w:t>
      </w:r>
      <w:r w:rsidR="00D57E04" w:rsidRPr="00137500">
        <w:rPr>
          <w:lang w:val="en-CA"/>
        </w:rPr>
        <w:t>:</w:t>
      </w:r>
    </w:p>
    <w:p w14:paraId="450E5B70" w14:textId="497869D4" w:rsidR="00C243AA" w:rsidRPr="00137500" w:rsidRDefault="00727C46" w:rsidP="00916282">
      <w:pPr>
        <w:rPr>
          <w:lang w:val="en-CA"/>
        </w:rPr>
      </w:pPr>
      <w:r w:rsidRPr="00137500">
        <w:rPr>
          <w:lang w:val="en-CA"/>
        </w:rPr>
        <w:t>Andre</w:t>
      </w:r>
      <w:r w:rsidR="00D57E04" w:rsidRPr="00137500">
        <w:rPr>
          <w:lang w:val="en-CA"/>
        </w:rPr>
        <w:t xml:space="preserve"> F.</w:t>
      </w:r>
      <w:r w:rsidRPr="00137500">
        <w:rPr>
          <w:lang w:val="en-CA"/>
        </w:rPr>
        <w:t xml:space="preserve"> Carvalho</w:t>
      </w:r>
      <w:r w:rsidR="00D57E04" w:rsidRPr="00137500">
        <w:rPr>
          <w:lang w:val="en-CA"/>
        </w:rPr>
        <w:t>, MD, PhD</w:t>
      </w:r>
    </w:p>
    <w:p w14:paraId="2B80C43B" w14:textId="23D40BF3" w:rsidR="00D57E04" w:rsidRPr="0007423C" w:rsidRDefault="00D57E04" w:rsidP="00916282">
      <w:pPr>
        <w:rPr>
          <w:lang w:val="it-IT"/>
        </w:rPr>
      </w:pPr>
      <w:r w:rsidRPr="0007423C">
        <w:rPr>
          <w:lang w:val="it-IT"/>
        </w:rPr>
        <w:t>E-mail: andrefc7@hotmail.com</w:t>
      </w:r>
    </w:p>
    <w:p w14:paraId="0320F2AC" w14:textId="220A5D38" w:rsidR="00B26061" w:rsidRPr="0007423C" w:rsidRDefault="00B26061">
      <w:pPr>
        <w:rPr>
          <w:rFonts w:ascii="Times New Roman" w:hAnsi="Times New Roman" w:cs="Times New Roman"/>
          <w:b/>
          <w:bCs/>
          <w:lang w:val="it-IT"/>
        </w:rPr>
      </w:pPr>
    </w:p>
    <w:p w14:paraId="2D8E6544" w14:textId="77777777" w:rsidR="00C85731" w:rsidRDefault="00C85731">
      <w:pPr>
        <w:rPr>
          <w:rFonts w:ascii="Times New Roman" w:eastAsia="Calibri" w:hAnsi="Times New Roman" w:cs="Times New Roman"/>
          <w:b/>
          <w:sz w:val="20"/>
          <w:szCs w:val="20"/>
          <w:lang w:val="it-IT"/>
        </w:rPr>
      </w:pPr>
      <w:r>
        <w:br w:type="page"/>
      </w:r>
    </w:p>
    <w:p w14:paraId="2D16078D" w14:textId="714CE231" w:rsidR="00D2307D" w:rsidRPr="00E80377" w:rsidRDefault="00D2307D" w:rsidP="008D52D7">
      <w:pPr>
        <w:pStyle w:val="Heading1"/>
      </w:pPr>
      <w:r w:rsidRPr="00E80377">
        <w:lastRenderedPageBreak/>
        <w:t>Abstract</w:t>
      </w:r>
      <w:r w:rsidR="00B05A2D" w:rsidRPr="00E80377">
        <w:t xml:space="preserve"> </w:t>
      </w:r>
    </w:p>
    <w:p w14:paraId="7B52DA92" w14:textId="77777777" w:rsidR="001B7F23" w:rsidRDefault="001B7F23" w:rsidP="009E7530">
      <w:pPr>
        <w:spacing w:line="360" w:lineRule="auto"/>
        <w:jc w:val="both"/>
        <w:rPr>
          <w:rFonts w:ascii="Times New Roman" w:hAnsi="Times New Roman" w:cs="Times New Roman"/>
          <w:b/>
          <w:bCs/>
          <w:sz w:val="20"/>
          <w:szCs w:val="20"/>
          <w:lang w:val="en-US"/>
        </w:rPr>
      </w:pPr>
      <w:r w:rsidRPr="001B7F23">
        <w:rPr>
          <w:rFonts w:ascii="Times New Roman" w:hAnsi="Times New Roman" w:cs="Times New Roman"/>
          <w:b/>
          <w:bCs/>
          <w:sz w:val="20"/>
          <w:szCs w:val="20"/>
          <w:lang w:val="en-US"/>
        </w:rPr>
        <w:t xml:space="preserve">Importance. </w:t>
      </w:r>
      <w:r w:rsidRPr="001B7F23">
        <w:rPr>
          <w:rFonts w:ascii="Times New Roman" w:hAnsi="Times New Roman" w:cs="Times New Roman"/>
          <w:sz w:val="20"/>
          <w:szCs w:val="20"/>
          <w:lang w:val="en-US"/>
        </w:rPr>
        <w:t>It is unclear whether differences exist in the magnitude and variability of pro-inflammatory mediators in the different phases of bipolar disorder (BD) and among subjects with BD, as compared to healthy controls.</w:t>
      </w:r>
      <w:r w:rsidRPr="001B7F23">
        <w:rPr>
          <w:rFonts w:ascii="Times New Roman" w:hAnsi="Times New Roman" w:cs="Times New Roman"/>
          <w:b/>
          <w:bCs/>
          <w:sz w:val="20"/>
          <w:szCs w:val="20"/>
          <w:lang w:val="en-US"/>
        </w:rPr>
        <w:t xml:space="preserve"> </w:t>
      </w:r>
    </w:p>
    <w:p w14:paraId="62FE91CF" w14:textId="75593BAA" w:rsidR="00CE1525" w:rsidRPr="00137500" w:rsidRDefault="00BD5F72" w:rsidP="009E7530">
      <w:pPr>
        <w:spacing w:line="360" w:lineRule="auto"/>
        <w:jc w:val="both"/>
        <w:rPr>
          <w:rFonts w:ascii="Times New Roman" w:hAnsi="Times New Roman" w:cs="Times New Roman"/>
          <w:sz w:val="20"/>
          <w:szCs w:val="20"/>
          <w:lang w:val="en-US"/>
        </w:rPr>
      </w:pPr>
      <w:r w:rsidRPr="00137500">
        <w:rPr>
          <w:rFonts w:ascii="Times New Roman" w:hAnsi="Times New Roman" w:cs="Times New Roman"/>
          <w:b/>
          <w:bCs/>
          <w:sz w:val="20"/>
          <w:szCs w:val="20"/>
          <w:lang w:val="en-US"/>
        </w:rPr>
        <w:t>Objective</w:t>
      </w:r>
      <w:r w:rsidRPr="00137500">
        <w:rPr>
          <w:rFonts w:ascii="Times New Roman" w:hAnsi="Times New Roman" w:cs="Times New Roman"/>
          <w:sz w:val="20"/>
          <w:szCs w:val="20"/>
          <w:lang w:val="en-US"/>
        </w:rPr>
        <w:t xml:space="preserve">. </w:t>
      </w:r>
      <w:r w:rsidR="00324504" w:rsidRPr="00137500">
        <w:rPr>
          <w:rFonts w:ascii="Times New Roman" w:hAnsi="Times New Roman" w:cs="Times New Roman"/>
          <w:sz w:val="20"/>
          <w:szCs w:val="20"/>
          <w:lang w:val="en-US"/>
        </w:rPr>
        <w:t>To run a comparative meta-analysis of C-Reactive Protein (CRP), IL-1, IL-6, TNF-α in BD vs healthy controls, measuring mean and variability effects on all subjects</w:t>
      </w:r>
      <w:r w:rsidR="00324504">
        <w:rPr>
          <w:rFonts w:ascii="Times New Roman" w:hAnsi="Times New Roman" w:cs="Times New Roman"/>
          <w:sz w:val="20"/>
          <w:szCs w:val="20"/>
          <w:lang w:val="en-US"/>
        </w:rPr>
        <w:t>. S</w:t>
      </w:r>
      <w:r w:rsidR="00324504" w:rsidRPr="00137500">
        <w:rPr>
          <w:rFonts w:ascii="Times New Roman" w:hAnsi="Times New Roman" w:cs="Times New Roman"/>
          <w:sz w:val="20"/>
          <w:szCs w:val="20"/>
          <w:lang w:val="en-US"/>
        </w:rPr>
        <w:t>ensitivity analyses includ</w:t>
      </w:r>
      <w:r w:rsidR="00324504">
        <w:rPr>
          <w:rFonts w:ascii="Times New Roman" w:hAnsi="Times New Roman" w:cs="Times New Roman"/>
          <w:sz w:val="20"/>
          <w:szCs w:val="20"/>
          <w:lang w:val="en-US"/>
        </w:rPr>
        <w:t xml:space="preserve">e </w:t>
      </w:r>
      <w:r w:rsidR="00324504" w:rsidRPr="00137500">
        <w:rPr>
          <w:rFonts w:ascii="Times New Roman" w:hAnsi="Times New Roman" w:cs="Times New Roman"/>
          <w:sz w:val="20"/>
          <w:szCs w:val="20"/>
          <w:lang w:val="en-US"/>
        </w:rPr>
        <w:t>disease activity.</w:t>
      </w:r>
    </w:p>
    <w:p w14:paraId="3D7962DE" w14:textId="2A01B1A0" w:rsidR="00CE3A33" w:rsidRPr="00137500" w:rsidRDefault="00002773" w:rsidP="009E7530">
      <w:pPr>
        <w:spacing w:line="360" w:lineRule="auto"/>
        <w:jc w:val="both"/>
        <w:rPr>
          <w:rFonts w:ascii="Times New Roman" w:hAnsi="Times New Roman" w:cs="Times New Roman"/>
          <w:sz w:val="20"/>
          <w:szCs w:val="20"/>
          <w:lang w:val="en-US"/>
        </w:rPr>
      </w:pPr>
      <w:r w:rsidRPr="00137500">
        <w:rPr>
          <w:rFonts w:ascii="Times New Roman" w:hAnsi="Times New Roman" w:cs="Times New Roman"/>
          <w:b/>
          <w:bCs/>
          <w:sz w:val="20"/>
          <w:szCs w:val="20"/>
          <w:lang w:val="en-US"/>
        </w:rPr>
        <w:t>Data Sources</w:t>
      </w:r>
      <w:r w:rsidRPr="00137500">
        <w:rPr>
          <w:rFonts w:ascii="Times New Roman" w:hAnsi="Times New Roman" w:cs="Times New Roman"/>
          <w:sz w:val="20"/>
          <w:szCs w:val="20"/>
          <w:lang w:val="en-US"/>
        </w:rPr>
        <w:t xml:space="preserve">. </w:t>
      </w:r>
      <w:r w:rsidR="00541689" w:rsidRPr="00137500">
        <w:rPr>
          <w:rFonts w:ascii="Times New Roman" w:hAnsi="Times New Roman" w:cs="Times New Roman"/>
          <w:sz w:val="20"/>
          <w:szCs w:val="20"/>
          <w:lang w:val="en-US"/>
        </w:rPr>
        <w:t xml:space="preserve">Systematic review </w:t>
      </w:r>
      <w:r w:rsidR="00307D74">
        <w:rPr>
          <w:rFonts w:ascii="Times New Roman" w:hAnsi="Times New Roman" w:cs="Times New Roman"/>
          <w:sz w:val="20"/>
          <w:szCs w:val="20"/>
          <w:lang w:val="en-US"/>
        </w:rPr>
        <w:t>of</w:t>
      </w:r>
      <w:r w:rsidR="00307D74" w:rsidRPr="00137500">
        <w:rPr>
          <w:rFonts w:ascii="Times New Roman" w:hAnsi="Times New Roman" w:cs="Times New Roman"/>
          <w:sz w:val="20"/>
          <w:szCs w:val="20"/>
          <w:lang w:val="en-US"/>
        </w:rPr>
        <w:t xml:space="preserve"> </w:t>
      </w:r>
      <w:r w:rsidR="00CE3A33" w:rsidRPr="00137500">
        <w:rPr>
          <w:rFonts w:ascii="Times New Roman" w:hAnsi="Times New Roman" w:cs="Times New Roman"/>
          <w:sz w:val="20"/>
          <w:szCs w:val="20"/>
          <w:lang w:val="en-US"/>
        </w:rPr>
        <w:t xml:space="preserve">observational studies </w:t>
      </w:r>
      <w:r w:rsidR="005475B0" w:rsidRPr="00137500">
        <w:rPr>
          <w:rFonts w:ascii="Times New Roman" w:hAnsi="Times New Roman" w:cs="Times New Roman"/>
          <w:sz w:val="20"/>
          <w:szCs w:val="20"/>
          <w:lang w:val="en-US"/>
        </w:rPr>
        <w:t>in</w:t>
      </w:r>
      <w:r w:rsidR="00541689" w:rsidRPr="00137500">
        <w:rPr>
          <w:rFonts w:ascii="Times New Roman" w:hAnsi="Times New Roman" w:cs="Times New Roman"/>
          <w:sz w:val="20"/>
          <w:szCs w:val="20"/>
          <w:lang w:val="en-US"/>
        </w:rPr>
        <w:t xml:space="preserve"> </w:t>
      </w:r>
      <w:r w:rsidR="0068669D" w:rsidRPr="00137500">
        <w:rPr>
          <w:rFonts w:ascii="Times New Roman" w:hAnsi="Times New Roman" w:cs="Times New Roman"/>
          <w:sz w:val="20"/>
          <w:szCs w:val="20"/>
          <w:lang w:val="en-US"/>
        </w:rPr>
        <w:t>PubMed</w:t>
      </w:r>
      <w:r w:rsidR="00D860FD" w:rsidRPr="00137500">
        <w:rPr>
          <w:rFonts w:ascii="Times New Roman" w:hAnsi="Times New Roman" w:cs="Times New Roman"/>
          <w:sz w:val="20"/>
          <w:szCs w:val="20"/>
          <w:lang w:val="en-US"/>
        </w:rPr>
        <w:t xml:space="preserve"> and PsycInfo up to </w:t>
      </w:r>
      <w:r w:rsidR="0006266F" w:rsidRPr="00137500">
        <w:rPr>
          <w:rFonts w:ascii="Times New Roman" w:hAnsi="Times New Roman" w:cs="Times New Roman"/>
          <w:sz w:val="20"/>
          <w:szCs w:val="20"/>
          <w:lang w:val="en-US"/>
        </w:rPr>
        <w:t>February 2</w:t>
      </w:r>
      <w:r w:rsidR="0006266F" w:rsidRPr="00137500">
        <w:rPr>
          <w:rFonts w:ascii="Times New Roman" w:hAnsi="Times New Roman" w:cs="Times New Roman"/>
          <w:sz w:val="20"/>
          <w:szCs w:val="20"/>
          <w:vertAlign w:val="superscript"/>
          <w:lang w:val="en-US"/>
        </w:rPr>
        <w:t>nd</w:t>
      </w:r>
      <w:r w:rsidR="0006266F" w:rsidRPr="00137500">
        <w:rPr>
          <w:rFonts w:ascii="Times New Roman" w:hAnsi="Times New Roman" w:cs="Times New Roman"/>
          <w:sz w:val="20"/>
          <w:szCs w:val="20"/>
          <w:lang w:val="en-US"/>
        </w:rPr>
        <w:t xml:space="preserve">, 2020. </w:t>
      </w:r>
    </w:p>
    <w:p w14:paraId="467F9400" w14:textId="3A6B4903" w:rsidR="00002773" w:rsidRPr="00137500" w:rsidRDefault="001635ED" w:rsidP="009E7530">
      <w:pPr>
        <w:spacing w:line="360" w:lineRule="auto"/>
        <w:jc w:val="both"/>
        <w:rPr>
          <w:rFonts w:ascii="Times New Roman" w:hAnsi="Times New Roman" w:cs="Times New Roman"/>
          <w:sz w:val="20"/>
          <w:szCs w:val="20"/>
          <w:lang w:val="en-US"/>
        </w:rPr>
      </w:pPr>
      <w:r w:rsidRPr="00137500">
        <w:rPr>
          <w:rFonts w:ascii="Times New Roman" w:hAnsi="Times New Roman" w:cs="Times New Roman"/>
          <w:b/>
          <w:bCs/>
          <w:sz w:val="20"/>
          <w:szCs w:val="20"/>
          <w:lang w:val="en-US"/>
        </w:rPr>
        <w:t xml:space="preserve">Study </w:t>
      </w:r>
      <w:r w:rsidR="002F2D4D" w:rsidRPr="00137500">
        <w:rPr>
          <w:rFonts w:ascii="Times New Roman" w:hAnsi="Times New Roman" w:cs="Times New Roman"/>
          <w:b/>
          <w:bCs/>
          <w:sz w:val="20"/>
          <w:szCs w:val="20"/>
          <w:lang w:val="en-US"/>
        </w:rPr>
        <w:t>S</w:t>
      </w:r>
      <w:r w:rsidRPr="00137500">
        <w:rPr>
          <w:rFonts w:ascii="Times New Roman" w:hAnsi="Times New Roman" w:cs="Times New Roman"/>
          <w:b/>
          <w:bCs/>
          <w:sz w:val="20"/>
          <w:szCs w:val="20"/>
          <w:lang w:val="en-US"/>
        </w:rPr>
        <w:t>election</w:t>
      </w:r>
      <w:r w:rsidRPr="00137500">
        <w:rPr>
          <w:rFonts w:ascii="Times New Roman" w:hAnsi="Times New Roman" w:cs="Times New Roman"/>
          <w:sz w:val="20"/>
          <w:szCs w:val="20"/>
          <w:lang w:val="en-US"/>
        </w:rPr>
        <w:t>. Case-control studies reporting</w:t>
      </w:r>
      <w:r w:rsidR="005C09E4">
        <w:rPr>
          <w:rFonts w:ascii="Times New Roman" w:hAnsi="Times New Roman" w:cs="Times New Roman"/>
          <w:sz w:val="20"/>
          <w:szCs w:val="20"/>
          <w:lang w:val="en-US"/>
        </w:rPr>
        <w:t xml:space="preserve"> inflammatory mediators</w:t>
      </w:r>
      <w:r w:rsidR="00307D74">
        <w:rPr>
          <w:rFonts w:ascii="Times New Roman" w:hAnsi="Times New Roman" w:cs="Times New Roman"/>
          <w:sz w:val="20"/>
          <w:szCs w:val="20"/>
          <w:lang w:val="en-US"/>
        </w:rPr>
        <w:t>'</w:t>
      </w:r>
      <w:r w:rsidR="00F42600" w:rsidRPr="00137500">
        <w:rPr>
          <w:rFonts w:ascii="Times New Roman" w:hAnsi="Times New Roman" w:cs="Times New Roman"/>
          <w:sz w:val="20"/>
          <w:szCs w:val="20"/>
          <w:lang w:val="en-US"/>
        </w:rPr>
        <w:t xml:space="preserve"> levels in BD and controls</w:t>
      </w:r>
      <w:r w:rsidRPr="00137500">
        <w:rPr>
          <w:rFonts w:ascii="Times New Roman" w:hAnsi="Times New Roman" w:cs="Times New Roman"/>
          <w:sz w:val="20"/>
          <w:szCs w:val="20"/>
          <w:lang w:val="en-US"/>
        </w:rPr>
        <w:t>.</w:t>
      </w:r>
    </w:p>
    <w:p w14:paraId="7C8D3BB9" w14:textId="163239C4" w:rsidR="00062816" w:rsidRPr="00137500" w:rsidRDefault="00062816" w:rsidP="009E7530">
      <w:pPr>
        <w:spacing w:line="360" w:lineRule="auto"/>
        <w:jc w:val="both"/>
        <w:rPr>
          <w:rFonts w:ascii="Times New Roman" w:hAnsi="Times New Roman" w:cs="Times New Roman"/>
          <w:sz w:val="20"/>
          <w:szCs w:val="20"/>
          <w:lang w:val="en-US"/>
        </w:rPr>
      </w:pPr>
      <w:r w:rsidRPr="00137500">
        <w:rPr>
          <w:rFonts w:ascii="Times New Roman" w:hAnsi="Times New Roman" w:cs="Times New Roman"/>
          <w:b/>
          <w:bCs/>
          <w:sz w:val="20"/>
          <w:szCs w:val="20"/>
          <w:lang w:val="en-US"/>
        </w:rPr>
        <w:t>Data Extraction and Synthesis.</w:t>
      </w:r>
      <w:r w:rsidRPr="00137500">
        <w:rPr>
          <w:rFonts w:ascii="Times New Roman" w:hAnsi="Times New Roman" w:cs="Times New Roman"/>
          <w:sz w:val="20"/>
          <w:szCs w:val="20"/>
          <w:lang w:val="en-US"/>
        </w:rPr>
        <w:t xml:space="preserve"> </w:t>
      </w:r>
      <w:r w:rsidR="00391239">
        <w:rPr>
          <w:rFonts w:ascii="Times New Roman" w:hAnsi="Times New Roman" w:cs="Times New Roman"/>
          <w:sz w:val="20"/>
          <w:szCs w:val="20"/>
          <w:lang w:val="en-US"/>
        </w:rPr>
        <w:t>Summary distribution measures</w:t>
      </w:r>
      <w:r w:rsidRPr="00137500">
        <w:rPr>
          <w:rFonts w:ascii="Times New Roman" w:hAnsi="Times New Roman" w:cs="Times New Roman"/>
          <w:sz w:val="20"/>
          <w:szCs w:val="20"/>
          <w:lang w:val="en-US"/>
        </w:rPr>
        <w:t xml:space="preserve"> of circulating CRP, IL-1</w:t>
      </w:r>
      <w:r w:rsidR="009E7530">
        <w:rPr>
          <w:rFonts w:ascii="Times New Roman" w:hAnsi="Times New Roman" w:cs="Times New Roman"/>
          <w:sz w:val="20"/>
          <w:szCs w:val="20"/>
          <w:lang w:val="en-US"/>
        </w:rPr>
        <w:t>β</w:t>
      </w:r>
      <w:r w:rsidRPr="00137500">
        <w:rPr>
          <w:rFonts w:ascii="Times New Roman" w:hAnsi="Times New Roman" w:cs="Times New Roman"/>
          <w:sz w:val="20"/>
          <w:szCs w:val="20"/>
          <w:lang w:val="en-US"/>
        </w:rPr>
        <w:t>, IL-6, TNF-α in participants with BD and control groups were extracted. Random-effects multivariate meta-analyses were conducted based on individual study/</w:t>
      </w:r>
      <w:r w:rsidR="005C09E4">
        <w:rPr>
          <w:rFonts w:ascii="Times New Roman" w:hAnsi="Times New Roman" w:cs="Times New Roman"/>
          <w:sz w:val="20"/>
          <w:szCs w:val="20"/>
          <w:lang w:val="en-US"/>
        </w:rPr>
        <w:t>mediator</w:t>
      </w:r>
      <w:r w:rsidRPr="00137500">
        <w:rPr>
          <w:rFonts w:ascii="Times New Roman" w:hAnsi="Times New Roman" w:cs="Times New Roman"/>
          <w:sz w:val="20"/>
          <w:szCs w:val="20"/>
          <w:lang w:val="en-US"/>
        </w:rPr>
        <w:t xml:space="preserve"> effect sizes (Hedge’s g).</w:t>
      </w:r>
    </w:p>
    <w:p w14:paraId="513934FF" w14:textId="726006AC" w:rsidR="00062816" w:rsidRPr="00137500" w:rsidRDefault="00062816" w:rsidP="009E7530">
      <w:pPr>
        <w:spacing w:line="360" w:lineRule="auto"/>
        <w:jc w:val="both"/>
        <w:rPr>
          <w:rFonts w:ascii="Times New Roman" w:hAnsi="Times New Roman" w:cs="Times New Roman"/>
          <w:b/>
          <w:bCs/>
          <w:sz w:val="20"/>
          <w:szCs w:val="20"/>
          <w:lang w:val="en-US"/>
        </w:rPr>
      </w:pPr>
      <w:r w:rsidRPr="00137500">
        <w:rPr>
          <w:rFonts w:ascii="Times New Roman" w:hAnsi="Times New Roman" w:cs="Times New Roman"/>
          <w:b/>
          <w:bCs/>
          <w:sz w:val="20"/>
          <w:szCs w:val="20"/>
          <w:lang w:val="en-US"/>
        </w:rPr>
        <w:t xml:space="preserve">Main Outcomes and Measures. </w:t>
      </w:r>
      <w:r w:rsidRPr="00137500">
        <w:rPr>
          <w:rFonts w:ascii="Times New Roman" w:hAnsi="Times New Roman" w:cs="Times New Roman"/>
          <w:sz w:val="20"/>
          <w:szCs w:val="20"/>
          <w:lang w:val="en-US"/>
        </w:rPr>
        <w:t xml:space="preserve">Co-primary outcomes were </w:t>
      </w:r>
      <w:r w:rsidR="005C09E4">
        <w:rPr>
          <w:rFonts w:ascii="Times New Roman" w:hAnsi="Times New Roman" w:cs="Times New Roman"/>
          <w:sz w:val="20"/>
          <w:szCs w:val="20"/>
          <w:lang w:val="en-US"/>
        </w:rPr>
        <w:t>inflammatory mediators</w:t>
      </w:r>
      <w:r w:rsidR="00307D74">
        <w:rPr>
          <w:rFonts w:ascii="Times New Roman" w:hAnsi="Times New Roman" w:cs="Times New Roman"/>
          <w:sz w:val="20"/>
          <w:szCs w:val="20"/>
          <w:lang w:val="en-US"/>
        </w:rPr>
        <w:t>'</w:t>
      </w:r>
      <w:r w:rsidRPr="00137500">
        <w:rPr>
          <w:rFonts w:ascii="Times New Roman" w:hAnsi="Times New Roman" w:cs="Times New Roman"/>
          <w:sz w:val="20"/>
          <w:szCs w:val="20"/>
          <w:lang w:val="en-US"/>
        </w:rPr>
        <w:t xml:space="preserve"> levels (Hedge’s g) and variability (coefficient of variance ratio (CVR)) differences between participants with BD across the mood spectrum and controls.</w:t>
      </w:r>
      <w:r w:rsidRPr="00137500">
        <w:rPr>
          <w:rFonts w:ascii="Times New Roman" w:hAnsi="Times New Roman" w:cs="Times New Roman"/>
          <w:b/>
          <w:bCs/>
          <w:sz w:val="20"/>
          <w:szCs w:val="20"/>
          <w:lang w:val="en-US"/>
        </w:rPr>
        <w:t xml:space="preserve"> </w:t>
      </w:r>
    </w:p>
    <w:p w14:paraId="716E44FA" w14:textId="17E8FA2D" w:rsidR="00DE780C" w:rsidRPr="00137500" w:rsidRDefault="00075C5B" w:rsidP="009E7530">
      <w:pPr>
        <w:spacing w:line="360" w:lineRule="auto"/>
        <w:jc w:val="both"/>
        <w:rPr>
          <w:rFonts w:ascii="Times New Roman" w:hAnsi="Times New Roman" w:cs="Times New Roman"/>
          <w:sz w:val="20"/>
          <w:szCs w:val="20"/>
          <w:lang w:val="en-US"/>
        </w:rPr>
      </w:pPr>
      <w:r w:rsidRPr="00137500">
        <w:rPr>
          <w:rFonts w:ascii="Times New Roman" w:hAnsi="Times New Roman" w:cs="Times New Roman"/>
          <w:b/>
          <w:bCs/>
          <w:sz w:val="20"/>
          <w:szCs w:val="20"/>
          <w:lang w:val="en-US"/>
        </w:rPr>
        <w:t>Results.</w:t>
      </w:r>
      <w:r w:rsidR="00E821D5" w:rsidRPr="00137500">
        <w:rPr>
          <w:rFonts w:ascii="Times New Roman" w:hAnsi="Times New Roman" w:cs="Times New Roman"/>
          <w:b/>
          <w:bCs/>
          <w:sz w:val="20"/>
          <w:szCs w:val="20"/>
          <w:lang w:val="en-US"/>
        </w:rPr>
        <w:t xml:space="preserve"> </w:t>
      </w:r>
      <w:r w:rsidR="00E821D5" w:rsidRPr="00137500">
        <w:rPr>
          <w:rFonts w:ascii="Times New Roman" w:hAnsi="Times New Roman" w:cs="Times New Roman"/>
          <w:sz w:val="20"/>
          <w:szCs w:val="20"/>
          <w:lang w:val="en-US"/>
        </w:rPr>
        <w:t xml:space="preserve">Out of </w:t>
      </w:r>
      <w:r w:rsidR="001152A7" w:rsidRPr="00137500">
        <w:rPr>
          <w:rFonts w:ascii="Times New Roman" w:hAnsi="Times New Roman" w:cs="Times New Roman"/>
          <w:sz w:val="20"/>
          <w:szCs w:val="20"/>
          <w:lang w:val="en-US"/>
        </w:rPr>
        <w:t xml:space="preserve">the </w:t>
      </w:r>
      <w:r w:rsidR="00E821D5" w:rsidRPr="00137500">
        <w:rPr>
          <w:rFonts w:ascii="Times New Roman" w:hAnsi="Times New Roman" w:cs="Times New Roman"/>
          <w:sz w:val="20"/>
          <w:szCs w:val="20"/>
          <w:lang w:val="en-US"/>
        </w:rPr>
        <w:t xml:space="preserve">initial </w:t>
      </w:r>
      <w:r w:rsidR="003A0434" w:rsidRPr="00137500">
        <w:rPr>
          <w:rFonts w:ascii="Times New Roman" w:hAnsi="Times New Roman" w:cs="Times New Roman"/>
          <w:sz w:val="20"/>
          <w:szCs w:val="20"/>
          <w:lang w:val="en-US"/>
        </w:rPr>
        <w:t xml:space="preserve">729 </w:t>
      </w:r>
      <w:r w:rsidR="004F5B9D">
        <w:rPr>
          <w:rFonts w:ascii="Times New Roman" w:hAnsi="Times New Roman" w:cs="Times New Roman"/>
          <w:sz w:val="20"/>
          <w:szCs w:val="20"/>
          <w:lang w:val="en-US"/>
        </w:rPr>
        <w:t>papers</w:t>
      </w:r>
      <w:r w:rsidR="003A0434" w:rsidRPr="00137500">
        <w:rPr>
          <w:rFonts w:ascii="Times New Roman" w:hAnsi="Times New Roman" w:cs="Times New Roman"/>
          <w:sz w:val="20"/>
          <w:szCs w:val="20"/>
          <w:lang w:val="en-US"/>
        </w:rPr>
        <w:t xml:space="preserve">, </w:t>
      </w:r>
      <w:r w:rsidR="00030E3F" w:rsidRPr="00137500">
        <w:rPr>
          <w:rFonts w:ascii="Times New Roman" w:hAnsi="Times New Roman" w:cs="Times New Roman"/>
          <w:sz w:val="20"/>
          <w:szCs w:val="20"/>
          <w:lang w:val="en-US"/>
        </w:rPr>
        <w:t>7</w:t>
      </w:r>
      <w:r w:rsidR="006B51FB">
        <w:rPr>
          <w:rFonts w:ascii="Times New Roman" w:hAnsi="Times New Roman" w:cs="Times New Roman"/>
          <w:sz w:val="20"/>
          <w:szCs w:val="20"/>
          <w:lang w:val="en-US"/>
        </w:rPr>
        <w:t>2</w:t>
      </w:r>
      <w:r w:rsidR="00030E3F" w:rsidRPr="00137500">
        <w:rPr>
          <w:rFonts w:ascii="Times New Roman" w:hAnsi="Times New Roman" w:cs="Times New Roman"/>
          <w:sz w:val="20"/>
          <w:szCs w:val="20"/>
          <w:lang w:val="en-US"/>
        </w:rPr>
        <w:t xml:space="preserve"> were assessed and then excluded </w:t>
      </w:r>
      <w:r w:rsidR="00465AFE" w:rsidRPr="00137500">
        <w:rPr>
          <w:rFonts w:ascii="Times New Roman" w:hAnsi="Times New Roman" w:cs="Times New Roman"/>
          <w:sz w:val="20"/>
          <w:szCs w:val="20"/>
          <w:lang w:val="en-US"/>
        </w:rPr>
        <w:t xml:space="preserve">after </w:t>
      </w:r>
      <w:r w:rsidR="00030E3F" w:rsidRPr="00137500">
        <w:rPr>
          <w:rFonts w:ascii="Times New Roman" w:hAnsi="Times New Roman" w:cs="Times New Roman"/>
          <w:sz w:val="20"/>
          <w:szCs w:val="20"/>
          <w:lang w:val="en-US"/>
        </w:rPr>
        <w:t xml:space="preserve">full-text </w:t>
      </w:r>
      <w:r w:rsidR="00465AFE" w:rsidRPr="00137500">
        <w:rPr>
          <w:rFonts w:ascii="Times New Roman" w:hAnsi="Times New Roman" w:cs="Times New Roman"/>
          <w:sz w:val="20"/>
          <w:szCs w:val="20"/>
          <w:lang w:val="en-US"/>
        </w:rPr>
        <w:t>review</w:t>
      </w:r>
      <w:r w:rsidR="00030E3F" w:rsidRPr="00137500">
        <w:rPr>
          <w:rFonts w:ascii="Times New Roman" w:hAnsi="Times New Roman" w:cs="Times New Roman"/>
          <w:sz w:val="20"/>
          <w:szCs w:val="20"/>
          <w:lang w:val="en-US"/>
        </w:rPr>
        <w:t xml:space="preserve">, and ultimately </w:t>
      </w:r>
      <w:r w:rsidR="006F7744" w:rsidRPr="00137500">
        <w:rPr>
          <w:rFonts w:ascii="Times New Roman" w:hAnsi="Times New Roman" w:cs="Times New Roman"/>
          <w:sz w:val="20"/>
          <w:szCs w:val="20"/>
          <w:lang w:val="en-US"/>
        </w:rPr>
        <w:t>5</w:t>
      </w:r>
      <w:r w:rsidR="006B51FB">
        <w:rPr>
          <w:rFonts w:ascii="Times New Roman" w:hAnsi="Times New Roman" w:cs="Times New Roman"/>
          <w:sz w:val="20"/>
          <w:szCs w:val="20"/>
          <w:lang w:val="en-US"/>
        </w:rPr>
        <w:t>3</w:t>
      </w:r>
      <w:r w:rsidR="006F7744" w:rsidRPr="00137500">
        <w:rPr>
          <w:rFonts w:ascii="Times New Roman" w:hAnsi="Times New Roman" w:cs="Times New Roman"/>
          <w:sz w:val="20"/>
          <w:szCs w:val="20"/>
          <w:lang w:val="en-US"/>
        </w:rPr>
        <w:t xml:space="preserve"> </w:t>
      </w:r>
      <w:r w:rsidR="002F0FF5" w:rsidRPr="00137500">
        <w:rPr>
          <w:rFonts w:ascii="Times New Roman" w:hAnsi="Times New Roman" w:cs="Times New Roman"/>
          <w:sz w:val="20"/>
          <w:szCs w:val="20"/>
          <w:lang w:val="en-US"/>
        </w:rPr>
        <w:t>studies were included</w:t>
      </w:r>
      <w:r w:rsidR="005F520B" w:rsidRPr="00137500">
        <w:rPr>
          <w:rFonts w:ascii="Times New Roman" w:hAnsi="Times New Roman" w:cs="Times New Roman"/>
          <w:sz w:val="20"/>
          <w:szCs w:val="20"/>
          <w:lang w:val="en-US"/>
        </w:rPr>
        <w:t xml:space="preserve"> in the systematic review, </w:t>
      </w:r>
      <w:r w:rsidR="00465AFE" w:rsidRPr="00137500">
        <w:rPr>
          <w:rFonts w:ascii="Times New Roman" w:hAnsi="Times New Roman" w:cs="Times New Roman"/>
          <w:sz w:val="20"/>
          <w:szCs w:val="20"/>
          <w:lang w:val="en-US"/>
        </w:rPr>
        <w:t xml:space="preserve">while </w:t>
      </w:r>
      <w:r w:rsidR="006B51FB">
        <w:rPr>
          <w:rFonts w:ascii="Times New Roman" w:hAnsi="Times New Roman" w:cs="Times New Roman"/>
          <w:sz w:val="20"/>
          <w:szCs w:val="20"/>
          <w:lang w:val="en-US"/>
        </w:rPr>
        <w:t>49</w:t>
      </w:r>
      <w:r w:rsidR="00465AFE" w:rsidRPr="00137500">
        <w:rPr>
          <w:rFonts w:ascii="Times New Roman" w:hAnsi="Times New Roman" w:cs="Times New Roman"/>
          <w:sz w:val="20"/>
          <w:szCs w:val="20"/>
          <w:lang w:val="en-US"/>
        </w:rPr>
        <w:t xml:space="preserve"> were included</w:t>
      </w:r>
      <w:r w:rsidR="005F520B" w:rsidRPr="00137500">
        <w:rPr>
          <w:rFonts w:ascii="Times New Roman" w:hAnsi="Times New Roman" w:cs="Times New Roman"/>
          <w:sz w:val="20"/>
          <w:szCs w:val="20"/>
          <w:lang w:val="en-US"/>
        </w:rPr>
        <w:t xml:space="preserve"> in the meta-analysis.</w:t>
      </w:r>
      <w:r w:rsidR="005313F7" w:rsidRPr="00137500">
        <w:rPr>
          <w:rFonts w:ascii="Times New Roman" w:hAnsi="Times New Roman" w:cs="Times New Roman"/>
          <w:sz w:val="20"/>
          <w:szCs w:val="20"/>
          <w:lang w:val="en-US"/>
        </w:rPr>
        <w:t xml:space="preserve"> </w:t>
      </w:r>
      <w:r w:rsidR="004F2C30">
        <w:rPr>
          <w:rFonts w:ascii="Times New Roman" w:hAnsi="Times New Roman" w:cs="Times New Roman"/>
          <w:sz w:val="20"/>
          <w:szCs w:val="20"/>
          <w:lang w:val="en-US"/>
        </w:rPr>
        <w:t>The m</w:t>
      </w:r>
      <w:r w:rsidR="004F2C30" w:rsidRPr="00137500">
        <w:rPr>
          <w:rFonts w:ascii="Times New Roman" w:hAnsi="Times New Roman" w:cs="Times New Roman"/>
          <w:sz w:val="20"/>
          <w:szCs w:val="20"/>
          <w:lang w:val="en-US"/>
        </w:rPr>
        <w:t xml:space="preserve">ean </w:t>
      </w:r>
      <w:r w:rsidR="00EB0852" w:rsidRPr="00137500">
        <w:rPr>
          <w:rFonts w:ascii="Times New Roman" w:hAnsi="Times New Roman" w:cs="Times New Roman"/>
          <w:sz w:val="20"/>
          <w:szCs w:val="20"/>
          <w:lang w:val="en-US"/>
        </w:rPr>
        <w:t xml:space="preserve">age was </w:t>
      </w:r>
      <w:r w:rsidR="003352B7" w:rsidRPr="00137500">
        <w:rPr>
          <w:rFonts w:ascii="Times New Roman" w:hAnsi="Times New Roman" w:cs="Times New Roman"/>
          <w:sz w:val="20"/>
          <w:szCs w:val="20"/>
          <w:lang w:val="en-US"/>
        </w:rPr>
        <w:t>36.96 (</w:t>
      </w:r>
      <w:r w:rsidR="00720046" w:rsidRPr="00137500">
        <w:rPr>
          <w:rFonts w:ascii="Times New Roman" w:hAnsi="Times New Roman" w:cs="Times New Roman"/>
          <w:sz w:val="20"/>
          <w:szCs w:val="20"/>
          <w:lang w:val="en-US"/>
        </w:rPr>
        <w:t>SD:</w:t>
      </w:r>
      <w:r w:rsidR="003352B7" w:rsidRPr="00137500">
        <w:rPr>
          <w:rFonts w:ascii="Times New Roman" w:hAnsi="Times New Roman" w:cs="Times New Roman"/>
          <w:sz w:val="20"/>
          <w:szCs w:val="20"/>
          <w:lang w:val="en-US"/>
        </w:rPr>
        <w:t xml:space="preserve"> 9.29)</w:t>
      </w:r>
      <w:r w:rsidR="0068669D">
        <w:rPr>
          <w:rFonts w:ascii="Times New Roman" w:hAnsi="Times New Roman" w:cs="Times New Roman"/>
          <w:sz w:val="20"/>
          <w:szCs w:val="20"/>
          <w:lang w:val="en-US"/>
        </w:rPr>
        <w:t xml:space="preserve"> years</w:t>
      </w:r>
      <w:r w:rsidR="003352B7" w:rsidRPr="00137500">
        <w:rPr>
          <w:rFonts w:ascii="Times New Roman" w:hAnsi="Times New Roman" w:cs="Times New Roman"/>
          <w:sz w:val="20"/>
          <w:szCs w:val="20"/>
          <w:lang w:val="en-US"/>
        </w:rPr>
        <w:t xml:space="preserve">, and </w:t>
      </w:r>
      <w:r w:rsidR="004F2C30">
        <w:rPr>
          <w:rFonts w:ascii="Times New Roman" w:hAnsi="Times New Roman" w:cs="Times New Roman"/>
          <w:sz w:val="20"/>
          <w:szCs w:val="20"/>
          <w:lang w:val="en-US"/>
        </w:rPr>
        <w:t xml:space="preserve">the </w:t>
      </w:r>
      <w:r w:rsidR="003352B7" w:rsidRPr="00137500">
        <w:rPr>
          <w:rFonts w:ascii="Times New Roman" w:hAnsi="Times New Roman" w:cs="Times New Roman"/>
          <w:sz w:val="20"/>
          <w:szCs w:val="20"/>
          <w:lang w:val="en-US"/>
        </w:rPr>
        <w:t>mean female percentage was 56.31</w:t>
      </w:r>
      <w:r w:rsidR="00EB1ADD" w:rsidRPr="00137500">
        <w:rPr>
          <w:rFonts w:ascii="Times New Roman" w:hAnsi="Times New Roman" w:cs="Times New Roman"/>
          <w:sz w:val="20"/>
          <w:szCs w:val="20"/>
          <w:lang w:val="en-US"/>
        </w:rPr>
        <w:t xml:space="preserve"> (</w:t>
      </w:r>
      <w:r w:rsidR="00307D74">
        <w:rPr>
          <w:rFonts w:ascii="Times New Roman" w:hAnsi="Times New Roman" w:cs="Times New Roman"/>
          <w:sz w:val="20"/>
          <w:szCs w:val="20"/>
          <w:lang w:val="en-US"/>
        </w:rPr>
        <w:t xml:space="preserve">SD: </w:t>
      </w:r>
      <w:r w:rsidR="00EB1ADD" w:rsidRPr="00137500">
        <w:rPr>
          <w:rFonts w:ascii="Times New Roman" w:hAnsi="Times New Roman" w:cs="Times New Roman"/>
          <w:sz w:val="20"/>
          <w:szCs w:val="20"/>
          <w:lang w:val="en-US"/>
        </w:rPr>
        <w:t xml:space="preserve">16.61). </w:t>
      </w:r>
      <w:r w:rsidR="005313F7" w:rsidRPr="00137500">
        <w:rPr>
          <w:rFonts w:ascii="Times New Roman" w:hAnsi="Times New Roman" w:cs="Times New Roman"/>
          <w:sz w:val="20"/>
          <w:szCs w:val="20"/>
          <w:lang w:val="en-US"/>
        </w:rPr>
        <w:t xml:space="preserve">CRP (g=0.70, 95% CI </w:t>
      </w:r>
      <w:r w:rsidR="006241A4" w:rsidRPr="00137500">
        <w:rPr>
          <w:rFonts w:ascii="Times New Roman" w:hAnsi="Times New Roman" w:cs="Times New Roman"/>
          <w:sz w:val="20"/>
          <w:szCs w:val="20"/>
          <w:lang w:val="en-US"/>
        </w:rPr>
        <w:t>0.31</w:t>
      </w:r>
      <w:r w:rsidR="00307D74">
        <w:rPr>
          <w:rFonts w:ascii="Times New Roman" w:hAnsi="Times New Roman" w:cs="Times New Roman"/>
          <w:sz w:val="20"/>
          <w:szCs w:val="20"/>
          <w:lang w:val="en-US"/>
        </w:rPr>
        <w:t>-</w:t>
      </w:r>
      <w:r w:rsidR="006241A4" w:rsidRPr="00137500">
        <w:rPr>
          <w:rFonts w:ascii="Times New Roman" w:hAnsi="Times New Roman" w:cs="Times New Roman"/>
          <w:sz w:val="20"/>
          <w:szCs w:val="20"/>
          <w:lang w:val="en-US"/>
        </w:rPr>
        <w:t xml:space="preserve">1.09, </w:t>
      </w:r>
      <w:r w:rsidR="00862A69" w:rsidRPr="00137500">
        <w:rPr>
          <w:rFonts w:ascii="Times New Roman" w:hAnsi="Times New Roman" w:cs="Times New Roman"/>
          <w:sz w:val="20"/>
          <w:szCs w:val="20"/>
          <w:lang w:val="en-US"/>
        </w:rPr>
        <w:t xml:space="preserve">k=37, </w:t>
      </w:r>
      <w:r w:rsidR="006241A4" w:rsidRPr="00137500">
        <w:rPr>
          <w:rFonts w:ascii="Times New Roman" w:hAnsi="Times New Roman" w:cs="Times New Roman"/>
          <w:sz w:val="20"/>
          <w:szCs w:val="20"/>
          <w:lang w:val="en-US"/>
        </w:rPr>
        <w:t>BD=2,215 vs HC=</w:t>
      </w:r>
      <w:r w:rsidR="00862A69" w:rsidRPr="00137500">
        <w:rPr>
          <w:rFonts w:ascii="Times New Roman" w:hAnsi="Times New Roman" w:cs="Times New Roman"/>
          <w:sz w:val="20"/>
          <w:szCs w:val="20"/>
          <w:lang w:val="en-US"/>
        </w:rPr>
        <w:t xml:space="preserve">3,750), </w:t>
      </w:r>
      <w:r w:rsidR="00790791" w:rsidRPr="00137500">
        <w:rPr>
          <w:rFonts w:ascii="Times New Roman" w:hAnsi="Times New Roman" w:cs="Times New Roman"/>
          <w:sz w:val="20"/>
          <w:szCs w:val="20"/>
          <w:lang w:val="en-US"/>
        </w:rPr>
        <w:t>IL-6 (g=0.</w:t>
      </w:r>
      <w:r w:rsidR="00640FB2" w:rsidRPr="00137500">
        <w:rPr>
          <w:rFonts w:ascii="Times New Roman" w:hAnsi="Times New Roman" w:cs="Times New Roman"/>
          <w:sz w:val="20"/>
          <w:szCs w:val="20"/>
          <w:lang w:val="en-US"/>
        </w:rPr>
        <w:t>81</w:t>
      </w:r>
      <w:r w:rsidR="00790791" w:rsidRPr="00137500">
        <w:rPr>
          <w:rFonts w:ascii="Times New Roman" w:hAnsi="Times New Roman" w:cs="Times New Roman"/>
          <w:sz w:val="20"/>
          <w:szCs w:val="20"/>
          <w:lang w:val="en-US"/>
        </w:rPr>
        <w:t>, 95% CI 0.</w:t>
      </w:r>
      <w:r w:rsidR="00640FB2" w:rsidRPr="00137500">
        <w:rPr>
          <w:rFonts w:ascii="Times New Roman" w:hAnsi="Times New Roman" w:cs="Times New Roman"/>
          <w:sz w:val="20"/>
          <w:szCs w:val="20"/>
          <w:lang w:val="en-US"/>
        </w:rPr>
        <w:t>46</w:t>
      </w:r>
      <w:r w:rsidR="00307D74">
        <w:rPr>
          <w:rFonts w:ascii="Times New Roman" w:hAnsi="Times New Roman" w:cs="Times New Roman"/>
          <w:sz w:val="20"/>
          <w:szCs w:val="20"/>
          <w:lang w:val="en-US"/>
        </w:rPr>
        <w:t>-</w:t>
      </w:r>
      <w:r w:rsidR="00790791" w:rsidRPr="00137500">
        <w:rPr>
          <w:rFonts w:ascii="Times New Roman" w:hAnsi="Times New Roman" w:cs="Times New Roman"/>
          <w:sz w:val="20"/>
          <w:szCs w:val="20"/>
          <w:lang w:val="en-US"/>
        </w:rPr>
        <w:t>1.</w:t>
      </w:r>
      <w:r w:rsidR="00640FB2" w:rsidRPr="00137500">
        <w:rPr>
          <w:rFonts w:ascii="Times New Roman" w:hAnsi="Times New Roman" w:cs="Times New Roman"/>
          <w:sz w:val="20"/>
          <w:szCs w:val="20"/>
          <w:lang w:val="en-US"/>
        </w:rPr>
        <w:t>16</w:t>
      </w:r>
      <w:r w:rsidR="00790791" w:rsidRPr="00137500">
        <w:rPr>
          <w:rFonts w:ascii="Times New Roman" w:hAnsi="Times New Roman" w:cs="Times New Roman"/>
          <w:sz w:val="20"/>
          <w:szCs w:val="20"/>
          <w:lang w:val="en-US"/>
        </w:rPr>
        <w:t>, k=</w:t>
      </w:r>
      <w:r w:rsidR="00640FB2" w:rsidRPr="00137500">
        <w:rPr>
          <w:rFonts w:ascii="Times New Roman" w:hAnsi="Times New Roman" w:cs="Times New Roman"/>
          <w:sz w:val="20"/>
          <w:szCs w:val="20"/>
          <w:lang w:val="en-US"/>
        </w:rPr>
        <w:t>45</w:t>
      </w:r>
      <w:r w:rsidR="00790791" w:rsidRPr="00137500">
        <w:rPr>
          <w:rFonts w:ascii="Times New Roman" w:hAnsi="Times New Roman" w:cs="Times New Roman"/>
          <w:sz w:val="20"/>
          <w:szCs w:val="20"/>
          <w:lang w:val="en-US"/>
        </w:rPr>
        <w:t>, BD=</w:t>
      </w:r>
      <w:r w:rsidR="00640FB2" w:rsidRPr="00137500">
        <w:rPr>
          <w:rFonts w:ascii="Times New Roman" w:hAnsi="Times New Roman" w:cs="Times New Roman"/>
          <w:sz w:val="20"/>
          <w:szCs w:val="20"/>
          <w:lang w:val="en-US"/>
        </w:rPr>
        <w:t>1</w:t>
      </w:r>
      <w:r w:rsidR="00790791" w:rsidRPr="00137500">
        <w:rPr>
          <w:rFonts w:ascii="Times New Roman" w:hAnsi="Times New Roman" w:cs="Times New Roman"/>
          <w:sz w:val="20"/>
          <w:szCs w:val="20"/>
          <w:lang w:val="en-US"/>
        </w:rPr>
        <w:t>,</w:t>
      </w:r>
      <w:r w:rsidR="00640FB2" w:rsidRPr="00137500">
        <w:rPr>
          <w:rFonts w:ascii="Times New Roman" w:hAnsi="Times New Roman" w:cs="Times New Roman"/>
          <w:sz w:val="20"/>
          <w:szCs w:val="20"/>
          <w:lang w:val="en-US"/>
        </w:rPr>
        <w:t>956</w:t>
      </w:r>
      <w:r w:rsidR="00790791" w:rsidRPr="00137500">
        <w:rPr>
          <w:rFonts w:ascii="Times New Roman" w:hAnsi="Times New Roman" w:cs="Times New Roman"/>
          <w:sz w:val="20"/>
          <w:szCs w:val="20"/>
          <w:lang w:val="en-US"/>
        </w:rPr>
        <w:t xml:space="preserve"> vs HC=</w:t>
      </w:r>
      <w:r w:rsidR="007D1BEE" w:rsidRPr="00137500">
        <w:rPr>
          <w:rFonts w:ascii="Times New Roman" w:hAnsi="Times New Roman" w:cs="Times New Roman"/>
          <w:sz w:val="20"/>
          <w:szCs w:val="20"/>
          <w:lang w:val="en-US"/>
        </w:rPr>
        <w:t>4</w:t>
      </w:r>
      <w:r w:rsidR="00790791" w:rsidRPr="00137500">
        <w:rPr>
          <w:rFonts w:ascii="Times New Roman" w:hAnsi="Times New Roman" w:cs="Times New Roman"/>
          <w:sz w:val="20"/>
          <w:szCs w:val="20"/>
          <w:lang w:val="en-US"/>
        </w:rPr>
        <w:t>,</w:t>
      </w:r>
      <w:r w:rsidR="007D1BEE" w:rsidRPr="00137500">
        <w:rPr>
          <w:rFonts w:ascii="Times New Roman" w:hAnsi="Times New Roman" w:cs="Times New Roman"/>
          <w:sz w:val="20"/>
          <w:szCs w:val="20"/>
          <w:lang w:val="en-US"/>
        </w:rPr>
        <w:t>106</w:t>
      </w:r>
      <w:r w:rsidR="00790791" w:rsidRPr="00137500">
        <w:rPr>
          <w:rFonts w:ascii="Times New Roman" w:hAnsi="Times New Roman" w:cs="Times New Roman"/>
          <w:sz w:val="20"/>
          <w:szCs w:val="20"/>
          <w:lang w:val="en-US"/>
        </w:rPr>
        <w:t>), TNF-α (g=0.</w:t>
      </w:r>
      <w:r w:rsidR="007D1BEE" w:rsidRPr="00137500">
        <w:rPr>
          <w:rFonts w:ascii="Times New Roman" w:hAnsi="Times New Roman" w:cs="Times New Roman"/>
          <w:sz w:val="20"/>
          <w:szCs w:val="20"/>
          <w:lang w:val="en-US"/>
        </w:rPr>
        <w:t>49</w:t>
      </w:r>
      <w:r w:rsidR="00790791" w:rsidRPr="00137500">
        <w:rPr>
          <w:rFonts w:ascii="Times New Roman" w:hAnsi="Times New Roman" w:cs="Times New Roman"/>
          <w:sz w:val="20"/>
          <w:szCs w:val="20"/>
          <w:lang w:val="en-US"/>
        </w:rPr>
        <w:t>, 95% CI 0.1</w:t>
      </w:r>
      <w:r w:rsidR="007D1BEE" w:rsidRPr="00137500">
        <w:rPr>
          <w:rFonts w:ascii="Times New Roman" w:hAnsi="Times New Roman" w:cs="Times New Roman"/>
          <w:sz w:val="20"/>
          <w:szCs w:val="20"/>
          <w:lang w:val="en-US"/>
        </w:rPr>
        <w:t>9</w:t>
      </w:r>
      <w:r w:rsidR="00307D74">
        <w:rPr>
          <w:rFonts w:ascii="Times New Roman" w:hAnsi="Times New Roman" w:cs="Times New Roman"/>
          <w:sz w:val="20"/>
          <w:szCs w:val="20"/>
          <w:lang w:val="en-US"/>
        </w:rPr>
        <w:t>-</w:t>
      </w:r>
      <w:r w:rsidR="007D1BEE" w:rsidRPr="00137500">
        <w:rPr>
          <w:rFonts w:ascii="Times New Roman" w:hAnsi="Times New Roman" w:cs="Times New Roman"/>
          <w:sz w:val="20"/>
          <w:szCs w:val="20"/>
          <w:lang w:val="en-US"/>
        </w:rPr>
        <w:t>0</w:t>
      </w:r>
      <w:r w:rsidR="00790791" w:rsidRPr="00137500">
        <w:rPr>
          <w:rFonts w:ascii="Times New Roman" w:hAnsi="Times New Roman" w:cs="Times New Roman"/>
          <w:sz w:val="20"/>
          <w:szCs w:val="20"/>
          <w:lang w:val="en-US"/>
        </w:rPr>
        <w:t>.</w:t>
      </w:r>
      <w:r w:rsidR="007D1BEE" w:rsidRPr="00137500">
        <w:rPr>
          <w:rFonts w:ascii="Times New Roman" w:hAnsi="Times New Roman" w:cs="Times New Roman"/>
          <w:sz w:val="20"/>
          <w:szCs w:val="20"/>
          <w:lang w:val="en-US"/>
        </w:rPr>
        <w:t>78</w:t>
      </w:r>
      <w:r w:rsidR="00790791" w:rsidRPr="00137500">
        <w:rPr>
          <w:rFonts w:ascii="Times New Roman" w:hAnsi="Times New Roman" w:cs="Times New Roman"/>
          <w:sz w:val="20"/>
          <w:szCs w:val="20"/>
          <w:lang w:val="en-US"/>
        </w:rPr>
        <w:t>, k=</w:t>
      </w:r>
      <w:r w:rsidR="005F25DE" w:rsidRPr="00137500">
        <w:rPr>
          <w:rFonts w:ascii="Times New Roman" w:hAnsi="Times New Roman" w:cs="Times New Roman"/>
          <w:sz w:val="20"/>
          <w:szCs w:val="20"/>
          <w:lang w:val="en-US"/>
        </w:rPr>
        <w:t>49</w:t>
      </w:r>
      <w:r w:rsidR="00790791" w:rsidRPr="00137500">
        <w:rPr>
          <w:rFonts w:ascii="Times New Roman" w:hAnsi="Times New Roman" w:cs="Times New Roman"/>
          <w:sz w:val="20"/>
          <w:szCs w:val="20"/>
          <w:lang w:val="en-US"/>
        </w:rPr>
        <w:t>, BD=2,2</w:t>
      </w:r>
      <w:r w:rsidR="005F25DE" w:rsidRPr="00137500">
        <w:rPr>
          <w:rFonts w:ascii="Times New Roman" w:hAnsi="Times New Roman" w:cs="Times New Roman"/>
          <w:sz w:val="20"/>
          <w:szCs w:val="20"/>
          <w:lang w:val="en-US"/>
        </w:rPr>
        <w:t>31</w:t>
      </w:r>
      <w:r w:rsidR="00790791" w:rsidRPr="00137500">
        <w:rPr>
          <w:rFonts w:ascii="Times New Roman" w:hAnsi="Times New Roman" w:cs="Times New Roman"/>
          <w:sz w:val="20"/>
          <w:szCs w:val="20"/>
          <w:lang w:val="en-US"/>
        </w:rPr>
        <w:t xml:space="preserve"> vs HC=3,</w:t>
      </w:r>
      <w:r w:rsidR="005F25DE" w:rsidRPr="00137500">
        <w:rPr>
          <w:rFonts w:ascii="Times New Roman" w:hAnsi="Times New Roman" w:cs="Times New Roman"/>
          <w:sz w:val="20"/>
          <w:szCs w:val="20"/>
          <w:lang w:val="en-US"/>
        </w:rPr>
        <w:t>01</w:t>
      </w:r>
      <w:r w:rsidR="00790791" w:rsidRPr="00137500">
        <w:rPr>
          <w:rFonts w:ascii="Times New Roman" w:hAnsi="Times New Roman" w:cs="Times New Roman"/>
          <w:sz w:val="20"/>
          <w:szCs w:val="20"/>
          <w:lang w:val="en-US"/>
        </w:rPr>
        <w:t xml:space="preserve">7) </w:t>
      </w:r>
      <w:r w:rsidR="00451D15" w:rsidRPr="00137500">
        <w:rPr>
          <w:rFonts w:ascii="Times New Roman" w:hAnsi="Times New Roman" w:cs="Times New Roman"/>
          <w:sz w:val="20"/>
          <w:szCs w:val="20"/>
          <w:lang w:val="en-US"/>
        </w:rPr>
        <w:t xml:space="preserve">were elevated in </w:t>
      </w:r>
      <w:r w:rsidR="004E4229">
        <w:rPr>
          <w:rFonts w:ascii="Times New Roman" w:hAnsi="Times New Roman" w:cs="Times New Roman"/>
          <w:sz w:val="20"/>
          <w:szCs w:val="20"/>
          <w:lang w:val="en-US"/>
        </w:rPr>
        <w:t>subjects</w:t>
      </w:r>
      <w:r w:rsidR="004E4229" w:rsidRPr="00137500">
        <w:rPr>
          <w:rFonts w:ascii="Times New Roman" w:hAnsi="Times New Roman" w:cs="Times New Roman"/>
          <w:sz w:val="20"/>
          <w:szCs w:val="20"/>
          <w:lang w:val="en-US"/>
        </w:rPr>
        <w:t xml:space="preserve"> </w:t>
      </w:r>
      <w:r w:rsidR="00451D15" w:rsidRPr="00137500">
        <w:rPr>
          <w:rFonts w:ascii="Times New Roman" w:hAnsi="Times New Roman" w:cs="Times New Roman"/>
          <w:sz w:val="20"/>
          <w:szCs w:val="20"/>
          <w:lang w:val="en-US"/>
        </w:rPr>
        <w:t xml:space="preserve">with BD vs </w:t>
      </w:r>
      <w:r w:rsidR="0068669D">
        <w:rPr>
          <w:rFonts w:ascii="Times New Roman" w:hAnsi="Times New Roman" w:cs="Times New Roman"/>
          <w:sz w:val="20"/>
          <w:szCs w:val="20"/>
          <w:lang w:val="en-US"/>
        </w:rPr>
        <w:t>HC</w:t>
      </w:r>
      <w:r w:rsidR="00451D15" w:rsidRPr="00137500">
        <w:rPr>
          <w:rFonts w:ascii="Times New Roman" w:hAnsi="Times New Roman" w:cs="Times New Roman"/>
          <w:sz w:val="20"/>
          <w:szCs w:val="20"/>
          <w:lang w:val="en-US"/>
        </w:rPr>
        <w:t xml:space="preserve">, </w:t>
      </w:r>
      <w:r w:rsidR="00790791" w:rsidRPr="00137500">
        <w:rPr>
          <w:rFonts w:ascii="Times New Roman" w:hAnsi="Times New Roman" w:cs="Times New Roman"/>
          <w:sz w:val="20"/>
          <w:szCs w:val="20"/>
          <w:lang w:val="en-US"/>
        </w:rPr>
        <w:t xml:space="preserve">but not </w:t>
      </w:r>
      <w:r w:rsidR="00862A69" w:rsidRPr="00137500">
        <w:rPr>
          <w:rFonts w:ascii="Times New Roman" w:hAnsi="Times New Roman" w:cs="Times New Roman"/>
          <w:sz w:val="20"/>
          <w:szCs w:val="20"/>
          <w:lang w:val="en-US"/>
        </w:rPr>
        <w:t>IL-1</w:t>
      </w:r>
      <w:r w:rsidR="005A0E80">
        <w:rPr>
          <w:rFonts w:ascii="Times New Roman" w:hAnsi="Times New Roman" w:cs="Times New Roman"/>
          <w:sz w:val="20"/>
          <w:szCs w:val="20"/>
          <w:lang w:val="en-US"/>
        </w:rPr>
        <w:t>β</w:t>
      </w:r>
      <w:r w:rsidR="00862A69" w:rsidRPr="00137500">
        <w:rPr>
          <w:rFonts w:ascii="Times New Roman" w:hAnsi="Times New Roman" w:cs="Times New Roman"/>
          <w:sz w:val="20"/>
          <w:szCs w:val="20"/>
          <w:lang w:val="en-US"/>
        </w:rPr>
        <w:t xml:space="preserve"> (g=</w:t>
      </w:r>
      <w:r w:rsidR="005F25DE" w:rsidRPr="00137500">
        <w:rPr>
          <w:rFonts w:ascii="Times New Roman" w:hAnsi="Times New Roman" w:cs="Times New Roman"/>
          <w:sz w:val="20"/>
          <w:szCs w:val="20"/>
          <w:lang w:val="en-US"/>
        </w:rPr>
        <w:t>-</w:t>
      </w:r>
      <w:r w:rsidR="00862A69" w:rsidRPr="00137500">
        <w:rPr>
          <w:rFonts w:ascii="Times New Roman" w:hAnsi="Times New Roman" w:cs="Times New Roman"/>
          <w:sz w:val="20"/>
          <w:szCs w:val="20"/>
          <w:lang w:val="en-US"/>
        </w:rPr>
        <w:t>0.</w:t>
      </w:r>
      <w:r w:rsidR="005F25DE" w:rsidRPr="00137500">
        <w:rPr>
          <w:rFonts w:ascii="Times New Roman" w:hAnsi="Times New Roman" w:cs="Times New Roman"/>
          <w:sz w:val="20"/>
          <w:szCs w:val="20"/>
          <w:lang w:val="en-US"/>
        </w:rPr>
        <w:t>28</w:t>
      </w:r>
      <w:r w:rsidR="00862A69" w:rsidRPr="00137500">
        <w:rPr>
          <w:rFonts w:ascii="Times New Roman" w:hAnsi="Times New Roman" w:cs="Times New Roman"/>
          <w:sz w:val="20"/>
          <w:szCs w:val="20"/>
          <w:lang w:val="en-US"/>
        </w:rPr>
        <w:t xml:space="preserve">, 95% CI </w:t>
      </w:r>
      <w:r w:rsidR="00883C4E" w:rsidRPr="00137500">
        <w:rPr>
          <w:rFonts w:ascii="Times New Roman" w:hAnsi="Times New Roman" w:cs="Times New Roman"/>
          <w:sz w:val="20"/>
          <w:szCs w:val="20"/>
          <w:lang w:val="en-US"/>
        </w:rPr>
        <w:t>-</w:t>
      </w:r>
      <w:r w:rsidR="00862A69" w:rsidRPr="00137500">
        <w:rPr>
          <w:rFonts w:ascii="Times New Roman" w:hAnsi="Times New Roman" w:cs="Times New Roman"/>
          <w:sz w:val="20"/>
          <w:szCs w:val="20"/>
          <w:lang w:val="en-US"/>
        </w:rPr>
        <w:t>0.</w:t>
      </w:r>
      <w:r w:rsidR="00883C4E" w:rsidRPr="00137500">
        <w:rPr>
          <w:rFonts w:ascii="Times New Roman" w:hAnsi="Times New Roman" w:cs="Times New Roman"/>
          <w:sz w:val="20"/>
          <w:szCs w:val="20"/>
          <w:lang w:val="en-US"/>
        </w:rPr>
        <w:t>68</w:t>
      </w:r>
      <w:r w:rsidR="00307D74">
        <w:rPr>
          <w:rFonts w:ascii="Times New Roman" w:hAnsi="Times New Roman" w:cs="Times New Roman"/>
          <w:sz w:val="20"/>
          <w:szCs w:val="20"/>
          <w:lang w:val="en-US"/>
        </w:rPr>
        <w:t>-</w:t>
      </w:r>
      <w:r w:rsidR="00883C4E" w:rsidRPr="00137500">
        <w:rPr>
          <w:rFonts w:ascii="Times New Roman" w:hAnsi="Times New Roman" w:cs="Times New Roman"/>
          <w:sz w:val="20"/>
          <w:szCs w:val="20"/>
          <w:lang w:val="en-US"/>
        </w:rPr>
        <w:t>0</w:t>
      </w:r>
      <w:r w:rsidR="00862A69" w:rsidRPr="00137500">
        <w:rPr>
          <w:rFonts w:ascii="Times New Roman" w:hAnsi="Times New Roman" w:cs="Times New Roman"/>
          <w:sz w:val="20"/>
          <w:szCs w:val="20"/>
          <w:lang w:val="en-US"/>
        </w:rPr>
        <w:t>.</w:t>
      </w:r>
      <w:r w:rsidR="00883C4E" w:rsidRPr="00137500">
        <w:rPr>
          <w:rFonts w:ascii="Times New Roman" w:hAnsi="Times New Roman" w:cs="Times New Roman"/>
          <w:sz w:val="20"/>
          <w:szCs w:val="20"/>
          <w:lang w:val="en-US"/>
        </w:rPr>
        <w:t>12</w:t>
      </w:r>
      <w:r w:rsidR="00862A69" w:rsidRPr="00137500">
        <w:rPr>
          <w:rFonts w:ascii="Times New Roman" w:hAnsi="Times New Roman" w:cs="Times New Roman"/>
          <w:sz w:val="20"/>
          <w:szCs w:val="20"/>
          <w:lang w:val="en-US"/>
        </w:rPr>
        <w:t>, k=</w:t>
      </w:r>
      <w:r w:rsidR="00883C4E" w:rsidRPr="00137500">
        <w:rPr>
          <w:rFonts w:ascii="Times New Roman" w:hAnsi="Times New Roman" w:cs="Times New Roman"/>
          <w:sz w:val="20"/>
          <w:szCs w:val="20"/>
          <w:lang w:val="en-US"/>
        </w:rPr>
        <w:t>4</w:t>
      </w:r>
      <w:r w:rsidR="00862A69" w:rsidRPr="00137500">
        <w:rPr>
          <w:rFonts w:ascii="Times New Roman" w:hAnsi="Times New Roman" w:cs="Times New Roman"/>
          <w:sz w:val="20"/>
          <w:szCs w:val="20"/>
          <w:lang w:val="en-US"/>
        </w:rPr>
        <w:t>, BD=</w:t>
      </w:r>
      <w:r w:rsidR="00883C4E" w:rsidRPr="00137500">
        <w:rPr>
          <w:rFonts w:ascii="Times New Roman" w:hAnsi="Times New Roman" w:cs="Times New Roman"/>
          <w:sz w:val="20"/>
          <w:szCs w:val="20"/>
          <w:lang w:val="en-US"/>
        </w:rPr>
        <w:t>87</w:t>
      </w:r>
      <w:r w:rsidR="00862A69" w:rsidRPr="00137500">
        <w:rPr>
          <w:rFonts w:ascii="Times New Roman" w:hAnsi="Times New Roman" w:cs="Times New Roman"/>
          <w:sz w:val="20"/>
          <w:szCs w:val="20"/>
          <w:lang w:val="en-US"/>
        </w:rPr>
        <w:t xml:space="preserve"> vs HC=</w:t>
      </w:r>
      <w:r w:rsidR="00883C4E" w:rsidRPr="00137500">
        <w:rPr>
          <w:rFonts w:ascii="Times New Roman" w:hAnsi="Times New Roman" w:cs="Times New Roman"/>
          <w:sz w:val="20"/>
          <w:szCs w:val="20"/>
          <w:lang w:val="en-US"/>
        </w:rPr>
        <w:t>66</w:t>
      </w:r>
      <w:r w:rsidR="00862A69" w:rsidRPr="00137500">
        <w:rPr>
          <w:rFonts w:ascii="Times New Roman" w:hAnsi="Times New Roman" w:cs="Times New Roman"/>
          <w:sz w:val="20"/>
          <w:szCs w:val="20"/>
          <w:lang w:val="en-US"/>
        </w:rPr>
        <w:t>)</w:t>
      </w:r>
      <w:r w:rsidR="00451D15" w:rsidRPr="00137500">
        <w:rPr>
          <w:rFonts w:ascii="Times New Roman" w:hAnsi="Times New Roman" w:cs="Times New Roman"/>
          <w:sz w:val="20"/>
          <w:szCs w:val="20"/>
          <w:lang w:val="en-US"/>
        </w:rPr>
        <w:t xml:space="preserve">. </w:t>
      </w:r>
      <w:r w:rsidR="007E74B2" w:rsidRPr="00137500">
        <w:rPr>
          <w:rFonts w:ascii="Times New Roman" w:hAnsi="Times New Roman" w:cs="Times New Roman"/>
          <w:sz w:val="20"/>
          <w:szCs w:val="20"/>
          <w:lang w:val="en-US"/>
        </w:rPr>
        <w:t>When considering euthymic, depressive, and manic episodes</w:t>
      </w:r>
      <w:r w:rsidR="007E74B2" w:rsidRPr="00EE6843">
        <w:rPr>
          <w:rFonts w:ascii="Times New Roman" w:hAnsi="Times New Roman" w:cs="Times New Roman"/>
          <w:sz w:val="20"/>
          <w:szCs w:val="20"/>
          <w:lang w:val="en-US"/>
        </w:rPr>
        <w:t xml:space="preserve"> </w:t>
      </w:r>
      <w:r w:rsidR="007E74B2" w:rsidRPr="00137500">
        <w:rPr>
          <w:rFonts w:ascii="Times New Roman" w:hAnsi="Times New Roman" w:cs="Times New Roman"/>
          <w:sz w:val="20"/>
          <w:szCs w:val="20"/>
          <w:lang w:val="en-US"/>
        </w:rPr>
        <w:t xml:space="preserve">separately, CRP and TNF-α were elevated in both depressive and manic episodes, but not in euthymia, while IL-6 remained elevated regardless of </w:t>
      </w:r>
      <w:r w:rsidR="007E74B2">
        <w:rPr>
          <w:rFonts w:ascii="Times New Roman" w:hAnsi="Times New Roman" w:cs="Times New Roman"/>
          <w:sz w:val="20"/>
          <w:szCs w:val="20"/>
          <w:lang w:val="en-US"/>
        </w:rPr>
        <w:t xml:space="preserve">the </w:t>
      </w:r>
      <w:r w:rsidR="007E74B2" w:rsidRPr="00137500">
        <w:rPr>
          <w:rFonts w:ascii="Times New Roman" w:hAnsi="Times New Roman" w:cs="Times New Roman"/>
          <w:sz w:val="20"/>
          <w:szCs w:val="20"/>
          <w:lang w:val="en-US"/>
        </w:rPr>
        <w:t xml:space="preserve">disease state. </w:t>
      </w:r>
      <w:r w:rsidR="00067C50" w:rsidRPr="00137500">
        <w:rPr>
          <w:rFonts w:ascii="Times New Roman" w:hAnsi="Times New Roman" w:cs="Times New Roman"/>
          <w:sz w:val="20"/>
          <w:szCs w:val="20"/>
          <w:lang w:val="en-US"/>
        </w:rPr>
        <w:t>No difference in CVR emerged for CRP, IL-1</w:t>
      </w:r>
      <w:r w:rsidR="005A0E80">
        <w:rPr>
          <w:rFonts w:ascii="Times New Roman" w:hAnsi="Times New Roman" w:cs="Times New Roman"/>
          <w:sz w:val="20"/>
          <w:szCs w:val="20"/>
          <w:lang w:val="en-US"/>
        </w:rPr>
        <w:t>β</w:t>
      </w:r>
      <w:r w:rsidR="00067C50" w:rsidRPr="00137500">
        <w:rPr>
          <w:rFonts w:ascii="Times New Roman" w:hAnsi="Times New Roman" w:cs="Times New Roman"/>
          <w:sz w:val="20"/>
          <w:szCs w:val="20"/>
          <w:lang w:val="en-US"/>
        </w:rPr>
        <w:t xml:space="preserve">, and TNF-α, while a lower CVR was observed for IL-6. When considering disease phases, CVR was higher in BD than in HCs for CRP during depressive episodes, lower for IL-6 during euthymia, and higher during manic episodes for CRP, IL-6, and TNF-α. </w:t>
      </w:r>
      <w:r w:rsidR="00FD4197" w:rsidRPr="00137500">
        <w:rPr>
          <w:rFonts w:ascii="Times New Roman" w:hAnsi="Times New Roman" w:cs="Times New Roman"/>
          <w:sz w:val="20"/>
          <w:szCs w:val="20"/>
          <w:lang w:val="en-US"/>
        </w:rPr>
        <w:t>Sensitivity analyses</w:t>
      </w:r>
      <w:r w:rsidR="007F1A32" w:rsidRPr="00137500">
        <w:rPr>
          <w:rFonts w:ascii="Times New Roman" w:hAnsi="Times New Roman" w:cs="Times New Roman"/>
          <w:sz w:val="20"/>
          <w:szCs w:val="20"/>
          <w:lang w:val="en-US"/>
        </w:rPr>
        <w:t xml:space="preserve"> after</w:t>
      </w:r>
      <w:r w:rsidR="00FB1063" w:rsidRPr="00137500">
        <w:rPr>
          <w:rFonts w:ascii="Times New Roman" w:hAnsi="Times New Roman" w:cs="Times New Roman"/>
          <w:sz w:val="20"/>
          <w:szCs w:val="20"/>
          <w:lang w:val="en-US"/>
        </w:rPr>
        <w:t xml:space="preserve"> excluding outliers</w:t>
      </w:r>
      <w:r w:rsidR="00445997" w:rsidRPr="00137500">
        <w:rPr>
          <w:rFonts w:ascii="Times New Roman" w:hAnsi="Times New Roman" w:cs="Times New Roman"/>
          <w:sz w:val="20"/>
          <w:szCs w:val="20"/>
          <w:lang w:val="en-US"/>
        </w:rPr>
        <w:t xml:space="preserve"> identified with funnel plot visual inspection</w:t>
      </w:r>
      <w:r w:rsidR="00FB1063" w:rsidRPr="00137500">
        <w:rPr>
          <w:rFonts w:ascii="Times New Roman" w:hAnsi="Times New Roman" w:cs="Times New Roman"/>
          <w:sz w:val="20"/>
          <w:szCs w:val="20"/>
          <w:lang w:val="en-US"/>
        </w:rPr>
        <w:t xml:space="preserve">, </w:t>
      </w:r>
      <w:r w:rsidR="00224BFE" w:rsidRPr="00137500">
        <w:rPr>
          <w:rFonts w:ascii="Times New Roman" w:hAnsi="Times New Roman" w:cs="Times New Roman"/>
          <w:sz w:val="20"/>
          <w:szCs w:val="20"/>
          <w:lang w:val="en-US"/>
        </w:rPr>
        <w:t xml:space="preserve">low-quality studies, </w:t>
      </w:r>
      <w:r w:rsidR="00BB3DE7" w:rsidRPr="00137500">
        <w:rPr>
          <w:rFonts w:ascii="Times New Roman" w:hAnsi="Times New Roman" w:cs="Times New Roman"/>
          <w:sz w:val="20"/>
          <w:szCs w:val="20"/>
          <w:lang w:val="en-US"/>
        </w:rPr>
        <w:t>and considering only studies matched per body mass index</w:t>
      </w:r>
      <w:r w:rsidR="001152A7" w:rsidRPr="00137500">
        <w:rPr>
          <w:rFonts w:ascii="Times New Roman" w:hAnsi="Times New Roman" w:cs="Times New Roman"/>
          <w:sz w:val="20"/>
          <w:szCs w:val="20"/>
          <w:lang w:val="en-US"/>
        </w:rPr>
        <w:t xml:space="preserve"> confirmed the main results</w:t>
      </w:r>
      <w:r w:rsidR="00BB3DE7" w:rsidRPr="00137500">
        <w:rPr>
          <w:rFonts w:ascii="Times New Roman" w:hAnsi="Times New Roman" w:cs="Times New Roman"/>
          <w:sz w:val="20"/>
          <w:szCs w:val="20"/>
          <w:lang w:val="en-US"/>
        </w:rPr>
        <w:t xml:space="preserve">. </w:t>
      </w:r>
      <w:r w:rsidR="00DE780C" w:rsidRPr="00137500">
        <w:rPr>
          <w:rFonts w:ascii="Times New Roman" w:hAnsi="Times New Roman" w:cs="Times New Roman"/>
          <w:sz w:val="20"/>
          <w:szCs w:val="20"/>
          <w:lang w:val="en-US"/>
        </w:rPr>
        <w:t xml:space="preserve">Meta-regression showed that age (IL-6, TNF-α), gender (CRP), duration of illness (CRP) moderated elevated </w:t>
      </w:r>
      <w:r w:rsidR="00DE780C">
        <w:rPr>
          <w:rFonts w:ascii="Times New Roman" w:hAnsi="Times New Roman" w:cs="Times New Roman"/>
          <w:sz w:val="20"/>
          <w:szCs w:val="20"/>
          <w:lang w:val="en-US"/>
        </w:rPr>
        <w:t xml:space="preserve">individual </w:t>
      </w:r>
      <w:r w:rsidR="00DE780C" w:rsidRPr="00137500">
        <w:rPr>
          <w:rFonts w:ascii="Times New Roman" w:hAnsi="Times New Roman" w:cs="Times New Roman"/>
          <w:sz w:val="20"/>
          <w:szCs w:val="20"/>
          <w:lang w:val="en-US"/>
        </w:rPr>
        <w:t xml:space="preserve">inflammatory levels. </w:t>
      </w:r>
    </w:p>
    <w:p w14:paraId="0F5EE697" w14:textId="5FD23EF4" w:rsidR="00DA731A" w:rsidRPr="00137500" w:rsidRDefault="00DA731A" w:rsidP="009E7530">
      <w:pPr>
        <w:spacing w:line="360" w:lineRule="auto"/>
        <w:jc w:val="both"/>
        <w:rPr>
          <w:rFonts w:ascii="Times New Roman" w:hAnsi="Times New Roman" w:cs="Times New Roman"/>
          <w:b/>
          <w:bCs/>
          <w:sz w:val="20"/>
          <w:szCs w:val="20"/>
          <w:lang w:val="en-US"/>
        </w:rPr>
      </w:pPr>
      <w:r w:rsidRPr="00137500">
        <w:rPr>
          <w:rFonts w:ascii="Times New Roman" w:hAnsi="Times New Roman" w:cs="Times New Roman"/>
          <w:b/>
          <w:bCs/>
          <w:sz w:val="20"/>
          <w:szCs w:val="20"/>
          <w:lang w:val="en-US"/>
        </w:rPr>
        <w:t>Conclusions and Relevance</w:t>
      </w:r>
      <w:r>
        <w:rPr>
          <w:rFonts w:ascii="Times New Roman" w:hAnsi="Times New Roman" w:cs="Times New Roman"/>
          <w:b/>
          <w:bCs/>
          <w:sz w:val="20"/>
          <w:szCs w:val="20"/>
          <w:lang w:val="en-US"/>
        </w:rPr>
        <w:t xml:space="preserve"> </w:t>
      </w:r>
      <w:r w:rsidRPr="0007423C">
        <w:rPr>
          <w:rFonts w:ascii="Times New Roman" w:hAnsi="Times New Roman" w:cs="Times New Roman"/>
          <w:sz w:val="20"/>
          <w:szCs w:val="20"/>
          <w:lang w:val="en-US"/>
        </w:rPr>
        <w:t xml:space="preserve">Peripheral </w:t>
      </w:r>
      <w:r w:rsidR="00307D74">
        <w:rPr>
          <w:rFonts w:ascii="Times New Roman" w:hAnsi="Times New Roman" w:cs="Times New Roman"/>
          <w:sz w:val="20"/>
          <w:szCs w:val="20"/>
          <w:lang w:val="en-US"/>
        </w:rPr>
        <w:t>pro-inflammatory marker</w:t>
      </w:r>
      <w:r w:rsidR="00307D74" w:rsidRPr="0007423C">
        <w:rPr>
          <w:rFonts w:ascii="Times New Roman" w:hAnsi="Times New Roman" w:cs="Times New Roman"/>
          <w:sz w:val="20"/>
          <w:szCs w:val="20"/>
          <w:lang w:val="en-US"/>
        </w:rPr>
        <w:t xml:space="preserve"> </w:t>
      </w:r>
      <w:r w:rsidR="00307D74">
        <w:rPr>
          <w:rFonts w:ascii="Times New Roman" w:hAnsi="Times New Roman" w:cs="Times New Roman"/>
          <w:sz w:val="20"/>
          <w:szCs w:val="20"/>
          <w:lang w:val="en-US"/>
        </w:rPr>
        <w:t>elevations were</w:t>
      </w:r>
      <w:r w:rsidRPr="0007423C">
        <w:rPr>
          <w:rFonts w:ascii="Times New Roman" w:hAnsi="Times New Roman" w:cs="Times New Roman"/>
          <w:sz w:val="20"/>
          <w:szCs w:val="20"/>
          <w:lang w:val="en-US"/>
        </w:rPr>
        <w:t xml:space="preserve"> c</w:t>
      </w:r>
      <w:r w:rsidRPr="00137500">
        <w:rPr>
          <w:rFonts w:ascii="Times New Roman" w:hAnsi="Times New Roman" w:cs="Times New Roman"/>
          <w:sz w:val="20"/>
          <w:szCs w:val="20"/>
          <w:lang w:val="en-US"/>
        </w:rPr>
        <w:t xml:space="preserve">onfirmed in BD. CRP and TNF-α could represent state markers, as they </w:t>
      </w:r>
      <w:r w:rsidR="00307D74">
        <w:rPr>
          <w:rFonts w:ascii="Times New Roman" w:hAnsi="Times New Roman" w:cs="Times New Roman"/>
          <w:sz w:val="20"/>
          <w:szCs w:val="20"/>
          <w:lang w:val="en-US"/>
        </w:rPr>
        <w:t>were only</w:t>
      </w:r>
      <w:r w:rsidR="00307D74" w:rsidRPr="00137500">
        <w:rPr>
          <w:rFonts w:ascii="Times New Roman" w:hAnsi="Times New Roman" w:cs="Times New Roman"/>
          <w:sz w:val="20"/>
          <w:szCs w:val="20"/>
          <w:lang w:val="en-US"/>
        </w:rPr>
        <w:t xml:space="preserve"> </w:t>
      </w:r>
      <w:r w:rsidRPr="00137500">
        <w:rPr>
          <w:rFonts w:ascii="Times New Roman" w:hAnsi="Times New Roman" w:cs="Times New Roman"/>
          <w:sz w:val="20"/>
          <w:szCs w:val="20"/>
          <w:lang w:val="en-US"/>
        </w:rPr>
        <w:t>elevated during mood episodes, while IL-6 appeared to be a trait marker for BD</w:t>
      </w:r>
      <w:r>
        <w:rPr>
          <w:rFonts w:ascii="Times New Roman" w:hAnsi="Times New Roman" w:cs="Times New Roman"/>
          <w:sz w:val="20"/>
          <w:szCs w:val="20"/>
          <w:lang w:val="en-US"/>
        </w:rPr>
        <w:t>.</w:t>
      </w:r>
      <w:r w:rsidRPr="00137500">
        <w:rPr>
          <w:rFonts w:ascii="Times New Roman" w:hAnsi="Times New Roman" w:cs="Times New Roman"/>
          <w:sz w:val="20"/>
          <w:szCs w:val="20"/>
          <w:lang w:val="en-US"/>
        </w:rPr>
        <w:t xml:space="preserve"> Increased variability of specific </w:t>
      </w:r>
      <w:r w:rsidR="005C09E4">
        <w:rPr>
          <w:rFonts w:ascii="Times New Roman" w:hAnsi="Times New Roman" w:cs="Times New Roman"/>
          <w:sz w:val="20"/>
          <w:szCs w:val="20"/>
          <w:lang w:val="en-US"/>
        </w:rPr>
        <w:t>inflammatory mediators</w:t>
      </w:r>
      <w:r w:rsidRPr="00137500">
        <w:rPr>
          <w:rFonts w:ascii="Times New Roman" w:hAnsi="Times New Roman" w:cs="Times New Roman"/>
          <w:sz w:val="20"/>
          <w:szCs w:val="20"/>
          <w:lang w:val="en-US"/>
        </w:rPr>
        <w:t xml:space="preserve"> </w:t>
      </w:r>
      <w:r w:rsidR="00307D74">
        <w:rPr>
          <w:rFonts w:ascii="Times New Roman" w:hAnsi="Times New Roman" w:cs="Times New Roman"/>
          <w:sz w:val="20"/>
          <w:szCs w:val="20"/>
          <w:lang w:val="en-US"/>
        </w:rPr>
        <w:t xml:space="preserve">in specific disease active states </w:t>
      </w:r>
      <w:r w:rsidRPr="00137500">
        <w:rPr>
          <w:rFonts w:ascii="Times New Roman" w:hAnsi="Times New Roman" w:cs="Times New Roman"/>
          <w:sz w:val="20"/>
          <w:szCs w:val="20"/>
          <w:lang w:val="en-US"/>
        </w:rPr>
        <w:t xml:space="preserve">suggests that a subset </w:t>
      </w:r>
      <w:r w:rsidR="00307D74">
        <w:rPr>
          <w:rFonts w:ascii="Times New Roman" w:hAnsi="Times New Roman" w:cs="Times New Roman"/>
          <w:sz w:val="20"/>
          <w:szCs w:val="20"/>
          <w:lang w:val="en-US"/>
        </w:rPr>
        <w:t>of</w:t>
      </w:r>
      <w:r w:rsidRPr="00137500">
        <w:rPr>
          <w:rFonts w:ascii="Times New Roman" w:hAnsi="Times New Roman" w:cs="Times New Roman"/>
          <w:sz w:val="20"/>
          <w:szCs w:val="20"/>
          <w:lang w:val="en-US"/>
        </w:rPr>
        <w:t xml:space="preserve"> </w:t>
      </w:r>
      <w:r w:rsidR="001F1881">
        <w:rPr>
          <w:rFonts w:ascii="Times New Roman" w:hAnsi="Times New Roman" w:cs="Times New Roman"/>
          <w:sz w:val="20"/>
          <w:szCs w:val="20"/>
          <w:lang w:val="en-US"/>
        </w:rPr>
        <w:t>subjects with BD</w:t>
      </w:r>
      <w:r w:rsidR="001F1881" w:rsidRPr="00137500">
        <w:rPr>
          <w:rFonts w:ascii="Times New Roman" w:hAnsi="Times New Roman" w:cs="Times New Roman"/>
          <w:sz w:val="20"/>
          <w:szCs w:val="20"/>
          <w:lang w:val="en-US"/>
        </w:rPr>
        <w:t xml:space="preserve"> </w:t>
      </w:r>
      <w:r w:rsidRPr="00137500">
        <w:rPr>
          <w:rFonts w:ascii="Times New Roman" w:hAnsi="Times New Roman" w:cs="Times New Roman"/>
          <w:sz w:val="20"/>
          <w:szCs w:val="20"/>
          <w:lang w:val="en-US"/>
        </w:rPr>
        <w:t xml:space="preserve">may exhibit </w:t>
      </w:r>
      <w:r w:rsidR="00BD01E2">
        <w:rPr>
          <w:rFonts w:ascii="Times New Roman" w:hAnsi="Times New Roman" w:cs="Times New Roman"/>
          <w:sz w:val="20"/>
          <w:szCs w:val="20"/>
          <w:lang w:val="en-US"/>
        </w:rPr>
        <w:t xml:space="preserve">elevated inflammation </w:t>
      </w:r>
      <w:r w:rsidRPr="00137500">
        <w:rPr>
          <w:rFonts w:ascii="Times New Roman" w:hAnsi="Times New Roman" w:cs="Times New Roman"/>
          <w:sz w:val="20"/>
          <w:szCs w:val="20"/>
          <w:lang w:val="en-US"/>
        </w:rPr>
        <w:t>as part of a manic</w:t>
      </w:r>
      <w:r w:rsidR="00307D74">
        <w:rPr>
          <w:rFonts w:ascii="Times New Roman" w:hAnsi="Times New Roman" w:cs="Times New Roman"/>
          <w:sz w:val="20"/>
          <w:szCs w:val="20"/>
          <w:lang w:val="en-US"/>
        </w:rPr>
        <w:t xml:space="preserve"> or depressive</w:t>
      </w:r>
      <w:r w:rsidRPr="00137500">
        <w:rPr>
          <w:rFonts w:ascii="Times New Roman" w:hAnsi="Times New Roman" w:cs="Times New Roman"/>
          <w:sz w:val="20"/>
          <w:szCs w:val="20"/>
          <w:lang w:val="en-US"/>
        </w:rPr>
        <w:t xml:space="preserve"> episode.</w:t>
      </w:r>
    </w:p>
    <w:p w14:paraId="46C0D871" w14:textId="77777777" w:rsidR="00DA731A" w:rsidRPr="007E4345" w:rsidRDefault="00DA731A" w:rsidP="009E7530">
      <w:pPr>
        <w:spacing w:line="360" w:lineRule="auto"/>
        <w:jc w:val="both"/>
        <w:rPr>
          <w:rFonts w:ascii="Times New Roman" w:hAnsi="Times New Roman" w:cs="Times New Roman"/>
          <w:b/>
          <w:bCs/>
          <w:sz w:val="20"/>
          <w:szCs w:val="20"/>
          <w:lang w:val="en-US"/>
        </w:rPr>
      </w:pPr>
      <w:r w:rsidRPr="007E4345">
        <w:rPr>
          <w:rFonts w:ascii="Times New Roman" w:hAnsi="Times New Roman" w:cs="Times New Roman"/>
          <w:b/>
          <w:bCs/>
          <w:sz w:val="20"/>
          <w:szCs w:val="20"/>
          <w:lang w:val="en-US"/>
        </w:rPr>
        <w:t>Keywords</w:t>
      </w:r>
    </w:p>
    <w:p w14:paraId="04676018" w14:textId="405F2943" w:rsidR="005B12BF" w:rsidRDefault="00DA731A" w:rsidP="009E7530">
      <w:pPr>
        <w:spacing w:line="360" w:lineRule="auto"/>
        <w:jc w:val="both"/>
        <w:rPr>
          <w:rFonts w:ascii="Times New Roman" w:hAnsi="Times New Roman" w:cs="Times New Roman"/>
          <w:sz w:val="22"/>
          <w:szCs w:val="22"/>
          <w:lang w:val="en-US"/>
        </w:rPr>
      </w:pPr>
      <w:r w:rsidRPr="00137500">
        <w:rPr>
          <w:rFonts w:ascii="Times New Roman" w:hAnsi="Times New Roman" w:cs="Times New Roman"/>
          <w:sz w:val="20"/>
          <w:szCs w:val="20"/>
          <w:lang w:val="en-US"/>
        </w:rPr>
        <w:t>Bipolar disorder, inflammation, mani</w:t>
      </w:r>
      <w:r>
        <w:rPr>
          <w:rFonts w:ascii="Times New Roman" w:hAnsi="Times New Roman" w:cs="Times New Roman"/>
          <w:sz w:val="20"/>
          <w:szCs w:val="20"/>
          <w:lang w:val="en-US"/>
        </w:rPr>
        <w:t>a</w:t>
      </w:r>
      <w:r w:rsidRPr="00137500">
        <w:rPr>
          <w:rFonts w:ascii="Times New Roman" w:hAnsi="Times New Roman" w:cs="Times New Roman"/>
          <w:sz w:val="20"/>
          <w:szCs w:val="20"/>
          <w:lang w:val="en-US"/>
        </w:rPr>
        <w:t>, depressi</w:t>
      </w:r>
      <w:r>
        <w:rPr>
          <w:rFonts w:ascii="Times New Roman" w:hAnsi="Times New Roman" w:cs="Times New Roman"/>
          <w:sz w:val="20"/>
          <w:szCs w:val="20"/>
          <w:lang w:val="en-US"/>
        </w:rPr>
        <w:t>on</w:t>
      </w:r>
      <w:r w:rsidRPr="00137500">
        <w:rPr>
          <w:rFonts w:ascii="Times New Roman" w:hAnsi="Times New Roman" w:cs="Times New Roman"/>
          <w:sz w:val="20"/>
          <w:szCs w:val="20"/>
          <w:lang w:val="en-US"/>
        </w:rPr>
        <w:t>, cytokine, interleukin, IL-1</w:t>
      </w:r>
      <w:r w:rsidR="005A0E80">
        <w:rPr>
          <w:rFonts w:ascii="Times New Roman" w:hAnsi="Times New Roman" w:cs="Times New Roman"/>
          <w:sz w:val="20"/>
          <w:szCs w:val="20"/>
          <w:lang w:val="en-US"/>
        </w:rPr>
        <w:t>β</w:t>
      </w:r>
      <w:r w:rsidRPr="00137500">
        <w:rPr>
          <w:rFonts w:ascii="Times New Roman" w:hAnsi="Times New Roman" w:cs="Times New Roman"/>
          <w:sz w:val="20"/>
          <w:szCs w:val="20"/>
          <w:lang w:val="en-US"/>
        </w:rPr>
        <w:t>, IL-6, C-</w:t>
      </w:r>
      <w:r>
        <w:rPr>
          <w:rFonts w:ascii="Times New Roman" w:hAnsi="Times New Roman" w:cs="Times New Roman"/>
          <w:sz w:val="20"/>
          <w:szCs w:val="20"/>
          <w:lang w:val="en-US"/>
        </w:rPr>
        <w:t>r</w:t>
      </w:r>
      <w:r w:rsidRPr="00137500">
        <w:rPr>
          <w:rFonts w:ascii="Times New Roman" w:hAnsi="Times New Roman" w:cs="Times New Roman"/>
          <w:sz w:val="20"/>
          <w:szCs w:val="20"/>
          <w:lang w:val="en-US"/>
        </w:rPr>
        <w:t>eactive protein, TNF-α, meta-analysis, psychiatry</w:t>
      </w:r>
      <w:r>
        <w:rPr>
          <w:rFonts w:ascii="Times New Roman" w:hAnsi="Times New Roman" w:cs="Times New Roman"/>
          <w:sz w:val="20"/>
          <w:szCs w:val="20"/>
          <w:lang w:val="en-US"/>
        </w:rPr>
        <w:t>, neuroscience, mental disorders.</w:t>
      </w:r>
      <w:r w:rsidR="005B12BF" w:rsidRPr="00DD5A87">
        <w:rPr>
          <w:rFonts w:ascii="Times New Roman" w:hAnsi="Times New Roman" w:cs="Times New Roman"/>
          <w:sz w:val="22"/>
          <w:szCs w:val="22"/>
          <w:lang w:val="en-US"/>
        </w:rPr>
        <w:br w:type="page"/>
      </w:r>
    </w:p>
    <w:p w14:paraId="5D8B958D" w14:textId="38AF8221" w:rsidR="007C5D4E" w:rsidRPr="00446D07" w:rsidRDefault="007C5D4E" w:rsidP="008D52D7">
      <w:pPr>
        <w:pStyle w:val="Heading1"/>
        <w:numPr>
          <w:ilvl w:val="0"/>
          <w:numId w:val="22"/>
        </w:numPr>
      </w:pPr>
      <w:r w:rsidRPr="00446D07">
        <w:lastRenderedPageBreak/>
        <w:t>Introduction</w:t>
      </w:r>
    </w:p>
    <w:p w14:paraId="1BBDEDF2" w14:textId="6ECE098A" w:rsidR="00101CF9" w:rsidRPr="00446D07" w:rsidRDefault="00714AE4" w:rsidP="009E7530">
      <w:pPr>
        <w:spacing w:line="480" w:lineRule="auto"/>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Bipolar disorder</w:t>
      </w:r>
      <w:r w:rsidR="00B75FCA" w:rsidRPr="00446D07">
        <w:rPr>
          <w:rFonts w:ascii="Times New Roman" w:hAnsi="Times New Roman" w:cs="Times New Roman"/>
          <w:sz w:val="22"/>
          <w:szCs w:val="22"/>
          <w:lang w:val="en-US"/>
        </w:rPr>
        <w:t xml:space="preserve"> (BD)</w:t>
      </w:r>
      <w:r w:rsidRPr="00446D07">
        <w:rPr>
          <w:rFonts w:ascii="Times New Roman" w:hAnsi="Times New Roman" w:cs="Times New Roman"/>
          <w:sz w:val="22"/>
          <w:szCs w:val="22"/>
          <w:lang w:val="en-US"/>
        </w:rPr>
        <w:t xml:space="preserve"> is </w:t>
      </w:r>
      <w:r w:rsidR="00EB704E">
        <w:rPr>
          <w:rFonts w:ascii="Times New Roman" w:hAnsi="Times New Roman" w:cs="Times New Roman"/>
          <w:sz w:val="22"/>
          <w:szCs w:val="22"/>
          <w:lang w:val="en-US"/>
        </w:rPr>
        <w:t xml:space="preserve">an </w:t>
      </w:r>
      <w:r w:rsidR="0007423C">
        <w:rPr>
          <w:rFonts w:ascii="Times New Roman" w:hAnsi="Times New Roman" w:cs="Times New Roman"/>
          <w:sz w:val="22"/>
          <w:szCs w:val="22"/>
          <w:lang w:val="en-US"/>
        </w:rPr>
        <w:t xml:space="preserve">illness </w:t>
      </w:r>
      <w:r w:rsidRPr="00446D07">
        <w:rPr>
          <w:rFonts w:ascii="Times New Roman" w:hAnsi="Times New Roman" w:cs="Times New Roman"/>
          <w:sz w:val="22"/>
          <w:szCs w:val="22"/>
          <w:lang w:val="en-US"/>
        </w:rPr>
        <w:t>characterized by</w:t>
      </w:r>
      <w:r w:rsidR="00776399">
        <w:rPr>
          <w:rFonts w:ascii="Times New Roman" w:hAnsi="Times New Roman" w:cs="Times New Roman"/>
          <w:sz w:val="22"/>
          <w:szCs w:val="22"/>
          <w:lang w:val="en-US"/>
        </w:rPr>
        <w:t xml:space="preserve"> recurring</w:t>
      </w:r>
      <w:r w:rsidRPr="00446D07">
        <w:rPr>
          <w:rFonts w:ascii="Times New Roman" w:hAnsi="Times New Roman" w:cs="Times New Roman"/>
          <w:sz w:val="22"/>
          <w:szCs w:val="22"/>
          <w:lang w:val="en-US"/>
        </w:rPr>
        <w:t xml:space="preserve"> </w:t>
      </w:r>
      <w:r w:rsidR="00064B66" w:rsidRPr="00446D07">
        <w:rPr>
          <w:rFonts w:ascii="Times New Roman" w:hAnsi="Times New Roman" w:cs="Times New Roman"/>
          <w:sz w:val="22"/>
          <w:szCs w:val="22"/>
          <w:lang w:val="en-US"/>
        </w:rPr>
        <w:t xml:space="preserve">mood </w:t>
      </w:r>
      <w:r w:rsidR="00734208">
        <w:rPr>
          <w:rFonts w:ascii="Times New Roman" w:hAnsi="Times New Roman" w:cs="Times New Roman"/>
          <w:sz w:val="22"/>
          <w:szCs w:val="22"/>
          <w:lang w:val="en-US"/>
        </w:rPr>
        <w:t>states</w:t>
      </w:r>
      <w:r w:rsidR="00064B66" w:rsidRPr="00446D07">
        <w:rPr>
          <w:rFonts w:ascii="Times New Roman" w:hAnsi="Times New Roman" w:cs="Times New Roman"/>
          <w:sz w:val="22"/>
          <w:szCs w:val="22"/>
          <w:lang w:val="en-US"/>
        </w:rPr>
        <w:t>, ranging from depressive episodes to hypomanic, or manic episodes.</w:t>
      </w:r>
      <w:r w:rsidR="006945E6" w:rsidRPr="006945E6">
        <w:rPr>
          <w:rFonts w:ascii="Times New Roman" w:hAnsi="Times New Roman" w:cs="Times New Roman"/>
          <w:sz w:val="22"/>
          <w:szCs w:val="22"/>
          <w:lang w:val="en-US"/>
        </w:rPr>
        <w:t xml:space="preserve"> </w:t>
      </w:r>
      <w:r w:rsidR="006945E6" w:rsidRPr="00446D07">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{"citationItems":[{"id":"ITEM-1","itemData":{"DOI":"10.1056/NEJMra1906193","ISSN":"0028-4793","author":[{"dropping-particle":"","family":"Carvalho","given":"Andre F","non-dropping-particle":"","parse-names":false,"suffix":""},{"dropping-particle":"","family":"Firth","given":"Joseph","non-dropping-particle":"","parse-names":false,"suffix":""},{"dropping-particle":"","family":"Vieta","given":"Eduard","non-dropping-particle":"","parse-names":false,"suffix":""}],"container-title":"New England Journal of Medicine","id":"ITEM-1","issue":"1","issued":{"date-parts":[["2020","7","1"]]},"note":"doi: 10.1056/NEJMra1906193","page":"58-66","publisher":"Massachusetts Medical Society","title":"Bipolar Disorder","type":"article-journal","volume":"383"},"uris":["http://www.mendeley.com/documents/?uuid=a4de1df1-8551-46e7-a5ea-a5341e56b6ae","http://www.mendeley.com/documents/?uuid=70547f3f-816d-457c-ad29-4d1659de3363"]},{"id":"ITEM-2","itemData":{"author":[{"dropping-particle":"","family":"American Psychiatric Association","given":"","non-dropping-particle":"","parse-names":false,"suffix":""}],"id":"ITEM-2","issued":{"date-parts":[["2013"]]},"publisher":"American Psychiatric Association","publisher-place":"Washington","title":"Diagnostic and Statistical Manual of Mental Disorders, 5th edition (DSM-V)","type":"book"},"uris":["http://www.mendeley.com/documents/?uuid=52151c68-cd9b-41ca-a23b-a59004d7bae2","http://www.mendeley.com/documents/?uuid=d36669ea-8efc-4f4e-bf92-98699c10d531"]}],"mendeley":{"formattedCitation":"(American Psychiatric Association, 2013; Andre F Carvalho et al., 2020)","plainTextFormattedCitation":"(American Psychiatric Association, 2013; Andre F Carvalho et al., 2020)","previouslyFormattedCitation":"(American Psychiatric Association, 2013; Andre F Carvalho et al., 2020)"},"properties":{"noteIndex":0},"schema":"https://github.com/citation-style-language/schema/raw/master/csl-citation.json"}</w:instrText>
      </w:r>
      <w:r w:rsidR="006945E6"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(American Psychiatric Association, 2013; Carvalho et al., 2020)</w:t>
      </w:r>
      <w:r w:rsidR="006945E6" w:rsidRPr="00446D07">
        <w:rPr>
          <w:rFonts w:ascii="Times New Roman" w:hAnsi="Times New Roman" w:cs="Times New Roman"/>
          <w:sz w:val="22"/>
          <w:szCs w:val="22"/>
          <w:lang w:val="en-US"/>
        </w:rPr>
        <w:fldChar w:fldCharType="end"/>
      </w:r>
      <w:r w:rsidR="00064B66" w:rsidRPr="00446D07">
        <w:rPr>
          <w:rFonts w:ascii="Times New Roman" w:hAnsi="Times New Roman" w:cs="Times New Roman"/>
          <w:sz w:val="22"/>
          <w:szCs w:val="22"/>
          <w:lang w:val="en-US"/>
        </w:rPr>
        <w:t xml:space="preserve"> </w:t>
      </w:r>
      <w:r w:rsidR="00EF0399" w:rsidRPr="00446D07">
        <w:rPr>
          <w:rFonts w:ascii="Times New Roman" w:hAnsi="Times New Roman" w:cs="Times New Roman"/>
          <w:sz w:val="22"/>
          <w:szCs w:val="22"/>
          <w:lang w:val="en-US"/>
        </w:rPr>
        <w:t xml:space="preserve">It has onset </w:t>
      </w:r>
      <w:r w:rsidR="00A379EE" w:rsidRPr="00446D07">
        <w:rPr>
          <w:rFonts w:ascii="Times New Roman" w:hAnsi="Times New Roman" w:cs="Times New Roman"/>
          <w:sz w:val="22"/>
          <w:szCs w:val="22"/>
          <w:lang w:val="en-US"/>
        </w:rPr>
        <w:t xml:space="preserve">before age </w:t>
      </w:r>
      <w:r w:rsidR="0045450A">
        <w:rPr>
          <w:rFonts w:ascii="Times New Roman" w:hAnsi="Times New Roman" w:cs="Times New Roman"/>
          <w:sz w:val="22"/>
          <w:szCs w:val="22"/>
          <w:lang w:val="en-US"/>
        </w:rPr>
        <w:t xml:space="preserve">25 </w:t>
      </w:r>
      <w:r w:rsidR="00EA6956" w:rsidRPr="00446D07">
        <w:rPr>
          <w:rFonts w:ascii="Times New Roman" w:hAnsi="Times New Roman" w:cs="Times New Roman"/>
          <w:sz w:val="22"/>
          <w:szCs w:val="22"/>
          <w:lang w:val="en-US"/>
        </w:rPr>
        <w:t>in around hal</w:t>
      </w:r>
      <w:r w:rsidR="00440EED" w:rsidRPr="00446D07">
        <w:rPr>
          <w:rFonts w:ascii="Times New Roman" w:hAnsi="Times New Roman" w:cs="Times New Roman"/>
          <w:sz w:val="22"/>
          <w:szCs w:val="22"/>
          <w:lang w:val="en-US"/>
        </w:rPr>
        <w:t>f</w:t>
      </w:r>
      <w:r w:rsidR="00EA6956" w:rsidRPr="00446D07">
        <w:rPr>
          <w:rFonts w:ascii="Times New Roman" w:hAnsi="Times New Roman" w:cs="Times New Roman"/>
          <w:sz w:val="22"/>
          <w:szCs w:val="22"/>
          <w:lang w:val="en-US"/>
        </w:rPr>
        <w:t xml:space="preserve"> of the </w:t>
      </w:r>
      <w:r w:rsidR="00D67B07">
        <w:rPr>
          <w:rFonts w:ascii="Times New Roman" w:hAnsi="Times New Roman" w:cs="Times New Roman"/>
          <w:sz w:val="22"/>
          <w:szCs w:val="22"/>
          <w:lang w:val="en-US"/>
        </w:rPr>
        <w:t>subjects</w:t>
      </w:r>
      <w:r w:rsidR="00D67B07" w:rsidRPr="00446D07">
        <w:rPr>
          <w:rFonts w:ascii="Times New Roman" w:hAnsi="Times New Roman" w:cs="Times New Roman"/>
          <w:sz w:val="22"/>
          <w:szCs w:val="22"/>
          <w:lang w:val="en-US"/>
        </w:rPr>
        <w:t xml:space="preserve"> </w:t>
      </w:r>
      <w:r w:rsidR="00EA6956" w:rsidRPr="00446D07">
        <w:rPr>
          <w:rFonts w:ascii="Times New Roman" w:hAnsi="Times New Roman" w:cs="Times New Roman"/>
          <w:sz w:val="22"/>
          <w:szCs w:val="22"/>
          <w:lang w:val="en-US"/>
        </w:rPr>
        <w:t>and has</w:t>
      </w:r>
      <w:r w:rsidR="00776399">
        <w:rPr>
          <w:rFonts w:ascii="Times New Roman" w:hAnsi="Times New Roman" w:cs="Times New Roman"/>
          <w:sz w:val="22"/>
          <w:szCs w:val="22"/>
          <w:lang w:val="en-US"/>
        </w:rPr>
        <w:t xml:space="preserve"> a</w:t>
      </w:r>
      <w:r w:rsidR="00EA6956" w:rsidRPr="00446D07">
        <w:rPr>
          <w:rFonts w:ascii="Times New Roman" w:hAnsi="Times New Roman" w:cs="Times New Roman"/>
          <w:sz w:val="22"/>
          <w:szCs w:val="22"/>
          <w:lang w:val="en-US"/>
        </w:rPr>
        <w:t xml:space="preserve"> mean age </w:t>
      </w:r>
      <w:r w:rsidR="00307D74">
        <w:rPr>
          <w:rFonts w:ascii="Times New Roman" w:hAnsi="Times New Roman" w:cs="Times New Roman"/>
          <w:sz w:val="22"/>
          <w:szCs w:val="22"/>
          <w:lang w:val="en-US"/>
        </w:rPr>
        <w:t>of</w:t>
      </w:r>
      <w:r w:rsidR="00307D74" w:rsidRPr="00446D07">
        <w:rPr>
          <w:rFonts w:ascii="Times New Roman" w:hAnsi="Times New Roman" w:cs="Times New Roman"/>
          <w:sz w:val="22"/>
          <w:szCs w:val="22"/>
          <w:lang w:val="en-US"/>
        </w:rPr>
        <w:t xml:space="preserve"> </w:t>
      </w:r>
      <w:r w:rsidR="00EA6956" w:rsidRPr="00446D07">
        <w:rPr>
          <w:rFonts w:ascii="Times New Roman" w:hAnsi="Times New Roman" w:cs="Times New Roman"/>
          <w:sz w:val="22"/>
          <w:szCs w:val="22"/>
          <w:lang w:val="en-US"/>
        </w:rPr>
        <w:t xml:space="preserve">onset </w:t>
      </w:r>
      <w:r w:rsidR="00307D74">
        <w:rPr>
          <w:rFonts w:ascii="Times New Roman" w:hAnsi="Times New Roman" w:cs="Times New Roman"/>
          <w:sz w:val="22"/>
          <w:szCs w:val="22"/>
          <w:lang w:val="en-US"/>
        </w:rPr>
        <w:t>of</w:t>
      </w:r>
      <w:r w:rsidR="00EA6956" w:rsidRPr="00446D07">
        <w:rPr>
          <w:rFonts w:ascii="Times New Roman" w:hAnsi="Times New Roman" w:cs="Times New Roman"/>
          <w:sz w:val="22"/>
          <w:szCs w:val="22"/>
          <w:lang w:val="en-US"/>
        </w:rPr>
        <w:t xml:space="preserve"> 20</w:t>
      </w:r>
      <w:r w:rsidR="00520C52">
        <w:rPr>
          <w:rFonts w:ascii="Times New Roman" w:hAnsi="Times New Roman" w:cs="Times New Roman"/>
          <w:sz w:val="22"/>
          <w:szCs w:val="22"/>
          <w:lang w:val="en-US"/>
        </w:rPr>
        <w:t>,</w:t>
      </w:r>
      <w:r w:rsidR="009E7530">
        <w:rPr>
          <w:rFonts w:ascii="Times New Roman" w:hAnsi="Times New Roman" w:cs="Times New Roman"/>
          <w:sz w:val="22"/>
          <w:szCs w:val="22"/>
          <w:lang w:val="en-US"/>
        </w:rPr>
        <w:t xml:space="preserve"> </w:t>
      </w:r>
      <w:r w:rsidR="00716033" w:rsidRPr="00446D07">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{"citationItems":[{"id":"ITEM-1","itemData":{"DOI":"10.1001/archgenpsychiatry.2011.12","ISSN":"0003990X","PMID":"21383262","abstract":"Context: There is limited information on the prevalence and correlates of bipolar spectrum disorder in international population-based studies using common methods. Objectives: To describe the prevalence, impact, patterns of comorbidity, and patterns of service utilization for bipolar spectrum disorder (BPS) in the World Health Organization World Mental Health Survey Initiative. Design, Setting, and Participants: Crosssectional, face-to-face, household surveys of 61 392 community adults in 11 countries in the Americas, Europe, and Asia assessed with the World Mental Health version of the World Health Organization Composite International Diagnostic Interview, version 3.0, a fully structured, lay-administered psychiatric diagnostic interview. Main Outcome Measures: Diagnostic and Statistical Manual of Mental Disorders (Fourth Edition) disorders, severity, and treatment. Results: The aggregate lifetime prevalences were 0.6% for bipolar type I disorder (BP-I), 0.4% for BP-II, 1.4% for subthreshold BP, and 2.4% for BPS. Twelve-month prevalences were 0.4% for BP-I, 0.3% for BP-II, 0.8% for subthreshold BP, and 1.5% for BPS. Severity of both manic and depressive symptoms as well as suicidal behavior increased monotonically from subthreshold BP to BP-I. By contrast, role impairment was similar across BP subtypes. Symptom severity was greater for depressive episodes than manic episodes, with approximately 74.0% of respondents with depression and 50.9% of respondents with mania reporting severe role impairment. Three-quarters of those with BPS met criteria for at least 1 other disorder, with anxiety disorders (particularly panic attacks) being the most common comorbid condition. Less than half of those with lifetime BPS received mental health treatment, particularly in low-income countries, where only 25.2% reported contact with the mental health system. Conclusions: Despite cross-site variation in the prevalence rates of BPS, the severity, impact, and patterns of comorbidity were remarkably similar internationally. The uniform increases in clinical correlates, suicidal behavior, and comorbidity across each diagnostic category provide evidence for the validity of the concept of BPS. Treatment needs for BPS are often unmet, particularly in low-income countries. ©2011 American Medical Association. All rights reserved.","author":[{"dropping-particle":"","family":"Merikangas","given":"Kathleen R.","non-dropping-particle":"","parse-names":false,"suffix":""},{"dropping-particle":"","family":"Jin","given":"Robert","non-dropping-particle":"","parse-names":false,"suffix":""},{"dropping-particle":"","family":"He","given":"Jian Ping","non-dropping-particle":"","parse-names":false,"suffix":""},{"dropping-particle":"","family":"Kessler","given":"Ronald C.","non-dropping-particle":"","parse-names":false,"suffix":""},{"dropping-particle":"","family":"Lee","given":"Sing","non-dropping-particle":"","parse-names":false,"suffix":""},{"dropping-particle":"","family":"Sampson","given":"Nancy A.","non-dropping-particle":"","parse-names":false,"suffix":""},{"dropping-particle":"","family":"Viana","given":"Maria Carmen","non-dropping-particle":"","parse-names":false,"suffix":""},{"dropping-particle":"","family":"Andrade","given":"Laura Helena","non-dropping-particle":"","parse-names":false,"suffix":""},{"dropping-particle":"","family":"Hu","given":"Chiyi","non-dropping-particle":"","parse-names":false,"suffix":""},{"dropping-particle":"","family":"Karam","given":"Elie G.","non-dropping-particle":"","parse-names":false,"suffix":""},{"dropping-particle":"","family":"Ladea","given":"Maria","non-dropping-particle":"","parse-names":false,"suffix":""},{"dropping-particle":"","family":"Medina-Mora","given":"Maria Elena","non-dropping-particle":"","parse-names":false,"suffix":""},{"dropping-particle":"","family":"Ono","given":"Yutaka","non-dropping-particle":"","parse-names":false,"suffix":""},{"dropping-particle":"","family":"Posada-Villa","given":"Jose","non-dropping-particle":"","parse-names":false,"suffix":""},{"dropping-particle":"","family":"Sagar","given":"Rajesh","non-dropping-particle":"","parse-names":false,"suffix":""},{"dropping-particle":"","family":"Wells","given":"J. Elisabeth","non-dropping-particle":"","parse-names":false,"suffix":""},{"dropping-particle":"","family":"Zarkov","given":"Zahari","non-dropping-particle":"","parse-names":false,"suffix":""}],"container-title":"Archives of General Psychiatry","id":"ITEM-1","issue":"3","issued":{"date-parts":[["2011","3"]]},"page":"241-251","publisher":"NIH Public Access","title":"Prevalence and correlates of bipolar spectrum disorder in the World Mental Health Survey Initiative","type":"article-journal","volume":"68"},"uris":["http://www.mendeley.com/documents/?uuid=a1d846d1-418f-3a74-84fb-28f72b8214a3","http://www.mendeley.com/documents/?uuid=4ec95548-d080-4d41-aaec-74f24a7cda78"]}],"mendeley":{"formattedCitation":"(Merikangas et al., 2011)","plainTextFormattedCitation":"(Merikangas et al., 2011)","previouslyFormattedCitation":"(Merikangas et al., 2011)"},"properties":{"noteIndex":0},"schema":"https://github.com/citation-style-language/schema/raw/master/csl-citation.json"}</w:instrText>
      </w:r>
      <w:r w:rsidR="00716033"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(Merikangas et al., 2011)</w:t>
      </w:r>
      <w:r w:rsidR="00716033" w:rsidRPr="00446D07">
        <w:rPr>
          <w:rFonts w:ascii="Times New Roman" w:hAnsi="Times New Roman" w:cs="Times New Roman"/>
          <w:sz w:val="22"/>
          <w:szCs w:val="22"/>
          <w:lang w:val="en-US"/>
        </w:rPr>
        <w:fldChar w:fldCharType="end"/>
      </w:r>
      <w:r w:rsidR="00307D74">
        <w:rPr>
          <w:rFonts w:ascii="Times New Roman" w:hAnsi="Times New Roman" w:cs="Times New Roman"/>
          <w:sz w:val="22"/>
          <w:szCs w:val="22"/>
          <w:lang w:val="en-US"/>
        </w:rPr>
        <w:t>. BD</w:t>
      </w:r>
      <w:r w:rsidR="00520C52">
        <w:rPr>
          <w:rFonts w:ascii="Times New Roman" w:hAnsi="Times New Roman" w:cs="Times New Roman"/>
          <w:sz w:val="22"/>
          <w:szCs w:val="22"/>
          <w:lang w:val="en-US"/>
        </w:rPr>
        <w:t xml:space="preserve"> can be </w:t>
      </w:r>
      <w:r w:rsidR="00307D74">
        <w:rPr>
          <w:rFonts w:ascii="Times New Roman" w:hAnsi="Times New Roman" w:cs="Times New Roman"/>
          <w:sz w:val="22"/>
          <w:szCs w:val="22"/>
          <w:lang w:val="en-US"/>
        </w:rPr>
        <w:t>preceded</w:t>
      </w:r>
      <w:r w:rsidR="009E7530">
        <w:rPr>
          <w:rFonts w:ascii="Times New Roman" w:hAnsi="Times New Roman" w:cs="Times New Roman"/>
          <w:sz w:val="22"/>
          <w:szCs w:val="22"/>
          <w:lang w:val="en-US"/>
        </w:rPr>
        <w:t xml:space="preserve"> by at-risk conditions </w:t>
      </w:r>
      <w:r w:rsidR="00520C52">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{"citationItems":[{"id":"ITEM-1","itemData":{"DOI":"https://doi.org/10.1016/j.psychres.2018.03.074","ISSN":"0165-1781","abstract":"The external prognostic accuracy of Bipolar At Risk (BAR) criteria is undetermined and no psychometric tools are available to measure them. We present here three studies that overcome these limitations. Study 1 and 2 investigated the prognostic accuracy (Harrell's C) of the original BAR and revised Bipolar At Risk States (BARS) criteria respectively for the prediction of bipolar disorders, using a retrospective cohort of individuals at Clinical High Risk for Psychosis (CHR-P). Study 3 validated externally the prognostic accuracy of a newly developed Semistructured Interview of At Risk Bipolar States (SIBARS) in an independent prospective CHR-P cohort. In study 1 (n = 205), those meeting BAR criteria had an increased risk of developing bipolar disorders (HR = 5.30) relative to those not meeting them, but the prognostic accuracy was poor (Harrell's C = 0.659). In study 2 (n = 205), those meeting the refined BARS criteria had a higher risk of developing bipolar disorders than those not meeting them (HR = 12.364), with an adequate prognostic accuracy (Harrell's C = 0.777). Study 3 (n = 71) confirmed that SIBARS criteria had an adequate prognostic accuracy (Harrell's C = 0.742) and clinical utility. Overall, these findings suggest that the SIBARS could be used for the detection of individuals at risk of developing bipolar disorders in CHR-P services.","author":[{"dropping-particle":"","family":"Fusar-Poli","given":"Paolo","non-dropping-particle":"","parse-names":false,"suffix":""},{"dropping-particle":"","family":"Micheli","given":"Andrea","non-dropping-particle":"De","parse-names":false,"suffix":""},{"dropping-particle":"","family":"Rocchetti","given":"Matteo","non-dropping-particle":"","parse-names":false,"suffix":""},{"dropping-particle":"","family":"Cappucciati","given":"Marco","non-dropping-particle":"","parse-names":false,"suffix":""},{"dropping-particle":"","family":"Ramella-Cravaro","given":"Valentina","non-dropping-particle":"","parse-names":false,"suffix":""},{"dropping-particle":"","family":"Rutigliano","given":"Grazia","non-dropping-particle":"","parse-names":false,"suffix":""},{"dropping-particle":"","family":"Bonoldi","given":"Ilaria","non-dropping-particle":"","parse-names":false,"suffix":""},{"dropping-particle":"","family":"McGuire","given":"Philip","non-dropping-particle":"","parse-names":false,"suffix":""},{"dropping-particle":"","family":"Falkenberg","given":"Irina","non-dropping-particle":"","parse-names":false,"suffix":""}],"container-title":"Psychiatry Research","id":"ITEM-1","issued":{"date-parts":[["2018"]]},"page":"302-309","title":"Semistructured Interview for Bipolar At Risk States (SIBARS)","type":"article-journal","volume":"264"},"uris":["http://www.mendeley.com/documents/?uuid=d1aa7182-1f18-4634-ae08-7d4d2a28cef0","http://www.mendeley.com/documents/?uuid=95de1fc0-a874-4b86-b100-59f19bf29b90"]}],"mendeley":{"formattedCitation":"(Fusar-Poli et al., 2018)","plainTextFormattedCitation":"(Fusar-Poli et al., 2018)","previouslyFormattedCitation":"(Fusar-Poli et al., 2018)"},"properties":{"noteIndex":0},"schema":"https://github.com/citation-style-language/schema/raw/master/csl-citation.json"}</w:instrText>
      </w:r>
      <w:r w:rsidR="00520C52">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(Fusar-Poli et al., 2018)</w:t>
      </w:r>
      <w:r w:rsidR="00520C52">
        <w:rPr>
          <w:rFonts w:ascii="Times New Roman" w:hAnsi="Times New Roman" w:cs="Times New Roman"/>
          <w:sz w:val="22"/>
          <w:szCs w:val="22"/>
          <w:lang w:val="en-US"/>
        </w:rPr>
        <w:fldChar w:fldCharType="end"/>
      </w:r>
      <w:r w:rsidR="009E7530">
        <w:rPr>
          <w:rFonts w:ascii="Times New Roman" w:hAnsi="Times New Roman" w:cs="Times New Roman"/>
          <w:sz w:val="22"/>
          <w:szCs w:val="22"/>
          <w:lang w:val="en-US"/>
        </w:rPr>
        <w:t>.</w:t>
      </w:r>
      <w:r w:rsidR="00EA6956" w:rsidRPr="00446D07">
        <w:rPr>
          <w:rFonts w:ascii="Times New Roman" w:hAnsi="Times New Roman" w:cs="Times New Roman"/>
          <w:sz w:val="22"/>
          <w:szCs w:val="22"/>
          <w:lang w:val="en-US"/>
        </w:rPr>
        <w:t xml:space="preserve"> </w:t>
      </w:r>
      <w:r w:rsidR="00B75FCA" w:rsidRPr="00446D07">
        <w:rPr>
          <w:rFonts w:ascii="Times New Roman" w:hAnsi="Times New Roman" w:cs="Times New Roman"/>
          <w:sz w:val="22"/>
          <w:szCs w:val="22"/>
          <w:lang w:val="en-US"/>
        </w:rPr>
        <w:t xml:space="preserve">It is associated with </w:t>
      </w:r>
      <w:r w:rsidR="00776399" w:rsidRPr="00446D07">
        <w:rPr>
          <w:rFonts w:ascii="Times New Roman" w:hAnsi="Times New Roman" w:cs="Times New Roman"/>
          <w:sz w:val="22"/>
          <w:szCs w:val="22"/>
          <w:lang w:val="en-US"/>
        </w:rPr>
        <w:t>function</w:t>
      </w:r>
      <w:r w:rsidR="00776399">
        <w:rPr>
          <w:rFonts w:ascii="Times New Roman" w:hAnsi="Times New Roman" w:cs="Times New Roman"/>
          <w:sz w:val="22"/>
          <w:szCs w:val="22"/>
          <w:lang w:val="en-US"/>
        </w:rPr>
        <w:t>al</w:t>
      </w:r>
      <w:r w:rsidR="00776399" w:rsidRPr="00446D07">
        <w:rPr>
          <w:rFonts w:ascii="Times New Roman" w:hAnsi="Times New Roman" w:cs="Times New Roman"/>
          <w:sz w:val="22"/>
          <w:szCs w:val="22"/>
          <w:lang w:val="en-US"/>
        </w:rPr>
        <w:t xml:space="preserve"> </w:t>
      </w:r>
      <w:r w:rsidR="00B75FCA" w:rsidRPr="00446D07">
        <w:rPr>
          <w:rFonts w:ascii="Times New Roman" w:hAnsi="Times New Roman" w:cs="Times New Roman"/>
          <w:sz w:val="22"/>
          <w:szCs w:val="22"/>
          <w:lang w:val="en-US"/>
        </w:rPr>
        <w:t>impairment,  high disability, and</w:t>
      </w:r>
      <w:r w:rsidR="00776399">
        <w:rPr>
          <w:rFonts w:ascii="Times New Roman" w:hAnsi="Times New Roman" w:cs="Times New Roman"/>
          <w:sz w:val="22"/>
          <w:szCs w:val="22"/>
          <w:lang w:val="en-US"/>
        </w:rPr>
        <w:t xml:space="preserve"> healthcare</w:t>
      </w:r>
      <w:r w:rsidR="009E7530">
        <w:rPr>
          <w:rFonts w:ascii="Times New Roman" w:hAnsi="Times New Roman" w:cs="Times New Roman"/>
          <w:sz w:val="22"/>
          <w:szCs w:val="22"/>
          <w:lang w:val="en-US"/>
        </w:rPr>
        <w:t xml:space="preserve"> costs</w:t>
      </w:r>
      <w:r w:rsidR="006E75D6" w:rsidRPr="006E75D6">
        <w:rPr>
          <w:rFonts w:ascii="Times New Roman" w:hAnsi="Times New Roman" w:cs="Times New Roman"/>
          <w:sz w:val="22"/>
          <w:szCs w:val="22"/>
          <w:lang w:val="en-US"/>
        </w:rPr>
        <w:t xml:space="preserve"> </w:t>
      </w:r>
      <w:r w:rsidR="006E75D6" w:rsidRPr="00446D07">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{"citationItems":[{"id":"ITEM-1","itemData":{"DOI":"https://doi.org/10.1016/j.jpsychires.2020.03.015","ISSN":"0022-3956","abstract":"The objective of this study is to assess the global, regional, and national burden of bipolar disorder (BPD) from 1990 to 2017, by gender, age, and social-demographic index (SDI) from the 2017 Global Burden of Disease (GBD) study. We collected detailed information from GBD on the numbers of incidence cases and disability-adjusted life years (DALYs), age-standardized incidence rate (ASIR), and age-standardized DALYs rate (ASDR) during 1990–2017. Estimated annual percentage changes (EAPCs) were calculated to assess ASIR and ASDR trends. GBD data estimated that BPD incidences increased by 47.74%, from 3.06 million in 1990 to 4.53 million in 2017, and the DALYs increased by 54.4%, from 6.02 million in 1990 to 9.29 million in 2017. Over the 28-year period between 1990 and 2017, the ASIR and ASDR increased only slightly (EAPC = 0.14 and 0.05 for ASIR and ASDR, respectively). Subjects aged 10–19 years contributed the most to the total number of incidence cases, while those aged 20–44 years contributed the most to the number of DALYs. The ASIR and ASDR were highest in tropical Latin America and lowest in East Asia. Areas in the lowest sociodemographic index (SDI) quintile showed the highest ASIR (about 64/100,000), and those in the highest SDI quintile showed the highest ASDR (about 140/100,000). In conclusion, while the ASIR and ASDR due to BPD have been stable, the absolute incidence and DALYs remain high, which represents an increasing burden on health-care systems.","author":[{"dropping-particle":"","family":"He","given":"Hairong","non-dropping-particle":"","parse-names":false,"suffix":""},{"dropping-particle":"","family":"Hu","given":"Chuanyu","non-dropping-particle":"","parse-names":false,"suffix":""},{"dropping-particle":"","family":"Ren","given":"Zhenhu","non-dropping-particle":"","parse-names":false,"suffix":""},{"dropping-particle":"","family":"Bai","given":"Ling","non-dropping-particle":"","parse-names":false,"suffix":""},{"dropping-particle":"","family":"Gao","given":"Fan","non-dropping-particle":"","parse-names":false,"suffix":""},{"dropping-particle":"","family":"Lyu","given":"Jun","non-dropping-particle":"","parse-names":false,"suffix":""}],"container-title":"Journal of Psychiatric Research","id":"ITEM-1","issued":{"date-parts":[["2020"]]},"page":"96-105","title":"Trends in the incidence and DALYs of bipolar disorder at global, regional, and national levels: Results from the global burden of Disease Study 2017","type":"article-journal","volume":"125"},"uris":["http://www.mendeley.com/documents/?uuid=473ce579-00be-4c90-9854-c2027f0c4110","http://www.mendeley.com/documents/?uuid=1aa48707-f677-4c2e-ae21-e2d4c615aacf"]},{"id":"ITEM-2","itemData":{"DOI":"10.1056/NEJMra1906193","ISSN":"0028-4793","author":[{"dropping-particle":"","family":"Carvalho","given":"Andre F","non-dropping-particle":"","parse-names":false,"suffix":""},{"dropping-particle":"","family":"Firth","given":"Joseph","non-dropping-particle":"","parse-names":false,"suffix":""},{"dropping-particle":"","family":"Vieta","given":"Eduard","non-dropping-particle":"","parse-names":false,"suffix":""}],"container-title":"New England Journal of Medicine","id":"ITEM-2","issue":"1","issued":{"date-parts":[["2020","7","1"]]},"note":"doi: 10.1056/NEJMra1906193","page":"58-66","publisher":"Massachusetts Medical Society","title":"Bipolar Disorder","type":"article-journal","volume":"383"},"uris":["http://www.mendeley.com/documents/?uuid=70547f3f-816d-457c-ad29-4d1659de3363","http://www.mendeley.com/documents/?uuid=a4de1df1-8551-46e7-a5ea-a5341e56b6ae"]},{"id":"ITEM-3","itemData":{"author":[{"dropping-particle":"","family":"American Psychiatric Association","given":"","non-dropping-particle":"","parse-names":false,"suffix":""}],"id":"ITEM-3","issued":{"date-parts":[["2013"]]},"publisher":"American Psychiatric Association","publisher-place":"Washington","title":"Diagnostic and Statistical Manual of Mental Disorders, 5th edition (DSM-V)","type":"book"},"uris":["http://www.mendeley.com/documents/?uuid=d36669ea-8efc-4f4e-bf92-98699c10d531","http://www.mendeley.com/documents/?uuid=52151c68-cd9b-41ca-a23b-a59004d7bae2","http://www.mendeley.com/documents/?uuid=095e9222-c73c-4d6c-a8ae-950e8248918b"]}],"mendeley":{"formattedCitation":"(American Psychiatric Association, 2013; Andre F Carvalho et al., 2020; He et al., 2020)","plainTextFormattedCitation":"(American Psychiatric Association, 2013; Andre F Carvalho et al., 2020; He et al., 2020)","previouslyFormattedCitation":"(American Psychiatric Association, 2013; Andre F Carvalho et al., 2020; He et al., 2020)"},"properties":{"noteIndex":0},"schema":"https://github.com/citation-style-language/schema/raw/master/csl-citation.json"}</w:instrText>
      </w:r>
      <w:r w:rsidR="006E75D6"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(American Psychiatric Association, 2013; Carvalho et al., 2020; He et al., 2020)</w:t>
      </w:r>
      <w:r w:rsidR="006E75D6" w:rsidRPr="00446D07">
        <w:rPr>
          <w:rFonts w:ascii="Times New Roman" w:hAnsi="Times New Roman" w:cs="Times New Roman"/>
          <w:sz w:val="22"/>
          <w:szCs w:val="22"/>
          <w:lang w:val="en-US"/>
        </w:rPr>
        <w:fldChar w:fldCharType="end"/>
      </w:r>
      <w:r w:rsidR="009E7530">
        <w:rPr>
          <w:rFonts w:ascii="Times New Roman" w:hAnsi="Times New Roman" w:cs="Times New Roman"/>
          <w:sz w:val="22"/>
          <w:szCs w:val="22"/>
          <w:lang w:val="en-US"/>
        </w:rPr>
        <w:t xml:space="preserve">. </w:t>
      </w:r>
      <w:r w:rsidR="00B150CD" w:rsidRPr="00446D07">
        <w:rPr>
          <w:rFonts w:ascii="Times New Roman" w:hAnsi="Times New Roman" w:cs="Times New Roman"/>
          <w:sz w:val="22"/>
          <w:szCs w:val="22"/>
          <w:lang w:val="en-US"/>
        </w:rPr>
        <w:t xml:space="preserve"> </w:t>
      </w:r>
      <w:r w:rsidR="00B75FCA" w:rsidRPr="00446D07">
        <w:rPr>
          <w:rFonts w:ascii="Times New Roman" w:hAnsi="Times New Roman" w:cs="Times New Roman"/>
          <w:sz w:val="22"/>
          <w:szCs w:val="22"/>
          <w:lang w:val="en-US"/>
        </w:rPr>
        <w:t xml:space="preserve">BD </w:t>
      </w:r>
      <w:r w:rsidR="00064B66" w:rsidRPr="00446D07">
        <w:rPr>
          <w:rFonts w:ascii="Times New Roman" w:hAnsi="Times New Roman" w:cs="Times New Roman"/>
          <w:sz w:val="22"/>
          <w:szCs w:val="22"/>
          <w:lang w:val="en-US"/>
        </w:rPr>
        <w:t xml:space="preserve">is </w:t>
      </w:r>
      <w:r w:rsidR="00B75FCA" w:rsidRPr="00446D07">
        <w:rPr>
          <w:rFonts w:ascii="Times New Roman" w:hAnsi="Times New Roman" w:cs="Times New Roman"/>
          <w:sz w:val="22"/>
          <w:szCs w:val="22"/>
          <w:lang w:val="en-US"/>
        </w:rPr>
        <w:t xml:space="preserve">also </w:t>
      </w:r>
      <w:r w:rsidR="00064B66" w:rsidRPr="00446D07">
        <w:rPr>
          <w:rFonts w:ascii="Times New Roman" w:hAnsi="Times New Roman" w:cs="Times New Roman"/>
          <w:sz w:val="22"/>
          <w:szCs w:val="22"/>
          <w:lang w:val="en-US"/>
        </w:rPr>
        <w:t xml:space="preserve">associated with </w:t>
      </w:r>
      <w:r w:rsidR="00477C18" w:rsidRPr="00446D07">
        <w:rPr>
          <w:rFonts w:ascii="Times New Roman" w:hAnsi="Times New Roman" w:cs="Times New Roman"/>
          <w:sz w:val="22"/>
          <w:szCs w:val="22"/>
          <w:lang w:val="en-US"/>
        </w:rPr>
        <w:t xml:space="preserve">premature mortality compared </w:t>
      </w:r>
      <w:r w:rsidR="00220D55">
        <w:rPr>
          <w:rFonts w:ascii="Times New Roman" w:hAnsi="Times New Roman" w:cs="Times New Roman"/>
          <w:sz w:val="22"/>
          <w:szCs w:val="22"/>
          <w:lang w:val="en-US"/>
        </w:rPr>
        <w:t>to</w:t>
      </w:r>
      <w:r w:rsidR="00220D55" w:rsidRPr="00446D07">
        <w:rPr>
          <w:rFonts w:ascii="Times New Roman" w:hAnsi="Times New Roman" w:cs="Times New Roman"/>
          <w:sz w:val="22"/>
          <w:szCs w:val="22"/>
          <w:lang w:val="en-US"/>
        </w:rPr>
        <w:t xml:space="preserve"> </w:t>
      </w:r>
      <w:r w:rsidR="00477C18" w:rsidRPr="00446D07">
        <w:rPr>
          <w:rFonts w:ascii="Times New Roman" w:hAnsi="Times New Roman" w:cs="Times New Roman"/>
          <w:sz w:val="22"/>
          <w:szCs w:val="22"/>
          <w:lang w:val="en-US"/>
        </w:rPr>
        <w:t>the general population</w:t>
      </w:r>
      <w:r w:rsidR="00B75FCA" w:rsidRPr="00446D07">
        <w:rPr>
          <w:rFonts w:ascii="Times New Roman" w:hAnsi="Times New Roman" w:cs="Times New Roman"/>
          <w:sz w:val="22"/>
          <w:szCs w:val="22"/>
          <w:lang w:val="en-US"/>
        </w:rPr>
        <w:t>,</w:t>
      </w:r>
      <w:r w:rsidR="00CC69BB" w:rsidRPr="00CC69BB">
        <w:rPr>
          <w:rFonts w:ascii="Times New Roman" w:hAnsi="Times New Roman" w:cs="Times New Roman"/>
          <w:sz w:val="22"/>
          <w:szCs w:val="22"/>
          <w:lang w:val="en-US"/>
        </w:rPr>
        <w:t xml:space="preserve"> </w:t>
      </w:r>
      <w:r w:rsidR="00CC69BB" w:rsidRPr="00446D07">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{"citationItems":[{"id":"ITEM-1","itemData":{"DOI":"10.1017/S2045796020000694","ISSN":"20457979","PMID":"32792024","abstract":"AIMS: Given the concerns of health inequality associated with mental illnesses, we aimed to reveal the extent of which general mortality and life expectancy at birth in people with schizophrenia, bipolar disorder and depressive disorder varied in the 2005 and 2010 nationally representative cohorts in Taiwan. METHODS: Two nationally representative samples of individuals with schizophrenia, bipolar disorder and depressive disorder were identified from Taiwan's national health insurance database in 2005 and 2010, respectively, and followed-up for consecutive 3 years. The database was linked to nationwide mortality registry to identify causes and date of death. Age-, gender- and cause-specific mortality rates were generated, with the average follow-up period of each age- and gender-band applied as 'weighting' for the calculation of expected number of deaths. Age- and gender-standardised mortality ratios (SMRs) were calculated for these 3-year observation periods with Taiwanese general population in 2011/2012 as the standard population. The SMR calculations were then stratified by natural/unnatural causes and major groups of death. Corresponding life expectancies at birth were also calculated by gender, diagnosis of mental disorders and year of cohorts for further elucidation. RESULTS: The general differential in mortality rates for people with schizophrenia and bipolar disorder remained wide, revealing an SMR of 3.65 (95% confidence interval (CI): 3.55-3.76) for cohort 2005 and 3.27 (3.18-3.36) for cohort 2010 in schizophrenia, and 2.65 (95% CI: 2.55-2.76) for cohort 2005 and 2.39 (2.31-2.48) for cohort 2010 in bipolar disorder, respectively. The SMRs in people with depression were 1.83 (95% CI: 1.81-1.86) for cohort 2005 and 1.59 (1.57-1.61) for cohort 2010. SMRs due to unnatural causes tended to decrease in people with major mental illnesses over the years, but those due to natural causes remained relatively stable. The life expectancies at birth for schizophrenia, bipolar disorder and depression were all significantly lower than the national norms, specifically showing 14.97-15.50 years of life lost for men and 15.15-15.48 years for women in people with schizophrenia. CONCLUSIONS: Compared to general population, the differential in mortality rates for people with major mental illnesses persisted substantial. The differential in mortality for unnatural causes of death seemed decreasing over the years, but that due to natural causes remained relatively ste…","author":[{"dropping-particle":"","family":"Pan","given":"Yi Ju","non-dropping-particle":"","parse-names":false,"suffix":""},{"dropping-particle":"","family":"Yeh","given":"Ling Ling","non-dropping-particle":"","parse-names":false,"suffix":""},{"dropping-particle":"","family":"Chan","given":"Hung Yu","non-dropping-particle":"","parse-names":false,"suffix":""},{"dropping-particle":"","family":"Chang","given":"Chin Kuo","non-dropping-particle":"","parse-names":false,"suffix":""}],"container-title":"Epidemiology and psychiatric sciences","id":"ITEM-1","issued":{"date-parts":[["2020","8","14"]]},"page":"e156","publisher":"NLM (Medline)","title":"Excess mortality and shortened life expectancy in people with major mental illnesses in Taiwan","type":"article-journal","volume":"29"},"uris":["http://www.mendeley.com/documents/?uuid=e7dfee5b-bdb1-3f9d-b24a-a7f1e1152dc0","http://www.mendeley.com/documents/?uuid=dd8718c5-adc0-4a87-be8a-ee31978190b7"]},{"id":"ITEM-2","itemData":{"DOI":"10.1016/j.jad.2015.03.027","ISSN":"15732517","abstract":"Background Accelerated aging has been proposed as a mechanism explaining the increased prevalence of comorbid general medical illnesses in bipolar disorder. Aims To test the hypothesis that lost life years due to natural causes starts in early and mid-adulthood, supporting the hypothesis of accelerated aging. Methods Using individual data from nationwide registers of patient with a diagnosis of bipolar disorder we calculated remaining life expectancies before age 90 years for values of age 15, 25, 35...75 years among all individuals alive in year 2000. Further, we estimated the reduction in life expectancy due to natural causes (physical illnesses) and unnatural causes (suicide and accidents) in relation to age. Results A total of 22,635 patients with bipolar disorder were included in the study in addition to data from the entire Danish general population of 5.4 million people. At age 15 years, remaining life expectancy before age 90 years was decreased 12.7 and 8.9 life years, respectively, for men and women with bipolar disorder. For 15-year old boys with bipolar disorder, natural causes accounted for 58% of all lost life years and for 15-year old girls, natural causes accounted for 67% increasing to 74% and 80% for 45-year old men and women, respectively. Limitations Data concern patients who get contact to hospital psychiatry only. Conclusions Natural causes of death is the most prevalent reason for lost life years already from adolescence and increases substantially during early and mid-adulthood, in this way supporting the hypothesis of accelerated aging. Early intervention in bipolar disorder should not only focus on improving outcome of the bipolar disorder but also on decreasing the risk of comorbid general medical illnesses.","author":[{"dropping-particle":"","family":"Kessing","given":"Lars Vedel","non-dropping-particle":"","parse-names":false,"suffix":""},{"dropping-particle":"","family":"Vradi","given":"Eleni","non-dropping-particle":"","parse-names":false,"suffix":""},{"dropping-particle":"","family":"McIntyre","given":"Roger S.","non-dropping-particle":"","parse-names":false,"suffix":""},{"dropping-particle":"","family":"Andersen","given":"Per Kragh","non-dropping-particle":"","parse-names":false,"suffix":""}],"container-title":"Journal of Affective Disorders","id":"ITEM-2","issued":{"date-parts":[["2015"]]},"title":"Causes of decreased life expectancy over the life span in bipolar disorder","type":"article-journal"},"uris":["http://www.mendeley.com/documents/?uuid=1f61415e-eefe-4e04-a0a2-71d79f3602d2","http://www.mendeley.com/documents/?uuid=3682c225-8d93-4115-bf59-62be0fdd673e"]}],"mendeley":{"formattedCitation":"(Kessing et al., 2015; Pan et al., 2020)","plainTextFormattedCitation":"(Kessing et al., 2015; Pan et al., 2020)","previouslyFormattedCitation":"(Kessing et al., 2015; Pan et al., 2020)"},"properties":{"noteIndex":0},"schema":"https://github.com/citation-style-language/schema/raw/master/csl-citation.json"}</w:instrText>
      </w:r>
      <w:r w:rsidR="00CC69BB"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(Kessing et al., 2015; Pan et al., 2020)</w:t>
      </w:r>
      <w:r w:rsidR="00CC69BB" w:rsidRPr="00446D07">
        <w:rPr>
          <w:rFonts w:ascii="Times New Roman" w:hAnsi="Times New Roman" w:cs="Times New Roman"/>
          <w:sz w:val="22"/>
          <w:szCs w:val="22"/>
          <w:lang w:val="en-US"/>
        </w:rPr>
        <w:fldChar w:fldCharType="end"/>
      </w:r>
      <w:r w:rsidR="00B75FCA" w:rsidRPr="00446D07">
        <w:rPr>
          <w:rFonts w:ascii="Times New Roman" w:hAnsi="Times New Roman" w:cs="Times New Roman"/>
          <w:sz w:val="22"/>
          <w:szCs w:val="22"/>
          <w:lang w:val="en-US"/>
        </w:rPr>
        <w:t xml:space="preserve"> which is largely due to medical comorbidities, </w:t>
      </w:r>
      <w:r w:rsidR="00E721B3" w:rsidRPr="00446D07">
        <w:rPr>
          <w:rFonts w:ascii="Times New Roman" w:hAnsi="Times New Roman" w:cs="Times New Roman"/>
          <w:sz w:val="22"/>
          <w:szCs w:val="22"/>
          <w:lang w:val="en-US"/>
        </w:rPr>
        <w:t>diabetes,</w:t>
      </w:r>
      <w:r w:rsidR="00DE6DF4" w:rsidRPr="00DE6DF4">
        <w:rPr>
          <w:rFonts w:ascii="Times New Roman" w:hAnsi="Times New Roman" w:cs="Times New Roman"/>
          <w:sz w:val="22"/>
          <w:szCs w:val="22"/>
          <w:lang w:val="en-US"/>
        </w:rPr>
        <w:t xml:space="preserve"> </w:t>
      </w:r>
      <w:r w:rsidR="00DE6DF4" w:rsidRPr="00446D07">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{"citationItems":[{"id":"ITEM-1","itemData":{"DOI":"10.1002/wps.20309","ISSN":"20515545","PMID":"27265707","abstract":"Type 2 diabetes mellitus (T2DM) is highly predictive of cardiovascular diseases and can have particularly deleterious health impacts in people with severe mental illness (SMI), i.e. schizophrenia, bipolar disorder or major depressive disorder. This meta-analysis aimed: a) to describe pooled frequencies of T2DM in people with SMI; b) to analyze the influence of demographic, illness and treatment variables as well as T2DM assessment methods; and c) to describe T2DM prevalence in studies directly comparing persons with each specific SMI diagnosis to general population samples. The trim and fill adjusted pooled T2DM prevalence among 438,245 people with SMI was 11.3% (95% CI: 10.0%-12.6%). In antipsychotic-naïve participants, the prevalence of T2DM was 2.9% (95% CI: 1.7%-4.8%). There were no significant diagnostic subgroup differences. A comparative meta-analysis established that multi-episode persons with SMI (N=133,470) were significantly more likely to have T2DM than matched controls (N=5,622,664): relative risk, RR=1.85, 95% CI: 1.45-2.37, p&lt;0.001. The T2DM prevalence was consistently elevated in each of the three major diagnostic subgroups compared to matched controls. Higher T2DM prevalences were observed in women with SMI compared to men (RR=1.43, 95% CI: 1.20-1.69, p&lt;0.001). Multi-episode (versus first-episode) status was the only significant predictor for T2DM in a multivariable meta-regression analysis (r2=0.52, p&lt;0.001). The T2DM prevalence was higher in patients prescribed antipsychotics, except for aripriprazole and amisulpride. Routine screening and multidisciplinary management of T2DM is needed. T2DM risks of individual antipsychotic medications should be considered when making treatment choices.","author":[{"dropping-particle":"","family":"Vancampfort","given":"Davy","non-dropping-particle":"","parse-names":false,"suffix":""},{"dropping-particle":"","family":"Correll","given":"Christoph U.","non-dropping-particle":"","parse-names":false,"suffix":""},{"dropping-particle":"","family":"Galling","given":"Britta","non-dropping-particle":"","parse-names":false,"suffix":""},{"dropping-particle":"","family":"Probst","given":"Michel","non-dropping-particle":"","parse-names":false,"suffix":""},{"dropping-particle":"","family":"Hert","given":"Marc","non-dropping-particle":"De","parse-names":false,"suffix":""},{"dropping-particle":"","family":"Ward","given":"Philip B.","non-dropping-particle":"","parse-names":false,"suffix":""},{"dropping-particle":"","family":"Rosenbaum","given":"Simon","non-dropping-particle":"","parse-names":false,"suffix":""},{"dropping-particle":"","family":"Gaughran","given":"Fiona","non-dropping-particle":"","parse-names":false,"suffix":""},{"dropping-particle":"","family":"Lally","given":"John","non-dropping-particle":"","parse-names":false,"suffix":""},{"dropping-particle":"","family":"Stubbs","given":"Brendon","non-dropping-particle":"","parse-names":false,"suffix":""}],"container-title":"World Psychiatry","id":"ITEM-1","issue":"2","issued":{"date-parts":[["2016","6","1"]]},"page":"166-174","publisher":"Blackwell Publishing Ltd","title":"Diabetes mellitus in people with schizophrenia, bipolar disorder and major depressive disorder: A systematic review and large scale meta-analysis","type":"article-journal","volume":"15"},"uris":["http://www.mendeley.com/documents/?uuid=7b821ce9-681f-3462-a41c-59da92bbf848","http://www.mendeley.com/documents/?uuid=4eb88167-c168-405c-8ba4-f2a343f64af1"]}],"mendeley":{"formattedCitation":"(Vancampfort et al., 2016)","plainTextFormattedCitation":"(Vancampfort et al., 2016)","previouslyFormattedCitation":"(Vancampfort et al., 2016)"},"properties":{"noteIndex":0},"schema":"https://github.com/citation-style-language/schema/raw/master/csl-citation.json"}</w:instrText>
      </w:r>
      <w:r w:rsidR="00DE6DF4"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(Vancampfort et al., 2016)</w:t>
      </w:r>
      <w:r w:rsidR="00DE6DF4" w:rsidRPr="00446D07">
        <w:rPr>
          <w:rFonts w:ascii="Times New Roman" w:hAnsi="Times New Roman" w:cs="Times New Roman"/>
          <w:sz w:val="22"/>
          <w:szCs w:val="22"/>
          <w:lang w:val="en-US"/>
        </w:rPr>
        <w:fldChar w:fldCharType="end"/>
      </w:r>
      <w:r w:rsidR="00E721B3" w:rsidRPr="00446D07">
        <w:rPr>
          <w:rFonts w:ascii="Times New Roman" w:hAnsi="Times New Roman" w:cs="Times New Roman"/>
          <w:sz w:val="22"/>
          <w:szCs w:val="22"/>
          <w:lang w:val="en-US"/>
        </w:rPr>
        <w:t xml:space="preserve"> metabolic syndrome,</w:t>
      </w:r>
      <w:r w:rsidR="004F1735" w:rsidRPr="004F1735">
        <w:rPr>
          <w:rFonts w:ascii="Times New Roman" w:hAnsi="Times New Roman" w:cs="Times New Roman"/>
          <w:sz w:val="22"/>
          <w:szCs w:val="22"/>
          <w:lang w:val="en-US"/>
        </w:rPr>
        <w:t xml:space="preserve"> </w:t>
      </w:r>
      <w:r w:rsidR="004F1735" w:rsidRPr="00446D07">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{"citationItems":[{"id":"ITEM-1","itemData":{"DOI":"10.1002/wps.20252","ISBN":"1723-8617 (Print)\r1723-8617 (Linking)","PMID":"26407790","author":[{"dropping-particle":"","family":"Vancampfort","given":"D","non-dropping-particle":"","parse-names":false,"suffix":""},{"dropping-particle":"","family":"Stubbs","given":"B","non-dropping-particle":"","parse-names":false,"suffix":""},{"dropping-particle":"","family":"Mitchell","given":"A J","non-dropping-particle":"","parse-names":false,"suffix":""},{"dropping-particle":"","family":"Hert","given":"M","non-dropping-particle":"De","parse-names":false,"suffix":""},{"dropping-particle":"","family":"Wampers","given":"M","non-dropping-particle":"","parse-names":false,"suffix":""},{"dropping-particle":"","family":"Ward","given":"P B","non-dropping-particle":"","parse-names":false,"suffix":""},{"dropping-particle":"","family":"Rosenbaum","given":"S","non-dropping-particle":"","parse-names":false,"suffix":""},{"dropping-particle":"","family":"Correll","given":"C U","non-dropping-particle":"","parse-names":false,"suffix":""}],"container-title":"World Psychiatry","id":"ITEM-1","issue":"3","issued":{"date-parts":[["2015"]]},"page":"339-347","title":"Risk of metabolic syndrome and its components in people with schizophrenia and related psychotic disorders, bipolar disorder and major depressive disorder: a systematic review and meta-analysis","type":"article-journal","volume":"14"},"uris":["http://www.mendeley.com/documents/?uuid=af77ff28-ef80-49c7-bd3c-d2c308d3f666","http://www.mendeley.com/documents/?uuid=099f2433-89ee-4257-bf80-3dae930e34dc"]}],"mendeley":{"formattedCitation":"(Vancampfort et al., 2015)","plainTextFormattedCitation":"(Vancampfort et al., 2015)","previouslyFormattedCitation":"(Vancampfort et al., 2015)"},"properties":{"noteIndex":0},"schema":"https://github.com/citation-style-language/schema/raw/master/csl-citation.json"}</w:instrText>
      </w:r>
      <w:r w:rsidR="004F1735"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(Vancampfort et al., 2015)</w:t>
      </w:r>
      <w:r w:rsidR="004F1735" w:rsidRPr="00446D07">
        <w:rPr>
          <w:rFonts w:ascii="Times New Roman" w:hAnsi="Times New Roman" w:cs="Times New Roman"/>
          <w:sz w:val="22"/>
          <w:szCs w:val="22"/>
          <w:lang w:val="en-US"/>
        </w:rPr>
        <w:fldChar w:fldCharType="end"/>
      </w:r>
      <w:r w:rsidR="00E721B3" w:rsidRPr="00446D07">
        <w:rPr>
          <w:rFonts w:ascii="Times New Roman" w:hAnsi="Times New Roman" w:cs="Times New Roman"/>
          <w:sz w:val="22"/>
          <w:szCs w:val="22"/>
          <w:lang w:val="en-US"/>
        </w:rPr>
        <w:t xml:space="preserve"> and cardi</w:t>
      </w:r>
      <w:r w:rsidR="009E7530">
        <w:rPr>
          <w:rFonts w:ascii="Times New Roman" w:hAnsi="Times New Roman" w:cs="Times New Roman"/>
          <w:sz w:val="22"/>
          <w:szCs w:val="22"/>
          <w:lang w:val="en-US"/>
        </w:rPr>
        <w:t>ovascular disease in particular</w:t>
      </w:r>
      <w:r w:rsidR="002D0124" w:rsidRPr="002D0124">
        <w:rPr>
          <w:rFonts w:ascii="Times New Roman" w:hAnsi="Times New Roman" w:cs="Times New Roman"/>
          <w:sz w:val="22"/>
          <w:szCs w:val="22"/>
          <w:lang w:val="en-US"/>
        </w:rPr>
        <w:t xml:space="preserve"> </w:t>
      </w:r>
      <w:r w:rsidR="002D0124" w:rsidRPr="00446D07">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{"citationItems":[{"id":"ITEM-1","itemData":{"DOI":"10.1002/wps.20420","ISSN":"20515545","abstract":"© 2017 World Psychiatric Association People with severe mental illness (SMI) – schizophrenia, bipolar disorder and major depressive disorder – appear at risk for cardiovascular disease (CVD), but a comprehensive meta-analysis is lacking. We conducted a large-scale meta-analysis assessing the prevalence and incidence of CVD; coronary heart disease; stroke, transient ischemic attack or cerebrovascular disease; congestive heart failure; peripheral vascular disease; and CVD-related death in SMI patients (N=3,211,768) versus controls (N=113,383,368) (92 studies). The pooled CVD prevalence in SMI patients (mean age 50 years) was 9.9% (95% CI: 7.4-13.3). Adjusting for a median of seven confounders, patients had significantly higher odds of CVD versus controls in cross-sectional studies (odds ratio, OR=1.53, 95% CI: 1.27-1.83; 11 studies), and higher odds of coronary heart disease (OR=1.51, 95% CI: 1.47-1.55) and cerebrovascular disease (OR=1.42, 95% CI: 1.21-1.66). People with major depressive disorder were at increased risk for coronary heart disease, while those with schizophrenia were at increased risk for coronary heart disease, cerebrovascular disease and congestive heart failure. Cumulative CVD incidence in SMI patients was 3.6% (95% CI: 2.7-5.3) during a median follow-up of 8.4 years (range 1.8-30.0). Adjusting for a median of six confounders, SMI patients had significantly higher CVD incidence than controls in longitudinal studies (hazard ratio, HR=1.78, 95% CI: 1.60-1.98; 31 studies). The incidence was also higher for coronary heart disease (HR=1.54, 95% CI: 1.30-1.82), cerebrovascular disease (HR=1.64, 95% CI: 1.26-2.14), congestive heart failure (HR=2.10, 95% CI: 1.64-2.70), and CVD-related death (HR=1.85, 95% CI: 1.53-2.24). People with major depressive disorder, bipolar disorder and schizophrenia were all at increased risk of CVD-related death versus controls. CVD incidence increased with antipsychotic use (p=0.008), higher body mass index (p=0.008) and higher baseline CVD prevalence (p=0.03) in patients vs. controls. Moreover, CVD prevalence (p=0.007), but not CVD incidence (p=0.21), increased in more recently conducted studies. This large-scale meta-analysis confirms that SMI patients have significantly increased risk of CVD and CVD-related mortality, and that elevated body mass index, antipsychotic use, and CVD screening and management require urgent clinical attention.","author":[{"dropping-particle":"","family":"Correll","given":"C.U.","non-dropping-particle":"","parse-names":false,"suffix":""},{"dropping-particle":"","family":"Solmi","given":"M.","non-dropping-particle":"","parse-names":false,"suffix":""},{"dropping-particle":"","family":"Veronese","given":"N.","non-dropping-particle":"","parse-names":false,"suffix":""},{"dropping-particle":"","family":"Bortolato","given":"B.","non-dropping-particle":"","parse-names":false,"suffix":""},{"dropping-particle":"","family":"Rosson","given":"S.","non-dropping-particle":"","parse-names":false,"suffix":""},{"dropping-particle":"","family":"Santonastaso","given":"P.","non-dropping-particle":"","parse-names":false,"suffix":""},{"dropping-particle":"","family":"Thapa-Chhetri","given":"N.","non-dropping-particle":"","parse-names":false,"suffix":""},{"dropping-particle":"","family":"Fornaro","given":"M.","non-dropping-particle":"","parse-names":false,"suffix":""},{"dropping-particle":"","family":"Gallicchio","given":"D.","non-dropping-particle":"","parse-names":false,"suffix":""},{"dropping-particle":"","family":"Collantoni","given":"E.","non-dropping-particle":"","parse-names":false,"suffix":""},{"dropping-particle":"","family":"Pigato","given":"G.","non-dropping-particle":"","parse-names":false,"suffix":""},{"dropping-particle":"","family":"Favaro","given":"A.","non-dropping-particle":"","parse-names":false,"suffix":""},{"dropping-particle":"","family":"Monaco","given":"F.","non-dropping-particle":"","parse-names":false,"suffix":""},{"dropping-particle":"","family":"Kohler","given":"C.","non-dropping-particle":"","parse-names":false,"suffix":""},{"dropping-particle":"","family":"Vancampfort","given":"D.","non-dropping-particle":"","parse-names":false,"suffix":""},{"dropping-particle":"","family":"Ward","given":"P.B.","non-dropping-particle":"","parse-names":false,"suffix":""},{"dropping-particle":"","family":"Gaughran","given":"F.","non-dropping-particle":"","parse-names":false,"suffix":""},{"dropping-particle":"","family":"Carvalho","given":"A.F.","non-dropping-particle":"","parse-names":false,"suffix":""},{"dropping-particle":"","family":"Stubbs","given":"B.","non-dropping-particle":"","parse-names":false,"suffix":""}],"container-title":"World Psychiatry","id":"ITEM-1","issue":"2","issued":{"date-parts":[["2017"]]},"title":"Prevalence, incidence and mortality from cardiovascular disease in patients with pooled and specific severe mental illness: a large-scale meta-analysis of 3,211,768 patients and 113,383,368 controls","type":"article-journal","volume":"16"},"uris":["http://www.mendeley.com/documents/?uuid=3f188537-b413-3dc3-b549-70b1f495a8b7","http://www.mendeley.com/documents/?uuid=045333e9-b30f-40d7-9a9b-ba5fa1996450"]},{"id":"ITEM-2","itemData":{"DOI":"10.1038/s41569-020-00463-7","ISSN":"1759-5010","abstract":"Individuals diagnosed with schizophrenia or bipolar disorder have a life expectancy 15–20 years shorter than that in the general population. The rate of unnatural deaths, such as suicide and accidents, is high for these patients. Despite this increased proportion of unnatural deaths, physical conditions account for approximately 70% of deaths in patients with either schizophrenia or bipolar disorder, with cardiovascular disease contributing 17.4% and 22.0% to the reduction in overall life expectancy in men and women, respectively. Risk factors for cardiovascular disease, such as smoking, unhealthy diet and lack of exercise, are common in these patients, and lifestyle interventions have been shown to have small effects. Pharmacological interventions to reduce risk factors for cardiovascular disease have been proven to be effective. Treatment with antipsychotic drugs is associated with reduced mortality but also with an increased risk of weight gain, dyslipidaemia and diabetes mellitus. These patients have higher risks of both myocardial infarction and stroke but a lower risk of undergoing interventional procedures compared with the general population. Data indicate a negative attitude from clinicians working outside the mental health fields towards patients with severe mental illness. Education might be a possible method to decrease the negative attitudes towards these patients, thereby improving their rates of diagnosis and treatment.","author":[{"dropping-particle":"","family":"Nielsen","given":"René Ernst","non-dropping-particle":"","parse-names":false,"suffix":""},{"dropping-particle":"","family":"Banner","given":"Jytte","non-dropping-particle":"","parse-names":false,"suffix":""},{"dropping-particle":"","family":"Jensen","given":"Svend Eggert","non-dropping-particle":"","parse-names":false,"suffix":""}],"container-title":"Nature Reviews Cardiology","id":"ITEM-2","issued":{"date-parts":[["2020"]]},"title":"Cardiovascular disease in patients with severe mental illness","type":"article-journal"},"uris":["http://www.mendeley.com/documents/?uuid=fc668bc0-1903-4882-8271-bdfbc706d10a","http://www.mendeley.com/documents/?uuid=618ce000-cdb4-4d63-a5a6-bd5d933444ed"]},{"id":"ITEM-3","itemData":{"DOI":"10.1001/jamapsychiatry.2013.1394","ISSN":"2168622X","PMID":"23863861","abstract":"IMPORTANCE: Bipolar disorder is associated with premature mortality, but the specific causes and underlying pathways are unclear. OBJECTIVE: To examine the physical health effects of bipolar disorder using outpatient and inpatient data for a national population. DESIGN, SETTING, AND PARTICIPANTS: National cohort study of 6 587 036 Swedish adults, including 6618 with bipolar disorder. MAIN OUTCOMES AND MEASURES: Physical comorbidities diagnosed in any outpatient or inpatient setting nationwide and mortality (January 1, 2003, through December 31, 2009). RESULTS: Women and men with bipolar disorder died 9.0 and 8.5 years earlier on average than the rest of the population, respectively. All-cause mortality was increased 2-fold among women (adjusted hazard ratio [aHR], 2.34; 95% CI, 2.16-2.53) and men (aHR, 2.03; 95% CI, 1.85-2.23) with bipolar disorder, compared with the rest of the population. Patients with bipolar disorder had increased mortality from cardiovascular disease, diabetes mellitus, chronic obstructive pulmonary disease (COPD), influenza or pneumonia, unintentional injuries, and suicide for both women and men and cancer for women only. Suicide risk was 10-fold among women (aHR, 10.37; 95% CI, 7.36-14.60) and 8-fold among men (aHR, 8.09; 95% CI, 5.98-10.95) with bipolar disorder, compared with the rest of the population. Substance use disorders contributed only modestly to these findings. The association between bipolar disorder and mortality from chronic diseases (ischemic heart disease, diabetes, COPD, or cancer) was weaker among persons with a prior diagnosis of these conditions (aHR, 1.40; 95% CI, 1.26-1.56) than among those without a prior diagnosis (aHR, 2.38; 95% CI, 1.95-2.90; P&lt;inf&gt;interaction&lt;/inf&gt; = .01). CONCLUSIONS AND RELEVANCE: In this large national cohort study, patients with bipolar disorder died prematurely from multiple causes, including cardiovascular disease, diabetes, COPD, influenza or pneumonia, unintentional injuries, and suicide. However, chronic disease mortality among those with more timely medical diagnosis approached that of the general population, suggesting that better provision of primary medical care may effectively reduce premature mortality among persons with bipolar disorder.","author":[{"dropping-particle":"","family":"Crump","given":"Casey","non-dropping-particle":"","parse-names":false,"suffix":""},{"dropping-particle":"","family":"Sundquist","given":"Kristina","non-dropping-particle":"","parse-names":false,"suffix":""},{"dropping-particle":"","family":"Winkleby","given":"Marilyn A.","non-dropping-particle":"","parse-names":false,"suffix":""},{"dropping-particle":"","family":"Sundquist","given":"Jan","non-dropping-particle":"","parse-names":false,"suffix":""}],"container-title":"JAMA Psychiatry","id":"ITEM-3","issue":"9","issued":{"date-parts":[["2013"]]},"page":"931-939","publisher":"American Medical Association","title":"Comorbidities and mortality in bipolar disorder: A Swedish national cohort study","type":"article-journal","volume":"70"},"uris":["http://www.mendeley.com/documents/?uuid=51424174-44b7-39ae-b39c-22c01f8927aa","http://www.mendeley.com/documents/?uuid=76b2877d-a9f0-44da-bea0-2f5cf9f26974"]}],"mendeley":{"formattedCitation":"(Correll et al., 2017; Crump et al., 2013; Nielsen et al., 2020)","plainTextFormattedCitation":"(Correll et al., 2017; Crump et al., 2013; Nielsen et al., 2020)","previouslyFormattedCitation":"(Correll et al., 2017; Crump et al., 2013; Nielsen et al., 2020)"},"properties":{"noteIndex":0},"schema":"https://github.com/citation-style-language/schema/raw/master/csl-citation.json"}</w:instrText>
      </w:r>
      <w:r w:rsidR="002D0124" w:rsidRPr="00446D07">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(Correll et al., 2017; Crump et al., 2013; Nielsen et al., 2020)</w:t>
      </w:r>
      <w:r w:rsidR="002D0124" w:rsidRPr="00446D07">
        <w:rPr>
          <w:rFonts w:ascii="Times New Roman" w:hAnsi="Times New Roman" w:cs="Times New Roman"/>
          <w:sz w:val="22"/>
          <w:szCs w:val="22"/>
          <w:lang w:val="en-US"/>
        </w:rPr>
        <w:fldChar w:fldCharType="end"/>
      </w:r>
      <w:r w:rsidR="009E7530">
        <w:rPr>
          <w:rFonts w:ascii="Times New Roman" w:hAnsi="Times New Roman" w:cs="Times New Roman"/>
          <w:sz w:val="22"/>
          <w:szCs w:val="22"/>
          <w:lang w:val="en-US"/>
        </w:rPr>
        <w:t>.</w:t>
      </w:r>
      <w:r w:rsidR="00C825B5" w:rsidRPr="00C825B5">
        <w:rPr>
          <w:rFonts w:ascii="Times New Roman" w:hAnsi="Times New Roman" w:cs="Times New Roman"/>
          <w:sz w:val="22"/>
          <w:szCs w:val="22"/>
          <w:lang w:val="en-US"/>
        </w:rPr>
        <w:t xml:space="preserve"> </w:t>
      </w:r>
      <w:r w:rsidR="00C825B5">
        <w:rPr>
          <w:rFonts w:ascii="Times New Roman" w:hAnsi="Times New Roman" w:cs="Times New Roman"/>
          <w:sz w:val="22"/>
          <w:szCs w:val="22"/>
          <w:lang w:val="en-US"/>
        </w:rPr>
        <w:t>Importantly, a pro-inflammatory status might also underlie the high comorbidity between BD and cardiometabolic diseases.</w:t>
      </w:r>
      <w:r w:rsidR="00C825B5">
        <w:rPr>
          <w:rFonts w:ascii="Times New Roman" w:hAnsi="Times New Roman" w:cs="Times New Roman"/>
          <w:sz w:val="22"/>
          <w:szCs w:val="22"/>
          <w:lang w:val="en-US"/>
        </w:rPr>
        <w:fldChar w:fldCharType="begin" w:fldLock="1"/>
      </w:r>
      <w:r w:rsidR="00603167">
        <w:rPr>
          <w:rFonts w:ascii="Times New Roman" w:hAnsi="Times New Roman" w:cs="Times New Roman"/>
          <w:sz w:val="22"/>
          <w:szCs w:val="22"/>
          <w:lang w:val="en-US"/>
        </w:rPr>
        <w:instrText>ADDIN CSL_CITATION {"citationItems":[{"id":"ITEM-1","itemData":{"DOI":"10.1002/wps.20420","ISSN":"20515545","abstract":"© 2017 World Psychiatric Association People with severe mental illness (SMI) – schizophrenia, bipolar disorder and major depressive disorder – appear at risk for cardiovascular disease (CVD), but a comprehensive meta-analysis is lacking. We conducted a large-scale meta-analysis assessing the prevalence and incidence of CVD; coronary heart disease; stroke, transient ischemic attack or cerebrovascular disease; congestive heart failure; peripheral vascular disease; and CVD-related death in SMI patients (N=3,211,768) versus controls (N=113,383,368) (92 studies). The pooled CVD prevalence in SMI patients (mean age 50 years) was 9.9% (95% CI: 7.4-13.3). Adjusting for a median of seven confounders, patients had significantly higher odds of CVD versus controls in cross-sectional studies (odds ratio, OR=1.53, 95% CI: 1.27-1.83; 11 studies), and higher odds of coronary heart disease (OR=1.51, 95% CI: 1.47-1.55) and cerebrovascular disease (OR=1.42, 95% CI: 1.21-1.66). People with major depressive disorder were at increased risk for coronary heart disease, while those with schizophrenia were at increased risk for coronary heart disease, cerebrovascular disease and congestive heart failure. Cumulative CVD incidence in SMI patients was 3.6% (95% CI: 2.7-5.3) during a median follow-up of 8.4 years (range 1.8-30.0). Adjusting for a median of six confounders, SMI patients had significantly higher CVD incidence than controls in longitudinal studies (hazard ratio, HR=1.78, 95% CI: 1.60-1.98; 31 studies). The incidence was also higher for coronary heart disease (HR=1.54, 95% CI: 1.30-1.82), cerebrovascular disease (HR=1.64, 95% CI: 1.26-2.14), congestive heart failure (HR=2.10, 95% CI: 1.64-2.70), and CVD-related death (HR=1.85, 95% CI: 1.53-2.24). People with major depressive disorder, bipolar disorder and schizophrenia were all at increased risk of CVD-related death versus controls. CVD incidence increased with antipsychotic use (p=0.008), higher body mass index (p=0.008) and higher baseline CVD prevalence (p=0.03) in patients vs. controls. Moreover, CVD prevalence (p=0.007), but not CVD incidence (p=0.21), increased in more recently conducted studies. This large-scale meta-analysis confirms that SMI patients have significantly increased risk of CVD and CVD-related mortality, and that elevated body mass index, antipsychotic use, and CVD screening and management require urgent clinical attention.","author":[{"dropping-particle":"","family":"Correll","given":"C.U.","non-dropping-particle":"","parse-names":false,"suffix":""},{"dropping-particle":"","family":"Solmi","given":"M.","non-dropping-particle":"","parse-names":false,"suffix":""},{"dropping-particle":"","family":"Veronese","given":"N.","non-dropping-particle":"","parse-names":false,"suffix":""},{"dropping-particle":"","family":"Bortolato","given":"B.","non-dropping-particle":"","parse-names":false,"suffix":""},{"dropping-particle":"","family":"Rosson","given":"S.","non-dropping-particle":"","parse-names":false,"suffix":""},{"dropping-particle":"","family":"Santonastaso","given":"P.","non-dropping-particle":"","parse-names":false,"suffix":""},{"dropping-particle":"","family":"Thapa-Chhetri","given":"N.","non-dropping-particle":"","parse-names":false,"suffix":""},{"dropping-particle":"","family":"Fornaro","given":"M.","non-dropping-particle":"","parse-names":false,"suffix":""},{"dropping-particle":"","family":"Gallicchio","given":"D.","non-dropping-particle":"","parse-names":false,"suffix":""},{"dropping-particle":"","family":"Collantoni","given":"E.","non-dropping-particle":"","parse-names":false,"suffix":""},{"dropping-particle":"","family":"Pigato","given":"G.","non-dropping-particle":"","parse-names":false,"suffix":""},{"dropping-particle":"","family":"Favaro","given":"A.","non-dropping-particle":"","parse-names":false,"suffix":""},{"dropping-particle":"","family":"Monaco","given":"F.","non-dropping-particle":"","parse-names":false,"suffix":""},{"dropping-particle":"","family":"Kohler","given":"C.","non-dropping-particle":"","parse-names":false,"suffix":""},{"dropping-particle":"","family":"Vancampfort","given":"D.","non-dropping-particle":"","parse-names":false,"suffix":""},{"dropping-particle":"","family":"Ward","given":"P.B.","non-dropping-particle":"","parse-names":false,"suffix":""},{"dropping-particle":"","family":"Gaughran","given":"F.","non-dropping-particle":"","parse-names":false,"suffix":""},{"dropping-particle":"","family":"Carvalho","given":"A.F.","non-dropping-particle":"","parse-names":false,"suffix":""},{"dropping-particle":"","family":"Stubbs","given":"B.","non-dropping-particle":"","parse-names":false,"suffix":""}],"container-title":"World Psychiatry","id":"ITEM-1","issue":"2","issued":{"date-parts":[["2017"]]},"title":"Prevalence, incidence and mortality from cardiovascular disease in patients with pooled and specific severe mental illness: a large-scale meta-analysis of 3,211,768 patients and 113,383,368 controls","type":"article-journal","volume":"16"},"uris":["http://www.mendeley.com/documents/?uuid=3f188537-b413-3dc3-b549-70b1f495a8b7"]},{"id":"ITEM-2","itemData":{"DOI":"10.1016/j.jacc.2005.10.055","ISSN":"07351097","PMID":"16516078","abstract":"OBJECTIVES: We aimed to study the relationship between C-reactive-protein (CRP), obtained within 12 to 24 h of symptoms onset, and long-term risk of death and heart failure (HF) in survivors of acute myocardial infarction (MI). BACKGROUND: A robust inflammatory response is an integral component of the response to tissue injury during MI. The magnitude of the early inflammatory response to ischemic injury might be an important determinant of long-term outcome. METHODS: We prospectively studied 1,044 patients admitted with acute MI and discharged from hospital in stable condition. RESULTS: During a median follow-up of 23 months (range, 6 to 42 months), 113 patients died and 112 developed HF. In a multivariable Cox regression model adjusting for clinical variables and predischarge ejection fraction, compared with patients in the first CRP quartile, the adjusted hazard ratios (HRs) for death progressively increased with higher quartiles of CRP (second quartile 1.4 [95% confidence interval (CI) 0.6 to 2.9]; third quartile 2.3 [95% CI 1.2 to 4.6]; fourth quartile 3.0 [95% CI 1.5 to 5.7]; for trend, p = 0.0002). Compared with patients in the first CRP quartile, the adjusted HRs for HF were: second quartile, 1.1 (95% CI 0.5 to 2.3); third quartile, 1.9 (95% CI 1.0 to 3.6); and fourth quartile, 2.1 (95% CI 1.2 to 3.9) (for trend, p = 0.005). CONCLUSIONS: C-reactive-protein is a marker of long-term development of HF and mortality in patients with acute MI and provides prognostic information beyond that provided by conventional risk factors and the degree of left ventricular systolic dysfunction. © 2006 by the American College of Cardiology Foundation.","author":[{"dropping-particle":"","family":"Suleiman","given":"Mahmoud","non-dropping-particle":"","parse-names":false,"suffix":""},{"dropping-particle":"","family":"Khatib","given":"Rania","non-dropping-particle":"","parse-names":false,"suffix":""},{"dropping-particle":"","family":"Agmon","given":"Yoram","non-dropping-particle":"","parse-names":false,"suffix":""},{"dropping-particle":"","family":"Mahamid","given":"Riad","non-dropping-particle":"","parse-names":false,"suffix":""},{"dropping-particle":"","family":"Boulos","given":"Monther","non-dropping-particle":"","parse-names":false,"suffix":""},{"dropping-particle":"","family":"Kapeliovich","given":"Michael","non-dropping-particle":"","parse-names":false,"suffix":""},{"dropping-particle":"","family":"Levy","given":"Yishai","non-dropping-particle":"","parse-names":false,"suffix":""},{"dropping-particle":"","family":"Beyar","given":"Rafael","non-dropping-particle":"","parse-names":false,"suffix":""},{"dropping-particle":"","family":"Markiewicz","given":"Walter","non-dropping-particle":"","parse-names":false,"suffix":""},{"dropping-particle":"","family":"Hammerman","given":"Haim","non-dropping-particle":"","parse-names":false,"suffix":""},{"dropping-particle":"","family":"Aronson","given":"Doron","non-dropping-particle":"","parse-names":false,"suffix":""}],"container-title":"Journal of the American College of Cardiology","id":"ITEM-2","issue":"5","issued":{"date-parts":[["2006","3","7"]]},"page":"962-968","publisher":"J Am Coll Cardiol","title":"Early inflammation and risk of long-term development of heart failure and mortality in survivors of acute myocardial infarction: Predictive role of C-reactive protein","type":"article-journal","volume":"47"},"uris":["http://www.mendeley.com/documents/?uuid=a654b5ba-20c4-34cc-9cc5-b66b24dad660"]}],"mendeley":{"formattedCitation":"(Correll et al., 2017; Suleiman et al., 2006)","plainTextFormattedCitation":"(Correll et al., 2017; Suleiman et al., 2006)","previouslyFormattedCitation":"(Correll et al., 2017; Suleiman et al., 2006)"},"properties":{"noteIndex":0},"schema":"https://github.com/citation-style-language/schema/raw/master/csl-citation.json"}</w:instrText>
      </w:r>
      <w:r w:rsidR="00C825B5">
        <w:rPr>
          <w:rFonts w:ascii="Times New Roman" w:hAnsi="Times New Roman" w:cs="Times New Roman"/>
          <w:sz w:val="22"/>
          <w:szCs w:val="22"/>
          <w:lang w:val="en-US"/>
        </w:rPr>
        <w:fldChar w:fldCharType="separate"/>
      </w:r>
      <w:r w:rsidR="00FC70B3" w:rsidRPr="00FC70B3">
        <w:rPr>
          <w:rFonts w:ascii="Times New Roman" w:hAnsi="Times New Roman" w:cs="Times New Roman"/>
          <w:noProof/>
          <w:sz w:val="22"/>
          <w:szCs w:val="22"/>
          <w:lang w:val="en-US"/>
        </w:rPr>
        <w:t>(Correll et al., 2017; Suleiman et al., 2006)</w:t>
      </w:r>
      <w:r w:rsidR="00C825B5">
        <w:rPr>
          <w:rFonts w:ascii="Times New Roman" w:hAnsi="Times New Roman" w:cs="Times New Roman"/>
          <w:sz w:val="22"/>
          <w:szCs w:val="22"/>
          <w:lang w:val="en-US"/>
        </w:rPr>
        <w:fldChar w:fldCharType="end"/>
      </w:r>
    </w:p>
    <w:p w14:paraId="4A776BDB" w14:textId="49DF82BA" w:rsidR="00101CF9" w:rsidRPr="00446D07" w:rsidRDefault="007F4C02" w:rsidP="009E7530">
      <w:pPr>
        <w:spacing w:line="480" w:lineRule="auto"/>
        <w:ind w:firstLine="720"/>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 xml:space="preserve">Consistent and converging evidence has pointed toward a role of </w:t>
      </w:r>
      <w:r w:rsidR="008E1757">
        <w:rPr>
          <w:rFonts w:ascii="Times New Roman" w:hAnsi="Times New Roman" w:cs="Times New Roman"/>
          <w:sz w:val="22"/>
          <w:szCs w:val="22"/>
          <w:lang w:val="en-US"/>
        </w:rPr>
        <w:t>peripheral immune activation</w:t>
      </w:r>
      <w:r w:rsidRPr="00446D07">
        <w:rPr>
          <w:rFonts w:ascii="Times New Roman" w:hAnsi="Times New Roman" w:cs="Times New Roman"/>
          <w:sz w:val="22"/>
          <w:szCs w:val="22"/>
          <w:lang w:val="en-US"/>
        </w:rPr>
        <w:t xml:space="preserve"> in</w:t>
      </w:r>
      <w:r w:rsidR="008E1757">
        <w:rPr>
          <w:rFonts w:ascii="Times New Roman" w:hAnsi="Times New Roman" w:cs="Times New Roman"/>
          <w:sz w:val="22"/>
          <w:szCs w:val="22"/>
          <w:lang w:val="en-US"/>
        </w:rPr>
        <w:t xml:space="preserve"> the pathophysiolo</w:t>
      </w:r>
      <w:r w:rsidR="003B1A07">
        <w:rPr>
          <w:rFonts w:ascii="Times New Roman" w:hAnsi="Times New Roman" w:cs="Times New Roman"/>
          <w:sz w:val="22"/>
          <w:szCs w:val="22"/>
          <w:lang w:val="en-US"/>
        </w:rPr>
        <w:t>gy of</w:t>
      </w:r>
      <w:r w:rsidRPr="00446D07">
        <w:rPr>
          <w:rFonts w:ascii="Times New Roman" w:hAnsi="Times New Roman" w:cs="Times New Roman"/>
          <w:sz w:val="22"/>
          <w:szCs w:val="22"/>
          <w:lang w:val="en-US"/>
        </w:rPr>
        <w:t xml:space="preserve"> BD</w:t>
      </w:r>
      <w:r w:rsidR="00F17990">
        <w:rPr>
          <w:rFonts w:ascii="Times New Roman" w:hAnsi="Times New Roman" w:cs="Times New Roman"/>
          <w:sz w:val="22"/>
          <w:szCs w:val="22"/>
          <w:lang w:val="en-US"/>
        </w:rPr>
        <w:t xml:space="preserve"> and</w:t>
      </w:r>
      <w:r w:rsidR="009E7530">
        <w:rPr>
          <w:rFonts w:ascii="Times New Roman" w:hAnsi="Times New Roman" w:cs="Times New Roman"/>
          <w:sz w:val="22"/>
          <w:szCs w:val="22"/>
          <w:lang w:val="en-US"/>
        </w:rPr>
        <w:t xml:space="preserve"> associated</w:t>
      </w:r>
      <w:r w:rsidR="00F17990">
        <w:rPr>
          <w:rFonts w:ascii="Times New Roman" w:hAnsi="Times New Roman" w:cs="Times New Roman"/>
          <w:sz w:val="22"/>
          <w:szCs w:val="22"/>
          <w:lang w:val="en-US"/>
        </w:rPr>
        <w:t xml:space="preserve"> medical comorbidit</w:t>
      </w:r>
      <w:r w:rsidR="009E7530">
        <w:rPr>
          <w:rFonts w:ascii="Times New Roman" w:hAnsi="Times New Roman" w:cs="Times New Roman"/>
          <w:sz w:val="22"/>
          <w:szCs w:val="22"/>
          <w:lang w:val="en-US"/>
        </w:rPr>
        <w:t xml:space="preserve">ies </w:t>
      </w:r>
      <w:r w:rsidR="0073221D">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{"citationItems":[{"id":"ITEM-1","itemData":{"DOI":"10.1007/s12035-018-1016-x","ISSN":"1559-1182","abstract":"Here, we review a novel concept namely the compensatory immune-regulatory reflex system (CIRS) as applied to the pathophysiology of major depressive disorder (MDD) and bipolar disorder (BD). There is evidence that a substantial subset of individuals with MDD and BD exhibit an activation of the immune-inflammatory response system (IRS), as indicated by an increased production of macrophagic M1 and T helper (Th)-1 pro-inflammatory cytokines, interleukin (IL)-6 trans-signaling, positive acute phase proteins (APPs), and complement factors. These immune aberrations appear to be evident during the course of major affective episodes of either depressive or (hypo) manic polarity. Here, we review (a) the current state of the art of CIRS functions in both mood disorders and (b) the possible role of CIRS-related biomarkers for the understanding of affective disorders within the framework of precision psychiatry that could also provide novel drug targets for both MDD and BD. CIRS-related abnormalities in mood disorders include elevated Th-2 and T regulatory (Treg) activities with increased IL-4 and IL-10 production, classical IL-6 signaling, increased levels of sIL-1R antagonist (sIL-1RA), soluble IL-2 (sIL-2R) and tumor necrosis factor–α- receptors, and positive APPs, including haptoglobin, hemopexin, α1-acid glycoprotein, α1-antitrypsin, and ceruloplasmin. It is concluded that CIRS is involved in MDD and BD by regulating the primary immune-inflammatory response, thereby contributing to spontaneous and antidepressant-promoted recovery from the acute phase of illness. Signs of activated IRS and CIRS pathways are observed in the remitted phases of both disorders indicating that there is no return to the original homeostasis after an acute episode, while later episodes of mood disorders are characterized by sensitized IRS and CIRS responses. New z-unit weighted composite biomarker scores are proposed, which reflect different aspects of IRS versus CIRS activation and may be used to estimate different IRS/CIRS activity ratios in mood and other neuroimmune disorders.","author":[{"dropping-particle":"","family":"Maes","given":"Michael","non-dropping-particle":"","parse-names":false,"suffix":""},{"dropping-particle":"","family":"Carvalho","given":"Andre F","non-dropping-particle":"","parse-names":false,"suffix":""}],"container-title":"Molecular Neurobiology","id":"ITEM-1","issue":"12","issued":{"date-parts":[["2018"]]},"page":"8885-8903","title":"The Compensatory Immune-Regulatory Reflex System (CIRS) in Depression and Bipolar Disorder","type":"article-journal","volume":"55"},"uris":["http://www.mendeley.com/documents/?uuid=524425d2-a2b1-4e81-8695-33e28023e433","http://www.mendeley.com/documents/?uuid=bb05c81c-f9d4-4fc8-8796-e4ad7e637982"]},{"id":"ITEM-2","itemData":{"DOI":"10.1016/j.biopsych.2013.01.007","ISSN":"0006-3223","author":[{"dropping-particle":"","family":"Modabbernia","given":"Amirhossein","non-dropping-particle":"","parse-names":false,"suffix":""},{"dropping-particle":"","family":"Taslimi","given":"Shervin","non-dropping-particle":"","parse-names":false,"suffix":""},{"dropping-particle":"","family":"Brietzke","given":"Elisa","non-dropping-particle":"","parse-names":false,"suffix":""},{"dropping-particle":"","family":"Ashrafi","given":"Mandana","non-dropping-particle":"","parse-names":false,"suffix":""}],"container-title":"Biological Psychiatry","id":"ITEM-2","issue":"1","issued":{"date-parts":[["2013","7","1"]]},"note":"doi: 10.1016/j.biopsych.2013.01.007","page":"15-25","publisher":"Elsevier","title":"Cytokine Alterations in Bipolar Disorder: A Meta-Analysis of 30 Studies","type":"article-journal","volume":"74"},"uris":["http://www.mendeley.com/documents/?uuid=6bc84bb5-ec1c-48c8-9004-70974a8b1150","http://www.mendeley.com/documents/?uuid=55baed3b-8007-46f5-9780-2a1e827d0eb3"]},{"id":"ITEM-3","itemData":{"DOI":"https://doi.org/10.1016/j.jpsychires.2017.03.018","ISSN":"0022-3956","abstract":"Bipolar disorder (BD) is a neuropsychiatric disorder that is characterized by a phasic course of affective episodes interspersed with a euthymic state. Epidemiological, clinical, genetic, post-mortem and preclinical studies have shown that inflammatory reactions and immune modulation play a pivotal role in the pathophysiology of BD. It is conceptualized that biomarkers of inflammation and immune responses should be employed to monitor the disease process in bipolar patients. The objective of this systematic review is to analyse the inflammatory markers involved in human studies and to explore each individual marker for its potential clinical application and summarize evidence regarding their role in BD. A systematic review of human studies to measure inflammatory markers was conducted, and the studies were identified by searching PubMed/MEDLINE, PsycINFO, EMBASE, and Web of Science databases for peer-reviewed journals that were published until September 2015. In this review, we included peripheral markers, genetic, post-mortem and cell studies with inflammatory biomarker analysis in BD. One hundred and two (102) papers met the inclusion criteria. The pro-inflammatory cytokines were elevated and the anti-inflammatory cytokines were reduced in BD patients, particularly during manic and depressive phases when compared to the controls. These changes tend to disappear in euthymia, indicating that inflammation may be associated with acute phases of BD. Even though there are promising findings in this field, further clinical studies using more established detection techniques are needed to clearly show the benefit of using inflammatory markers in the diagnosis, follow-up and prognosis of patients with BD.","author":[{"dropping-particle":"","family":"Sayana","given":"Pavani","non-dropping-particle":"","parse-names":false,"suffix":""},{"dropping-particle":"","family":"Colpo","given":"Gabriela Delevati","non-dropping-particle":"","parse-names":false,"suffix":""},{"dropping-particle":"","family":"Simões","given":"Lutiana R","non-dropping-particle":"","parse-names":false,"suffix":""},{"dropping-particle":"","family":"Giridharan","given":"Vijayasree Vayalanellore","non-dropping-particle":"","parse-names":false,"suffix":""},{"dropping-particle":"","family":"Teixeira","given":"Antonio Lucio","non-dropping-particle":"","parse-names":false,"suffix":""},{"dropping-particle":"","family":"Quevedo","given":"João","non-dropping-particle":"","parse-names":false,"suffix":""},{"dropping-particle":"","family":"Barichello","given":"Tatiana","non-dropping-particle":"","parse-names":false,"suffix":""}],"container-title":"Journal of Psychiatric Research","id":"ITEM-3","issued":{"date-parts":[["2017"]]},"page":"160-182","title":"A systematic review of evidence for the role of inflammatory biomarkers in bipolar patients","type":"article-journal","volume":"92"},"uris":["http://www.mendeley.com/documents/?uuid=3394b311-bbda-42d5-bfdf-3df7a4e8417b","http://www.mendeley.com/documents/?uuid=33470fdd-218f-43de-a206-6847de598a55"]},{"id":"ITEM-4","itemData":{"DOI":"https://doi.org/10.1016/j.neubiorev.2019.09.025","ISSN":"0149-7634","abstract":"Activated immune-inflammatory, oxidative and nitrosative stress (IO&amp;NS) pathways and consequent mitochondrial aberrations are involved in the pathophysiology of psychiatric disorders including major depression, bipolar disorder and schizophrenia. They offer independent and shared contributions to pathways underpinning medical comorbidities including insulin resistance, metabolic syndrome, obesity and cardiovascular disease - herein conceptualized as somatoprogression. This narrative review of human studies aims to summarize relationships between IO&amp;NS pathways, neuroprogression and somatoprogression. Activated IO&amp;NS pathways, implicated in the neuroprogression of psychiatric disorders, affect the pathogenesis of comorbidities including insulin resistance, dyslipidaemia, obesity and hypertension, and by inference, metabolic syndrome. These conditions activate IO&amp;NS pathways, exacerbating neuroprogression in psychiatric disorders. The processes whereby proinflammatory cytokines, nitrosative and endoplasmic reticulum stress, NADPH oxidase isoforms, PPARγ inactivation, SIRT1 deficiency and intracellular signalling pathways impact lipid metabolism and storage are considered. Through associations between body mass index, chronic neuroinflammation and FTO expression, activation of IO&amp;NS pathways arising from somatoprogression may contribute to neuroprogression. Early evidence highlights the potential of adjuvants targeting IO&amp;NS pathways for treating somatoprogression and neuroprogression.","author":[{"dropping-particle":"","family":"Morris","given":"Gerwyn","non-dropping-particle":"","parse-names":false,"suffix":""},{"dropping-particle":"","family":"Puri","given":"Basant K","non-dropping-particle":"","parse-names":false,"suffix":""},{"dropping-particle":"","family":"Walker","given":"Adam J","non-dropping-particle":"","parse-names":false,"suffix":""},{"dropping-particle":"","family":"Maes","given":"Michael","non-dropping-particle":"","parse-names":false,"suffix":""},{"dropping-particle":"","family":"Carvalho","given":"Andre F","non-dropping-particle":"","parse-names":false,"suffix":""},{"dropping-particle":"","family":"Bortolasci","given":"Chiara C","non-dropping-particle":"","parse-names":false,"suffix":""},{"dropping-particle":"","family":"Walder","given":"Ken","non-dropping-particle":"","parse-names":false,"suffix":""},{"dropping-particle":"","family":"Berk","given":"Michael","non-dropping-particle":"","parse-names":false,"suffix":""}],"container-title":"Neuroscience &amp; Biobehavioral Reviews","id":"ITEM-4","issued":{"date-parts":[["2019"]]},"page":"862-882","title":"Shared pathways for neuroprogression and somatoprogression in neuropsychiatric disorders","type":"article-journal","volume":"107"},"uris":["http://www.mendeley.com/documents/?uuid=7c74c45e-0d71-4ceb-ac6c-486ec80a9196","http://www.mendeley.com/documents/?uuid=d20e7064-e994-4d3c-af91-c6ce41f38f9c"]}],"mendeley":{"formattedCitation":"(Maes and Carvalho, 2018; Modabbernia et al., 2013; Morris et al., 2019; Sayana et al., 2017)","plainTextFormattedCitation":"(Maes and Carvalho, 2018; Modabbernia et al., 2013; Morris et al., 2019; Sayana et al., 2017)","previouslyFormattedCitation":"(Maes and Carvalho, 2018; Modabbernia et al., 2013; Morris et al., 2019; Sayana et al., 2017)"},"properties":{"noteIndex":0},"schema":"https://github.com/citation-style-language/schema/raw/master/csl-citation.json"}</w:instrText>
      </w:r>
      <w:r w:rsidR="0073221D">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(Maes and Carvalho, 2018; Modabbernia et al., 2013; Morris et al., 2019; Sayana et al., 2017)</w:t>
      </w:r>
      <w:r w:rsidR="0073221D">
        <w:rPr>
          <w:rFonts w:ascii="Times New Roman" w:hAnsi="Times New Roman" w:cs="Times New Roman"/>
          <w:sz w:val="22"/>
          <w:szCs w:val="22"/>
          <w:lang w:val="en-US"/>
        </w:rPr>
        <w:fldChar w:fldCharType="end"/>
      </w:r>
      <w:r w:rsidR="009E7530">
        <w:rPr>
          <w:rFonts w:ascii="Times New Roman" w:hAnsi="Times New Roman" w:cs="Times New Roman"/>
          <w:sz w:val="22"/>
          <w:szCs w:val="22"/>
          <w:lang w:val="en-US"/>
        </w:rPr>
        <w:t>.</w:t>
      </w:r>
      <w:r w:rsidRPr="00446D07">
        <w:rPr>
          <w:rFonts w:ascii="Times New Roman" w:hAnsi="Times New Roman" w:cs="Times New Roman"/>
          <w:sz w:val="22"/>
          <w:szCs w:val="22"/>
          <w:lang w:val="en-US"/>
        </w:rPr>
        <w:t xml:space="preserve"> </w:t>
      </w:r>
      <w:r w:rsidR="003B1FAB">
        <w:rPr>
          <w:rFonts w:ascii="Times New Roman" w:hAnsi="Times New Roman" w:cs="Times New Roman"/>
          <w:sz w:val="22"/>
          <w:szCs w:val="22"/>
          <w:lang w:val="en-US"/>
        </w:rPr>
        <w:t xml:space="preserve">Differences in levels of inflammatory mediators have been reported both between </w:t>
      </w:r>
      <w:r w:rsidR="00DF0BD3">
        <w:rPr>
          <w:rFonts w:ascii="Times New Roman" w:hAnsi="Times New Roman" w:cs="Times New Roman"/>
          <w:sz w:val="22"/>
          <w:szCs w:val="22"/>
          <w:lang w:val="en-US"/>
        </w:rPr>
        <w:t>subjects with BD and healthy controls</w:t>
      </w:r>
      <w:r w:rsidR="00572442">
        <w:rPr>
          <w:rFonts w:ascii="Times New Roman" w:hAnsi="Times New Roman" w:cs="Times New Roman"/>
          <w:sz w:val="22"/>
          <w:szCs w:val="22"/>
          <w:lang w:val="en-US"/>
        </w:rPr>
        <w:fldChar w:fldCharType="begin" w:fldLock="1"/>
      </w:r>
      <w:r w:rsidR="00D610F8">
        <w:rPr>
          <w:rFonts w:ascii="Times New Roman" w:hAnsi="Times New Roman" w:cs="Times New Roman"/>
          <w:sz w:val="22"/>
          <w:szCs w:val="22"/>
          <w:lang w:val="en-US"/>
        </w:rPr>
        <w:instrText>ADDIN CSL_CITATION {"citationItems":[{"id":"ITEM-1","itemData":{"DOI":"10.4088/JCP.14r09007","ISSN":"01606689","PMID":"25742201","abstract":"Objective: There is growing evidence that bipolar disorder (BD) is associated with inflammation, including abnormal levels of acute-phase C-reactive protein (CRP). Our meta-analysis was conducted to estimate the size of the association between CRP levels and BD, accounting also for subgroup differences (mood phases and treatment). Data Sources: MEDLINE, EMBASE, PsycINFO, and ISI Web of Science and references of identified articles were searched up to June 2013 using the keywords (bipolar disorder) AND (C-reactive protein OR CRP). Study Selection: English language studies measuring blood levels of CRP in patients with BD and control subjects were selected, 136 abstracts were reviewed, 20 articles retrieved, and 11 studies included. Data Extraction: Two independent reviewers extracted data. All studies were included in the primary analyses, and between-group differences for subanalyses were also reported. This meta-analysis was performed using random-effects models. Results: Eleven studies comprising 1,618 subjects were eligible for inclusion. Overall, CRP levels were significantly elevated in patients with BD versus controls (standardized mean difference [SMD] = 0.39; 95% CI, 0.24 to 0.55; P &lt; .0001). CRP levels were significantly higher in manic (SMD = 0.73; 95% CI, 0.44 to 1.02; P &lt; .001) and euthymic (SMD = 0.26; 95% CI, 0.01 to 0.51; P = .04), but not in depressed (SMD = 0.28; 95% CI, -0.17 to 0.73; P = .22) patients with BD compared to controls. CRP levels were unrelated to use of lithium or antipsychotic medication. Conclusions: This meta-analysis supports an association between increased CRP levels and BD. Given that an elevated level of CRP is a marker of low-grade inflammation and a risk factor for cardiovascular and malignant diseases, measurement of CRP level might be relevant to the clinical care of bipolar patients.","author":[{"dropping-particle":"","family":"Dargél","given":"Aroldo A.","non-dropping-particle":"","parse-names":false,"suffix":""},{"dropping-particle":"","family":"Godin","given":"Ophelia","non-dropping-particle":"","parse-names":false,"suffix":""},{"dropping-particle":"","family":"Kapczinski","given":"Flávio","non-dropping-particle":"","parse-names":false,"suffix":""},{"dropping-particle":"","family":"Kupfer","given":"David J.","non-dropping-particle":"","parse-names":false,"suffix":""},{"dropping-particle":"","family":"Leboyer","given":"Marion","non-dropping-particle":"","parse-names":false,"suffix":""}],"container-title":"Journal of Clinical Psychiatry","id":"ITEM-1","issue":"2","issued":{"date-parts":[["2015","2"]]},"page":"142-150","publisher":"Physicians Postgraduate Press Inc.","title":"C-reactive protein alterations in bipolar disorder: A meta-analysis","type":"article-journal","volume":"76"},"uris":["http://www.mendeley.com/documents/?uuid=2d27b19a-b25b-4433-8676-04c38f818068"]},{"id":"ITEM-2","itemData":{"DOI":"10.1038/mp.2016.3","ISSN":"14765578","PMID":"26903267","abstract":"Schizophrenia, bipolar disorder and major depressive disorder (MDD) have all been associated with aberrant blood cytokine levels; however, neither the pattern of cytokine alterations nor the impact of clinical status have been compared across disorders. We performed a meta-analysis of blood cytokines in acutely and chronically ill patients with these major psychiatric disorders. Articles were identified by searching the PubMed, PsycInfo and Web of Science, and the reference lists of these studies. Sixty-eight studies met the inclusion criteria (40 schizophrenia, 10 bipolar disorder and 18 MDD) for acutely ill patients. Forty-six studies met the inclusion criteria (18 schizophrenia, 16 bipolar disorder and 12 MDD) for chronically ill patients. Levels of two cytokines (interleukin-6 (IL-6), tumor necrosis factor-α; (TNF-α)), one soluble cytokine receptor (sIL-2R), and one cytokine receptor antagonist (IL-1RA) were significantly increased in acutely ill patients with schizophrenia, bipolar mania and MDD compared with controls (P&lt;0.01). Following treatment of the acute illness, IL-6 levels significantly decreased in both schizophrenia and MDD (P&lt;0.01); sIL-2R levels increased in schizophrenia; and IL-1RA levels in bipolar mania decreased. In chronically ill patients, the levels of IL-6 were significantly increased in schizophrenia, euthymic (but not depressed) bipolar disorder and MDD compared with controls (P&lt;0.01). The levels of IL-1β and sIL-2R were significantly increased in both chronic schizophrenia and euthymic bipolar disorder. Overall, there were similarities in the pattern of cytokine alterations in schizophrenia, bipolar disorder and MDD during acute and chronic phases of illness, raising the possibility of common underlying pathways for immune dysfunction. Effects of treatment on cytokines were more robust for schizophrenia and MDD, but were more frequently studied than for acute mania. These findings have important implications for our understanding of the pathophysiology and treatment of major psychiatric disorders.","author":[{"dropping-particle":"","family":"Goldsmith","given":"D. R.","non-dropping-particle":"","parse-names":false,"suffix":""},{"dropping-particle":"","family":"Rapaport","given":"M. H.","non-dropping-particle":"","parse-names":false,"suffix":""},{"dropping-particle":"","family":"Miller","given":"B. J.","non-dropping-particle":"","parse-names":false,"suffix":""}],"container-title":"Molecular Psychiatry","id":"ITEM-2","issue":"12","issued":{"date-parts":[["2016","12","1"]]},"page":"1696-1709","publisher":"Nature Publishing Group","title":"A meta-analysis of blood cytokine network alterations in psychiatric patients: Comparisons between schizophrenia, bipolar disorder and depression","type":"paper-conference","volume":"21"},"uris":["http://www.mendeley.com/documents/?uuid=e0ae677d-71f7-3c62-9b03-8475b2a2d563"]},{"id":"ITEM-3","itemData":{"DOI":"10.1016/j.jpsychires.2013.05.018","ISSN":"00223956","author":[{"dropping-particle":"","family":"Munkholm","given":"Klaus","non-dropping-particle":"","parse-names":false,"suffix":""},{"dropping-particle":"","family":"Braüner","given":"Julie Vestergaard","non-dropping-particle":"","parse-names":false,"suffix":""},{"dropping-particle":"","family":"Kessing","given":"Lars Vedel","non-dropping-particle":"","parse-names":false,"suffix":""},{"dropping-particle":"","family":"Vinberg","given":"Maj","non-dropping-particle":"","parse-names":false,"suffix":""}],"container-title":"Journal of Psychiatric Research","id":"ITEM-3","issue":"9","issued":{"date-parts":[["2013","9"]]},"page":"1119-1133","title":"Cytokines in bipolar disorder vs. healthy control subjects: A systematic review and meta-analysis","type":"article-journal","volume":"47"},"uris":["http://www.mendeley.com/documents/?uuid=7664d54b-e06d-497c-9739-8c59690a3b43"]}],"mendeley":{"formattedCitation":"(Dargél et al., 2015; Goldsmith et al., 2016; Munkholm et al., 2013)","plainTextFormattedCitation":"(Dargél et al., 2015; Goldsmith et al., 2016; Munkholm et al., 2013)","previouslyFormattedCitation":"(Dargél et al., 2015; Goldsmith et al., 2016; Munkholm et al., 2013)"},"properties":{"noteIndex":0},"schema":"https://github.com/citation-style-language/schema/raw/master/csl-citation.json"}</w:instrText>
      </w:r>
      <w:r w:rsidR="00572442">
        <w:rPr>
          <w:rFonts w:ascii="Times New Roman" w:hAnsi="Times New Roman" w:cs="Times New Roman"/>
          <w:sz w:val="22"/>
          <w:szCs w:val="22"/>
          <w:lang w:val="en-US"/>
        </w:rPr>
        <w:fldChar w:fldCharType="separate"/>
      </w:r>
      <w:r w:rsidR="004F26DE" w:rsidRPr="004F26DE">
        <w:rPr>
          <w:rFonts w:ascii="Times New Roman" w:hAnsi="Times New Roman" w:cs="Times New Roman"/>
          <w:noProof/>
          <w:sz w:val="22"/>
          <w:szCs w:val="22"/>
          <w:lang w:val="en-US"/>
        </w:rPr>
        <w:t>(Dargél et al., 2015; Goldsmith et al., 2016; Munkholm et al., 2013)</w:t>
      </w:r>
      <w:r w:rsidR="00572442">
        <w:rPr>
          <w:rFonts w:ascii="Times New Roman" w:hAnsi="Times New Roman" w:cs="Times New Roman"/>
          <w:sz w:val="22"/>
          <w:szCs w:val="22"/>
          <w:lang w:val="en-US"/>
        </w:rPr>
        <w:fldChar w:fldCharType="end"/>
      </w:r>
      <w:r w:rsidR="00DF0BD3">
        <w:rPr>
          <w:rFonts w:ascii="Times New Roman" w:hAnsi="Times New Roman" w:cs="Times New Roman"/>
          <w:sz w:val="22"/>
          <w:szCs w:val="22"/>
          <w:lang w:val="en-US"/>
        </w:rPr>
        <w:t>, and also within subjects with BD, across mood states</w:t>
      </w:r>
      <w:r w:rsidR="00AB3FA5">
        <w:rPr>
          <w:rFonts w:ascii="Times New Roman" w:hAnsi="Times New Roman" w:cs="Times New Roman"/>
          <w:sz w:val="22"/>
          <w:szCs w:val="22"/>
          <w:lang w:val="en-US"/>
        </w:rPr>
        <w:t xml:space="preserve"> in cohort studies </w:t>
      </w:r>
      <w:r w:rsidR="003D7966">
        <w:rPr>
          <w:rFonts w:ascii="Times New Roman" w:hAnsi="Times New Roman" w:cs="Times New Roman"/>
          <w:sz w:val="22"/>
          <w:szCs w:val="22"/>
          <w:lang w:val="en-US"/>
        </w:rPr>
        <w:fldChar w:fldCharType="begin" w:fldLock="1"/>
      </w:r>
      <w:r w:rsidR="00572442">
        <w:rPr>
          <w:rFonts w:ascii="Times New Roman" w:hAnsi="Times New Roman" w:cs="Times New Roman"/>
          <w:sz w:val="22"/>
          <w:szCs w:val="22"/>
          <w:lang w:val="en-US"/>
        </w:rPr>
        <w:instrText>ADDIN CSL_CITATION {"citationItems":[{"id":"ITEM-1","itemData":{"DOI":"10.1016/j.jad.2016.03.040","ISSN":"15732517","PMID":"26994434","abstract":"Background Peripheral blood brain-derived neurotrophic factor (BDNF) and inflammatory markers may reflect key pathophysiological mechanisms in bipolar disorder in relation to disease activity and neuroprogression. Aims To investigate whether neutrophins and inflammatory marker vary with mood states and are increased in patients with bipolar disorder type I during euthymia as well as in all affective states as a group, compared to levels in healthy control subjects. Methods In a prospective 6-12 months follow-up study, we investigated state specific, intra-individual alterations in levels of BDNF, hsCRP, IL-1β, IL-6, IL-8, IL-18 and TNF-α in 60 patients with bipolar I disorder with an acute severe manic index episode and in subsequent euthymic and depressive and manic states and compared with repeated measurements in healthy control subjects. Data were analysed with linear mixed effects model and with adjustment for gender, age, BMI, alcohol intake and smoking. Results From inclusion to end of the 6-12 months follow-up, samples of blood were drawn from the 60 patients during a total of 180 affective states, comprising 57 manic, 11 mixed, 23 depressive and 89 states of euthymia. Further, 69 blood samples were drawn from 35 healthy control subjects with three months apart. In unadjusted mixed-model analysis, levels of IL-6 and IL-8 were increased 64% (b=1.64, 95% CI: 1.31-2.05, p=&lt;0.0001) and 24% (b=1.24, 95% CI: 1.05-1.47, p=0.013), respectively in patients with bipolar disorder overall compared with healthy control subjects. However, in adjusted models, no statistically significant differences were found in any measure between patients and control individuals. Levels of hsCRP in depressive states were decreased with 40% (95% CI: 5-62%, p=0.029) compared with euthymia and with 48% (95% CI: 17-66%, p=0.006) when compared with hypomanic/manic states after adjustment. BDNF and the other inflammatory markers did not vary according to affective state in adjusted mixed models. Limitations Patients were all medicated, specifically with high doses of atypical antipsychotics during the manic index episodes. Conclusions In a sample recruited during hospitalization for acute mania, levels of hsCRP varied according to affective state with higher levels during manic states compared with depressive states.","author":[{"dropping-particle":"","family":"Jacoby","given":"Anne Sophie","non-dropping-particle":"","parse-names":false,"suffix":""},{"dropping-particle":"","family":"Munkholm","given":"Klaus","non-dropping-particle":"","parse-names":false,"suffix":""},{"dropping-particle":"","family":"Vinberg","given":"Maj","non-dropping-particle":"","parse-names":false,"suffix":""},{"dropping-particle":"","family":"Pedersen","given":"Bente Klarlund","non-dropping-particle":"","parse-names":false,"suffix":""},{"dropping-particle":"","family":"Kessing","given":"Lars Vedel","non-dropping-particle":"","parse-names":false,"suffix":""}],"container-title":"Journal of Affective Disorders","id":"ITEM-1","issued":{"date-parts":[["2016","6","1"]]},"page":"167-174","publisher":"Elsevier B.V.","title":"Cytokines, brain-derived neurotrophic factor and C-reactive protein in bipolar i disorder - Results from a prospective study","type":"article-journal","volume":"197"},"uris":["http://www.mendeley.com/documents/?uuid=d3884ba5-68f0-32f8-b305-11443a8b47fb"]},{"id":"ITEM-2","itemData":{"DOI":"10.1016/j.bbi.2014.09.021","ISSN":"08891591","author":[{"dropping-particle":"","family":"Munkholm","given":"Klaus","non-dropping-particle":"","parse-names":false,"suffix":""},{"dropping-particle":"","family":"Weikop","given":"Pia","non-dropping-particle":"","parse-names":false,"suffix":""},{"dropping-particle":"","family":"Kessing","given":"Lars Vedel","non-dropping-particle":"","parse-names":false,"suffix":""},{"dropping-particle":"","family":"Vinberg","given":"Maj","non-dropping-particle":"","parse-names":false,"suffix":""}],"container-title":"Brain, Behavior, and Immunity","id":"ITEM-2","issued":{"date-parts":[["2015","1"]]},"page":"205-213","title":"Elevated levels of IL-6 and IL-18 in manic and hypomanic states in rapid cycling bipolar disorder patients","type":"article-journal","volume":"43"},"uris":["http://www.mendeley.com/documents/?uuid=b2796175-9009-4008-8267-08056a1f37ba"]}],"mendeley":{"formattedCitation":"(Jacoby et al., 2016; Munkholm et al., 2015)","plainTextFormattedCitation":"(Jacoby et al., 2016; Munkholm et al., 2015)","previouslyFormattedCitation":"(Jacoby et al., 2016; Munkholm et al., 2015)"},"properties":{"noteIndex":0},"schema":"https://github.com/citation-style-language/schema/raw/master/csl-citation.json"}</w:instrText>
      </w:r>
      <w:r w:rsidR="003D7966">
        <w:rPr>
          <w:rFonts w:ascii="Times New Roman" w:hAnsi="Times New Roman" w:cs="Times New Roman"/>
          <w:sz w:val="22"/>
          <w:szCs w:val="22"/>
          <w:lang w:val="en-US"/>
        </w:rPr>
        <w:fldChar w:fldCharType="separate"/>
      </w:r>
      <w:r w:rsidR="000251C5" w:rsidRPr="000251C5">
        <w:rPr>
          <w:rFonts w:ascii="Times New Roman" w:hAnsi="Times New Roman" w:cs="Times New Roman"/>
          <w:noProof/>
          <w:sz w:val="22"/>
          <w:szCs w:val="22"/>
          <w:lang w:val="en-US"/>
        </w:rPr>
        <w:t>(Jacoby et al., 2016; Munkholm et al., 2015)</w:t>
      </w:r>
      <w:r w:rsidR="003D7966">
        <w:rPr>
          <w:rFonts w:ascii="Times New Roman" w:hAnsi="Times New Roman" w:cs="Times New Roman"/>
          <w:sz w:val="22"/>
          <w:szCs w:val="22"/>
          <w:lang w:val="en-US"/>
        </w:rPr>
        <w:fldChar w:fldCharType="end"/>
      </w:r>
      <w:r w:rsidR="00DF0BD3">
        <w:rPr>
          <w:rFonts w:ascii="Times New Roman" w:hAnsi="Times New Roman" w:cs="Times New Roman"/>
          <w:sz w:val="22"/>
          <w:szCs w:val="22"/>
          <w:lang w:val="en-US"/>
        </w:rPr>
        <w:t xml:space="preserve">. </w:t>
      </w:r>
      <w:r w:rsidR="00782B22">
        <w:rPr>
          <w:rFonts w:ascii="Times New Roman" w:hAnsi="Times New Roman" w:cs="Times New Roman"/>
          <w:sz w:val="22"/>
          <w:szCs w:val="22"/>
          <w:lang w:val="en-US"/>
        </w:rPr>
        <w:t>D</w:t>
      </w:r>
      <w:r w:rsidR="00101CF9" w:rsidRPr="00446D07">
        <w:rPr>
          <w:rFonts w:ascii="Times New Roman" w:hAnsi="Times New Roman" w:cs="Times New Roman"/>
          <w:sz w:val="22"/>
          <w:szCs w:val="22"/>
          <w:lang w:val="en-US"/>
        </w:rPr>
        <w:t>espite such evidence of increased</w:t>
      </w:r>
      <w:r w:rsidR="005A0FDB">
        <w:rPr>
          <w:rFonts w:ascii="Times New Roman" w:hAnsi="Times New Roman" w:cs="Times New Roman"/>
          <w:sz w:val="22"/>
          <w:szCs w:val="22"/>
          <w:lang w:val="en-US"/>
        </w:rPr>
        <w:t xml:space="preserve"> peripheral immune activation </w:t>
      </w:r>
      <w:r w:rsidR="00101CF9" w:rsidRPr="00446D07">
        <w:rPr>
          <w:rFonts w:ascii="Times New Roman" w:hAnsi="Times New Roman" w:cs="Times New Roman"/>
          <w:sz w:val="22"/>
          <w:szCs w:val="22"/>
          <w:lang w:val="en-US"/>
        </w:rPr>
        <w:t xml:space="preserve">in BD, so far </w:t>
      </w:r>
      <w:r w:rsidR="006B5565">
        <w:rPr>
          <w:rFonts w:ascii="Times New Roman" w:hAnsi="Times New Roman" w:cs="Times New Roman"/>
          <w:sz w:val="22"/>
          <w:szCs w:val="22"/>
          <w:lang w:val="en-US"/>
        </w:rPr>
        <w:t xml:space="preserve">evidence supporting </w:t>
      </w:r>
      <w:r w:rsidR="004F2C30">
        <w:rPr>
          <w:rFonts w:ascii="Times New Roman" w:hAnsi="Times New Roman" w:cs="Times New Roman"/>
          <w:sz w:val="22"/>
          <w:szCs w:val="22"/>
          <w:lang w:val="en-US"/>
        </w:rPr>
        <w:t xml:space="preserve">the </w:t>
      </w:r>
      <w:r w:rsidR="006B5565">
        <w:rPr>
          <w:rFonts w:ascii="Times New Roman" w:hAnsi="Times New Roman" w:cs="Times New Roman"/>
          <w:sz w:val="22"/>
          <w:szCs w:val="22"/>
          <w:lang w:val="en-US"/>
        </w:rPr>
        <w:t>efficacy of either anti-inflammatory or immune</w:t>
      </w:r>
      <w:r w:rsidR="000F6144">
        <w:rPr>
          <w:rFonts w:ascii="Times New Roman" w:hAnsi="Times New Roman" w:cs="Times New Roman"/>
          <w:sz w:val="22"/>
          <w:szCs w:val="22"/>
          <w:lang w:val="en-US"/>
        </w:rPr>
        <w:t xml:space="preserve"> modulator agents for BD </w:t>
      </w:r>
      <w:r w:rsidR="008E3DA5">
        <w:rPr>
          <w:rFonts w:ascii="Times New Roman" w:hAnsi="Times New Roman" w:cs="Times New Roman"/>
          <w:sz w:val="22"/>
          <w:szCs w:val="22"/>
          <w:lang w:val="en-US"/>
        </w:rPr>
        <w:t xml:space="preserve">has </w:t>
      </w:r>
      <w:r w:rsidR="000F6144">
        <w:rPr>
          <w:rFonts w:ascii="Times New Roman" w:hAnsi="Times New Roman" w:cs="Times New Roman"/>
          <w:sz w:val="22"/>
          <w:szCs w:val="22"/>
          <w:lang w:val="en-US"/>
        </w:rPr>
        <w:t>been</w:t>
      </w:r>
      <w:r w:rsidR="00012E26">
        <w:rPr>
          <w:rFonts w:ascii="Times New Roman" w:hAnsi="Times New Roman" w:cs="Times New Roman"/>
          <w:sz w:val="22"/>
          <w:szCs w:val="22"/>
          <w:lang w:val="en-US"/>
        </w:rPr>
        <w:t xml:space="preserve"> weak and</w:t>
      </w:r>
      <w:r w:rsidR="000F6144">
        <w:rPr>
          <w:rFonts w:ascii="Times New Roman" w:hAnsi="Times New Roman" w:cs="Times New Roman"/>
          <w:sz w:val="22"/>
          <w:szCs w:val="22"/>
          <w:lang w:val="en-US"/>
        </w:rPr>
        <w:t xml:space="preserve"> inconsistent</w:t>
      </w:r>
      <w:r w:rsidR="00933AE7">
        <w:rPr>
          <w:rFonts w:ascii="Times New Roman" w:hAnsi="Times New Roman" w:cs="Times New Roman"/>
          <w:sz w:val="22"/>
          <w:szCs w:val="22"/>
          <w:lang w:val="en-US"/>
        </w:rPr>
        <w:t xml:space="preserve"> across</w:t>
      </w:r>
      <w:r w:rsidR="005A0217">
        <w:rPr>
          <w:rFonts w:ascii="Times New Roman" w:hAnsi="Times New Roman" w:cs="Times New Roman"/>
          <w:sz w:val="22"/>
          <w:szCs w:val="22"/>
          <w:lang w:val="en-US"/>
        </w:rPr>
        <w:t xml:space="preserve"> well-designed</w:t>
      </w:r>
      <w:r w:rsidR="00933AE7">
        <w:rPr>
          <w:rFonts w:ascii="Times New Roman" w:hAnsi="Times New Roman" w:cs="Times New Roman"/>
          <w:sz w:val="22"/>
          <w:szCs w:val="22"/>
          <w:lang w:val="en-US"/>
        </w:rPr>
        <w:t xml:space="preserve"> randomized controlled trials</w:t>
      </w:r>
      <w:r w:rsidR="005A0217">
        <w:rPr>
          <w:rFonts w:ascii="Times New Roman" w:hAnsi="Times New Roman" w:cs="Times New Roman"/>
          <w:sz w:val="22"/>
          <w:szCs w:val="22"/>
          <w:lang w:val="en-US"/>
        </w:rPr>
        <w:t xml:space="preserve"> (RCTs)</w:t>
      </w:r>
      <w:r w:rsidR="009E7530">
        <w:rPr>
          <w:rFonts w:ascii="Times New Roman" w:hAnsi="Times New Roman" w:cs="Times New Roman"/>
          <w:sz w:val="22"/>
          <w:szCs w:val="22"/>
          <w:lang w:val="en-US"/>
        </w:rPr>
        <w:t xml:space="preserve"> </w:t>
      </w:r>
      <w:r w:rsidR="00252DE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{"citationItems":[{"id":"ITEM-1","itemData":{"DOI":"10.1001/jamapsychiatry.2019.0779","ISSN":"2168-6238","abstract":"IMPORTANCE: To our knowledge, no study has previously evaluated whether individuals with bipolar depression enriched a priori on the basis of biochemical and/or phenotypic immuno-inflammatory activation would differentially respond to an anti-inflammatory agent for the treatment of depressive symptoms. OBJECTIVE: To assess the antidepressant efficacy of adjunctive infliximab, a monoclonal antibody targeting tumor necrosis factor, in adults with bipolar I and bipolar II depression and inflammatory conditions. DESIGN, SETTING, AND PARTICIPANTS: This 12-week, randomized, double-blind, placebo-controlled, parallel-group trial of 60 participants was conducted at 2 outpatient tertiary care sites in Canada and the United States. Eligible adults (aged 18-65 years) met DSM-5-defined criteria for bipolar I or bipolar II depression and exhibited pretreatment biochemical and/or phenotypic evidence of inflammatory activation. Participants were enrolled between October 1, 2015, and April 30, 2018. Data analysis was performed from May 1 through July 31, 2018, using modified intent-to-treat analysis. INTERVENTIONS: Patients were randomized to receive 3 intravenous infusions of infliximab therapy or placebo at baseline and at weeks 2 and 6 of the 12-week study. MAIN OUTCOMES AND MEASURES: The primary efficacy outcome was baseline-to-end point (ie, week-12) change in Montgomery-Asberg Depression Rating Scale (MADRS) total score. History of childhood maltreatment, as assessed by the Childhood Trauma Questionnaire, was used for exploratory analyses as 1 of several secondary outcomes. RESULTS: A total of 60 participants were randomized to infliximab (n = 29 [48%]; mean [SD] age, 45.0 [11.7] years; 20 of 28 female [71%]) or to placebo (n = 31 [52%]; mean [SD] age, 46.8 [10.2] years; 26 of 30 female [87%]) across study sites. Overall baseline-to-end point change in MADRS total score was observed across treatment × time interaction (χ2 = 10.33; P = .04); reduction in symptom severity was not significant at week 12 (relative risk, 1.09; 95% CI, 0.80-1.50; df = 1; P = .60). As part of a secondary analysis, a significant treatment × time × childhood maltreatment interaction was observed in which infliximab-treated individuals with childhood history of physical abuse exhibited greater reductions in MADRS total score (χ2 = 12.20; P = .02) and higher response rates (≥50% reduction in MADRS total score) (χ2 = 4.05; P = .04). CONCLUSIONS AND RELEVANCE: Infliximab did not significantly…","author":[{"dropping-particle":"","family":"McIntyre","given":"Roger S","non-dropping-particle":"","parse-names":false,"suffix":""},{"dropping-particle":"","family":"Subramaniapillai","given":"Mehala","non-dropping-particle":"","parse-names":false,"suffix":""},{"dropping-particle":"","family":"Lee","given":"Yena","non-dropping-particle":"","parse-names":false,"suffix":""},{"dropping-particle":"","family":"Pan","given":"Zihang","non-dropping-particle":"","parse-names":false,"suffix":""},{"dropping-particle":"","family":"Carmona","given":"Nicole E","non-dropping-particle":"","parse-names":false,"suffix":""},{"dropping-particle":"","family":"Shekotikhina","given":"Margarita","non-dropping-particle":"","parse-names":false,"suffix":""},{"dropping-particle":"","family":"Rosenblat","given":"Joshua D","non-dropping-particle":"","parse-names":false,"suffix":""},{"dropping-particle":"","family":"Brietzke","given":"Elisa","non-dropping-particle":"","parse-names":false,"suffix":""},{"dropping-particle":"","family":"Soczynska","given":"Joanna K","non-dropping-particle":"","parse-names":false,"suffix":""},{"dropping-particle":"","family":"Cosgrove","given":"Victoria E","non-dropping-particle":"","parse-names":false,"suffix":""},{"dropping-particle":"","family":"Miller","given":"Shefali","non-dropping-particle":"","parse-names":false,"suffix":""},{"dropping-particle":"","family":"Fischer","given":"Eileen Grace","non-dropping-particle":"","parse-names":false,"suffix":""},{"dropping-particle":"","family":"Kramer","given":"Nicole E","non-dropping-particle":"","parse-names":false,"suffix":""},{"dropping-particle":"","family":"Dunlap","given":"Kiley","non-dropping-particle":"","parse-names":false,"suffix":""},{"dropping-particle":"","family":"Suppes","given":"Trisha","non-dropping-particle":"","parse-names":false,"suffix":""},{"dropping-particle":"","family":"Mansur","given":"Rodrigo B","non-dropping-particle":"","parse-names":false,"suffix":""}],"container-title":"JAMA psychiatry","id":"ITEM-1","issue":"8","issued":{"date-parts":[["2019","8","1"]]},"language":"eng","page":"783-790","publisher":"American Medical Association","title":"Efficacy of Adjunctive Infliximab vs Placebo in the Treatment of Adults With Bipolar I/II Depression: A Randomized Clinical Trial","type":"article-journal","volume":"76"},"uris":["http://www.mendeley.com/documents/?uuid=7459f7e0-6031-4f7f-a14d-057418a72b5d","http://www.mendeley.com/documents/?uuid=311050bc-351e-47cf-aef7-48f4586c7c64"]},{"id":"ITEM-2","itemData":{"DOI":"10.1016/S2215-0366(20)30138-3","ISSN":"2215-0366","author":[{"dropping-particle":"","family":"Husain","given":"Muhammad Ishrat","non-dropping-particle":"","parse-names":false,"suffix":""},{"dropping-particle":"","family":"Chaudhry","given":"Imran B","non-dropping-particle":"","parse-names":false,"suffix":""},{"dropping-particle":"","family":"Khoso","given":"Ameer B","non-dropping-particle":"","parse-names":false,"suffix":""},{"dropping-particle":"","family":"Husain","given":"Muhammad Omair","non-dropping-particle":"","parse-names":false,"suffix":""},{"dropping-particle":"","family":"Hodsoll","given":"John","non-dropping-particle":"","parse-names":false,"suffix":""},{"dropping-particle":"","family":"Ansari","given":"Moin A","non-dropping-particle":"","parse-names":false,"suffix":""},{"dropping-particle":"","family":"Naqvi","given":"Haider A","non-dropping-particle":"","parse-names":false,"suffix":""},{"dropping-particle":"","family":"Minhas","given":"Fareed A","non-dropping-particle":"","parse-names":false,"suffix":""},{"dropping-particle":"","family":"Carvalho","given":"Andre F","non-dropping-particle":"","parse-names":false,"suffix":""},{"dropping-particle":"","family":"Meyer","given":"Jeffrey H","non-dropping-particle":"","parse-names":false,"suffix":""},{"dropping-particle":"","family":"Deakin","given":"Bill","non-dropping-particle":"","parse-names":false,"suffix":""},{"dropping-particle":"","family":"Mulsant","given":"Benoit H","non-dropping-particle":"","parse-names":false,"suffix":""},{"dropping-particle":"","family":"Husain","given":"Nusrat","non-dropping-particle":"","parse-names":false,"suffix":""},{"dropping-particle":"","family":"Young","given":"Allan H","non-dropping-particle":"","parse-names":false,"suffix":""}],"container-title":"The Lancet Psychiatry","id":"ITEM-2","issue":"6","issued":{"date-parts":[["2020","6","1"]]},"note":"doi: 10.1016/S2215-0366(20)30138-3","page":"515-527","publisher":"Elsevier","title":"Minocycline and celecoxib as adjunctive treatments for bipolar depression: a multicentre, factorial design randomised controlled trial","type":"article-journal","volume":"7"},"uris":["http://www.mendeley.com/documents/?uuid=9a560ebe-e43b-47e3-8543-7ab9cf6de332"]}],"mendeley":{"formattedCitation":"(Husain et al., 2020; McIntyre et al., 2019)","plainTextFormattedCitation":"(Husain et al., 2020; McIntyre et al., 2019)","previouslyFormattedCitation":"(Husain et al., 2020; McIntyre et al., 2019)"},"properties":{"noteIndex":0},"schema":"https://github.com/citation-style-language/schema/raw/master/csl-citation.json"}</w:instrText>
      </w:r>
      <w:r w:rsidR="00252DE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(Husain et al., 2020; McIntyre et al., 2019)</w:t>
      </w:r>
      <w:r w:rsidR="00252DEE">
        <w:rPr>
          <w:rFonts w:ascii="Times New Roman" w:hAnsi="Times New Roman" w:cs="Times New Roman"/>
          <w:sz w:val="22"/>
          <w:szCs w:val="22"/>
          <w:lang w:val="en-US"/>
        </w:rPr>
        <w:fldChar w:fldCharType="end"/>
      </w:r>
      <w:r w:rsidR="008E3DA5">
        <w:rPr>
          <w:rFonts w:ascii="Times New Roman" w:hAnsi="Times New Roman" w:cs="Times New Roman"/>
          <w:sz w:val="22"/>
          <w:szCs w:val="22"/>
          <w:lang w:val="en-US"/>
        </w:rPr>
        <w:t>.</w:t>
      </w:r>
      <w:r w:rsidR="005A0217">
        <w:rPr>
          <w:rFonts w:ascii="Times New Roman" w:hAnsi="Times New Roman" w:cs="Times New Roman"/>
          <w:sz w:val="22"/>
          <w:szCs w:val="22"/>
          <w:lang w:val="en-US"/>
        </w:rPr>
        <w:t xml:space="preserve"> </w:t>
      </w:r>
      <w:r w:rsidR="008E3DA5">
        <w:rPr>
          <w:rFonts w:ascii="Times New Roman" w:hAnsi="Times New Roman" w:cs="Times New Roman"/>
          <w:sz w:val="22"/>
          <w:szCs w:val="22"/>
          <w:lang w:val="en-US"/>
        </w:rPr>
        <w:t>A</w:t>
      </w:r>
      <w:r w:rsidR="005A0217">
        <w:rPr>
          <w:rFonts w:ascii="Times New Roman" w:hAnsi="Times New Roman" w:cs="Times New Roman"/>
          <w:sz w:val="22"/>
          <w:szCs w:val="22"/>
          <w:lang w:val="en-US"/>
        </w:rPr>
        <w:t xml:space="preserve"> previous meta-analysis </w:t>
      </w:r>
      <w:r w:rsidR="008E3DA5">
        <w:rPr>
          <w:rFonts w:ascii="Times New Roman" w:hAnsi="Times New Roman" w:cs="Times New Roman"/>
          <w:sz w:val="22"/>
          <w:szCs w:val="22"/>
          <w:lang w:val="en-US"/>
        </w:rPr>
        <w:t xml:space="preserve">of </w:t>
      </w:r>
      <w:r w:rsidR="00195DEF">
        <w:rPr>
          <w:rFonts w:ascii="Times New Roman" w:hAnsi="Times New Roman" w:cs="Times New Roman"/>
          <w:sz w:val="22"/>
          <w:szCs w:val="22"/>
          <w:lang w:val="en-US"/>
        </w:rPr>
        <w:t xml:space="preserve">mostly small studies </w:t>
      </w:r>
      <w:r w:rsidR="008E3DA5">
        <w:rPr>
          <w:rFonts w:ascii="Times New Roman" w:hAnsi="Times New Roman" w:cs="Times New Roman"/>
          <w:sz w:val="22"/>
          <w:szCs w:val="22"/>
          <w:lang w:val="en-US"/>
        </w:rPr>
        <w:t xml:space="preserve">has </w:t>
      </w:r>
      <w:r w:rsidR="00195DEF">
        <w:rPr>
          <w:rFonts w:ascii="Times New Roman" w:hAnsi="Times New Roman" w:cs="Times New Roman"/>
          <w:sz w:val="22"/>
          <w:szCs w:val="22"/>
          <w:lang w:val="en-US"/>
        </w:rPr>
        <w:t>suggested efficacy for these pharmacological agents</w:t>
      </w:r>
      <w:r w:rsidR="00572943">
        <w:rPr>
          <w:rFonts w:ascii="Times New Roman" w:hAnsi="Times New Roman" w:cs="Times New Roman"/>
          <w:sz w:val="22"/>
          <w:szCs w:val="22"/>
          <w:lang w:val="en-US"/>
        </w:rPr>
        <w:t xml:space="preserve"> (i.e anti-inflammatory agents)</w:t>
      </w:r>
      <w:r w:rsidR="009E7530">
        <w:rPr>
          <w:rFonts w:ascii="Times New Roman" w:hAnsi="Times New Roman" w:cs="Times New Roman"/>
          <w:sz w:val="22"/>
          <w:szCs w:val="22"/>
          <w:lang w:val="en-US"/>
        </w:rPr>
        <w:t>,</w:t>
      </w:r>
      <w:r w:rsidR="008E3DA5">
        <w:rPr>
          <w:rFonts w:ascii="Times New Roman" w:hAnsi="Times New Roman" w:cs="Times New Roman"/>
          <w:sz w:val="22"/>
          <w:szCs w:val="22"/>
          <w:lang w:val="en-US"/>
        </w:rPr>
        <w:t xml:space="preserve"> </w:t>
      </w:r>
      <w:r w:rsidR="00252DE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{"citationItems":[{"id":"ITEM-1","itemData":{"DOI":"https://doi.org/10.1111/bdi.12373","ISSN":"1398-5647","abstract":"Objective Inflammation has been implicated in the risk, pathophysiology, and progression of mood disorders and, as such, has become a target of interest in the treatment of bipolar disorder (BD). Therefore, the objective of the current qualitative and quantitative review was to determine the overall antidepressant effect of adjunctive anti-inflammatory agents in the treatment of bipolar depression. Methods Completed and ongoing clinical trials of anti-inflammatory agents for BD published prior to 15 May 15 2015 were identified through searching the PubMed, Embase, PsychINFO, and Clinicaltrials.gov databases. Data from randomized controlled trials (RCTs) assessing the antidepressant effect of adjunctive mechanistically diverse anti-inflammatory agents were pooled to determine standard mean differences (SMDs) compared with standard therapy alone. Results Ten RCTs were identified for qualitative review. Eight RCTs (n = 312) assessing adjunctive nonsteroidal anti-inflammatory drugs (n = 53), omega-3 polyunsaturated fatty acids (n = 140), N-acetylcysteine (n = 76), and pioglitazone (n = 44) in the treatment of BD met the inclusion criteria for quantitative analysis. The overall effect size of adjunctive anti-inflammatory agents on depressive symptoms was ?0.40 (95% confidence interval ?0.14 to ?0.65, p = 0.002), indicative of a moderate and statistically significant antidepressant effect. The heterogeneity of the pooled sample was low (I² = 14%, p = 0.32). No manic/hypomanic induction or significant treatment-emergent adverse events were reported. Conclusions Overall, a moderate antidepressant effect was observed for adjunctive anti-inflammatory agents compared with conventional therapy alone in the treatment of bipolar depression. The small number of studies, diversity of agents, and small sample sizes limited interpretation of the current analysis.","author":[{"dropping-particle":"","family":"Rosenblat","given":"Joshua D","non-dropping-particle":"","parse-names":false,"suffix":""},{"dropping-particle":"","family":"Kakar","given":"Ron","non-dropping-particle":"","parse-names":false,"suffix":""},{"dropping-particle":"","family":"Berk","given":"Michael","non-dropping-particle":"","parse-names":false,"suffix":""},{"dropping-particle":"V","family":"Kessing","given":"Lars","non-dropping-particle":"","parse-names":false,"suffix":""},{"dropping-particle":"","family":"Vinberg","given":"Maj","non-dropping-particle":"","parse-names":false,"suffix":""},{"dropping-particle":"","family":"Baune","given":"Bernhard T","non-dropping-particle":"","parse-names":false,"suffix":""},{"dropping-particle":"","family":"Mansur","given":"Rodrigo B","non-dropping-particle":"","parse-names":false,"suffix":""},{"dropping-particle":"","family":"Brietzke","given":"Elisa","non-dropping-particle":"","parse-names":false,"suffix":""},{"dropping-particle":"","family":"Goldstein","given":"Benjamin I","non-dropping-particle":"","parse-names":false,"suffix":""},{"dropping-particle":"","family":"McIntyre","given":"Roger S","non-dropping-particle":"","parse-names":false,"suffix":""}],"container-title":"Bipolar Disorders","id":"ITEM-1","issue":"2","issued":{"date-parts":[["2016","3","1"]]},"note":"https://doi.org/10.1111/bdi.12373","page":"89-101","publisher":"John Wiley &amp; Sons, Ltd","title":"Anti-inflammatory agents in the treatment of bipolar depression: a systematic review and meta-analysis","type":"article-journal","volume":"18"},"uris":["http://www.mendeley.com/documents/?uuid=36de0feb-4e8f-4cb5-bc11-684283f637a9","http://www.mendeley.com/documents/?uuid=5f125f3b-e22b-41bf-b4db-37fc95d6d10d"]}],"mendeley":{"formattedCitation":"(Rosenblat et al., 2016)","plainTextFormattedCitation":"(Rosenblat et al., 2016)","previouslyFormattedCitation":"(Rosenblat et al., 2016)"},"properties":{"noteIndex":0},"schema":"https://github.com/citation-style-language/schema/raw/master/csl-citation.json"}</w:instrText>
      </w:r>
      <w:r w:rsidR="00252DE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(Rosenblat et al., 2016)</w:t>
      </w:r>
      <w:r w:rsidR="00252DEE">
        <w:rPr>
          <w:rFonts w:ascii="Times New Roman" w:hAnsi="Times New Roman" w:cs="Times New Roman"/>
          <w:sz w:val="22"/>
          <w:szCs w:val="22"/>
          <w:lang w:val="en-US"/>
        </w:rPr>
        <w:fldChar w:fldCharType="end"/>
      </w:r>
      <w:r w:rsidR="005A0217">
        <w:rPr>
          <w:rFonts w:ascii="Times New Roman" w:hAnsi="Times New Roman" w:cs="Times New Roman"/>
          <w:sz w:val="22"/>
          <w:szCs w:val="22"/>
          <w:lang w:val="en-US"/>
        </w:rPr>
        <w:t xml:space="preserve"> </w:t>
      </w:r>
      <w:r w:rsidR="008E3DA5">
        <w:rPr>
          <w:rFonts w:ascii="Times New Roman" w:hAnsi="Times New Roman" w:cs="Times New Roman"/>
          <w:sz w:val="22"/>
          <w:szCs w:val="22"/>
          <w:lang w:val="en-US"/>
        </w:rPr>
        <w:t>however</w:t>
      </w:r>
      <w:r w:rsidR="00DB1DF1">
        <w:rPr>
          <w:rFonts w:ascii="Times New Roman" w:hAnsi="Times New Roman" w:cs="Times New Roman"/>
          <w:sz w:val="22"/>
          <w:szCs w:val="22"/>
          <w:lang w:val="en-US"/>
        </w:rPr>
        <w:t xml:space="preserve"> the lar</w:t>
      </w:r>
      <w:r w:rsidR="00387381">
        <w:rPr>
          <w:rFonts w:ascii="Times New Roman" w:hAnsi="Times New Roman" w:cs="Times New Roman"/>
          <w:sz w:val="22"/>
          <w:szCs w:val="22"/>
          <w:lang w:val="en-US"/>
        </w:rPr>
        <w:t xml:space="preserve">gest RCT conducted to date in </w:t>
      </w:r>
      <w:r w:rsidR="00D17F43">
        <w:rPr>
          <w:rFonts w:ascii="Times New Roman" w:hAnsi="Times New Roman" w:cs="Times New Roman"/>
          <w:sz w:val="22"/>
          <w:szCs w:val="22"/>
          <w:lang w:val="en-US"/>
        </w:rPr>
        <w:t>participants</w:t>
      </w:r>
      <w:r w:rsidR="00387381">
        <w:rPr>
          <w:rFonts w:ascii="Times New Roman" w:hAnsi="Times New Roman" w:cs="Times New Roman"/>
          <w:sz w:val="22"/>
          <w:szCs w:val="22"/>
          <w:lang w:val="en-US"/>
        </w:rPr>
        <w:t xml:space="preserve"> with bipolar depression found no evidence of efficacy for</w:t>
      </w:r>
      <w:r w:rsidR="001B6AD0">
        <w:rPr>
          <w:rFonts w:ascii="Times New Roman" w:hAnsi="Times New Roman" w:cs="Times New Roman"/>
          <w:sz w:val="22"/>
          <w:szCs w:val="22"/>
          <w:lang w:val="en-US"/>
        </w:rPr>
        <w:t xml:space="preserve"> either</w:t>
      </w:r>
      <w:r w:rsidR="00387381">
        <w:rPr>
          <w:rFonts w:ascii="Times New Roman" w:hAnsi="Times New Roman" w:cs="Times New Roman"/>
          <w:sz w:val="22"/>
          <w:szCs w:val="22"/>
          <w:lang w:val="en-US"/>
        </w:rPr>
        <w:t xml:space="preserve"> </w:t>
      </w:r>
      <w:r w:rsidR="000F1757">
        <w:rPr>
          <w:rFonts w:ascii="Times New Roman" w:hAnsi="Times New Roman" w:cs="Times New Roman"/>
          <w:sz w:val="22"/>
          <w:szCs w:val="22"/>
          <w:lang w:val="en-US"/>
        </w:rPr>
        <w:t>minocycline or celecoxib compared to</w:t>
      </w:r>
      <w:r w:rsidR="00D17F43">
        <w:rPr>
          <w:rFonts w:ascii="Times New Roman" w:hAnsi="Times New Roman" w:cs="Times New Roman"/>
          <w:sz w:val="22"/>
          <w:szCs w:val="22"/>
          <w:lang w:val="en-US"/>
        </w:rPr>
        <w:t xml:space="preserve"> placebo</w:t>
      </w:r>
      <w:r w:rsidR="009E7530">
        <w:rPr>
          <w:rFonts w:ascii="Times New Roman" w:hAnsi="Times New Roman" w:cs="Times New Roman"/>
          <w:sz w:val="22"/>
          <w:szCs w:val="22"/>
          <w:lang w:val="en-US"/>
        </w:rPr>
        <w:t xml:space="preserve"> </w:t>
      </w:r>
      <w:r w:rsidR="00CC5EA9">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{"citationItems":[{"id":"ITEM-1","itemData":{"DOI":"10.1016/S2215-0366(20)30138-3","ISSN":"2215-0366","author":[{"dropping-particle":"","family":"Husain","given":"Muhammad Ishrat","non-dropping-particle":"","parse-names":false,"suffix":""},{"dropping-particle":"","family":"Chaudhry","given":"Imran B","non-dropping-particle":"","parse-names":false,"suffix":""},{"dropping-particle":"","family":"Khoso","given":"Ameer B","non-dropping-particle":"","parse-names":false,"suffix":""},{"dropping-particle":"","family":"Husain","given":"Muhammad Omair","non-dropping-particle":"","parse-names":false,"suffix":""},{"dropping-particle":"","family":"Hodsoll","given":"John","non-dropping-particle":"","parse-names":false,"suffix":""},{"dropping-particle":"","family":"Ansari","given":"Moin A","non-dropping-particle":"","parse-names":false,"suffix":""},{"dropping-particle":"","family":"Naqvi","given":"Haider A","non-dropping-particle":"","parse-names":false,"suffix":""},{"dropping-particle":"","family":"Minhas","given":"Fareed A","non-dropping-particle":"","parse-names":false,"suffix":""},{"dropping-particle":"","family":"Carvalho","given":"Andre F","non-dropping-particle":"","parse-names":false,"suffix":""},{"dropping-particle":"","family":"Meyer","given":"Jeffrey H","non-dropping-particle":"","parse-names":false,"suffix":""},{"dropping-particle":"","family":"Deakin","given":"Bill","non-dropping-particle":"","parse-names":false,"suffix":""},{"dropping-particle":"","family":"Mulsant","given":"Benoit H","non-dropping-particle":"","parse-names":false,"suffix":""},{"dropping-particle":"","family":"Husain","given":"Nusrat","non-dropping-particle":"","parse-names":false,"suffix":""},{"dropping-particle":"","family":"Young","given":"Allan H","non-dropping-particle":"","parse-names":false,"suffix":""}],"container-title":"The Lancet Psychiatry","id":"ITEM-1","issue":"6","issued":{"date-parts":[["2020","6","1"]]},"note":"doi: 10.1016/S2215-0366(20)30138-3","page":"515-527","publisher":"Elsevier","title":"Minocycline and celecoxib as adjunctive treatments for bipolar depression: a multicentre, factorial design randomised controlled trial","type":"article-journal","volume":"7"},"uris":["http://www.mendeley.com/documents/?uuid=9a560ebe-e43b-47e3-8543-7ab9cf6de332"]}],"mendeley":{"formattedCitation":"(Husain et al., 2020)","plainTextFormattedCitation":"(Husain et al., 2020)","previouslyFormattedCitation":"(Husain et al., 2020)"},"properties":{"noteIndex":0},"schema":"https://github.com/citation-style-language/schema/raw/master/csl-citation.json"}</w:instrText>
      </w:r>
      <w:r w:rsidR="00CC5EA9">
        <w:rPr>
          <w:rFonts w:ascii="Times New Roman" w:hAnsi="Times New Roman" w:cs="Times New Roman"/>
          <w:sz w:val="22"/>
          <w:szCs w:val="22"/>
          <w:lang w:val="en-US"/>
        </w:rPr>
        <w:fldChar w:fldCharType="separate"/>
      </w:r>
      <w:r w:rsidR="00CC5EA9" w:rsidRPr="00CC5EA9">
        <w:rPr>
          <w:rFonts w:ascii="Times New Roman" w:hAnsi="Times New Roman" w:cs="Times New Roman"/>
          <w:noProof/>
          <w:sz w:val="22"/>
          <w:szCs w:val="22"/>
          <w:lang w:val="en-US"/>
        </w:rPr>
        <w:t>(Husain et al., 2020)</w:t>
      </w:r>
      <w:r w:rsidR="00CC5EA9">
        <w:rPr>
          <w:rFonts w:ascii="Times New Roman" w:hAnsi="Times New Roman" w:cs="Times New Roman"/>
          <w:sz w:val="22"/>
          <w:szCs w:val="22"/>
          <w:lang w:val="en-US"/>
        </w:rPr>
        <w:fldChar w:fldCharType="end"/>
      </w:r>
      <w:r w:rsidR="00B64171" w:rsidRPr="00446D07">
        <w:rPr>
          <w:rFonts w:ascii="Times New Roman" w:hAnsi="Times New Roman" w:cs="Times New Roman"/>
          <w:sz w:val="22"/>
          <w:szCs w:val="22"/>
          <w:lang w:val="en-US"/>
        </w:rPr>
        <w:t>.</w:t>
      </w:r>
      <w:r w:rsidR="009E7530">
        <w:rPr>
          <w:rFonts w:ascii="Times New Roman" w:hAnsi="Times New Roman" w:cs="Times New Roman"/>
          <w:sz w:val="22"/>
          <w:szCs w:val="22"/>
          <w:lang w:val="en-US"/>
        </w:rPr>
        <w:t xml:space="preserve"> </w:t>
      </w:r>
      <w:r w:rsidR="004F2C30">
        <w:rPr>
          <w:rFonts w:ascii="Times New Roman" w:hAnsi="Times New Roman" w:cs="Times New Roman"/>
          <w:noProof/>
          <w:sz w:val="22"/>
          <w:szCs w:val="22"/>
          <w:lang w:val="en-US"/>
        </w:rPr>
        <w:t>T</w:t>
      </w:r>
      <w:r w:rsidR="001D4014">
        <w:rPr>
          <w:rFonts w:ascii="Times New Roman" w:hAnsi="Times New Roman" w:cs="Times New Roman"/>
          <w:noProof/>
          <w:sz w:val="22"/>
          <w:szCs w:val="22"/>
          <w:lang w:val="en-US"/>
        </w:rPr>
        <w:t>h</w:t>
      </w:r>
      <w:r w:rsidR="008E3DA5">
        <w:rPr>
          <w:rFonts w:ascii="Times New Roman" w:hAnsi="Times New Roman" w:cs="Times New Roman"/>
          <w:noProof/>
          <w:sz w:val="22"/>
          <w:szCs w:val="22"/>
          <w:lang w:val="en-US"/>
        </w:rPr>
        <w:t>e</w:t>
      </w:r>
      <w:r w:rsidR="001D4014">
        <w:rPr>
          <w:rFonts w:ascii="Times New Roman" w:hAnsi="Times New Roman" w:cs="Times New Roman"/>
          <w:noProof/>
          <w:sz w:val="22"/>
          <w:szCs w:val="22"/>
          <w:lang w:val="en-US"/>
        </w:rPr>
        <w:t xml:space="preserve">se inconsistent findings may be </w:t>
      </w:r>
      <w:r w:rsidR="008E3DA5">
        <w:rPr>
          <w:rFonts w:ascii="Times New Roman" w:hAnsi="Times New Roman" w:cs="Times New Roman"/>
          <w:noProof/>
          <w:sz w:val="22"/>
          <w:szCs w:val="22"/>
          <w:lang w:val="en-US"/>
        </w:rPr>
        <w:t>at least in part</w:t>
      </w:r>
      <w:r w:rsidR="001D4014">
        <w:rPr>
          <w:rFonts w:ascii="Times New Roman" w:hAnsi="Times New Roman" w:cs="Times New Roman"/>
          <w:noProof/>
          <w:sz w:val="22"/>
          <w:szCs w:val="22"/>
          <w:lang w:val="en-US"/>
        </w:rPr>
        <w:t xml:space="preserve"> due to </w:t>
      </w:r>
      <w:r w:rsidR="00145E58">
        <w:rPr>
          <w:rFonts w:ascii="Times New Roman" w:hAnsi="Times New Roman" w:cs="Times New Roman"/>
          <w:noProof/>
          <w:sz w:val="22"/>
          <w:szCs w:val="22"/>
          <w:lang w:val="en-US"/>
        </w:rPr>
        <w:t>the inclusion of participants with varying levels</w:t>
      </w:r>
      <w:r w:rsidR="001B6AD0">
        <w:rPr>
          <w:rFonts w:ascii="Times New Roman" w:hAnsi="Times New Roman" w:cs="Times New Roman"/>
          <w:noProof/>
          <w:sz w:val="22"/>
          <w:szCs w:val="22"/>
          <w:lang w:val="en-US"/>
        </w:rPr>
        <w:t xml:space="preserve"> of peripheral immune activation</w:t>
      </w:r>
      <w:r w:rsidR="009E7530">
        <w:rPr>
          <w:rFonts w:ascii="Times New Roman" w:hAnsi="Times New Roman" w:cs="Times New Roman"/>
          <w:noProof/>
          <w:sz w:val="22"/>
          <w:szCs w:val="22"/>
          <w:lang w:val="en-US"/>
        </w:rPr>
        <w:t xml:space="preserve"> </w:t>
      </w:r>
      <w:r w:rsidR="00E04033">
        <w:rPr>
          <w:rFonts w:ascii="Times New Roman" w:hAnsi="Times New Roman" w:cs="Times New Roman"/>
          <w:noProof/>
          <w:sz w:val="22"/>
          <w:szCs w:val="22"/>
          <w:lang w:val="en-US"/>
        </w:rPr>
        <w:fldChar w:fldCharType="begin" w:fldLock="1"/>
      </w:r>
      <w:r w:rsidR="00CC5EA9">
        <w:rPr>
          <w:rFonts w:ascii="Times New Roman" w:hAnsi="Times New Roman" w:cs="Times New Roman"/>
          <w:noProof/>
          <w:sz w:val="22"/>
          <w:szCs w:val="22"/>
          <w:lang w:val="en-US"/>
        </w:rPr>
        <w:instrText>ADDIN CSL_CITATION {"citationItems":[{"id":"ITEM-1","itemData":{"DOI":"10.1016/S2215-0366(20)30155-3","ISSN":"2215-0366","author":[{"dropping-particle":"","family":"Berk","given":"Michael","non-dropping-particle":"","parse-names":false,"suffix":""},{"dropping-particle":"","family":"Vieta","given":"Eduard","non-dropping-particle":"","parse-names":false,"suffix":""},{"dropping-particle":"","family":"Dean","given":"Olivia M","non-dropping-particle":"","parse-names":false,"suffix":""}],"container-title":"The Lancet Psychiatry","id":"ITEM-1","issue":"6","issued":{"date-parts":[["2020","6","1"]]},"note":"doi: 10.1016/S2215-0366(20)30155-3","page":"467-468","publisher":"Elsevier","title":"Anti-inflammatory treatment of bipolar depression: promise and disappointment","type":"article-journal","volume":"7"},"uris":["http://www.mendeley.com/documents/?uuid=55f15447-33ca-44c7-80f1-82fae3b85d89","http://www.mendeley.com/documents/?uuid=8acd77df-03cc-4f13-974d-e4d0ffb591f2"]}],"mendeley":{"formattedCitation":"(Berk et al., 2020)","plainTextFormattedCitation":"(Berk et al., 2020)","previouslyFormattedCitation":"(Berk et al., 2020)"},"properties":{"noteIndex":0},"schema":"https://github.com/citation-style-language/schema/raw/master/csl-citation.json"}</w:instrText>
      </w:r>
      <w:r w:rsidR="00E04033">
        <w:rPr>
          <w:rFonts w:ascii="Times New Roman" w:hAnsi="Times New Roman" w:cs="Times New Roman"/>
          <w:noProof/>
          <w:sz w:val="22"/>
          <w:szCs w:val="22"/>
          <w:lang w:val="en-US"/>
        </w:rPr>
        <w:fldChar w:fldCharType="separate"/>
      </w:r>
      <w:r w:rsidR="008F0511" w:rsidRPr="008F0511">
        <w:rPr>
          <w:rFonts w:ascii="Times New Roman" w:hAnsi="Times New Roman" w:cs="Times New Roman"/>
          <w:noProof/>
          <w:sz w:val="22"/>
          <w:szCs w:val="22"/>
          <w:lang w:val="en-US"/>
        </w:rPr>
        <w:t>(Berk et al., 2020)</w:t>
      </w:r>
      <w:r w:rsidR="00E04033">
        <w:rPr>
          <w:rFonts w:ascii="Times New Roman" w:hAnsi="Times New Roman" w:cs="Times New Roman"/>
          <w:noProof/>
          <w:sz w:val="22"/>
          <w:szCs w:val="22"/>
          <w:lang w:val="en-US"/>
        </w:rPr>
        <w:fldChar w:fldCharType="end"/>
      </w:r>
      <w:r w:rsidR="009E7530">
        <w:rPr>
          <w:rFonts w:ascii="Times New Roman" w:hAnsi="Times New Roman" w:cs="Times New Roman"/>
          <w:noProof/>
          <w:sz w:val="22"/>
          <w:szCs w:val="22"/>
          <w:lang w:val="en-US"/>
        </w:rPr>
        <w:t>.</w:t>
      </w:r>
      <w:r w:rsidR="00FC67B4">
        <w:rPr>
          <w:rFonts w:ascii="Times New Roman" w:hAnsi="Times New Roman" w:cs="Times New Roman"/>
          <w:noProof/>
          <w:sz w:val="22"/>
          <w:szCs w:val="22"/>
          <w:lang w:val="en-US"/>
        </w:rPr>
        <w:t xml:space="preserve"> </w:t>
      </w:r>
      <w:r w:rsidR="001D213D">
        <w:rPr>
          <w:rFonts w:ascii="Times New Roman" w:hAnsi="Times New Roman" w:cs="Times New Roman"/>
          <w:noProof/>
          <w:sz w:val="22"/>
          <w:szCs w:val="22"/>
          <w:lang w:val="en-US"/>
        </w:rPr>
        <w:t>For example, i</w:t>
      </w:r>
      <w:r w:rsidR="002F1A58">
        <w:rPr>
          <w:rFonts w:ascii="Times New Roman" w:hAnsi="Times New Roman" w:cs="Times New Roman"/>
          <w:noProof/>
          <w:sz w:val="22"/>
          <w:szCs w:val="22"/>
          <w:lang w:val="en-US"/>
        </w:rPr>
        <w:t xml:space="preserve">t has been proposed that in major depressive disorder </w:t>
      </w:r>
      <w:r w:rsidR="002C58D2">
        <w:rPr>
          <w:rFonts w:ascii="Times New Roman" w:hAnsi="Times New Roman" w:cs="Times New Roman"/>
          <w:noProof/>
          <w:sz w:val="22"/>
          <w:szCs w:val="22"/>
          <w:lang w:val="en-US"/>
        </w:rPr>
        <w:t xml:space="preserve">only a subset of </w:t>
      </w:r>
      <w:r w:rsidR="001F1881">
        <w:rPr>
          <w:rFonts w:ascii="Times New Roman" w:hAnsi="Times New Roman" w:cs="Times New Roman"/>
          <w:noProof/>
          <w:sz w:val="22"/>
          <w:szCs w:val="22"/>
          <w:lang w:val="en-US"/>
        </w:rPr>
        <w:t xml:space="preserve">subjects with BD </w:t>
      </w:r>
      <w:r w:rsidR="002C58D2">
        <w:rPr>
          <w:rFonts w:ascii="Times New Roman" w:hAnsi="Times New Roman" w:cs="Times New Roman"/>
          <w:noProof/>
          <w:sz w:val="22"/>
          <w:szCs w:val="22"/>
          <w:lang w:val="en-US"/>
        </w:rPr>
        <w:t xml:space="preserve">may exhibit </w:t>
      </w:r>
      <w:r w:rsidR="001D213D">
        <w:rPr>
          <w:rFonts w:ascii="Times New Roman" w:hAnsi="Times New Roman" w:cs="Times New Roman"/>
          <w:noProof/>
          <w:sz w:val="22"/>
          <w:szCs w:val="22"/>
          <w:lang w:val="en-US"/>
        </w:rPr>
        <w:t>peripheral inflammation</w:t>
      </w:r>
      <w:r w:rsidR="00252DEE">
        <w:rPr>
          <w:rFonts w:ascii="Times New Roman" w:hAnsi="Times New Roman" w:cs="Times New Roman"/>
          <w:noProof/>
          <w:sz w:val="22"/>
          <w:szCs w:val="22"/>
          <w:lang w:val="en-US"/>
        </w:rPr>
        <w:fldChar w:fldCharType="begin" w:fldLock="1"/>
      </w:r>
      <w:r w:rsidR="0069705C">
        <w:rPr>
          <w:rFonts w:ascii="Times New Roman" w:hAnsi="Times New Roman" w:cs="Times New Roman"/>
          <w:noProof/>
          <w:sz w:val="22"/>
          <w:szCs w:val="22"/>
          <w:lang w:val="en-US"/>
        </w:rPr>
        <w:instrText>ADDIN CSL_CITATION {"citationItems":[{"id":"ITEM-1","itemData":{"DOI":"10.1016/j.biopsych.2020.01.014","ISSN":"0006-3223","author":[{"dropping-particle":"","family":"Milaneschi","given":"Yuri","non-dropping-particle":"","parse-names":false,"suffix":""},{"dropping-particle":"","family":"Lamers","given":"Femke","non-dropping-particle":"","parse-names":false,"suffix":""},{"dropping-particle":"","family":"Berk","given":"Michael","non-dropping-particle":"","parse-names":false,"suffix":""},{"dropping-particle":"","family":"Penninx","given":"Brenda W J H","non-dropping-particle":"","parse-names":false,"suffix":""}],"container-title":"Biological Psychiatry","id":"ITEM-1","issue":"5","issued":{"date-parts":[["2020","9","1"]]},"note":"doi: 10.1016/j.biopsych.2020.01.014","page":"369-380","publisher":"Elsevier","title":"Depression Heterogeneity and Its Biological Underpinnings: Toward Immunometabolic Depression","type":"article-journal","volume":"88"},"uris":["http://www.mendeley.com/documents/?uuid=09df23ec-06fe-4cdc-9150-c0d039a42b0f","http://www.mendeley.com/documents/?uuid=5d2be389-132a-4ba4-a6b0-a8a47616f51d"]},{"id":"ITEM-2","itemData":{"DOI":"10.1038/nri.2015.5","ISSN":"1474-1741","abstract":"Across evolutionary time, inflammatory responses and depressive symptoms were part of an integrated adaptive response to pathogens that facilitated fighting infection, healing wounds and avoiding subsequent pathogen exposure in the pathogen-rich environments in which humans evolved. In the more sanitary environments of the modern world, the relationship between inflammatory pathways and the brain may drive depression and contribute to non-response to antidepressant medication.Increased levels of inflammatory cytokines and induction of their signalling pathways as well as activation of different immune cell subsets has been detected in the brain and peripheral blood of a subgroup of patients with depression. C-reactive protein (CRP), tumour necrosis factor, interleukin-1β (IL-1β) and IL-6 appear to be the most reliably elevated inflammatory markers in the peripheral blood of subjects with depression.Activation of the inflammasome by stress-induced, non-pathogenic stimuli, including damage-associated molecular patterns as well as microbial-associated molecular patterns elaborated from the gut microbiome, may drive peripheral inflammatory responses, which are then transmitted to the brain by trafficking of activated monocytes.Inflammation impacts several neurotransmitter systems in the brain, including serotonin, dopamine and glutamate pathways, as well as the kynurenine pathway, which generates the neurotoxic metabolite quinolinic acid. Neuroimaging studies have demonstrated that disruption of neurotransmitter pathways is associated with inflammation-induced alterations in brain circuits that mediate motivation and motor activity as well as anxiety, arousal and alarm.Activation of effector T cells during stress can prevent the development of depressive- and anxiety-like behaviour in mice. These effects may be mediated by the trafficking of effector T cells to the meningeal space where they produce IL-4, which supports anti-inflammatory responses while also stimulating the production of growth factors in the brain that support neural plasticity and resilience.Studies in depression suggest that inflammatory biomarkers, such as CRP, can be used to enrich samples for anti-inflammatory clinical trials for depression that target inflammation-related symptoms such as anhedonia and anxiety, thereby supporting intelligent trial design. Though still in development, imaging of neuroinflammation will help establish a 'target' in the brain to further facilitate the te…","author":[{"dropping-particle":"","family":"Miller","given":"Andrew H","non-dropping-particle":"","parse-names":false,"suffix":""},{"dropping-particle":"","family":"Raison","given":"Charles L","non-dropping-particle":"","parse-names":false,"suffix":""}],"container-title":"Nature Reviews Immunology","id":"ITEM-2","issue":"1","issued":{"date-parts":[["2016"]]},"page":"22-34","title":"The role of inflammation in depression: from evolutionary imperative to modern treatment target","type":"article-journal","volume":"16"},"uris":["http://www.mendeley.com/documents/?uuid=a6511f11-ff7d-488b-8d69-5eb365b19a49","http://www.mendeley.com/documents/?uuid=0bb9c3ef-caad-4b81-a440-be4fb555adc5"]}],"mendeley":{"formattedCitation":"(Milaneschi et al., 2020; Miller and Raison, 2016)","plainTextFormattedCitation":"(Milaneschi et al., 2020; Miller and Raison, 2016)","previouslyFormattedCitation":"(Milaneschi et al., 2020; Miller and Raison, 2016)"},"properties":{"noteIndex":0},"schema":"https://github.com/citation-style-language/schema/raw/master/csl-citation.json"}</w:instrText>
      </w:r>
      <w:r w:rsidR="00252DEE">
        <w:rPr>
          <w:rFonts w:ascii="Times New Roman" w:hAnsi="Times New Roman" w:cs="Times New Roman"/>
          <w:noProof/>
          <w:sz w:val="22"/>
          <w:szCs w:val="22"/>
          <w:lang w:val="en-US"/>
        </w:rPr>
        <w:fldChar w:fldCharType="separate"/>
      </w:r>
      <w:r w:rsidR="00D610F8" w:rsidRPr="00D610F8">
        <w:rPr>
          <w:rFonts w:ascii="Times New Roman" w:hAnsi="Times New Roman" w:cs="Times New Roman"/>
          <w:noProof/>
          <w:sz w:val="22"/>
          <w:szCs w:val="22"/>
          <w:lang w:val="en-US"/>
        </w:rPr>
        <w:t>(Milaneschi et al., 2020; Miller and Raison, 2016)</w:t>
      </w:r>
      <w:r w:rsidR="00252DEE">
        <w:rPr>
          <w:rFonts w:ascii="Times New Roman" w:hAnsi="Times New Roman" w:cs="Times New Roman"/>
          <w:noProof/>
          <w:sz w:val="22"/>
          <w:szCs w:val="22"/>
          <w:lang w:val="en-US"/>
        </w:rPr>
        <w:fldChar w:fldCharType="end"/>
      </w:r>
      <w:r w:rsidR="000C162A">
        <w:rPr>
          <w:rFonts w:ascii="Times New Roman" w:hAnsi="Times New Roman" w:cs="Times New Roman"/>
          <w:noProof/>
          <w:sz w:val="22"/>
          <w:szCs w:val="22"/>
          <w:lang w:val="en-US"/>
        </w:rPr>
        <w:t>.</w:t>
      </w:r>
      <w:r w:rsidR="00145E58">
        <w:rPr>
          <w:rFonts w:ascii="Times New Roman" w:hAnsi="Times New Roman" w:cs="Times New Roman"/>
          <w:noProof/>
          <w:sz w:val="22"/>
          <w:szCs w:val="22"/>
          <w:lang w:val="en-US"/>
        </w:rPr>
        <w:t xml:space="preserve"> </w:t>
      </w:r>
      <w:r w:rsidR="00B64171" w:rsidRPr="00446D07">
        <w:rPr>
          <w:rFonts w:ascii="Times New Roman" w:hAnsi="Times New Roman" w:cs="Times New Roman"/>
          <w:sz w:val="22"/>
          <w:szCs w:val="22"/>
          <w:lang w:val="en-US"/>
        </w:rPr>
        <w:t xml:space="preserve"> </w:t>
      </w:r>
      <w:r w:rsidR="00E53602">
        <w:rPr>
          <w:rFonts w:ascii="Times New Roman" w:hAnsi="Times New Roman" w:cs="Times New Roman"/>
          <w:sz w:val="22"/>
          <w:szCs w:val="22"/>
          <w:lang w:val="en-US"/>
        </w:rPr>
        <w:t xml:space="preserve">However, </w:t>
      </w:r>
      <w:r w:rsidR="00E14BDA">
        <w:rPr>
          <w:rFonts w:ascii="Times New Roman" w:hAnsi="Times New Roman" w:cs="Times New Roman"/>
          <w:sz w:val="22"/>
          <w:szCs w:val="22"/>
          <w:lang w:val="en-US"/>
        </w:rPr>
        <w:t xml:space="preserve">whether such a </w:t>
      </w:r>
      <w:r w:rsidR="00E14BDA">
        <w:rPr>
          <w:rFonts w:ascii="Times New Roman" w:hAnsi="Times New Roman" w:cs="Times New Roman"/>
          <w:sz w:val="22"/>
          <w:szCs w:val="22"/>
          <w:lang w:val="en-US"/>
        </w:rPr>
        <w:lastRenderedPageBreak/>
        <w:t>sub</w:t>
      </w:r>
      <w:r w:rsidR="002E6713">
        <w:rPr>
          <w:rFonts w:ascii="Times New Roman" w:hAnsi="Times New Roman" w:cs="Times New Roman"/>
          <w:sz w:val="22"/>
          <w:szCs w:val="22"/>
          <w:lang w:val="en-US"/>
        </w:rPr>
        <w:t>group</w:t>
      </w:r>
      <w:r w:rsidR="00E14BDA">
        <w:rPr>
          <w:rFonts w:ascii="Times New Roman" w:hAnsi="Times New Roman" w:cs="Times New Roman"/>
          <w:sz w:val="22"/>
          <w:szCs w:val="22"/>
          <w:lang w:val="en-US"/>
        </w:rPr>
        <w:t xml:space="preserve"> with peripheral inflammation exists </w:t>
      </w:r>
      <w:r w:rsidR="002E6713">
        <w:rPr>
          <w:rFonts w:ascii="Times New Roman" w:hAnsi="Times New Roman" w:cs="Times New Roman"/>
          <w:sz w:val="22"/>
          <w:szCs w:val="22"/>
          <w:lang w:val="en-US"/>
        </w:rPr>
        <w:t>within the context of BD remains unknown</w:t>
      </w:r>
      <w:r w:rsidR="00CE6046">
        <w:rPr>
          <w:rFonts w:ascii="Times New Roman" w:hAnsi="Times New Roman" w:cs="Times New Roman"/>
          <w:sz w:val="22"/>
          <w:szCs w:val="22"/>
          <w:lang w:val="en-US"/>
        </w:rPr>
        <w:t xml:space="preserve">. </w:t>
      </w:r>
      <w:r w:rsidR="004F2C30">
        <w:rPr>
          <w:rFonts w:ascii="Times New Roman" w:hAnsi="Times New Roman" w:cs="Times New Roman"/>
          <w:sz w:val="22"/>
          <w:szCs w:val="22"/>
          <w:lang w:val="en-US"/>
        </w:rPr>
        <w:t>Yet,</w:t>
      </w:r>
      <w:r w:rsidR="00CE6046">
        <w:rPr>
          <w:rFonts w:ascii="Times New Roman" w:hAnsi="Times New Roman" w:cs="Times New Roman"/>
          <w:sz w:val="22"/>
          <w:szCs w:val="22"/>
          <w:lang w:val="en-US"/>
        </w:rPr>
        <w:t xml:space="preserve"> </w:t>
      </w:r>
      <w:r w:rsidR="00EB4AA8">
        <w:rPr>
          <w:rFonts w:ascii="Times New Roman" w:hAnsi="Times New Roman" w:cs="Times New Roman"/>
          <w:sz w:val="22"/>
          <w:szCs w:val="22"/>
          <w:lang w:val="en-US"/>
        </w:rPr>
        <w:t xml:space="preserve">two large RCTs have stratified participants with bipolar depression according to peripheral levels of </w:t>
      </w:r>
      <w:r w:rsidR="009E7530">
        <w:rPr>
          <w:rFonts w:ascii="Times New Roman" w:hAnsi="Times New Roman" w:cs="Times New Roman"/>
          <w:sz w:val="22"/>
          <w:szCs w:val="22"/>
          <w:lang w:val="en-US"/>
        </w:rPr>
        <w:t>C-reactive protein</w:t>
      </w:r>
      <w:r w:rsidR="00EB4AA8">
        <w:rPr>
          <w:rFonts w:ascii="Times New Roman" w:hAnsi="Times New Roman" w:cs="Times New Roman"/>
          <w:sz w:val="22"/>
          <w:szCs w:val="22"/>
          <w:lang w:val="en-US"/>
        </w:rPr>
        <w:t xml:space="preserve"> </w:t>
      </w:r>
      <w:r w:rsidR="00330A29">
        <w:rPr>
          <w:rFonts w:ascii="Times New Roman" w:hAnsi="Times New Roman" w:cs="Times New Roman"/>
          <w:sz w:val="22"/>
          <w:szCs w:val="22"/>
          <w:lang w:val="en-US"/>
        </w:rPr>
        <w:t>with negative outcomes</w:t>
      </w:r>
      <w:r w:rsidR="009E7530">
        <w:rPr>
          <w:rFonts w:ascii="Times New Roman" w:hAnsi="Times New Roman" w:cs="Times New Roman"/>
          <w:sz w:val="22"/>
          <w:szCs w:val="22"/>
          <w:lang w:val="en-US"/>
        </w:rPr>
        <w:t xml:space="preserve"> </w:t>
      </w:r>
      <w:r w:rsidR="00252DE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{"citationItems":[{"id":"ITEM-1","itemData":{"DOI":"10.1001/jamapsychiatry.2019.0779","ISSN":"2168-6238","abstract":"IMPORTANCE: To our knowledge, no study has previously evaluated whether individuals with bipolar depression enriched a priori on the basis of biochemical and/or phenotypic immuno-inflammatory activation would differentially respond to an anti-inflammatory agent for the treatment of depressive symptoms. OBJECTIVE: To assess the antidepressant efficacy of adjunctive infliximab, a monoclonal antibody targeting tumor necrosis factor, in adults with bipolar I and bipolar II depression and inflammatory conditions. DESIGN, SETTING, AND PARTICIPANTS: This 12-week, randomized, double-blind, placebo-controlled, parallel-group trial of 60 participants was conducted at 2 outpatient tertiary care sites in Canada and the United States. Eligible adults (aged 18-65 years) met DSM-5-defined criteria for bipolar I or bipolar II depression and exhibited pretreatment biochemical and/or phenotypic evidence of inflammatory activation. Participants were enrolled between October 1, 2015, and April 30, 2018. Data analysis was performed from May 1 through July 31, 2018, using modified intent-to-treat analysis. INTERVENTIONS: Patients were randomized to receive 3 intravenous infusions of infliximab therapy or placebo at baseline and at weeks 2 and 6 of the 12-week study. MAIN OUTCOMES AND MEASURES: The primary efficacy outcome was baseline-to-end point (ie, week-12) change in Montgomery-Asberg Depression Rating Scale (MADRS) total score. History of childhood maltreatment, as assessed by the Childhood Trauma Questionnaire, was used for exploratory analyses as 1 of several secondary outcomes. RESULTS: A total of 60 participants were randomized to infliximab (n = 29 [48%]; mean [SD] age, 45.0 [11.7] years; 20 of 28 female [71%]) or to placebo (n = 31 [52%]; mean [SD] age, 46.8 [10.2] years; 26 of 30 female [87%]) across study sites. Overall baseline-to-end point change in MADRS total score was observed across treatment × time interaction (χ2 = 10.33; P = .04); reduction in symptom severity was not significant at week 12 (relative risk, 1.09; 95% CI, 0.80-1.50; df = 1; P = .60). As part of a secondary analysis, a significant treatment × time × childhood maltreatment interaction was observed in which infliximab-treated individuals with childhood history of physical abuse exhibited greater reductions in MADRS total score (χ2 = 12.20; P = .02) and higher response rates (≥50% reduction in MADRS total score) (χ2 = 4.05; P = .04). CONCLUSIONS AND RELEVANCE: Infliximab did not significantly…","author":[{"dropping-particle":"","family":"McIntyre","given":"Roger S","non-dropping-particle":"","parse-names":false,"suffix":""},{"dropping-particle":"","family":"Subramaniapillai","given":"Mehala","non-dropping-particle":"","parse-names":false,"suffix":""},{"dropping-particle":"","family":"Lee","given":"Yena","non-dropping-particle":"","parse-names":false,"suffix":""},{"dropping-particle":"","family":"Pan","given":"Zihang","non-dropping-particle":"","parse-names":false,"suffix":""},{"dropping-particle":"","family":"Carmona","given":"Nicole E","non-dropping-particle":"","parse-names":false,"suffix":""},{"dropping-particle":"","family":"Shekotikhina","given":"Margarita","non-dropping-particle":"","parse-names":false,"suffix":""},{"dropping-particle":"","family":"Rosenblat","given":"Joshua D","non-dropping-particle":"","parse-names":false,"suffix":""},{"dropping-particle":"","family":"Brietzke","given":"Elisa","non-dropping-particle":"","parse-names":false,"suffix":""},{"dropping-particle":"","family":"Soczynska","given":"Joanna K","non-dropping-particle":"","parse-names":false,"suffix":""},{"dropping-particle":"","family":"Cosgrove","given":"Victoria E","non-dropping-particle":"","parse-names":false,"suffix":""},{"dropping-particle":"","family":"Miller","given":"Shefali","non-dropping-particle":"","parse-names":false,"suffix":""},{"dropping-particle":"","family":"Fischer","given":"Eileen Grace","non-dropping-particle":"","parse-names":false,"suffix":""},{"dropping-particle":"","family":"Kramer","given":"Nicole E","non-dropping-particle":"","parse-names":false,"suffix":""},{"dropping-particle":"","family":"Dunlap","given":"Kiley","non-dropping-particle":"","parse-names":false,"suffix":""},{"dropping-particle":"","family":"Suppes","given":"Trisha","non-dropping-particle":"","parse-names":false,"suffix":""},{"dropping-particle":"","family":"Mansur","given":"Rodrigo B","non-dropping-particle":"","parse-names":false,"suffix":""}],"container-title":"JAMA psychiatry","id":"ITEM-1","issue":"8","issued":{"date-parts":[["2019","8","1"]]},"language":"eng","page":"783-790","publisher":"American Medical Association","title":"Efficacy of Adjunctive Infliximab vs Placebo in the Treatment of Adults With Bipolar I/II Depression: A Randomized Clinical Trial","type":"article-journal","volume":"76"},"uris":["http://www.mendeley.com/documents/?uuid=311050bc-351e-47cf-aef7-48f4586c7c64","http://www.mendeley.com/documents/?uuid=7459f7e0-6031-4f7f-a14d-057418a72b5d"]},{"id":"ITEM-2","itemData":{"DOI":"10.1016/S2215-0366(20)30138-3","ISSN":"2215-0366","author":[{"dropping-particle":"","family":"Husain","given":"Muhammad Ishrat","non-dropping-particle":"","parse-names":false,"suffix":""},{"dropping-particle":"","family":"Chaudhry","given":"Imran B","non-dropping-particle":"","parse-names":false,"suffix":""},{"dropping-particle":"","family":"Khoso","given":"Ameer B","non-dropping-particle":"","parse-names":false,"suffix":""},{"dropping-particle":"","family":"Husain","given":"Muhammad Omair","non-dropping-particle":"","parse-names":false,"suffix":""},{"dropping-particle":"","family":"Hodsoll","given":"John","non-dropping-particle":"","parse-names":false,"suffix":""},{"dropping-particle":"","family":"Ansari","given":"Moin A","non-dropping-particle":"","parse-names":false,"suffix":""},{"dropping-particle":"","family":"Naqvi","given":"Haider A","non-dropping-particle":"","parse-names":false,"suffix":""},{"dropping-particle":"","family":"Minhas","given":"Fareed A","non-dropping-particle":"","parse-names":false,"suffix":""},{"dropping-particle":"","family":"Carvalho","given":"Andre F","non-dropping-particle":"","parse-names":false,"suffix":""},{"dropping-particle":"","family":"Meyer","given":"Jeffrey H","non-dropping-particle":"","parse-names":false,"suffix":""},{"dropping-particle":"","family":"Deakin","given":"Bill","non-dropping-particle":"","parse-names":false,"suffix":""},{"dropping-particle":"","family":"Mulsant","given":"Benoit H","non-dropping-particle":"","parse-names":false,"suffix":""},{"dropping-particle":"","family":"Husain","given":"Nusrat","non-dropping-particle":"","parse-names":false,"suffix":""},{"dropping-particle":"","family":"Young","given":"Allan H","non-dropping-particle":"","parse-names":false,"suffix":""}],"container-title":"The Lancet Psychiatry","id":"ITEM-2","issue":"6","issued":{"date-parts":[["2020","6","1"]]},"note":"doi: 10.1016/S2215-0366(20)30138-3","page":"515-527","publisher":"Elsevier","title":"Minocycline and celecoxib as adjunctive treatments for bipolar depression: a multicentre, factorial design randomised controlled trial","type":"article-journal","volume":"7"},"uris":["http://www.mendeley.com/documents/?uuid=9a560ebe-e43b-47e3-8543-7ab9cf6de332"]}],"mendeley":{"formattedCitation":"(Husain et al., 2020; McIntyre et al., 2019)","plainTextFormattedCitation":"(Husain et al., 2020; McIntyre et al., 2019)","previouslyFormattedCitation":"(Husain et al., 2020; McIntyre et al., 2019)"},"properties":{"noteIndex":0},"schema":"https://github.com/citation-style-language/schema/raw/master/csl-citation.json"}</w:instrText>
      </w:r>
      <w:r w:rsidR="00252DE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(Husain et al., 2020; McIntyre et al., 2019)</w:t>
      </w:r>
      <w:r w:rsidR="00252DEE">
        <w:rPr>
          <w:rFonts w:ascii="Times New Roman" w:hAnsi="Times New Roman" w:cs="Times New Roman"/>
          <w:sz w:val="22"/>
          <w:szCs w:val="22"/>
          <w:lang w:val="en-US"/>
        </w:rPr>
        <w:fldChar w:fldCharType="end"/>
      </w:r>
      <w:r w:rsidR="009E7530">
        <w:rPr>
          <w:rFonts w:ascii="Times New Roman" w:hAnsi="Times New Roman" w:cs="Times New Roman"/>
          <w:sz w:val="22"/>
          <w:szCs w:val="22"/>
          <w:lang w:val="en-US"/>
        </w:rPr>
        <w:t>.</w:t>
      </w:r>
      <w:r w:rsidR="00DB0606">
        <w:rPr>
          <w:rFonts w:ascii="Times New Roman" w:hAnsi="Times New Roman" w:cs="Times New Roman"/>
          <w:sz w:val="22"/>
          <w:szCs w:val="22"/>
          <w:lang w:val="en-US"/>
        </w:rPr>
        <w:t xml:space="preserve"> Furthermore,</w:t>
      </w:r>
      <w:r w:rsidR="00F57650">
        <w:rPr>
          <w:rFonts w:ascii="Times New Roman" w:hAnsi="Times New Roman" w:cs="Times New Roman"/>
          <w:sz w:val="22"/>
          <w:szCs w:val="22"/>
          <w:lang w:val="en-US"/>
        </w:rPr>
        <w:t xml:space="preserve"> a recent large meta-analysis of </w:t>
      </w:r>
      <w:r w:rsidR="00BE30B4">
        <w:rPr>
          <w:rFonts w:ascii="Times New Roman" w:hAnsi="Times New Roman" w:cs="Times New Roman"/>
          <w:sz w:val="22"/>
          <w:szCs w:val="22"/>
          <w:lang w:val="en-US"/>
        </w:rPr>
        <w:t>immune markers in depression showed no greater variability in most pro-inflammatory immune markers in depression</w:t>
      </w:r>
      <w:r w:rsidR="00DB0606">
        <w:rPr>
          <w:rFonts w:ascii="Times New Roman" w:hAnsi="Times New Roman" w:cs="Times New Roman"/>
          <w:sz w:val="22"/>
          <w:szCs w:val="22"/>
          <w:lang w:val="en-US"/>
        </w:rPr>
        <w:t xml:space="preserve"> </w:t>
      </w:r>
      <w:r w:rsidR="00AE06EA">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{"citationItems":[{"id":"ITEM-1","itemData":{"DOI":"10.1016/j.bbi.2020.02.010","ISSN":"1090-2139","abstract":"IMPORTANCE: The magnitude and variability of cytokine alterations in depression are not clear. OBJECTIVE: To perform an up to date meta-analysis of mean differences of immune markers in depression, and to quantify and test for evidence of heterogeneity in immune markers in depression by conducting a meta-analysis of variability to ascertain whether only a sub-group of patients with depression show evidence of inflammation. DATA SOURCES: Studies that reported immune marker levels in peripheral blood in patients with depression and matched healthy controls in the MEDLINE database from inception to August 29th 2018 were examined. STUDY SELECTION: Case-control studies that reported immune marker levels in peripheral blood in patients with depression and healthy controls were selected. DATA EXTRACTION AND SYNTHESIS: Means and variances (SDs) were extracted for each measure to calculate effect sizes, which were combined using multivariate meta-analysis. MAIN OUTCOMES AND MEASURES: Hedges g was used to quantify mean differences. Relative variability of immune marker measurements in patients compared with control groups as indexed by the coefficient of variation ratio (CVR). RESULTS: A total of 107 studies that reported measurements from 5,166 patients with depression and 5,083 controls were included in the analyses. Levels of CRP (g = 0.71; 95%CI: 0.50-0.92; p &lt; 0.0001); IL-3 (g = 0.60; 95%CI: 0.31-0.89; p &lt; 0.0001); IL-6 (g = 0.61; 95%CI: 0.39-0.82; p &lt; 0.0001); IL-12 (g = 1.18; 95%CI: 0.74-1.62; p &lt; 0.0001); IL-18 (g = 1.97; 95%CI: 1.00-2.95; p &lt; 0.0001); sIL-2R (g = 0.71; 95%CI: 0.44-0.98; p &lt; 0.0001); and TNFα (g = 0.54; 95%CI: 0.32-0.76; p &lt; 0.0001) were significantly higher in patients with depression. These findings were robust to a range of potential confounds and moderators. Mean-scaled variability, measured as CVR, was significantly lower in patients with depression for CRP (CVR = 0.85; 95%CI: 0.75-0.98; p = 0.02); IL-12 (CVR = 0.61; 95%CI: 0.46-0.80; p &lt; 0.01); and sIL-2R (CVR = 0.85; 95%CI: 0.73-0.99; p = 0.04), while it was unchanged for IL-3, IL-6, IL-18, and TNF α. CONCLUSIONS AND RELEVANCE: Depression is confirmed as a pro-inflammatory state. Some of the inflammatory markers elevated in depression, including CRP and IL-12, show reduced variability in patients with depression, therefore supporting greater homogeneity in terms of an inflammatory phenotype in depression. Some inflammatory marker elevations in depression do not appear due to an inf…","author":[{"dropping-particle":"","family":"Osimo","given":"Emanuele F","non-dropping-particle":"","parse-names":false,"suffix":""},{"dropping-particle":"","family":"Pillinger","given":"Toby","non-dropping-particle":"","parse-names":false,"suffix":""},{"dropping-particle":"","family":"Rodriguez","given":"Irene Mateos","non-dropping-particle":"","parse-names":false,"suffix":""},{"dropping-particle":"","family":"Khandaker","given":"Golam M","non-dropping-particle":"","parse-names":false,"suffix":""},{"dropping-particle":"","family":"Pariante","given":"Carmine M","non-dropping-particle":"","parse-names":false,"suffix":""},{"dropping-particle":"","family":"Howes","given":"Oliver D","non-dropping-particle":"","parse-names":false,"suffix":""}],"container-title":"Brain, behavior, and immunity","edition":"2020/02/27","id":"ITEM-1","issued":{"date-parts":[["2020","7"]]},"language":"eng","page":"901-909","publisher":"Elsevier","title":"Inflammatory markers in depression: A meta-analysis of mean differences and variability in 5,166 patients and 5,083 controls","type":"article-journal","volume":"87"},"uris":["http://www.mendeley.com/documents/?uuid=f93f1d1e-b8e3-42a0-8c76-7af966dc87ef"]}],"mendeley":{"formattedCitation":"(Osimo et al., 2020)","plainTextFormattedCitation":"(Osimo et al., 2020)","previouslyFormattedCitation":"(Osimo et al., 2020)"},"properties":{"noteIndex":0},"schema":"https://github.com/citation-style-language/schema/raw/master/csl-citation.json"}</w:instrText>
      </w:r>
      <w:r w:rsidR="00AE06EA">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(Osimo et al., 2020)</w:t>
      </w:r>
      <w:r w:rsidR="00AE06EA">
        <w:rPr>
          <w:rFonts w:ascii="Times New Roman" w:hAnsi="Times New Roman" w:cs="Times New Roman"/>
          <w:sz w:val="22"/>
          <w:szCs w:val="22"/>
          <w:lang w:val="en-US"/>
        </w:rPr>
        <w:fldChar w:fldCharType="end"/>
      </w:r>
      <w:r w:rsidR="009E7530">
        <w:rPr>
          <w:rFonts w:ascii="Times New Roman" w:hAnsi="Times New Roman" w:cs="Times New Roman"/>
          <w:sz w:val="22"/>
          <w:szCs w:val="22"/>
          <w:lang w:val="en-US"/>
        </w:rPr>
        <w:t>.</w:t>
      </w:r>
    </w:p>
    <w:p w14:paraId="1D7D312A" w14:textId="5327147F" w:rsidR="004F2C30" w:rsidRDefault="009A4779" w:rsidP="005A0E80">
      <w:pPr>
        <w:spacing w:line="480" w:lineRule="auto"/>
        <w:ind w:firstLine="360"/>
        <w:jc w:val="both"/>
        <w:rPr>
          <w:rFonts w:ascii="Times New Roman" w:hAnsi="Times New Roman" w:cs="Times New Roman"/>
          <w:sz w:val="22"/>
          <w:szCs w:val="22"/>
          <w:lang w:val="en-US"/>
        </w:rPr>
      </w:pPr>
      <w:r>
        <w:rPr>
          <w:rFonts w:ascii="Times New Roman" w:hAnsi="Times New Roman" w:cs="Times New Roman"/>
          <w:sz w:val="22"/>
          <w:szCs w:val="22"/>
          <w:lang w:val="en-US"/>
        </w:rPr>
        <w:t>The most studie</w:t>
      </w:r>
      <w:r w:rsidR="00420A12">
        <w:rPr>
          <w:rFonts w:ascii="Times New Roman" w:hAnsi="Times New Roman" w:cs="Times New Roman"/>
          <w:sz w:val="22"/>
          <w:szCs w:val="22"/>
          <w:lang w:val="en-US"/>
        </w:rPr>
        <w:t>d</w:t>
      </w:r>
      <w:r>
        <w:rPr>
          <w:rFonts w:ascii="Times New Roman" w:hAnsi="Times New Roman" w:cs="Times New Roman"/>
          <w:sz w:val="22"/>
          <w:szCs w:val="22"/>
          <w:lang w:val="en-US"/>
        </w:rPr>
        <w:t xml:space="preserve"> </w:t>
      </w:r>
      <w:r w:rsidR="007067A8">
        <w:rPr>
          <w:rFonts w:ascii="Times New Roman" w:hAnsi="Times New Roman" w:cs="Times New Roman"/>
          <w:sz w:val="22"/>
          <w:szCs w:val="22"/>
          <w:lang w:val="en-US"/>
        </w:rPr>
        <w:t>pro-</w:t>
      </w:r>
      <w:r>
        <w:rPr>
          <w:rFonts w:ascii="Times New Roman" w:hAnsi="Times New Roman" w:cs="Times New Roman"/>
          <w:sz w:val="22"/>
          <w:szCs w:val="22"/>
          <w:lang w:val="en-US"/>
        </w:rPr>
        <w:t>inflammatory markers</w:t>
      </w:r>
      <w:r w:rsidR="00420A12">
        <w:rPr>
          <w:rFonts w:ascii="Times New Roman" w:hAnsi="Times New Roman" w:cs="Times New Roman"/>
          <w:sz w:val="22"/>
          <w:szCs w:val="22"/>
          <w:lang w:val="en-US"/>
        </w:rPr>
        <w:t xml:space="preserve"> in BD</w:t>
      </w:r>
      <w:r>
        <w:rPr>
          <w:rFonts w:ascii="Times New Roman" w:hAnsi="Times New Roman" w:cs="Times New Roman"/>
          <w:sz w:val="22"/>
          <w:szCs w:val="22"/>
          <w:lang w:val="en-US"/>
        </w:rPr>
        <w:t xml:space="preserve"> are </w:t>
      </w:r>
      <w:r w:rsidR="007067A8">
        <w:rPr>
          <w:rFonts w:ascii="Times New Roman" w:hAnsi="Times New Roman" w:cs="Times New Roman"/>
          <w:sz w:val="22"/>
          <w:szCs w:val="22"/>
          <w:lang w:val="en-US"/>
        </w:rPr>
        <w:t xml:space="preserve">C-reactive protein (CRP), tumor necrosis factor-alpha (TNF-α), interleukin- (IL) -1) and IL-6. </w:t>
      </w:r>
      <w:r w:rsidR="009179BA">
        <w:rPr>
          <w:rFonts w:ascii="Times New Roman" w:hAnsi="Times New Roman" w:cs="Times New Roman"/>
          <w:sz w:val="22"/>
          <w:szCs w:val="22"/>
          <w:lang w:val="en-US"/>
        </w:rPr>
        <w:t xml:space="preserve">Thus, the current systematic review and meta-analysis aimed to </w:t>
      </w:r>
      <w:r w:rsidR="00DF5FEF">
        <w:rPr>
          <w:rFonts w:ascii="Times New Roman" w:hAnsi="Times New Roman" w:cs="Times New Roman"/>
          <w:sz w:val="22"/>
          <w:szCs w:val="22"/>
          <w:lang w:val="en-US"/>
        </w:rPr>
        <w:t>confirm</w:t>
      </w:r>
      <w:r w:rsidR="009179BA">
        <w:rPr>
          <w:rFonts w:ascii="Times New Roman" w:hAnsi="Times New Roman" w:cs="Times New Roman"/>
          <w:sz w:val="22"/>
          <w:szCs w:val="22"/>
          <w:lang w:val="en-US"/>
        </w:rPr>
        <w:t xml:space="preserve"> </w:t>
      </w:r>
      <w:r w:rsidR="00F24014">
        <w:rPr>
          <w:rFonts w:ascii="Times New Roman" w:hAnsi="Times New Roman" w:cs="Times New Roman"/>
          <w:sz w:val="22"/>
          <w:szCs w:val="22"/>
          <w:lang w:val="en-US"/>
        </w:rPr>
        <w:t xml:space="preserve">whether differences in </w:t>
      </w:r>
      <w:r w:rsidR="007067A8">
        <w:rPr>
          <w:rFonts w:ascii="Times New Roman" w:hAnsi="Times New Roman" w:cs="Times New Roman"/>
          <w:sz w:val="22"/>
          <w:szCs w:val="22"/>
          <w:lang w:val="en-US"/>
        </w:rPr>
        <w:t xml:space="preserve">such </w:t>
      </w:r>
      <w:r w:rsidR="00BE30B4">
        <w:rPr>
          <w:rFonts w:ascii="Times New Roman" w:hAnsi="Times New Roman" w:cs="Times New Roman"/>
          <w:sz w:val="22"/>
          <w:szCs w:val="22"/>
          <w:lang w:val="en-US"/>
        </w:rPr>
        <w:t>pro-</w:t>
      </w:r>
      <w:r w:rsidR="00F24014">
        <w:rPr>
          <w:rFonts w:ascii="Times New Roman" w:hAnsi="Times New Roman" w:cs="Times New Roman"/>
          <w:sz w:val="22"/>
          <w:szCs w:val="22"/>
          <w:lang w:val="en-US"/>
        </w:rPr>
        <w:t>inflammatory biomarkers</w:t>
      </w:r>
      <w:r w:rsidR="00E50B57">
        <w:rPr>
          <w:rFonts w:ascii="Times New Roman" w:hAnsi="Times New Roman" w:cs="Times New Roman"/>
          <w:sz w:val="22"/>
          <w:szCs w:val="22"/>
          <w:lang w:val="en-US"/>
        </w:rPr>
        <w:t xml:space="preserve"> </w:t>
      </w:r>
      <w:r w:rsidR="00DF5FEF">
        <w:rPr>
          <w:rFonts w:ascii="Times New Roman" w:hAnsi="Times New Roman" w:cs="Times New Roman"/>
          <w:sz w:val="22"/>
          <w:szCs w:val="22"/>
          <w:lang w:val="en-US"/>
        </w:rPr>
        <w:t xml:space="preserve">would exist </w:t>
      </w:r>
      <w:r w:rsidR="004B172F">
        <w:rPr>
          <w:rFonts w:ascii="Times New Roman" w:hAnsi="Times New Roman" w:cs="Times New Roman"/>
          <w:sz w:val="22"/>
          <w:szCs w:val="22"/>
          <w:lang w:val="en-US"/>
        </w:rPr>
        <w:t xml:space="preserve">among </w:t>
      </w:r>
      <w:r w:rsidR="002B68A1">
        <w:rPr>
          <w:rFonts w:ascii="Times New Roman" w:hAnsi="Times New Roman" w:cs="Times New Roman"/>
          <w:sz w:val="22"/>
          <w:szCs w:val="22"/>
          <w:lang w:val="en-US"/>
        </w:rPr>
        <w:t xml:space="preserve">participants with </w:t>
      </w:r>
      <w:r w:rsidR="004F2C30">
        <w:rPr>
          <w:rFonts w:ascii="Times New Roman" w:hAnsi="Times New Roman" w:cs="Times New Roman"/>
          <w:sz w:val="22"/>
          <w:szCs w:val="22"/>
          <w:lang w:val="en-US"/>
        </w:rPr>
        <w:t>BD</w:t>
      </w:r>
      <w:r w:rsidR="002B68A1">
        <w:rPr>
          <w:rFonts w:ascii="Times New Roman" w:hAnsi="Times New Roman" w:cs="Times New Roman"/>
          <w:sz w:val="22"/>
          <w:szCs w:val="22"/>
          <w:lang w:val="en-US"/>
        </w:rPr>
        <w:t xml:space="preserve"> across </w:t>
      </w:r>
      <w:r w:rsidR="006C7090">
        <w:rPr>
          <w:rFonts w:ascii="Times New Roman" w:hAnsi="Times New Roman" w:cs="Times New Roman"/>
          <w:sz w:val="22"/>
          <w:szCs w:val="22"/>
          <w:lang w:val="en-US"/>
        </w:rPr>
        <w:t>different mood states</w:t>
      </w:r>
      <w:r w:rsidR="002B68A1">
        <w:rPr>
          <w:rFonts w:ascii="Times New Roman" w:hAnsi="Times New Roman" w:cs="Times New Roman"/>
          <w:sz w:val="22"/>
          <w:szCs w:val="22"/>
          <w:lang w:val="en-US"/>
        </w:rPr>
        <w:t xml:space="preserve"> compared to controls. Furthermore, a meta-analysis </w:t>
      </w:r>
      <w:r w:rsidR="0014156C">
        <w:rPr>
          <w:rFonts w:ascii="Times New Roman" w:hAnsi="Times New Roman" w:cs="Times New Roman"/>
          <w:sz w:val="22"/>
          <w:szCs w:val="22"/>
          <w:lang w:val="en-US"/>
        </w:rPr>
        <w:t>of variability was conducted to</w:t>
      </w:r>
      <w:r w:rsidR="00CB5B7F">
        <w:rPr>
          <w:rFonts w:ascii="Times New Roman" w:hAnsi="Times New Roman" w:cs="Times New Roman"/>
          <w:sz w:val="22"/>
          <w:szCs w:val="22"/>
          <w:lang w:val="en-US"/>
        </w:rPr>
        <w:t xml:space="preserve"> </w:t>
      </w:r>
      <w:r w:rsidR="00BE30B4">
        <w:rPr>
          <w:rFonts w:ascii="Times New Roman" w:hAnsi="Times New Roman" w:cs="Times New Roman"/>
          <w:sz w:val="22"/>
          <w:szCs w:val="22"/>
          <w:lang w:val="en-US"/>
        </w:rPr>
        <w:t>explore</w:t>
      </w:r>
      <w:r w:rsidR="0014156C">
        <w:rPr>
          <w:rFonts w:ascii="Times New Roman" w:hAnsi="Times New Roman" w:cs="Times New Roman"/>
          <w:sz w:val="22"/>
          <w:szCs w:val="22"/>
          <w:lang w:val="en-US"/>
        </w:rPr>
        <w:t xml:space="preserve"> whether </w:t>
      </w:r>
      <w:r w:rsidR="00026153">
        <w:rPr>
          <w:rFonts w:ascii="Times New Roman" w:hAnsi="Times New Roman" w:cs="Times New Roman"/>
          <w:sz w:val="22"/>
          <w:szCs w:val="22"/>
          <w:lang w:val="en-US"/>
        </w:rPr>
        <w:t>those</w:t>
      </w:r>
      <w:r w:rsidR="00CB5B7F">
        <w:rPr>
          <w:rFonts w:ascii="Times New Roman" w:hAnsi="Times New Roman" w:cs="Times New Roman"/>
          <w:sz w:val="22"/>
          <w:szCs w:val="22"/>
          <w:lang w:val="en-US"/>
        </w:rPr>
        <w:t xml:space="preserve"> with BD </w:t>
      </w:r>
      <w:r w:rsidR="00BE30B4">
        <w:rPr>
          <w:rFonts w:ascii="Times New Roman" w:hAnsi="Times New Roman" w:cs="Times New Roman"/>
          <w:sz w:val="22"/>
          <w:szCs w:val="22"/>
          <w:lang w:val="en-US"/>
        </w:rPr>
        <w:t>show a homogeneous</w:t>
      </w:r>
      <w:r w:rsidR="00CB5B7F">
        <w:rPr>
          <w:rFonts w:ascii="Times New Roman" w:hAnsi="Times New Roman" w:cs="Times New Roman"/>
          <w:sz w:val="22"/>
          <w:szCs w:val="22"/>
          <w:lang w:val="en-US"/>
        </w:rPr>
        <w:t xml:space="preserve"> </w:t>
      </w:r>
      <w:r w:rsidR="00BE30B4">
        <w:rPr>
          <w:rFonts w:ascii="Times New Roman" w:hAnsi="Times New Roman" w:cs="Times New Roman"/>
          <w:sz w:val="22"/>
          <w:szCs w:val="22"/>
          <w:lang w:val="en-US"/>
        </w:rPr>
        <w:t xml:space="preserve">pro-inflammatory </w:t>
      </w:r>
      <w:r w:rsidR="00CB5B7F">
        <w:rPr>
          <w:rFonts w:ascii="Times New Roman" w:hAnsi="Times New Roman" w:cs="Times New Roman"/>
          <w:sz w:val="22"/>
          <w:szCs w:val="22"/>
          <w:lang w:val="en-US"/>
        </w:rPr>
        <w:t>p</w:t>
      </w:r>
      <w:r w:rsidR="00BE30B4">
        <w:rPr>
          <w:rFonts w:ascii="Times New Roman" w:hAnsi="Times New Roman" w:cs="Times New Roman"/>
          <w:sz w:val="22"/>
          <w:szCs w:val="22"/>
          <w:lang w:val="en-US"/>
        </w:rPr>
        <w:t>henotype</w:t>
      </w:r>
      <w:r w:rsidR="00291EFB">
        <w:rPr>
          <w:rFonts w:ascii="Times New Roman" w:hAnsi="Times New Roman" w:cs="Times New Roman"/>
          <w:sz w:val="22"/>
          <w:szCs w:val="22"/>
          <w:lang w:val="en-US"/>
        </w:rPr>
        <w:t>.</w:t>
      </w:r>
      <w:r w:rsidR="00CB5B7F">
        <w:rPr>
          <w:rFonts w:ascii="Times New Roman" w:hAnsi="Times New Roman" w:cs="Times New Roman"/>
          <w:sz w:val="22"/>
          <w:szCs w:val="22"/>
          <w:lang w:val="en-US"/>
        </w:rPr>
        <w:t xml:space="preserve"> </w:t>
      </w:r>
      <w:r w:rsidR="00DF5FEF">
        <w:rPr>
          <w:rFonts w:ascii="Times New Roman" w:hAnsi="Times New Roman" w:cs="Times New Roman"/>
          <w:sz w:val="22"/>
          <w:szCs w:val="22"/>
          <w:lang w:val="en-US"/>
        </w:rPr>
        <w:t xml:space="preserve"> </w:t>
      </w:r>
    </w:p>
    <w:p w14:paraId="52845529" w14:textId="7D410B91" w:rsidR="009179BA" w:rsidRPr="00446D07" w:rsidRDefault="004F2C30" w:rsidP="00F5155B">
      <w:pPr>
        <w:rPr>
          <w:rFonts w:ascii="Times New Roman" w:hAnsi="Times New Roman" w:cs="Times New Roman"/>
          <w:sz w:val="22"/>
          <w:szCs w:val="22"/>
          <w:lang w:val="en-US"/>
        </w:rPr>
      </w:pPr>
      <w:r>
        <w:rPr>
          <w:rFonts w:ascii="Times New Roman" w:hAnsi="Times New Roman" w:cs="Times New Roman"/>
          <w:sz w:val="22"/>
          <w:szCs w:val="22"/>
          <w:lang w:val="en-US"/>
        </w:rPr>
        <w:br w:type="page"/>
      </w:r>
    </w:p>
    <w:p w14:paraId="2A3F0423" w14:textId="502B35F8" w:rsidR="005B12BF" w:rsidRPr="00446D07" w:rsidRDefault="00C915B6" w:rsidP="008D52D7">
      <w:pPr>
        <w:pStyle w:val="Heading1"/>
        <w:numPr>
          <w:ilvl w:val="0"/>
          <w:numId w:val="22"/>
        </w:numPr>
      </w:pPr>
      <w:r w:rsidRPr="00446D07">
        <w:lastRenderedPageBreak/>
        <w:t>Methods</w:t>
      </w:r>
    </w:p>
    <w:p w14:paraId="0DF1C6F2" w14:textId="743080AE" w:rsidR="00BD0B01" w:rsidRPr="00446D07" w:rsidRDefault="0074009D" w:rsidP="008D52D7">
      <w:pPr>
        <w:pStyle w:val="Heading2"/>
      </w:pPr>
      <w:r w:rsidRPr="00446D07">
        <w:t xml:space="preserve">2.1 </w:t>
      </w:r>
      <w:r w:rsidR="00BD0B01" w:rsidRPr="00446D07">
        <w:t>Search, inclusion criteria</w:t>
      </w:r>
    </w:p>
    <w:p w14:paraId="25B50BBA" w14:textId="44B93FA6" w:rsidR="000425B1" w:rsidRPr="00446D07" w:rsidRDefault="00BD0B01" w:rsidP="00446D07">
      <w:pPr>
        <w:spacing w:line="360" w:lineRule="auto"/>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We followed an a priori protocol (</w:t>
      </w:r>
      <w:r w:rsidR="00FF5D84" w:rsidRPr="00446D07">
        <w:rPr>
          <w:rFonts w:ascii="Times New Roman" w:hAnsi="Times New Roman" w:cs="Times New Roman"/>
          <w:sz w:val="22"/>
          <w:szCs w:val="22"/>
          <w:lang w:val="en-US"/>
        </w:rPr>
        <w:t xml:space="preserve">available </w:t>
      </w:r>
      <w:r w:rsidR="00FF5D84" w:rsidRPr="00446D07">
        <w:rPr>
          <w:rFonts w:ascii="Times New Roman" w:hAnsi="Times New Roman" w:cs="Times New Roman"/>
          <w:sz w:val="22"/>
          <w:szCs w:val="22"/>
        </w:rPr>
        <w:t>upon</w:t>
      </w:r>
      <w:r w:rsidR="00187639">
        <w:rPr>
          <w:rFonts w:ascii="Times New Roman" w:hAnsi="Times New Roman" w:cs="Times New Roman"/>
          <w:sz w:val="22"/>
          <w:szCs w:val="22"/>
        </w:rPr>
        <w:t xml:space="preserve"> </w:t>
      </w:r>
      <w:r w:rsidR="00FF5D84" w:rsidRPr="00446D07">
        <w:rPr>
          <w:rFonts w:ascii="Times New Roman" w:hAnsi="Times New Roman" w:cs="Times New Roman"/>
          <w:sz w:val="22"/>
          <w:szCs w:val="22"/>
        </w:rPr>
        <w:t>request</w:t>
      </w:r>
      <w:r w:rsidR="00187639">
        <w:rPr>
          <w:rFonts w:ascii="Times New Roman" w:hAnsi="Times New Roman" w:cs="Times New Roman"/>
          <w:sz w:val="22"/>
          <w:szCs w:val="22"/>
        </w:rPr>
        <w:t xml:space="preserve"> to the correspon</w:t>
      </w:r>
      <w:r w:rsidR="00FC67B4">
        <w:rPr>
          <w:rFonts w:ascii="Times New Roman" w:hAnsi="Times New Roman" w:cs="Times New Roman"/>
          <w:sz w:val="22"/>
          <w:szCs w:val="22"/>
        </w:rPr>
        <w:t>d</w:t>
      </w:r>
      <w:r w:rsidR="00187639">
        <w:rPr>
          <w:rFonts w:ascii="Times New Roman" w:hAnsi="Times New Roman" w:cs="Times New Roman"/>
          <w:sz w:val="22"/>
          <w:szCs w:val="22"/>
        </w:rPr>
        <w:t>ing author</w:t>
      </w:r>
      <w:r w:rsidRPr="00446D07">
        <w:rPr>
          <w:rFonts w:ascii="Times New Roman" w:hAnsi="Times New Roman" w:cs="Times New Roman"/>
          <w:sz w:val="22"/>
          <w:szCs w:val="22"/>
          <w:lang w:val="en-US"/>
        </w:rPr>
        <w:t>)</w:t>
      </w:r>
      <w:r w:rsidR="004B60A9">
        <w:rPr>
          <w:rFonts w:ascii="Times New Roman" w:hAnsi="Times New Roman" w:cs="Times New Roman"/>
          <w:sz w:val="22"/>
          <w:szCs w:val="22"/>
          <w:lang w:val="en-US"/>
        </w:rPr>
        <w:t>. This</w:t>
      </w:r>
      <w:r w:rsidRPr="00446D07">
        <w:rPr>
          <w:rFonts w:ascii="Times New Roman" w:hAnsi="Times New Roman" w:cs="Times New Roman"/>
          <w:sz w:val="22"/>
          <w:szCs w:val="22"/>
          <w:lang w:val="en-US"/>
        </w:rPr>
        <w:t xml:space="preserve"> </w:t>
      </w:r>
      <w:r w:rsidR="004B60A9">
        <w:rPr>
          <w:rFonts w:ascii="Times New Roman" w:hAnsi="Times New Roman" w:cs="Times New Roman"/>
          <w:sz w:val="22"/>
          <w:szCs w:val="22"/>
          <w:lang w:val="en-US"/>
        </w:rPr>
        <w:t xml:space="preserve">was </w:t>
      </w:r>
      <w:r w:rsidR="00187639">
        <w:rPr>
          <w:rFonts w:ascii="Times New Roman" w:hAnsi="Times New Roman" w:cs="Times New Roman"/>
          <w:sz w:val="22"/>
          <w:szCs w:val="22"/>
          <w:lang w:val="en-US"/>
        </w:rPr>
        <w:t>compliant with</w:t>
      </w:r>
      <w:r w:rsidR="00187639" w:rsidRPr="00446D07">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 xml:space="preserve">the Preferred Reporting Items for Systematic Review and Meta-Analysis Protocols </w:t>
      </w:r>
      <w:r w:rsidR="004C0ADA">
        <w:rPr>
          <w:rFonts w:ascii="Times New Roman" w:hAnsi="Times New Roman" w:cs="Times New Roman"/>
          <w:sz w:val="22"/>
          <w:szCs w:val="22"/>
          <w:lang w:val="en-US"/>
        </w:rPr>
        <w:t>[</w:t>
      </w:r>
      <w:r w:rsidRPr="00446D07">
        <w:rPr>
          <w:rFonts w:ascii="Times New Roman" w:hAnsi="Times New Roman" w:cs="Times New Roman"/>
          <w:sz w:val="22"/>
          <w:szCs w:val="22"/>
          <w:lang w:val="en-US"/>
        </w:rPr>
        <w:t>PRISMA</w:t>
      </w:r>
      <w:r w:rsidR="004C0ADA">
        <w:rPr>
          <w:rFonts w:ascii="Times New Roman" w:hAnsi="Times New Roman" w:cs="Times New Roman"/>
          <w:sz w:val="22"/>
          <w:szCs w:val="22"/>
          <w:lang w:val="en-US"/>
        </w:rPr>
        <w:t>(</w:t>
      </w:r>
      <w:r w:rsidR="00A237D6">
        <w:rPr>
          <w:rFonts w:ascii="Times New Roman" w:hAnsi="Times New Roman" w:cs="Times New Roman"/>
          <w:sz w:val="22"/>
          <w:szCs w:val="22"/>
          <w:lang w:val="en-US"/>
        </w:rPr>
        <w:t>-P</w:t>
      </w:r>
      <w:r w:rsidR="004C0ADA">
        <w:rPr>
          <w:rFonts w:ascii="Times New Roman" w:hAnsi="Times New Roman" w:cs="Times New Roman"/>
          <w:sz w:val="22"/>
          <w:szCs w:val="22"/>
          <w:lang w:val="en-US"/>
        </w:rPr>
        <w:t>)</w:t>
      </w:r>
      <w:r w:rsidR="004C0ADA" w:rsidRPr="00137500">
        <w:rPr>
          <w:rFonts w:ascii="Times New Roman" w:hAnsi="Times New Roman" w:cs="Times New Roman"/>
          <w:sz w:val="22"/>
          <w:szCs w:val="22"/>
          <w:lang w:val="en-US"/>
        </w:rPr>
        <w:t>]</w:t>
      </w:r>
      <w:r w:rsidR="004C0ADA" w:rsidRPr="004C0ADA">
        <w:rPr>
          <w:rFonts w:ascii="Times" w:hAnsi="Times" w:cs="Times"/>
          <w:b/>
        </w:rPr>
        <w:t xml:space="preserve"> </w:t>
      </w:r>
      <w:r w:rsidR="004C0ADA">
        <w:rPr>
          <w:rFonts w:ascii="Times" w:hAnsi="Times" w:cs="Times"/>
          <w:b/>
        </w:rPr>
        <w:fldChar w:fldCharType="begin" w:fldLock="1"/>
      </w:r>
      <w:r w:rsidR="00CC5EA9">
        <w:rPr>
          <w:rFonts w:ascii="Times" w:hAnsi="Times" w:cs="Times"/>
          <w:b/>
        </w:rPr>
        <w:instrText>ADDIN CSL_CITATION {"citationItems":[{"id":"ITEM-1","itemData":{"DOI":"10.1016/j.jclinepi.2009.06.005","ISSN":"18785921","PMID":"21603045","author":[{"dropping-particle":"","family":"Moher","given":"David","non-dropping-particle":"","parse-names":false,"suffix":""},{"dropping-particle":"","family":"Liberati","given":"Alessandro","non-dropping-particle":"","parse-names":false,"suffix":""},{"dropping-particle":"","family":"Tetzlaff","given":"Jennifer","non-dropping-particle":"","parse-names":false,"suffix":""},{"dropping-particle":"","family":"Altman","given":"Douglas G.","non-dropping-particle":"","parse-names":false,"suffix":""}],"container-title":"Journal of clinical epidemiology","id":"ITEM-1","issue":"10","issued":{"date-parts":[["2009","10","1"]]},"page":"1006-1012","title":"Preferred reporting items for systematic reviews and meta-analyses: the PRISMA statement","type":"article-journal","volume":"62"},"uris":["http://www.mendeley.com/documents/?uuid=7b0978d3-d69c-3c34-8baf-3c75b289c96b"]},{"id":"ITEM-2","itemData":{"DOI":"10.1186/2046-4053-4-1","abstract":"Systematic reviews should build on a protocol that describes the rationale, hypothesis, and planned methods of the review; few reviews report whether a protocol exists. Detailed, well-described protocols can facilitate the understanding and appraisal of the review methods, as well as the detection of modifications to methods and selective reporting in completed reviews. We describe the development of a reporting guideline, the Preferred Reporting Items for Systematic reviews and Meta-Analyses for Protocols 2015 (PRISMA-P 2015). PRISMA-P consists of a 17-item checklist intended to facilitate the preparation and reporting of a robust protocol for the systematic review. Funders and those commissioning reviews might consider mandating the use of the checklist to facilitate the submission of relevant protocol information in funding applications. Similarly, peer reviewers and editors can use the guidance to gauge the completeness and transparency of a systematic review protocol submitted for publication in a journal or other medium. Background","author":[{"dropping-particle":"","family":"Moher","given":"David","non-dropping-particle":"","parse-names":false,"suffix":""},{"dropping-particle":"","family":"Shamseer","given":"Larissa","non-dropping-particle":"","parse-names":false,"suffix":""},{"dropping-particle":"","family":"Clarke","given":"Mike","non-dropping-particle":"","parse-names":false,"suffix":""},{"dropping-particle":"","family":"Ghersi","given":"Davina","non-dropping-particle":"","parse-names":false,"suffix":""},{"dropping-particle":"","family":"Liberatî","given":"Alessandro","non-dropping-particle":"","parse-names":false,"suffix":""},{"dropping-particle":"","family":"Petticrew","given":"Mark","non-dropping-particle":"","parse-names":false,"suffix":""},{"dropping-particle":"","family":"Shekelle","given":"Paul","non-dropping-particle":"","parse-names":false,"suffix":""},{"dropping-particle":"","family":"Stewart","given":"Lesley A","non-dropping-particle":"","parse-names":false,"suffix":""},{"dropping-particle":"","family":"Group","given":"Prisma-P","non-dropping-particle":"","parse-names":false,"suffix":""}],"id":"ITEM-2","issued":{"date-parts":[["2015"]]},"number-of-pages":"1-9","title":"Preferred reporting items for systematic review and meta-analysis protocols (PRISMA-P) 2015 statement","type":"report","volume":"4"},"uris":["http://www.mendeley.com/documents/?uuid=45e8095d-2db5-3850-b6e9-0af6ddb59fe2","http://www.mendeley.com/documents/?uuid=5c7ac959-8155-4228-b185-2abc39f7717b"]}],"mendeley":{"formattedCitation":"(Moher et al., 2015, 2009)","plainTextFormattedCitation":"(Moher et al., 2015, 2009)","previouslyFormattedCitation":"(Moher et al., 2015, 2009)"},"properties":{"noteIndex":0},"schema":"https://github.com/citation-style-language/schema/raw/master/csl-citation.json"}</w:instrText>
      </w:r>
      <w:r w:rsidR="004C0ADA">
        <w:rPr>
          <w:rFonts w:ascii="Times" w:hAnsi="Times" w:cs="Times"/>
          <w:b/>
        </w:rPr>
        <w:fldChar w:fldCharType="separate"/>
      </w:r>
      <w:r w:rsidR="008F0511" w:rsidRPr="008F0511">
        <w:rPr>
          <w:rFonts w:ascii="Times" w:hAnsi="Times" w:cs="Times"/>
          <w:noProof/>
        </w:rPr>
        <w:t>(Moher et al., 2015, 2009)</w:t>
      </w:r>
      <w:r w:rsidR="004C0ADA">
        <w:rPr>
          <w:rFonts w:ascii="Times" w:hAnsi="Times" w:cs="Times"/>
          <w:b/>
        </w:rPr>
        <w:fldChar w:fldCharType="end"/>
      </w:r>
      <w:r w:rsidRPr="00446D07">
        <w:rPr>
          <w:rFonts w:ascii="Times New Roman" w:hAnsi="Times New Roman" w:cs="Times New Roman"/>
          <w:sz w:val="22"/>
          <w:szCs w:val="22"/>
          <w:lang w:val="en-US"/>
        </w:rPr>
        <w:t xml:space="preserve"> (eTable 1, supplementary</w:t>
      </w:r>
      <w:r w:rsidR="003A69F2">
        <w:rPr>
          <w:rFonts w:ascii="Times New Roman" w:hAnsi="Times New Roman" w:cs="Times New Roman"/>
          <w:sz w:val="22"/>
          <w:szCs w:val="22"/>
          <w:lang w:val="en-US"/>
        </w:rPr>
        <w:t xml:space="preserve"> online</w:t>
      </w:r>
      <w:r w:rsidRPr="00446D07">
        <w:rPr>
          <w:rFonts w:ascii="Times New Roman" w:hAnsi="Times New Roman" w:cs="Times New Roman"/>
          <w:sz w:val="22"/>
          <w:szCs w:val="22"/>
          <w:lang w:val="en-US"/>
        </w:rPr>
        <w:t xml:space="preserve"> material) and the Meta-analysis Of Observational Studies in Epidemiology (MOOSE)</w:t>
      </w:r>
      <w:r w:rsidR="005A0E80">
        <w:rPr>
          <w:rFonts w:ascii="Times New Roman" w:hAnsi="Times New Roman" w:cs="Times New Roman"/>
          <w:sz w:val="22"/>
          <w:szCs w:val="22"/>
          <w:lang w:val="en-US"/>
        </w:rPr>
        <w:t xml:space="preserve"> </w:t>
      </w:r>
      <w:r w:rsidR="0080107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{"citationItems":[{"id":"ITEM-1","itemData":{"abstract":"Modified from Stroup DF, Berlin JA, Morton SC, Olkin I, Williamson GD, Rennie D, et al. Meta-analysis of observational studies in epidemiology: a proposal for reporting. Meta-analysis Of Observational Studies in Epidemiology (MOOSE) group. JAMA 2000;283:2008–12. Copyrighted © 2000, American Medical Association. All rights reserved.","author":[{"dropping-particle":"","family":"Stroup DF, Berlin JA, Morton SC, Olkin I, Williamson GD","given":"Rennie D","non-dropping-particle":"","parse-names":false,"suffix":""}],"container-title":"Jama","id":"ITEM-1","issued":{"date-parts":[["2000"]]},"title":"MOOSE Guidelines for Meta-Analyses and Systematic Reviews of Observational Studies","type":"article-journal"},"uris":["http://www.mendeley.com/documents/?uuid=4100b992-9514-4588-9cae-1839dd340cb5"]}],"mendeley":{"formattedCitation":"(Stroup DF, Berlin JA, Morton SC, Olkin I, Williamson GD, 2000)","plainTextFormattedCitation":"(Stroup DF, Berlin JA, Morton SC, Olkin I, Williamson GD, 2000)","previouslyFormattedCitation":"(Stroup DF, Berlin JA, Morton SC, Olkin I, Williamson GD, 2000)"},"properties":{"noteIndex":0},"schema":"https://github.com/citation-style-language/schema/raw/master/csl-citation.json"}</w:instrText>
      </w:r>
      <w:r w:rsidR="0080107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(Stroup DF, Berlin JA, Morton SC, Olkin I, Williamson GD, 2000)</w:t>
      </w:r>
      <w:r w:rsidR="0080107E">
        <w:rPr>
          <w:rFonts w:ascii="Times New Roman" w:hAnsi="Times New Roman" w:cs="Times New Roman"/>
          <w:sz w:val="22"/>
          <w:szCs w:val="22"/>
          <w:lang w:val="en-US"/>
        </w:rPr>
        <w:fldChar w:fldCharType="end"/>
      </w:r>
      <w:r w:rsidR="00BE30B4">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guidelines (eTable 2, supplementary</w:t>
      </w:r>
      <w:r w:rsidR="003A69F2">
        <w:rPr>
          <w:rFonts w:ascii="Times New Roman" w:hAnsi="Times New Roman" w:cs="Times New Roman"/>
          <w:sz w:val="22"/>
          <w:szCs w:val="22"/>
          <w:lang w:val="en-US"/>
        </w:rPr>
        <w:t xml:space="preserve"> online</w:t>
      </w:r>
      <w:r w:rsidRPr="00446D07">
        <w:rPr>
          <w:rFonts w:ascii="Times New Roman" w:hAnsi="Times New Roman" w:cs="Times New Roman"/>
          <w:sz w:val="22"/>
          <w:szCs w:val="22"/>
          <w:lang w:val="en-US"/>
        </w:rPr>
        <w:t xml:space="preserve"> material). </w:t>
      </w:r>
    </w:p>
    <w:p w14:paraId="0F69F521" w14:textId="383B04DA" w:rsidR="00BD0B01" w:rsidRPr="00446D07" w:rsidRDefault="000425B1" w:rsidP="005A0E80">
      <w:pPr>
        <w:spacing w:line="360" w:lineRule="auto"/>
        <w:ind w:firstLine="720"/>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We searched</w:t>
      </w:r>
      <w:r w:rsidR="00CE1525">
        <w:rPr>
          <w:rFonts w:ascii="Times New Roman" w:hAnsi="Times New Roman" w:cs="Times New Roman"/>
          <w:sz w:val="22"/>
          <w:szCs w:val="22"/>
          <w:lang w:val="en-US"/>
        </w:rPr>
        <w:t xml:space="preserve"> the</w:t>
      </w:r>
      <w:r w:rsidRPr="00446D07">
        <w:rPr>
          <w:rFonts w:ascii="Times New Roman" w:hAnsi="Times New Roman" w:cs="Times New Roman"/>
          <w:sz w:val="22"/>
          <w:szCs w:val="22"/>
          <w:lang w:val="en-US"/>
        </w:rPr>
        <w:t xml:space="preserve"> Pubmed</w:t>
      </w:r>
      <w:r w:rsidR="00187639">
        <w:rPr>
          <w:rFonts w:ascii="Times New Roman" w:hAnsi="Times New Roman" w:cs="Times New Roman"/>
          <w:sz w:val="22"/>
          <w:szCs w:val="22"/>
          <w:lang w:val="en-US"/>
        </w:rPr>
        <w:t>/MEDLINE</w:t>
      </w:r>
      <w:r w:rsidRPr="00446D07">
        <w:rPr>
          <w:rFonts w:ascii="Times New Roman" w:hAnsi="Times New Roman" w:cs="Times New Roman"/>
          <w:sz w:val="22"/>
          <w:szCs w:val="22"/>
          <w:lang w:val="en-US"/>
        </w:rPr>
        <w:t xml:space="preserve"> and PsycInfo databases, last </w:t>
      </w:r>
      <w:r w:rsidR="00187639">
        <w:rPr>
          <w:rFonts w:ascii="Times New Roman" w:hAnsi="Times New Roman" w:cs="Times New Roman"/>
          <w:sz w:val="22"/>
          <w:szCs w:val="22"/>
          <w:lang w:val="en-US"/>
        </w:rPr>
        <w:t>update</w:t>
      </w:r>
      <w:r w:rsidR="00187639" w:rsidRPr="00446D07">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February 2nd, 2020.</w:t>
      </w:r>
      <w:r w:rsidR="000F0385" w:rsidRPr="00446D07">
        <w:rPr>
          <w:rFonts w:ascii="Times New Roman" w:hAnsi="Times New Roman" w:cs="Times New Roman"/>
          <w:sz w:val="22"/>
          <w:szCs w:val="22"/>
          <w:lang w:val="en-US"/>
        </w:rPr>
        <w:t xml:space="preserve"> The following search </w:t>
      </w:r>
      <w:r w:rsidR="00187639">
        <w:rPr>
          <w:rFonts w:ascii="Times New Roman" w:hAnsi="Times New Roman" w:cs="Times New Roman"/>
          <w:sz w:val="22"/>
          <w:szCs w:val="22"/>
          <w:lang w:val="en-US"/>
        </w:rPr>
        <w:t>strategy</w:t>
      </w:r>
      <w:r w:rsidR="00187639" w:rsidRPr="00446D07">
        <w:rPr>
          <w:rFonts w:ascii="Times New Roman" w:hAnsi="Times New Roman" w:cs="Times New Roman"/>
          <w:sz w:val="22"/>
          <w:szCs w:val="22"/>
          <w:lang w:val="en-US"/>
        </w:rPr>
        <w:t xml:space="preserve"> </w:t>
      </w:r>
      <w:r w:rsidR="000F0385" w:rsidRPr="00446D07">
        <w:rPr>
          <w:rFonts w:ascii="Times New Roman" w:hAnsi="Times New Roman" w:cs="Times New Roman"/>
          <w:sz w:val="22"/>
          <w:szCs w:val="22"/>
          <w:lang w:val="en-US"/>
        </w:rPr>
        <w:t>was used</w:t>
      </w:r>
      <w:r w:rsidR="00E17A63" w:rsidRPr="00446D07">
        <w:rPr>
          <w:rFonts w:ascii="Times New Roman" w:hAnsi="Times New Roman" w:cs="Times New Roman"/>
          <w:sz w:val="22"/>
          <w:szCs w:val="22"/>
          <w:lang w:val="en-US"/>
        </w:rPr>
        <w:t xml:space="preserve"> in Pubmed: </w:t>
      </w:r>
      <w:r w:rsidR="00EF78A9" w:rsidRPr="00446D07">
        <w:rPr>
          <w:rFonts w:ascii="Times New Roman" w:hAnsi="Times New Roman" w:cs="Times New Roman"/>
          <w:sz w:val="22"/>
          <w:szCs w:val="22"/>
          <w:lang w:val="en-US"/>
        </w:rPr>
        <w:t xml:space="preserve">(((("bipolar disorder"[mesh])) or (bipolar or bipolar depression[title/abstract] or bipolar disorder[title/abstract] or mania[title/abstract] or hypomania[title/abstract]))) and (((("c-reactive protein"[mesh]) or crp or tnf or "tumor necrosis factor-alpha"[mesh]) or IL1 or IL-1 or "interleukin-1"[mesh]) or "interleukin-6"[mesh] OR IL-6 OR IL6)). </w:t>
      </w:r>
      <w:r w:rsidR="00187639">
        <w:rPr>
          <w:rFonts w:ascii="Times New Roman" w:hAnsi="Times New Roman" w:cs="Times New Roman"/>
          <w:sz w:val="22"/>
          <w:szCs w:val="22"/>
          <w:lang w:val="en-US"/>
        </w:rPr>
        <w:t>A similar strategy</w:t>
      </w:r>
      <w:r w:rsidR="00EF78A9" w:rsidRPr="00446D07">
        <w:rPr>
          <w:rFonts w:ascii="Times New Roman" w:hAnsi="Times New Roman" w:cs="Times New Roman"/>
          <w:sz w:val="22"/>
          <w:szCs w:val="22"/>
          <w:lang w:val="en-US"/>
        </w:rPr>
        <w:t xml:space="preserve"> was used </w:t>
      </w:r>
      <w:r w:rsidR="00187639">
        <w:rPr>
          <w:rFonts w:ascii="Times New Roman" w:hAnsi="Times New Roman" w:cs="Times New Roman"/>
          <w:sz w:val="22"/>
          <w:szCs w:val="22"/>
          <w:lang w:val="en-US"/>
        </w:rPr>
        <w:t>for</w:t>
      </w:r>
      <w:r w:rsidR="00187639" w:rsidRPr="00446D07">
        <w:rPr>
          <w:rFonts w:ascii="Times New Roman" w:hAnsi="Times New Roman" w:cs="Times New Roman"/>
          <w:sz w:val="22"/>
          <w:szCs w:val="22"/>
          <w:lang w:val="en-US"/>
        </w:rPr>
        <w:t xml:space="preserve"> </w:t>
      </w:r>
      <w:r w:rsidR="00EF78A9" w:rsidRPr="00446D07">
        <w:rPr>
          <w:rFonts w:ascii="Times New Roman" w:hAnsi="Times New Roman" w:cs="Times New Roman"/>
          <w:sz w:val="22"/>
          <w:szCs w:val="22"/>
          <w:lang w:val="en-US"/>
        </w:rPr>
        <w:t>PsycInfo</w:t>
      </w:r>
      <w:r w:rsidR="004C0ADA">
        <w:rPr>
          <w:rFonts w:ascii="Times New Roman" w:hAnsi="Times New Roman" w:cs="Times New Roman"/>
          <w:sz w:val="22"/>
          <w:szCs w:val="22"/>
          <w:lang w:val="en-US"/>
        </w:rPr>
        <w:t xml:space="preserve"> (</w:t>
      </w:r>
      <w:r w:rsidR="003A69F2">
        <w:rPr>
          <w:rFonts w:ascii="Times New Roman" w:hAnsi="Times New Roman" w:cs="Times New Roman"/>
          <w:sz w:val="22"/>
          <w:szCs w:val="22"/>
          <w:lang w:val="en-US"/>
        </w:rPr>
        <w:t xml:space="preserve">see </w:t>
      </w:r>
      <w:r w:rsidR="004C0ADA">
        <w:rPr>
          <w:rFonts w:ascii="Times New Roman" w:hAnsi="Times New Roman" w:cs="Times New Roman"/>
          <w:sz w:val="22"/>
          <w:szCs w:val="22"/>
          <w:lang w:val="en-US"/>
        </w:rPr>
        <w:t>supplementary</w:t>
      </w:r>
      <w:r w:rsidR="003A69F2">
        <w:rPr>
          <w:rFonts w:ascii="Times New Roman" w:hAnsi="Times New Roman" w:cs="Times New Roman"/>
          <w:sz w:val="22"/>
          <w:szCs w:val="22"/>
          <w:lang w:val="en-US"/>
        </w:rPr>
        <w:t xml:space="preserve"> online</w:t>
      </w:r>
      <w:r w:rsidR="004C0ADA">
        <w:rPr>
          <w:rFonts w:ascii="Times New Roman" w:hAnsi="Times New Roman" w:cs="Times New Roman"/>
          <w:sz w:val="22"/>
          <w:szCs w:val="22"/>
          <w:lang w:val="en-US"/>
        </w:rPr>
        <w:t xml:space="preserve"> material)</w:t>
      </w:r>
      <w:r w:rsidR="00EF78A9" w:rsidRPr="00446D07">
        <w:rPr>
          <w:rFonts w:ascii="Times New Roman" w:hAnsi="Times New Roman" w:cs="Times New Roman"/>
          <w:sz w:val="22"/>
          <w:szCs w:val="22"/>
          <w:lang w:val="en-US"/>
        </w:rPr>
        <w:t>.</w:t>
      </w:r>
      <w:r w:rsidR="0036489B" w:rsidRPr="00446D07">
        <w:rPr>
          <w:rFonts w:ascii="Times New Roman" w:hAnsi="Times New Roman" w:cs="Times New Roman"/>
          <w:sz w:val="22"/>
          <w:szCs w:val="22"/>
          <w:lang w:val="en-US"/>
        </w:rPr>
        <w:t xml:space="preserve"> </w:t>
      </w:r>
    </w:p>
    <w:p w14:paraId="4012A6E3" w14:textId="1D4A1D70" w:rsidR="005624EB" w:rsidRPr="00446D07" w:rsidRDefault="00BD0B01" w:rsidP="005A0E80">
      <w:pPr>
        <w:spacing w:line="360" w:lineRule="auto"/>
        <w:ind w:firstLine="720"/>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 xml:space="preserve">Inclusion criteria were </w:t>
      </w:r>
      <w:r w:rsidR="005624EB" w:rsidRPr="00446D07">
        <w:rPr>
          <w:rFonts w:ascii="Times New Roman" w:hAnsi="Times New Roman" w:cs="Times New Roman"/>
          <w:sz w:val="22"/>
          <w:szCs w:val="22"/>
          <w:lang w:val="en-US"/>
        </w:rPr>
        <w:t xml:space="preserve">case-control </w:t>
      </w:r>
      <w:r w:rsidRPr="00446D07">
        <w:rPr>
          <w:rFonts w:ascii="Times New Roman" w:hAnsi="Times New Roman" w:cs="Times New Roman"/>
          <w:sz w:val="22"/>
          <w:szCs w:val="22"/>
          <w:lang w:val="en-US"/>
        </w:rPr>
        <w:t xml:space="preserve">observational studies, </w:t>
      </w:r>
      <w:r w:rsidR="005624EB" w:rsidRPr="00446D07">
        <w:rPr>
          <w:rFonts w:ascii="Times New Roman" w:hAnsi="Times New Roman" w:cs="Times New Roman"/>
          <w:sz w:val="22"/>
          <w:szCs w:val="22"/>
          <w:lang w:val="en-US"/>
        </w:rPr>
        <w:t>that assayed IL-1</w:t>
      </w:r>
      <w:r w:rsidR="005A0E80">
        <w:rPr>
          <w:rFonts w:ascii="Times New Roman" w:hAnsi="Times New Roman" w:cs="Times New Roman"/>
          <w:sz w:val="22"/>
          <w:szCs w:val="22"/>
          <w:lang w:val="en-US"/>
        </w:rPr>
        <w:t>β</w:t>
      </w:r>
      <w:r w:rsidR="005624EB" w:rsidRPr="00446D07">
        <w:rPr>
          <w:rFonts w:ascii="Times New Roman" w:hAnsi="Times New Roman" w:cs="Times New Roman"/>
          <w:sz w:val="22"/>
          <w:szCs w:val="22"/>
          <w:lang w:val="en-US"/>
        </w:rPr>
        <w:t xml:space="preserve">, IL-6, TNF-α, or </w:t>
      </w:r>
      <w:r w:rsidR="003C6591" w:rsidRPr="00446D07">
        <w:rPr>
          <w:rFonts w:ascii="Times New Roman" w:hAnsi="Times New Roman" w:cs="Times New Roman"/>
          <w:sz w:val="22"/>
          <w:szCs w:val="22"/>
          <w:lang w:val="en-US"/>
        </w:rPr>
        <w:t>CRP</w:t>
      </w:r>
      <w:r w:rsidR="005624EB" w:rsidRPr="00446D07">
        <w:rPr>
          <w:rFonts w:ascii="Times New Roman" w:hAnsi="Times New Roman" w:cs="Times New Roman"/>
          <w:sz w:val="22"/>
          <w:szCs w:val="22"/>
          <w:lang w:val="en-US"/>
        </w:rPr>
        <w:t xml:space="preserve"> in people with </w:t>
      </w:r>
      <w:r w:rsidR="004F2C30">
        <w:rPr>
          <w:rFonts w:ascii="Times New Roman" w:hAnsi="Times New Roman" w:cs="Times New Roman"/>
          <w:sz w:val="22"/>
          <w:szCs w:val="22"/>
          <w:lang w:val="en-US"/>
        </w:rPr>
        <w:t>BD</w:t>
      </w:r>
      <w:r w:rsidR="005624EB" w:rsidRPr="00446D07">
        <w:rPr>
          <w:rFonts w:ascii="Times New Roman" w:hAnsi="Times New Roman" w:cs="Times New Roman"/>
          <w:sz w:val="22"/>
          <w:szCs w:val="22"/>
          <w:lang w:val="en-US"/>
        </w:rPr>
        <w:t xml:space="preserve"> in any mood state</w:t>
      </w:r>
      <w:r w:rsidR="002743EF">
        <w:rPr>
          <w:rFonts w:ascii="Times New Roman" w:hAnsi="Times New Roman" w:cs="Times New Roman"/>
          <w:sz w:val="22"/>
          <w:szCs w:val="22"/>
          <w:lang w:val="en-US"/>
        </w:rPr>
        <w:t xml:space="preserve">, both in medicated and unmedicated </w:t>
      </w:r>
      <w:r w:rsidR="00751E42">
        <w:rPr>
          <w:rFonts w:ascii="Times New Roman" w:hAnsi="Times New Roman" w:cs="Times New Roman"/>
          <w:sz w:val="22"/>
          <w:szCs w:val="22"/>
          <w:lang w:val="en-US"/>
        </w:rPr>
        <w:t>subjects</w:t>
      </w:r>
      <w:r w:rsidR="002743EF">
        <w:rPr>
          <w:rFonts w:ascii="Times New Roman" w:hAnsi="Times New Roman" w:cs="Times New Roman"/>
          <w:sz w:val="22"/>
          <w:szCs w:val="22"/>
          <w:lang w:val="en-US"/>
        </w:rPr>
        <w:t>,</w:t>
      </w:r>
      <w:r w:rsidR="005624EB" w:rsidRPr="00446D07">
        <w:rPr>
          <w:rFonts w:ascii="Times New Roman" w:hAnsi="Times New Roman" w:cs="Times New Roman"/>
          <w:sz w:val="22"/>
          <w:szCs w:val="22"/>
          <w:lang w:val="en-US"/>
        </w:rPr>
        <w:t xml:space="preserve"> as well as in </w:t>
      </w:r>
      <w:r w:rsidR="00F52687" w:rsidRPr="00446D07">
        <w:rPr>
          <w:rFonts w:ascii="Times New Roman" w:hAnsi="Times New Roman" w:cs="Times New Roman"/>
          <w:sz w:val="22"/>
          <w:szCs w:val="22"/>
          <w:lang w:val="en-US"/>
        </w:rPr>
        <w:t xml:space="preserve">healthy </w:t>
      </w:r>
      <w:r w:rsidR="005624EB" w:rsidRPr="00446D07">
        <w:rPr>
          <w:rFonts w:ascii="Times New Roman" w:hAnsi="Times New Roman" w:cs="Times New Roman"/>
          <w:sz w:val="22"/>
          <w:szCs w:val="22"/>
          <w:lang w:val="en-US"/>
        </w:rPr>
        <w:t>controls.</w:t>
      </w:r>
      <w:r w:rsidR="003C6591" w:rsidRPr="00446D07">
        <w:rPr>
          <w:rFonts w:ascii="Times New Roman" w:hAnsi="Times New Roman" w:cs="Times New Roman"/>
          <w:sz w:val="22"/>
          <w:szCs w:val="22"/>
          <w:lang w:val="en-US"/>
        </w:rPr>
        <w:t xml:space="preserve"> </w:t>
      </w:r>
      <w:r w:rsidR="000D231D" w:rsidRPr="00446D07">
        <w:rPr>
          <w:rFonts w:ascii="Times New Roman" w:hAnsi="Times New Roman" w:cs="Times New Roman"/>
          <w:sz w:val="22"/>
          <w:szCs w:val="22"/>
          <w:lang w:val="en-US"/>
        </w:rPr>
        <w:t xml:space="preserve">Only studies including subjects </w:t>
      </w:r>
      <w:r w:rsidR="00CB4DE0">
        <w:rPr>
          <w:rFonts w:ascii="Times New Roman" w:hAnsi="Times New Roman" w:cs="Times New Roman"/>
          <w:sz w:val="22"/>
          <w:szCs w:val="22"/>
          <w:lang w:val="en-US"/>
        </w:rPr>
        <w:t>with</w:t>
      </w:r>
      <w:r w:rsidR="000D231D" w:rsidRPr="00446D07">
        <w:rPr>
          <w:rFonts w:ascii="Times New Roman" w:hAnsi="Times New Roman" w:cs="Times New Roman"/>
          <w:sz w:val="22"/>
          <w:szCs w:val="22"/>
          <w:lang w:val="en-US"/>
        </w:rPr>
        <w:t xml:space="preserve"> BD according to </w:t>
      </w:r>
      <w:r w:rsidR="005624EB" w:rsidRPr="00446D07">
        <w:rPr>
          <w:rFonts w:ascii="Times New Roman" w:hAnsi="Times New Roman" w:cs="Times New Roman"/>
          <w:sz w:val="22"/>
          <w:szCs w:val="22"/>
          <w:lang w:val="en-US"/>
        </w:rPr>
        <w:t xml:space="preserve">standard operational criteria </w:t>
      </w:r>
      <w:r w:rsidR="000D231D" w:rsidRPr="00446D07">
        <w:rPr>
          <w:rFonts w:ascii="Times New Roman" w:hAnsi="Times New Roman" w:cs="Times New Roman"/>
          <w:sz w:val="22"/>
          <w:szCs w:val="22"/>
          <w:lang w:val="en-US"/>
        </w:rPr>
        <w:t xml:space="preserve">were considered </w:t>
      </w:r>
      <w:r w:rsidR="005624EB" w:rsidRPr="00446D07">
        <w:rPr>
          <w:rFonts w:ascii="Times New Roman" w:hAnsi="Times New Roman" w:cs="Times New Roman"/>
          <w:sz w:val="22"/>
          <w:szCs w:val="22"/>
          <w:lang w:val="en-US"/>
        </w:rPr>
        <w:t>(e.g., ICD</w:t>
      </w:r>
      <w:r w:rsidR="000D231D" w:rsidRPr="00446D07">
        <w:rPr>
          <w:rFonts w:ascii="Times New Roman" w:hAnsi="Times New Roman" w:cs="Times New Roman"/>
          <w:sz w:val="22"/>
          <w:szCs w:val="22"/>
          <w:lang w:val="en-US"/>
        </w:rPr>
        <w:t>-10,</w:t>
      </w:r>
      <w:r w:rsidR="005624EB" w:rsidRPr="00446D07">
        <w:rPr>
          <w:rFonts w:ascii="Times New Roman" w:hAnsi="Times New Roman" w:cs="Times New Roman"/>
          <w:sz w:val="22"/>
          <w:szCs w:val="22"/>
          <w:lang w:val="en-US"/>
        </w:rPr>
        <w:t xml:space="preserve"> DSM</w:t>
      </w:r>
      <w:r w:rsidR="00B72EA8">
        <w:rPr>
          <w:rFonts w:ascii="Times New Roman" w:hAnsi="Times New Roman" w:cs="Times New Roman"/>
          <w:sz w:val="22"/>
          <w:szCs w:val="22"/>
          <w:lang w:val="en-US"/>
        </w:rPr>
        <w:t>-5</w:t>
      </w:r>
      <w:r w:rsidR="005A0E80">
        <w:rPr>
          <w:rFonts w:ascii="Times New Roman" w:hAnsi="Times New Roman" w:cs="Times New Roman"/>
          <w:sz w:val="22"/>
          <w:szCs w:val="22"/>
          <w:lang w:val="en-US"/>
        </w:rPr>
        <w:t xml:space="preserve">) </w:t>
      </w:r>
      <w:r w:rsidR="00B72EA8">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{"citationItems":[{"id":"ITEM-1","itemData":{"author":[{"dropping-particle":"","family":"WHO","given":"","non-dropping-particle":"","parse-names":false,"suffix":""}],"container-title":"World Health Organization","id":"ITEM-1","issued":{"date-parts":[["0"]]},"title":"International Classification of Diseases - 10 (ICD-10). Version: 2019.","type":"book"},"uris":["http://www.mendeley.com/documents/?uuid=4c28c827-e7c2-4f34-b1de-43f7bc9c1a81","http://www.mendeley.com/documents/?uuid=3d4e25df-6138-4fd1-a220-6893c4a5e19f"]},{"id":"ITEM-2","itemData":{"author":[{"dropping-particle":"","family":"American Psychiatric Association","given":"","non-dropping-particle":"","parse-names":false,"suffix":""}],"id":"ITEM-2","issued":{"date-parts":[["2013"]]},"publisher":"American Psychiatric Association","publisher-place":"Washington","title":"Diagnostic and Statistical Manual of Mental Disorders, 5th edition (DSM-V)","type":"book"},"uris":["http://www.mendeley.com/documents/?uuid=52151c68-cd9b-41ca-a23b-a59004d7bae2"]}],"mendeley":{"formattedCitation":"(American Psychiatric Association, 2013; WHO, n.d.)","plainTextFormattedCitation":"(American Psychiatric Association, 2013; WHO, n.d.)","previouslyFormattedCitation":"(American Psychiatric Association, 2013; WHO, n.d.)"},"properties":{"noteIndex":0},"schema":"https://github.com/citation-style-language/schema/raw/master/csl-citation.json"}</w:instrText>
      </w:r>
      <w:r w:rsidR="00B72EA8">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(American Psychiatric Association, 2013; WHO, n.d.)</w:t>
      </w:r>
      <w:r w:rsidR="00B72EA8">
        <w:rPr>
          <w:rFonts w:ascii="Times New Roman" w:hAnsi="Times New Roman" w:cs="Times New Roman"/>
          <w:sz w:val="22"/>
          <w:szCs w:val="22"/>
          <w:lang w:val="en-US"/>
        </w:rPr>
        <w:fldChar w:fldCharType="end"/>
      </w:r>
      <w:r w:rsidR="005A0E80">
        <w:rPr>
          <w:rFonts w:ascii="Times New Roman" w:hAnsi="Times New Roman" w:cs="Times New Roman"/>
          <w:sz w:val="22"/>
          <w:szCs w:val="22"/>
          <w:lang w:val="en-US"/>
        </w:rPr>
        <w:t>.</w:t>
      </w:r>
      <w:r w:rsidR="00F52687" w:rsidRPr="00446D07">
        <w:rPr>
          <w:rFonts w:ascii="Times New Roman" w:hAnsi="Times New Roman" w:cs="Times New Roman"/>
          <w:sz w:val="22"/>
          <w:szCs w:val="22"/>
          <w:lang w:val="en-US"/>
        </w:rPr>
        <w:t xml:space="preserve"> </w:t>
      </w:r>
      <w:r w:rsidR="005624EB" w:rsidRPr="00446D07">
        <w:rPr>
          <w:rFonts w:ascii="Times New Roman" w:hAnsi="Times New Roman" w:cs="Times New Roman"/>
          <w:sz w:val="22"/>
          <w:szCs w:val="22"/>
          <w:lang w:val="en-US"/>
        </w:rPr>
        <w:t xml:space="preserve">Studies published in any language </w:t>
      </w:r>
      <w:r w:rsidR="00CE1525">
        <w:rPr>
          <w:rFonts w:ascii="Times New Roman" w:hAnsi="Times New Roman" w:cs="Times New Roman"/>
          <w:sz w:val="22"/>
          <w:szCs w:val="22"/>
          <w:lang w:val="en-US"/>
        </w:rPr>
        <w:t>were</w:t>
      </w:r>
      <w:r w:rsidR="005624EB" w:rsidRPr="00446D07">
        <w:rPr>
          <w:rFonts w:ascii="Times New Roman" w:hAnsi="Times New Roman" w:cs="Times New Roman"/>
          <w:sz w:val="22"/>
          <w:szCs w:val="22"/>
          <w:lang w:val="en-US"/>
        </w:rPr>
        <w:t xml:space="preserve"> considered for inclusion.</w:t>
      </w:r>
      <w:r w:rsidR="00F52687" w:rsidRPr="00446D07">
        <w:rPr>
          <w:rFonts w:ascii="Times New Roman" w:hAnsi="Times New Roman" w:cs="Times New Roman"/>
          <w:sz w:val="22"/>
          <w:szCs w:val="22"/>
          <w:lang w:val="en-US"/>
        </w:rPr>
        <w:t xml:space="preserve"> </w:t>
      </w:r>
      <w:r w:rsidR="009F795D">
        <w:rPr>
          <w:rFonts w:ascii="Times New Roman" w:hAnsi="Times New Roman" w:cs="Times New Roman"/>
          <w:sz w:val="22"/>
          <w:szCs w:val="22"/>
          <w:lang w:val="en-US"/>
        </w:rPr>
        <w:t>S</w:t>
      </w:r>
      <w:r w:rsidR="009F795D" w:rsidRPr="00446D07">
        <w:rPr>
          <w:rFonts w:ascii="Times New Roman" w:hAnsi="Times New Roman" w:cs="Times New Roman"/>
          <w:sz w:val="22"/>
          <w:szCs w:val="22"/>
          <w:lang w:val="en-US"/>
        </w:rPr>
        <w:t xml:space="preserve">tudies </w:t>
      </w:r>
      <w:r w:rsidR="00AC216D" w:rsidRPr="00446D07">
        <w:rPr>
          <w:rFonts w:ascii="Times New Roman" w:hAnsi="Times New Roman" w:cs="Times New Roman"/>
          <w:sz w:val="22"/>
          <w:szCs w:val="22"/>
          <w:lang w:val="en-US"/>
        </w:rPr>
        <w:t>that assayed other immune mediators, preclinical studies</w:t>
      </w:r>
      <w:r w:rsidR="009F795D">
        <w:rPr>
          <w:rFonts w:ascii="Times New Roman" w:hAnsi="Times New Roman" w:cs="Times New Roman"/>
          <w:sz w:val="22"/>
          <w:szCs w:val="22"/>
          <w:lang w:val="en-US"/>
        </w:rPr>
        <w:t xml:space="preserve"> as well as</w:t>
      </w:r>
      <w:r w:rsidR="00AC216D" w:rsidRPr="00446D07">
        <w:rPr>
          <w:rFonts w:ascii="Times New Roman" w:hAnsi="Times New Roman" w:cs="Times New Roman"/>
          <w:sz w:val="22"/>
          <w:szCs w:val="22"/>
          <w:lang w:val="en-US"/>
        </w:rPr>
        <w:t xml:space="preserve"> studies that did not </w:t>
      </w:r>
      <w:r w:rsidR="009F795D">
        <w:rPr>
          <w:rFonts w:ascii="Times New Roman" w:hAnsi="Times New Roman" w:cs="Times New Roman"/>
          <w:sz w:val="22"/>
          <w:szCs w:val="22"/>
          <w:lang w:val="en-US"/>
        </w:rPr>
        <w:t>enroll participants with</w:t>
      </w:r>
      <w:r w:rsidR="009F795D" w:rsidRPr="00446D07">
        <w:rPr>
          <w:rFonts w:ascii="Times New Roman" w:hAnsi="Times New Roman" w:cs="Times New Roman"/>
          <w:sz w:val="22"/>
          <w:szCs w:val="22"/>
          <w:lang w:val="en-US"/>
        </w:rPr>
        <w:t xml:space="preserve"> </w:t>
      </w:r>
      <w:r w:rsidR="00AC216D" w:rsidRPr="00446D07">
        <w:rPr>
          <w:rFonts w:ascii="Times New Roman" w:hAnsi="Times New Roman" w:cs="Times New Roman"/>
          <w:sz w:val="22"/>
          <w:szCs w:val="22"/>
          <w:lang w:val="en-US"/>
        </w:rPr>
        <w:t>BD according to established</w:t>
      </w:r>
      <w:r w:rsidR="009F795D">
        <w:rPr>
          <w:rFonts w:ascii="Times New Roman" w:hAnsi="Times New Roman" w:cs="Times New Roman"/>
          <w:sz w:val="22"/>
          <w:szCs w:val="22"/>
          <w:lang w:val="en-US"/>
        </w:rPr>
        <w:t xml:space="preserve"> diagnostic</w:t>
      </w:r>
      <w:r w:rsidR="00AC216D" w:rsidRPr="00446D07">
        <w:rPr>
          <w:rFonts w:ascii="Times New Roman" w:hAnsi="Times New Roman" w:cs="Times New Roman"/>
          <w:sz w:val="22"/>
          <w:szCs w:val="22"/>
          <w:lang w:val="en-US"/>
        </w:rPr>
        <w:t xml:space="preserve"> criteria</w:t>
      </w:r>
      <w:r w:rsidR="00CE1525" w:rsidRPr="00CE1525">
        <w:rPr>
          <w:rFonts w:ascii="Times New Roman" w:hAnsi="Times New Roman" w:cs="Times New Roman"/>
          <w:sz w:val="22"/>
          <w:szCs w:val="22"/>
          <w:lang w:val="en-US"/>
        </w:rPr>
        <w:t xml:space="preserve"> </w:t>
      </w:r>
      <w:r w:rsidR="00CE1525" w:rsidRPr="00446D07">
        <w:rPr>
          <w:rFonts w:ascii="Times New Roman" w:hAnsi="Times New Roman" w:cs="Times New Roman"/>
          <w:sz w:val="22"/>
          <w:szCs w:val="22"/>
          <w:lang w:val="en-US"/>
        </w:rPr>
        <w:t>were</w:t>
      </w:r>
      <w:r w:rsidR="00CE1525">
        <w:rPr>
          <w:rFonts w:ascii="Times New Roman" w:hAnsi="Times New Roman" w:cs="Times New Roman"/>
          <w:sz w:val="22"/>
          <w:szCs w:val="22"/>
          <w:lang w:val="en-US"/>
        </w:rPr>
        <w:t xml:space="preserve"> excluded</w:t>
      </w:r>
      <w:r w:rsidR="006A742A" w:rsidRPr="00446D07">
        <w:rPr>
          <w:rFonts w:ascii="Times New Roman" w:hAnsi="Times New Roman" w:cs="Times New Roman"/>
          <w:sz w:val="22"/>
          <w:szCs w:val="22"/>
          <w:lang w:val="en-US"/>
        </w:rPr>
        <w:t>.</w:t>
      </w:r>
    </w:p>
    <w:p w14:paraId="2DB3596E" w14:textId="27FEAF1D" w:rsidR="00BD0B01" w:rsidRPr="00446D07" w:rsidRDefault="007815FF" w:rsidP="005A0E80">
      <w:pPr>
        <w:spacing w:line="360" w:lineRule="auto"/>
        <w:ind w:firstLine="720"/>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MF, GC, BB</w:t>
      </w:r>
      <w:r w:rsidR="004F2C30">
        <w:rPr>
          <w:rFonts w:ascii="Times New Roman" w:hAnsi="Times New Roman" w:cs="Times New Roman"/>
          <w:sz w:val="22"/>
          <w:szCs w:val="22"/>
          <w:lang w:val="en-US"/>
        </w:rPr>
        <w:t>,</w:t>
      </w:r>
      <w:r w:rsidR="009F795D">
        <w:rPr>
          <w:rFonts w:ascii="Times New Roman" w:hAnsi="Times New Roman" w:cs="Times New Roman"/>
          <w:sz w:val="22"/>
          <w:szCs w:val="22"/>
          <w:lang w:val="en-US"/>
        </w:rPr>
        <w:t xml:space="preserve"> and</w:t>
      </w:r>
      <w:r w:rsidR="004F2C30">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MS</w:t>
      </w:r>
      <w:r w:rsidR="004F2C30">
        <w:rPr>
          <w:rFonts w:ascii="Times New Roman" w:hAnsi="Times New Roman" w:cs="Times New Roman"/>
          <w:sz w:val="22"/>
          <w:szCs w:val="22"/>
          <w:lang w:val="en-US"/>
        </w:rPr>
        <w:t xml:space="preserve"> </w:t>
      </w:r>
      <w:r w:rsidR="004C0ADA">
        <w:rPr>
          <w:rFonts w:ascii="Times New Roman" w:hAnsi="Times New Roman" w:cs="Times New Roman"/>
          <w:sz w:val="22"/>
          <w:szCs w:val="22"/>
          <w:lang w:val="en-US"/>
        </w:rPr>
        <w:t>(all MDs with expertise in meta-research)</w:t>
      </w:r>
      <w:r w:rsidR="00BD0B01" w:rsidRPr="00446D07">
        <w:rPr>
          <w:rFonts w:ascii="Times New Roman" w:hAnsi="Times New Roman" w:cs="Times New Roman"/>
          <w:sz w:val="22"/>
          <w:szCs w:val="22"/>
          <w:lang w:val="en-US"/>
        </w:rPr>
        <w:t xml:space="preserve"> independently </w:t>
      </w:r>
      <w:r w:rsidR="00111963">
        <w:rPr>
          <w:rFonts w:ascii="Times New Roman" w:hAnsi="Times New Roman" w:cs="Times New Roman"/>
          <w:sz w:val="22"/>
          <w:szCs w:val="22"/>
          <w:lang w:val="en-US"/>
        </w:rPr>
        <w:t>searched the literature</w:t>
      </w:r>
      <w:r w:rsidR="00BD0B01" w:rsidRPr="00446D07">
        <w:rPr>
          <w:rFonts w:ascii="Times New Roman" w:hAnsi="Times New Roman" w:cs="Times New Roman"/>
          <w:sz w:val="22"/>
          <w:szCs w:val="22"/>
          <w:lang w:val="en-US"/>
        </w:rPr>
        <w:t xml:space="preserve"> and selected </w:t>
      </w:r>
      <w:r w:rsidR="00CE1525">
        <w:rPr>
          <w:rFonts w:ascii="Times New Roman" w:hAnsi="Times New Roman" w:cs="Times New Roman"/>
          <w:sz w:val="22"/>
          <w:szCs w:val="22"/>
          <w:lang w:val="en-US"/>
        </w:rPr>
        <w:t xml:space="preserve">the </w:t>
      </w:r>
      <w:r w:rsidR="00BD0B01" w:rsidRPr="00446D07">
        <w:rPr>
          <w:rFonts w:ascii="Times New Roman" w:hAnsi="Times New Roman" w:cs="Times New Roman"/>
          <w:sz w:val="22"/>
          <w:szCs w:val="22"/>
          <w:lang w:val="en-US"/>
        </w:rPr>
        <w:t xml:space="preserve">eligible </w:t>
      </w:r>
      <w:r w:rsidR="00111963">
        <w:rPr>
          <w:rFonts w:ascii="Times New Roman" w:hAnsi="Times New Roman" w:cs="Times New Roman"/>
          <w:sz w:val="22"/>
          <w:szCs w:val="22"/>
          <w:lang w:val="en-US"/>
        </w:rPr>
        <w:t>studies</w:t>
      </w:r>
      <w:r w:rsidR="00BD0B01" w:rsidRPr="00446D07">
        <w:rPr>
          <w:rFonts w:ascii="Times New Roman" w:hAnsi="Times New Roman" w:cs="Times New Roman"/>
          <w:sz w:val="22"/>
          <w:szCs w:val="22"/>
          <w:lang w:val="en-US"/>
        </w:rPr>
        <w:t>. Any disagreement was resolved by consensus, or by a third author (MS).</w:t>
      </w:r>
    </w:p>
    <w:p w14:paraId="547AA135" w14:textId="4BFEB140" w:rsidR="00BD0B01" w:rsidRPr="00446D07" w:rsidRDefault="0074009D" w:rsidP="008D52D7">
      <w:pPr>
        <w:pStyle w:val="Heading2"/>
      </w:pPr>
      <w:r w:rsidRPr="00446D07">
        <w:t xml:space="preserve">2.2 </w:t>
      </w:r>
      <w:r w:rsidR="00BD0B01" w:rsidRPr="00446D07">
        <w:t>Data extraction</w:t>
      </w:r>
    </w:p>
    <w:p w14:paraId="7F875CB2" w14:textId="25B13F1D" w:rsidR="00BD0B01" w:rsidRPr="00446D07" w:rsidRDefault="00BD0B01" w:rsidP="00446D07">
      <w:pPr>
        <w:spacing w:line="360" w:lineRule="auto"/>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The following information was extracted into a pre-defined spreadsheet: author, year, country, study design, diagnostic criteria for</w:t>
      </w:r>
      <w:r w:rsidR="002F5051" w:rsidRPr="00446D07">
        <w:rPr>
          <w:rFonts w:ascii="Times New Roman" w:hAnsi="Times New Roman" w:cs="Times New Roman"/>
          <w:sz w:val="22"/>
          <w:szCs w:val="22"/>
          <w:lang w:val="en-US"/>
        </w:rPr>
        <w:t xml:space="preserve"> BD, age,</w:t>
      </w:r>
      <w:r w:rsidR="00C96AE7">
        <w:rPr>
          <w:rFonts w:ascii="Times New Roman" w:hAnsi="Times New Roman" w:cs="Times New Roman"/>
          <w:sz w:val="22"/>
          <w:szCs w:val="22"/>
          <w:lang w:val="en-US"/>
        </w:rPr>
        <w:t xml:space="preserve"> fe</w:t>
      </w:r>
      <w:r w:rsidR="002F5051" w:rsidRPr="00446D07">
        <w:rPr>
          <w:rFonts w:ascii="Times New Roman" w:hAnsi="Times New Roman" w:cs="Times New Roman"/>
          <w:sz w:val="22"/>
          <w:szCs w:val="22"/>
          <w:lang w:val="en-US"/>
        </w:rPr>
        <w:t xml:space="preserve">male %, sample size, </w:t>
      </w:r>
      <w:r w:rsidR="00F7443E" w:rsidRPr="00446D07">
        <w:rPr>
          <w:rFonts w:ascii="Times New Roman" w:hAnsi="Times New Roman" w:cs="Times New Roman"/>
          <w:sz w:val="22"/>
          <w:szCs w:val="22"/>
          <w:lang w:val="en-US"/>
        </w:rPr>
        <w:t>marker</w:t>
      </w:r>
      <w:r w:rsidR="002F5051" w:rsidRPr="00446D07">
        <w:rPr>
          <w:rFonts w:ascii="Times New Roman" w:hAnsi="Times New Roman" w:cs="Times New Roman"/>
          <w:sz w:val="22"/>
          <w:szCs w:val="22"/>
          <w:lang w:val="en-US"/>
        </w:rPr>
        <w:t xml:space="preserve"> centrality and dispersion measures, </w:t>
      </w:r>
      <w:r w:rsidR="00F7443E" w:rsidRPr="00446D07">
        <w:rPr>
          <w:rFonts w:ascii="Times New Roman" w:hAnsi="Times New Roman" w:cs="Times New Roman"/>
          <w:sz w:val="22"/>
          <w:szCs w:val="22"/>
          <w:lang w:val="en-US"/>
        </w:rPr>
        <w:t>assay method</w:t>
      </w:r>
      <w:r w:rsidR="00BE30B4">
        <w:rPr>
          <w:rFonts w:ascii="Times New Roman" w:hAnsi="Times New Roman" w:cs="Times New Roman"/>
          <w:sz w:val="22"/>
          <w:szCs w:val="22"/>
          <w:lang w:val="en-US"/>
        </w:rPr>
        <w:t xml:space="preserve"> and medium</w:t>
      </w:r>
      <w:r w:rsidR="00F7443E" w:rsidRPr="00446D07">
        <w:rPr>
          <w:rFonts w:ascii="Times New Roman" w:hAnsi="Times New Roman" w:cs="Times New Roman"/>
          <w:sz w:val="22"/>
          <w:szCs w:val="22"/>
          <w:lang w:val="en-US"/>
        </w:rPr>
        <w:t xml:space="preserve">, </w:t>
      </w:r>
      <w:r w:rsidR="00FC1274" w:rsidRPr="00446D07">
        <w:rPr>
          <w:rFonts w:ascii="Times New Roman" w:hAnsi="Times New Roman" w:cs="Times New Roman"/>
          <w:sz w:val="22"/>
          <w:szCs w:val="22"/>
          <w:lang w:val="en-US"/>
        </w:rPr>
        <w:t xml:space="preserve">mood phase, treatment status, </w:t>
      </w:r>
      <w:r w:rsidR="00103098" w:rsidRPr="00446D07">
        <w:rPr>
          <w:rFonts w:ascii="Times New Roman" w:hAnsi="Times New Roman" w:cs="Times New Roman"/>
          <w:sz w:val="22"/>
          <w:szCs w:val="22"/>
          <w:lang w:val="en-US"/>
        </w:rPr>
        <w:t xml:space="preserve">body mass index, </w:t>
      </w:r>
      <w:r w:rsidR="00E36624" w:rsidRPr="00446D07">
        <w:rPr>
          <w:rFonts w:ascii="Times New Roman" w:hAnsi="Times New Roman" w:cs="Times New Roman"/>
          <w:sz w:val="22"/>
          <w:szCs w:val="22"/>
          <w:lang w:val="en-US"/>
        </w:rPr>
        <w:t>duration of illness</w:t>
      </w:r>
      <w:r w:rsidR="003C3001">
        <w:rPr>
          <w:rFonts w:ascii="Times New Roman" w:hAnsi="Times New Roman" w:cs="Times New Roman"/>
          <w:sz w:val="22"/>
          <w:szCs w:val="22"/>
          <w:lang w:val="en-US"/>
        </w:rPr>
        <w:t xml:space="preserve"> and</w:t>
      </w:r>
      <w:r w:rsidR="00E36624" w:rsidRPr="00446D07">
        <w:rPr>
          <w:rFonts w:ascii="Times New Roman" w:hAnsi="Times New Roman" w:cs="Times New Roman"/>
          <w:sz w:val="22"/>
          <w:szCs w:val="22"/>
          <w:lang w:val="en-US"/>
        </w:rPr>
        <w:t xml:space="preserve"> </w:t>
      </w:r>
      <w:r w:rsidR="00157A78" w:rsidRPr="00446D07">
        <w:rPr>
          <w:rFonts w:ascii="Times New Roman" w:hAnsi="Times New Roman" w:cs="Times New Roman"/>
          <w:sz w:val="22"/>
          <w:szCs w:val="22"/>
          <w:lang w:val="en-US"/>
        </w:rPr>
        <w:t>smoking %</w:t>
      </w:r>
      <w:r w:rsidR="00E47A68" w:rsidRPr="00446D07">
        <w:rPr>
          <w:rFonts w:ascii="Times New Roman" w:hAnsi="Times New Roman" w:cs="Times New Roman"/>
          <w:sz w:val="22"/>
          <w:szCs w:val="22"/>
          <w:lang w:val="en-US"/>
        </w:rPr>
        <w:t xml:space="preserve">. </w:t>
      </w:r>
      <w:r w:rsidR="00CE1525">
        <w:rPr>
          <w:rFonts w:ascii="Times New Roman" w:hAnsi="Times New Roman" w:cs="Times New Roman"/>
          <w:sz w:val="22"/>
          <w:szCs w:val="22"/>
          <w:lang w:val="en-US"/>
        </w:rPr>
        <w:t xml:space="preserve">Only studies reporting both mean and SD or SEM; or median and interquartile ranges were included. </w:t>
      </w:r>
      <w:r w:rsidR="00CE1525" w:rsidRPr="00CE1525">
        <w:rPr>
          <w:rFonts w:ascii="Times New Roman" w:hAnsi="Times New Roman" w:cs="Times New Roman"/>
          <w:sz w:val="22"/>
          <w:szCs w:val="22"/>
          <w:lang w:val="en-US"/>
        </w:rPr>
        <w:t xml:space="preserve">Where data were </w:t>
      </w:r>
      <w:r w:rsidR="000F61F5">
        <w:rPr>
          <w:rFonts w:ascii="Times New Roman" w:hAnsi="Times New Roman" w:cs="Times New Roman"/>
          <w:sz w:val="22"/>
          <w:szCs w:val="22"/>
          <w:lang w:val="en-US"/>
        </w:rPr>
        <w:t xml:space="preserve">only </w:t>
      </w:r>
      <w:r w:rsidR="00CE1525" w:rsidRPr="00CE1525">
        <w:rPr>
          <w:rFonts w:ascii="Times New Roman" w:hAnsi="Times New Roman" w:cs="Times New Roman"/>
          <w:sz w:val="22"/>
          <w:szCs w:val="22"/>
          <w:lang w:val="en-US"/>
        </w:rPr>
        <w:t>available in diagrammatic format, data were extracted using the Plot Digitizer tool</w:t>
      </w:r>
      <w:r w:rsidR="004C0ADA">
        <w:rPr>
          <w:rFonts w:ascii="Times New Roman" w:hAnsi="Times New Roman" w:cs="Times New Roman"/>
          <w:sz w:val="22"/>
          <w:szCs w:val="22"/>
          <w:lang w:val="en-US"/>
        </w:rPr>
        <w:t>.</w:t>
      </w:r>
      <w:r w:rsidR="004C0ADA">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{"citationItems":[{"id":"ITEM-1","itemData":{"author":[{"dropping-particle":"","family":"Rohatgi","given":"Ankit","non-dropping-particle":"","parse-names":false,"suffix":""}],"id":"ITEM-1","issued":{"date-parts":[["2020"]]},"number":"4.4","publisher-place":"Pacifica, California, USA","title":"WebPlotDigitizer","type":"article"},"uris":["http://www.mendeley.com/documents/?uuid=ee24872a-b863-4653-8f6a-4dd447f12259","http://www.mendeley.com/documents/?uuid=a97dd8c8-2638-4f8a-a651-7077b4a68479"]}],"mendeley":{"formattedCitation":"(Rohatgi, 2020)","plainTextFormattedCitation":"(Rohatgi, 2020)","previouslyFormattedCitation":"(Rohatgi, 2020)"},"properties":{"noteIndex":0},"schema":"https://github.com/citation-style-language/schema/raw/master/csl-citation.json"}</w:instrText>
      </w:r>
      <w:r w:rsidR="004C0ADA">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(Rohatgi, 2020)</w:t>
      </w:r>
      <w:r w:rsidR="004C0ADA">
        <w:rPr>
          <w:rFonts w:ascii="Times New Roman" w:hAnsi="Times New Roman" w:cs="Times New Roman"/>
          <w:sz w:val="22"/>
          <w:szCs w:val="22"/>
          <w:lang w:val="en-US"/>
        </w:rPr>
        <w:fldChar w:fldCharType="end"/>
      </w:r>
      <w:r w:rsidR="00CE1525">
        <w:rPr>
          <w:rFonts w:ascii="Times New Roman" w:hAnsi="Times New Roman" w:cs="Times New Roman"/>
          <w:sz w:val="22"/>
          <w:szCs w:val="22"/>
          <w:lang w:val="en-US"/>
        </w:rPr>
        <w:t xml:space="preserve"> </w:t>
      </w:r>
      <w:r w:rsidR="00E47A68" w:rsidRPr="00446D07">
        <w:rPr>
          <w:rFonts w:ascii="Times New Roman" w:hAnsi="Times New Roman" w:cs="Times New Roman"/>
          <w:sz w:val="22"/>
          <w:szCs w:val="22"/>
          <w:lang w:val="en-US"/>
        </w:rPr>
        <w:t>When data</w:t>
      </w:r>
      <w:r w:rsidR="0092611E">
        <w:rPr>
          <w:rFonts w:ascii="Times New Roman" w:hAnsi="Times New Roman" w:cs="Times New Roman"/>
          <w:sz w:val="22"/>
          <w:szCs w:val="22"/>
          <w:lang w:val="en-US"/>
        </w:rPr>
        <w:t xml:space="preserve"> needed</w:t>
      </w:r>
      <w:r w:rsidR="00E47A68" w:rsidRPr="00446D07">
        <w:rPr>
          <w:rFonts w:ascii="Times New Roman" w:hAnsi="Times New Roman" w:cs="Times New Roman"/>
          <w:sz w:val="22"/>
          <w:szCs w:val="22"/>
          <w:lang w:val="en-US"/>
        </w:rPr>
        <w:t xml:space="preserve"> to include the study in the meta-analysis </w:t>
      </w:r>
      <w:r w:rsidR="00E7652F">
        <w:rPr>
          <w:rFonts w:ascii="Times New Roman" w:hAnsi="Times New Roman" w:cs="Times New Roman"/>
          <w:sz w:val="22"/>
          <w:szCs w:val="22"/>
          <w:lang w:val="en-US"/>
        </w:rPr>
        <w:t>were</w:t>
      </w:r>
      <w:r w:rsidR="00E7652F" w:rsidRPr="00446D07">
        <w:rPr>
          <w:rFonts w:ascii="Times New Roman" w:hAnsi="Times New Roman" w:cs="Times New Roman"/>
          <w:sz w:val="22"/>
          <w:szCs w:val="22"/>
          <w:lang w:val="en-US"/>
        </w:rPr>
        <w:t xml:space="preserve"> </w:t>
      </w:r>
      <w:r w:rsidR="00E47A68" w:rsidRPr="00446D07">
        <w:rPr>
          <w:rFonts w:ascii="Times New Roman" w:hAnsi="Times New Roman" w:cs="Times New Roman"/>
          <w:sz w:val="22"/>
          <w:szCs w:val="22"/>
          <w:lang w:val="en-US"/>
        </w:rPr>
        <w:t>not available, we contacted authors up to two times</w:t>
      </w:r>
      <w:r w:rsidR="00E7652F">
        <w:rPr>
          <w:rFonts w:ascii="Times New Roman" w:hAnsi="Times New Roman" w:cs="Times New Roman"/>
          <w:sz w:val="22"/>
          <w:szCs w:val="22"/>
          <w:lang w:val="en-US"/>
        </w:rPr>
        <w:t xml:space="preserve"> (</w:t>
      </w:r>
      <w:r w:rsidR="00E83C3D">
        <w:rPr>
          <w:rFonts w:ascii="Times New Roman" w:hAnsi="Times New Roman" w:cs="Times New Roman"/>
          <w:sz w:val="22"/>
          <w:szCs w:val="22"/>
          <w:lang w:val="en-US"/>
        </w:rPr>
        <w:t>two weeks apart)</w:t>
      </w:r>
      <w:r w:rsidR="00E47A68" w:rsidRPr="00446D07">
        <w:rPr>
          <w:rFonts w:ascii="Times New Roman" w:hAnsi="Times New Roman" w:cs="Times New Roman"/>
          <w:sz w:val="22"/>
          <w:szCs w:val="22"/>
          <w:lang w:val="en-US"/>
        </w:rPr>
        <w:t xml:space="preserve"> to include the study in our meta-analysis</w:t>
      </w:r>
      <w:r w:rsidR="004F2C30">
        <w:rPr>
          <w:rFonts w:ascii="Times New Roman" w:hAnsi="Times New Roman" w:cs="Times New Roman"/>
          <w:sz w:val="22"/>
          <w:szCs w:val="22"/>
          <w:lang w:val="en-US"/>
        </w:rPr>
        <w:t xml:space="preserve">. </w:t>
      </w:r>
      <w:r w:rsidR="00D71797" w:rsidRPr="00446D07">
        <w:rPr>
          <w:rFonts w:ascii="Times New Roman" w:hAnsi="Times New Roman" w:cs="Times New Roman"/>
          <w:sz w:val="22"/>
          <w:szCs w:val="22"/>
          <w:lang w:val="en-US"/>
        </w:rPr>
        <w:t xml:space="preserve">The same authors </w:t>
      </w:r>
      <w:r w:rsidR="00AD695F">
        <w:rPr>
          <w:rFonts w:ascii="Times New Roman" w:hAnsi="Times New Roman" w:cs="Times New Roman"/>
          <w:sz w:val="22"/>
          <w:szCs w:val="22"/>
          <w:lang w:val="en-US"/>
        </w:rPr>
        <w:t>who</w:t>
      </w:r>
      <w:r w:rsidR="00AD695F" w:rsidRPr="00446D07">
        <w:rPr>
          <w:rFonts w:ascii="Times New Roman" w:hAnsi="Times New Roman" w:cs="Times New Roman"/>
          <w:sz w:val="22"/>
          <w:szCs w:val="22"/>
          <w:lang w:val="en-US"/>
        </w:rPr>
        <w:t xml:space="preserve"> </w:t>
      </w:r>
      <w:r w:rsidR="00D71797" w:rsidRPr="00446D07">
        <w:rPr>
          <w:rFonts w:ascii="Times New Roman" w:hAnsi="Times New Roman" w:cs="Times New Roman"/>
          <w:sz w:val="22"/>
          <w:szCs w:val="22"/>
          <w:lang w:val="en-US"/>
        </w:rPr>
        <w:t>conducted the screening also extracted</w:t>
      </w:r>
      <w:r w:rsidR="00AD695F">
        <w:rPr>
          <w:rFonts w:ascii="Times New Roman" w:hAnsi="Times New Roman" w:cs="Times New Roman"/>
          <w:sz w:val="22"/>
          <w:szCs w:val="22"/>
          <w:lang w:val="en-US"/>
        </w:rPr>
        <w:t xml:space="preserve"> the</w:t>
      </w:r>
      <w:r w:rsidR="00D71797" w:rsidRPr="00446D07">
        <w:rPr>
          <w:rFonts w:ascii="Times New Roman" w:hAnsi="Times New Roman" w:cs="Times New Roman"/>
          <w:sz w:val="22"/>
          <w:szCs w:val="22"/>
          <w:lang w:val="en-US"/>
        </w:rPr>
        <w:t xml:space="preserve"> data, with an additional check from t</w:t>
      </w:r>
      <w:r w:rsidRPr="00446D07">
        <w:rPr>
          <w:rFonts w:ascii="Times New Roman" w:hAnsi="Times New Roman" w:cs="Times New Roman"/>
          <w:sz w:val="22"/>
          <w:szCs w:val="22"/>
          <w:lang w:val="en-US"/>
        </w:rPr>
        <w:t>wo authors (</w:t>
      </w:r>
      <w:r w:rsidR="000536B9" w:rsidRPr="00446D07">
        <w:rPr>
          <w:rFonts w:ascii="Times New Roman" w:hAnsi="Times New Roman" w:cs="Times New Roman"/>
          <w:sz w:val="22"/>
          <w:szCs w:val="22"/>
          <w:lang w:val="en-US"/>
        </w:rPr>
        <w:t>MS, EO).</w:t>
      </w:r>
      <w:r w:rsidRPr="00446D07">
        <w:rPr>
          <w:rFonts w:ascii="Times New Roman" w:hAnsi="Times New Roman" w:cs="Times New Roman"/>
          <w:sz w:val="22"/>
          <w:szCs w:val="22"/>
          <w:lang w:val="en-US"/>
        </w:rPr>
        <w:t xml:space="preserve"> </w:t>
      </w:r>
    </w:p>
    <w:p w14:paraId="06FC0ED4" w14:textId="5BBFC19B" w:rsidR="00BD0B01" w:rsidRPr="00446D07" w:rsidRDefault="0074009D" w:rsidP="008D52D7">
      <w:pPr>
        <w:pStyle w:val="Heading2"/>
      </w:pPr>
      <w:r w:rsidRPr="00446D07">
        <w:t xml:space="preserve">2.3 </w:t>
      </w:r>
      <w:r w:rsidR="00BD0B01" w:rsidRPr="00446D07">
        <w:t>Quality assessment</w:t>
      </w:r>
    </w:p>
    <w:p w14:paraId="162F09B0" w14:textId="172BCD7C" w:rsidR="00863E11" w:rsidRDefault="000425B1" w:rsidP="00446D07">
      <w:pPr>
        <w:spacing w:line="360" w:lineRule="auto"/>
        <w:jc w:val="both"/>
        <w:rPr>
          <w:rFonts w:ascii="Times New Roman" w:hAnsi="Times New Roman" w:cs="Times New Roman"/>
          <w:b/>
          <w:bCs/>
          <w:color w:val="724128"/>
          <w:sz w:val="22"/>
          <w:szCs w:val="22"/>
        </w:rPr>
      </w:pPr>
      <w:r w:rsidRPr="00446D07">
        <w:rPr>
          <w:rFonts w:ascii="Times New Roman" w:hAnsi="Times New Roman" w:cs="Times New Roman"/>
          <w:sz w:val="22"/>
          <w:szCs w:val="22"/>
          <w:lang w:val="en-US"/>
        </w:rPr>
        <w:t>The methodological quality of each</w:t>
      </w:r>
      <w:r w:rsidR="00AD695F">
        <w:rPr>
          <w:rFonts w:ascii="Times New Roman" w:hAnsi="Times New Roman" w:cs="Times New Roman"/>
          <w:sz w:val="22"/>
          <w:szCs w:val="22"/>
          <w:lang w:val="en-US"/>
        </w:rPr>
        <w:t xml:space="preserve"> eligible</w:t>
      </w:r>
      <w:r w:rsidR="004F2C30">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 xml:space="preserve">study </w:t>
      </w:r>
      <w:r w:rsidR="00AD695F">
        <w:rPr>
          <w:rFonts w:ascii="Times New Roman" w:hAnsi="Times New Roman" w:cs="Times New Roman"/>
          <w:sz w:val="22"/>
          <w:szCs w:val="22"/>
          <w:lang w:val="en-US"/>
        </w:rPr>
        <w:t>was</w:t>
      </w:r>
      <w:r w:rsidRPr="00446D07">
        <w:rPr>
          <w:rFonts w:ascii="Times New Roman" w:hAnsi="Times New Roman" w:cs="Times New Roman"/>
          <w:sz w:val="22"/>
          <w:szCs w:val="22"/>
          <w:lang w:val="en-US"/>
        </w:rPr>
        <w:t xml:space="preserve"> assessed </w:t>
      </w:r>
      <w:r w:rsidR="004F2C30">
        <w:rPr>
          <w:rFonts w:ascii="Times New Roman" w:hAnsi="Times New Roman" w:cs="Times New Roman"/>
          <w:sz w:val="22"/>
          <w:szCs w:val="22"/>
          <w:lang w:val="en-US"/>
        </w:rPr>
        <w:t>using</w:t>
      </w:r>
      <w:r w:rsidRPr="00446D07">
        <w:rPr>
          <w:rFonts w:ascii="Times New Roman" w:hAnsi="Times New Roman" w:cs="Times New Roman"/>
          <w:sz w:val="22"/>
          <w:szCs w:val="22"/>
          <w:lang w:val="en-US"/>
        </w:rPr>
        <w:t xml:space="preserve"> the NIH tool for case-control studies (</w:t>
      </w:r>
      <w:hyperlink r:id="rId8" w:history="1">
        <w:r w:rsidR="005843FA" w:rsidRPr="001C3CBF">
          <w:rPr>
            <w:rStyle w:val="Hyperlink"/>
            <w:rFonts w:ascii="Times New Roman" w:hAnsi="Times New Roman" w:cs="Times New Roman"/>
            <w:sz w:val="22"/>
            <w:szCs w:val="22"/>
            <w:lang w:val="en-US"/>
          </w:rPr>
          <w:t>https://www.nhlbi.nih.gov/health-topics/study-quality-assessment-tools).</w:t>
        </w:r>
      </w:hyperlink>
      <w:r w:rsidR="005843FA">
        <w:rPr>
          <w:rFonts w:ascii="Times New Roman" w:hAnsi="Times New Roman" w:cs="Times New Roman"/>
          <w:sz w:val="22"/>
          <w:szCs w:val="22"/>
          <w:lang w:val="en-US"/>
        </w:rPr>
        <w:t xml:space="preserve"> As no consensus is </w:t>
      </w:r>
      <w:r w:rsidR="005843FA">
        <w:rPr>
          <w:rFonts w:ascii="Times New Roman" w:hAnsi="Times New Roman" w:cs="Times New Roman"/>
          <w:sz w:val="22"/>
          <w:szCs w:val="22"/>
          <w:lang w:val="en-US"/>
        </w:rPr>
        <w:lastRenderedPageBreak/>
        <w:t xml:space="preserve">available on </w:t>
      </w:r>
      <w:r w:rsidR="00B02429">
        <w:rPr>
          <w:rFonts w:ascii="Times New Roman" w:hAnsi="Times New Roman" w:cs="Times New Roman"/>
          <w:sz w:val="22"/>
          <w:szCs w:val="22"/>
          <w:lang w:val="en-US"/>
        </w:rPr>
        <w:t xml:space="preserve">a </w:t>
      </w:r>
      <w:r w:rsidR="004F2C30">
        <w:rPr>
          <w:rFonts w:ascii="Times New Roman" w:hAnsi="Times New Roman" w:cs="Times New Roman"/>
          <w:sz w:val="22"/>
          <w:szCs w:val="22"/>
          <w:lang w:val="en-US"/>
        </w:rPr>
        <w:t>high-</w:t>
      </w:r>
      <w:r w:rsidR="00B02429">
        <w:rPr>
          <w:rFonts w:ascii="Times New Roman" w:hAnsi="Times New Roman" w:cs="Times New Roman"/>
          <w:sz w:val="22"/>
          <w:szCs w:val="22"/>
          <w:lang w:val="en-US"/>
        </w:rPr>
        <w:t>quality threshold for this tool, we categorized quality in tertiles</w:t>
      </w:r>
      <w:r w:rsidR="00D71D2E">
        <w:rPr>
          <w:rFonts w:ascii="Times New Roman" w:hAnsi="Times New Roman" w:cs="Times New Roman"/>
          <w:sz w:val="22"/>
          <w:szCs w:val="22"/>
          <w:lang w:val="en-US"/>
        </w:rPr>
        <w:t xml:space="preserve"> – this resulted in a threshold</w:t>
      </w:r>
      <w:r w:rsidR="00AD695F">
        <w:rPr>
          <w:rFonts w:ascii="Times New Roman" w:hAnsi="Times New Roman" w:cs="Times New Roman"/>
          <w:sz w:val="22"/>
          <w:szCs w:val="22"/>
          <w:lang w:val="en-US"/>
        </w:rPr>
        <w:t xml:space="preserve"> score</w:t>
      </w:r>
      <w:r w:rsidR="00D71D2E">
        <w:rPr>
          <w:rFonts w:ascii="Times New Roman" w:hAnsi="Times New Roman" w:cs="Times New Roman"/>
          <w:sz w:val="22"/>
          <w:szCs w:val="22"/>
          <w:lang w:val="en-US"/>
        </w:rPr>
        <w:t xml:space="preserve"> of 7 in this study</w:t>
      </w:r>
      <w:r w:rsidR="00B02429">
        <w:rPr>
          <w:rFonts w:ascii="Times New Roman" w:hAnsi="Times New Roman" w:cs="Times New Roman"/>
          <w:sz w:val="22"/>
          <w:szCs w:val="22"/>
          <w:lang w:val="en-US"/>
        </w:rPr>
        <w:t xml:space="preserve">. </w:t>
      </w:r>
    </w:p>
    <w:p w14:paraId="13FA78E7" w14:textId="41207B82" w:rsidR="00DC4411" w:rsidRPr="00446D07" w:rsidRDefault="0074009D" w:rsidP="008D52D7">
      <w:pPr>
        <w:pStyle w:val="Heading2"/>
      </w:pPr>
      <w:r w:rsidRPr="00446D07">
        <w:t xml:space="preserve">2.4 </w:t>
      </w:r>
      <w:r w:rsidR="00DC4411" w:rsidRPr="00446D07">
        <w:t>Statistical analysis</w:t>
      </w:r>
    </w:p>
    <w:p w14:paraId="0AFCF204" w14:textId="72CA025A" w:rsidR="00DC4411" w:rsidRPr="004F2C30" w:rsidRDefault="00D71D2E" w:rsidP="00137500">
      <w:pPr>
        <w:spacing w:line="360" w:lineRule="auto"/>
        <w:jc w:val="both"/>
        <w:rPr>
          <w:rFonts w:ascii="Times New Roman" w:hAnsi="Times New Roman" w:cs="Times New Roman"/>
          <w:sz w:val="22"/>
          <w:szCs w:val="22"/>
          <w:lang w:val="en-US"/>
        </w:rPr>
      </w:pPr>
      <w:r w:rsidRPr="00137500">
        <w:rPr>
          <w:rFonts w:ascii="Times New Roman" w:hAnsi="Times New Roman" w:cs="Times New Roman"/>
          <w:sz w:val="22"/>
          <w:szCs w:val="22"/>
          <w:lang w:val="en-US"/>
        </w:rPr>
        <w:t xml:space="preserve">Analyses were performed on </w:t>
      </w:r>
      <w:r w:rsidR="004F2C30" w:rsidRPr="00137500">
        <w:rPr>
          <w:rFonts w:ascii="Times New Roman" w:hAnsi="Times New Roman" w:cs="Times New Roman"/>
          <w:sz w:val="22"/>
          <w:szCs w:val="22"/>
          <w:lang w:val="en-US"/>
        </w:rPr>
        <w:t>log</w:t>
      </w:r>
      <w:r w:rsidR="004F2C30">
        <w:rPr>
          <w:rFonts w:ascii="Times New Roman" w:hAnsi="Times New Roman" w:cs="Times New Roman"/>
          <w:sz w:val="22"/>
          <w:szCs w:val="22"/>
          <w:lang w:val="en-US"/>
        </w:rPr>
        <w:t>-</w:t>
      </w:r>
      <w:r w:rsidRPr="00137500">
        <w:rPr>
          <w:rFonts w:ascii="Times New Roman" w:hAnsi="Times New Roman" w:cs="Times New Roman"/>
          <w:sz w:val="22"/>
          <w:szCs w:val="22"/>
          <w:lang w:val="en-US"/>
        </w:rPr>
        <w:t xml:space="preserve">transformed data since the Cochrane Collaboration recommends log transformation for </w:t>
      </w:r>
      <w:r w:rsidR="004F2C30">
        <w:rPr>
          <w:rFonts w:ascii="Times New Roman" w:hAnsi="Times New Roman" w:cs="Times New Roman"/>
          <w:sz w:val="22"/>
          <w:szCs w:val="22"/>
          <w:lang w:val="en-US"/>
        </w:rPr>
        <w:t xml:space="preserve">the </w:t>
      </w:r>
      <w:r w:rsidRPr="00137500">
        <w:rPr>
          <w:rFonts w:ascii="Times New Roman" w:hAnsi="Times New Roman" w:cs="Times New Roman"/>
          <w:sz w:val="22"/>
          <w:szCs w:val="22"/>
          <w:lang w:val="en-US"/>
        </w:rPr>
        <w:t>normalization of positive skew</w:t>
      </w:r>
      <w:r w:rsidR="00225AFC">
        <w:rPr>
          <w:rFonts w:ascii="Times New Roman" w:hAnsi="Times New Roman" w:cs="Times New Roman"/>
          <w:sz w:val="22"/>
          <w:szCs w:val="22"/>
          <w:lang w:val="en-US"/>
        </w:rPr>
        <w:t xml:space="preserve">, </w:t>
      </w:r>
      <w:r w:rsidR="00137500">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{"citationItems":[{"id":"ITEM-1","itemData":{"DOI":"10.1002/sim.3427","ISSN":"1097-0258","abstract":"When literature-based meta-analyses involve outcomes with skewed distributions, the best available data can sometimes be a mixture of results presented on the raw scale and results presented on the logarithmic scale. We review and develop methods for transforming between these results for two-group studies, such as clinical trials and prospective or cross-sectional epidemiological studies. These allow meta-analyses to be conducted using all studies and on a common scale. The methods can also be used to produce a meta-analysis of ratios of geometric means when skewed data are reported on the raw scale for every study. We compare three methods, two of which have alternative standard error formulae, in an application and in a series of simulation studies. We conclude that an approach based on a log-normal assumption for the raw data is reasonably robust to different true distributions; and we provide new standard error approximations for this method. An assumption can be made that the standard deviations in the two groups are equal. This increases precision of the estimates, but if incorrect can lead to very misleading results.","author":[{"dropping-particle":"","family":"Higgins","given":"Julian P T","non-dropping-particle":"","parse-names":false,"suffix":""},{"dropping-particle":"","family":"White","given":"Ian R","non-dropping-particle":"","parse-names":false,"suffix":""},{"dropping-particle":"","family":"Anzures-Cabrera","given":"Judith","non-dropping-particle":"","parse-names":false,"suffix":""}],"container-title":"Statistics in medicine","id":"ITEM-1","issue":"29","issued":{"date-parts":[["2008","12","20"]]},"language":"eng","page":"6072-6092","publisher":"John Wiley &amp; Sons, Ltd.","title":"Meta-analysis of skewed data: combining results reported on log-transformed or raw scales","type":"article-journal","volume":"27"},"uris":["http://www.mendeley.com/documents/?uuid=77940e8d-08df-4ec8-9716-4a4f0e58ea61","http://www.mendeley.com/documents/?uuid=31c2195e-5202-46fc-9f87-9fdc6ed307f5"]},{"id":"ITEM-2","itemData":{"URL":"https://training.cochrane.org/cochrane-handbook-systematic-reviews-interventions#how-to-cite","accessed":{"date-parts":[["2020","10","29"]]},"author":[{"dropping-particle":"","family":"Higgins","given":"JPT","non-dropping-particle":"","parse-names":false,"suffix":""},{"dropping-particle":"","family":"Thomas","given":"J","non-dropping-particle":"","parse-names":false,"suffix":""},{"dropping-particle":"","family":"Chandler","given":"J","non-dropping-particle":"","parse-names":false,"suffix":""},{"dropping-particle":"","family":"Cumpston","given":"M","non-dropping-particle":"","parse-names":false,"suffix":""},{"dropping-particle":"","family":"Li","given":"T","non-dropping-particle":"","parse-names":false,"suffix":""},{"dropping-particle":"","family":"Page","given":"MJ","non-dropping-particle":"","parse-names":false,"suffix":""},{"dropping-particle":"","family":"Welch","given":"VA","non-dropping-particle":"","parse-names":false,"suffix":""}],"id":"ITEM-2","issued":{"date-parts":[["2020"]]},"title":"Cochrane Handbook for Systematic Reviews of Interventions | Cochrane Training","type":"webpage"},"uris":["http://www.mendeley.com/documents/?uuid=bd73a616-5d13-3a26-a9e3-005df35f56ad","http://www.mendeley.com/documents/?uuid=3401d4f2-6898-41a8-9c34-2b3b56a9f128"]}],"mendeley":{"formattedCitation":"(Higgins et al., 2020, 2008)","plainTextFormattedCitation":"(Higgins et al., 2020, 2008)","previouslyFormattedCitation":"(Higgins et al., 2020, 2008)"},"properties":{"noteIndex":0},"schema":"https://github.com/citation-style-language/schema/raw/master/csl-citation.json"}</w:instrText>
      </w:r>
      <w:r w:rsidR="00137500">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(Higgins et al., 2020, 2008)</w:t>
      </w:r>
      <w:r w:rsidR="00137500">
        <w:rPr>
          <w:rFonts w:ascii="Times New Roman" w:hAnsi="Times New Roman" w:cs="Times New Roman"/>
          <w:sz w:val="22"/>
          <w:szCs w:val="22"/>
          <w:lang w:val="en-US"/>
        </w:rPr>
        <w:fldChar w:fldCharType="end"/>
      </w:r>
      <w:r w:rsidRPr="00137500">
        <w:rPr>
          <w:rFonts w:ascii="Times New Roman" w:hAnsi="Times New Roman" w:cs="Times New Roman"/>
          <w:sz w:val="22"/>
          <w:szCs w:val="22"/>
          <w:lang w:val="en-US"/>
        </w:rPr>
        <w:t xml:space="preserve"> </w:t>
      </w:r>
      <w:r w:rsidR="00225AFC">
        <w:rPr>
          <w:rFonts w:ascii="Times New Roman" w:hAnsi="Times New Roman" w:cs="Times New Roman"/>
          <w:sz w:val="22"/>
          <w:szCs w:val="22"/>
          <w:lang w:val="en-US"/>
        </w:rPr>
        <w:t>as</w:t>
      </w:r>
      <w:r w:rsidRPr="00137500">
        <w:rPr>
          <w:rFonts w:ascii="Times New Roman" w:hAnsi="Times New Roman" w:cs="Times New Roman"/>
          <w:sz w:val="22"/>
          <w:szCs w:val="22"/>
          <w:lang w:val="en-US"/>
        </w:rPr>
        <w:t xml:space="preserve"> meta-analyses based on means are appropriate only for data that are </w:t>
      </w:r>
      <w:r w:rsidRPr="004F2C30">
        <w:rPr>
          <w:rFonts w:ascii="Times New Roman" w:hAnsi="Times New Roman" w:cs="Times New Roman"/>
          <w:sz w:val="22"/>
          <w:szCs w:val="22"/>
          <w:lang w:val="en-US"/>
        </w:rPr>
        <w:t xml:space="preserve">at least approximately normally distributed. Data not presented directly as log-transformed in the original manuscripts </w:t>
      </w:r>
      <w:r w:rsidR="00AD695F" w:rsidRPr="004F2C30">
        <w:rPr>
          <w:rFonts w:ascii="Times New Roman" w:hAnsi="Times New Roman" w:cs="Times New Roman"/>
          <w:sz w:val="22"/>
          <w:szCs w:val="22"/>
          <w:lang w:val="en-US"/>
        </w:rPr>
        <w:t>were transformed</w:t>
      </w:r>
      <w:r w:rsidRPr="004F2C30">
        <w:rPr>
          <w:rFonts w:ascii="Times New Roman" w:hAnsi="Times New Roman" w:cs="Times New Roman"/>
          <w:sz w:val="22"/>
          <w:szCs w:val="22"/>
          <w:lang w:val="en-US"/>
        </w:rPr>
        <w:t>, as described by Higgins and colleagues</w:t>
      </w:r>
      <w:r w:rsidR="006A5045">
        <w:rPr>
          <w:rFonts w:ascii="Times New Roman" w:hAnsi="Times New Roman" w:cs="Times New Roman"/>
          <w:sz w:val="22"/>
          <w:szCs w:val="22"/>
          <w:lang w:val="en-US"/>
        </w:rPr>
        <w:t xml:space="preserve"> </w:t>
      </w:r>
      <w:r w:rsidR="000F1235" w:rsidRPr="004F2C30">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{"citationItems":[{"id":"ITEM-1","itemData":{"DOI":"10.1002/sim.3427","ISSN":"1097-0258","abstract":"When literature-based meta-analyses involve outcomes with skewed distributions, the best available data can sometimes be a mixture of results presented on the raw scale and results presented on the logarithmic scale. We review and develop methods for transforming between these results for two-group studies, such as clinical trials and prospective or cross-sectional epidemiological studies. These allow meta-analyses to be conducted using all studies and on a common scale. The methods can also be used to produce a meta-analysis of ratios of geometric means when skewed data are reported on the raw scale for every study. We compare three methods, two of which have alternative standard error formulae, in an application and in a series of simulation studies. We conclude that an approach based on a log-normal assumption for the raw data is reasonably robust to different true distributions; and we provide new standard error approximations for this method. An assumption can be made that the standard deviations in the two groups are equal. This increases precision of the estimates, but if incorrect can lead to very misleading results.","author":[{"dropping-particle":"","family":"Higgins","given":"Julian P T","non-dropping-particle":"","parse-names":false,"suffix":""},{"dropping-particle":"","family":"White","given":"Ian R","non-dropping-particle":"","parse-names":false,"suffix":""},{"dropping-particle":"","family":"Anzures-Cabrera","given":"Judith","non-dropping-particle":"","parse-names":false,"suffix":""}],"container-title":"Statistics in medicine","id":"ITEM-1","issue":"29","issued":{"date-parts":[["2008","12","20"]]},"language":"eng","page":"6072-6092","publisher":"John Wiley &amp; Sons, Ltd.","title":"Meta-analysis of skewed data: combining results reported on log-transformed or raw scales","type":"article-journal","volume":"27"},"uris":["http://www.mendeley.com/documents/?uuid=31c2195e-5202-46fc-9f87-9fdc6ed307f5","http://www.mendeley.com/documents/?uuid=77940e8d-08df-4ec8-9716-4a4f0e58ea61"]},{"id":"ITEM-2","itemData":{"URL":"https://training.cochrane.org/cochrane-handbook-systematic-reviews-interventions#how-to-cite","accessed":{"date-parts":[["2020","10","29"]]},"author":[{"dropping-particle":"","family":"Higgins","given":"JPT","non-dropping-particle":"","parse-names":false,"suffix":""},{"dropping-particle":"","family":"Thomas","given":"J","non-dropping-particle":"","parse-names":false,"suffix":""},{"dropping-particle":"","family":"Chandler","given":"J","non-dropping-particle":"","parse-names":false,"suffix":""},{"dropping-particle":"","family":"Cumpston","given":"M","non-dropping-particle":"","parse-names":false,"suffix":""},{"dropping-particle":"","family":"Li","given":"T","non-dropping-particle":"","parse-names":false,"suffix":""},{"dropping-particle":"","family":"Page","given":"MJ","non-dropping-particle":"","parse-names":false,"suffix":""},{"dropping-particle":"","family":"Welch","given":"VA","non-dropping-particle":"","parse-names":false,"suffix":""}],"id":"ITEM-2","issued":{"date-parts":[["2020"]]},"title":"Cochrane Handbook for Systematic Reviews of Interventions | Cochrane Training","type":"webpage"},"uris":["http://www.mendeley.com/documents/?uuid=3401d4f2-6898-41a8-9c34-2b3b56a9f128","http://www.mendeley.com/documents/?uuid=bd73a616-5d13-3a26-a9e3-005df35f56ad","http://www.mendeley.com/documents/?uuid=fc9bd934-be31-483a-90f7-e58fe788111c"]}],"mendeley":{"formattedCitation":"(Higgins et al., 2020, 2008)","plainTextFormattedCitation":"(Higgins et al., 2020, 2008)","previouslyFormattedCitation":"(Higgins et al., 2020, 2008)"},"properties":{"noteIndex":0},"schema":"https://github.com/citation-style-language/schema/raw/master/csl-citation.json"}</w:instrText>
      </w:r>
      <w:r w:rsidR="000F1235" w:rsidRPr="004F2C30">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(Higgins et al., 2020, 2008)</w:t>
      </w:r>
      <w:r w:rsidR="000F1235" w:rsidRPr="004F2C30">
        <w:rPr>
          <w:rFonts w:ascii="Times New Roman" w:hAnsi="Times New Roman" w:cs="Times New Roman"/>
          <w:sz w:val="22"/>
          <w:szCs w:val="22"/>
          <w:lang w:val="en-US"/>
        </w:rPr>
        <w:fldChar w:fldCharType="end"/>
      </w:r>
      <w:r w:rsidR="006A5045">
        <w:rPr>
          <w:rFonts w:ascii="Times New Roman" w:hAnsi="Times New Roman" w:cs="Times New Roman"/>
          <w:sz w:val="22"/>
          <w:szCs w:val="22"/>
          <w:lang w:val="en-US"/>
        </w:rPr>
        <w:t>.</w:t>
      </w:r>
      <w:r w:rsidR="000F1235" w:rsidRPr="004F2C30">
        <w:rPr>
          <w:rFonts w:ascii="Times New Roman" w:hAnsi="Times New Roman" w:cs="Times New Roman"/>
          <w:sz w:val="22"/>
          <w:szCs w:val="22"/>
          <w:lang w:val="en-US"/>
        </w:rPr>
        <w:t xml:space="preserve"> </w:t>
      </w:r>
      <w:r w:rsidR="00DC4411" w:rsidRPr="004F2C30">
        <w:rPr>
          <w:rFonts w:ascii="Times New Roman" w:hAnsi="Times New Roman" w:cs="Times New Roman"/>
          <w:sz w:val="22"/>
          <w:szCs w:val="22"/>
          <w:lang w:val="en-US"/>
        </w:rPr>
        <w:t xml:space="preserve">As </w:t>
      </w:r>
      <w:r w:rsidR="00035339" w:rsidRPr="004F2C30">
        <w:rPr>
          <w:rFonts w:ascii="Times New Roman" w:hAnsi="Times New Roman" w:cs="Times New Roman"/>
          <w:sz w:val="22"/>
          <w:szCs w:val="22"/>
          <w:lang w:val="en-US"/>
        </w:rPr>
        <w:t xml:space="preserve">most </w:t>
      </w:r>
      <w:r w:rsidR="00DC4411" w:rsidRPr="004F2C30">
        <w:rPr>
          <w:rFonts w:ascii="Times New Roman" w:hAnsi="Times New Roman" w:cs="Times New Roman"/>
          <w:sz w:val="22"/>
          <w:szCs w:val="22"/>
          <w:lang w:val="en-US"/>
        </w:rPr>
        <w:t xml:space="preserve">studies </w:t>
      </w:r>
      <w:r w:rsidR="00035339" w:rsidRPr="004F2C30">
        <w:rPr>
          <w:rFonts w:ascii="Times New Roman" w:hAnsi="Times New Roman" w:cs="Times New Roman"/>
          <w:sz w:val="22"/>
          <w:szCs w:val="22"/>
          <w:lang w:val="en-US"/>
        </w:rPr>
        <w:t xml:space="preserve">published data </w:t>
      </w:r>
      <w:r w:rsidR="00DC4411" w:rsidRPr="004F2C30">
        <w:rPr>
          <w:rFonts w:ascii="Times New Roman" w:hAnsi="Times New Roman" w:cs="Times New Roman"/>
          <w:sz w:val="22"/>
          <w:szCs w:val="22"/>
          <w:lang w:val="en-US"/>
        </w:rPr>
        <w:t>on several parameters</w:t>
      </w:r>
      <w:r w:rsidR="00035339" w:rsidRPr="004F2C30">
        <w:rPr>
          <w:rFonts w:ascii="Times New Roman" w:hAnsi="Times New Roman" w:cs="Times New Roman"/>
          <w:sz w:val="22"/>
          <w:szCs w:val="22"/>
          <w:lang w:val="en-US"/>
        </w:rPr>
        <w:t xml:space="preserve"> from the same subjects</w:t>
      </w:r>
      <w:r w:rsidR="00DC4411" w:rsidRPr="004F2C30">
        <w:rPr>
          <w:rFonts w:ascii="Times New Roman" w:hAnsi="Times New Roman" w:cs="Times New Roman"/>
          <w:sz w:val="22"/>
          <w:szCs w:val="22"/>
          <w:lang w:val="en-US"/>
        </w:rPr>
        <w:t>, multivariate meta-</w:t>
      </w:r>
      <w:r w:rsidR="00AD695F" w:rsidRPr="004F2C30">
        <w:rPr>
          <w:rFonts w:ascii="Times New Roman" w:hAnsi="Times New Roman" w:cs="Times New Roman"/>
          <w:sz w:val="22"/>
          <w:szCs w:val="22"/>
          <w:lang w:val="en-US"/>
        </w:rPr>
        <w:t xml:space="preserve">analyses were </w:t>
      </w:r>
      <w:r w:rsidR="00DC4411" w:rsidRPr="004F2C30">
        <w:rPr>
          <w:rFonts w:ascii="Times New Roman" w:hAnsi="Times New Roman" w:cs="Times New Roman"/>
          <w:sz w:val="22"/>
          <w:szCs w:val="22"/>
          <w:lang w:val="en-US"/>
        </w:rPr>
        <w:t>used</w:t>
      </w:r>
      <w:r w:rsidR="00035339" w:rsidRPr="004F2C30">
        <w:rPr>
          <w:rFonts w:ascii="Times New Roman" w:hAnsi="Times New Roman" w:cs="Times New Roman"/>
          <w:sz w:val="22"/>
          <w:szCs w:val="22"/>
          <w:lang w:val="en-US"/>
        </w:rPr>
        <w:t>. This</w:t>
      </w:r>
      <w:r w:rsidR="00DC4411" w:rsidRPr="004F2C30">
        <w:rPr>
          <w:rFonts w:ascii="Times New Roman" w:hAnsi="Times New Roman" w:cs="Times New Roman"/>
          <w:sz w:val="22"/>
          <w:szCs w:val="22"/>
          <w:lang w:val="en-US"/>
        </w:rPr>
        <w:t xml:space="preserve"> </w:t>
      </w:r>
      <w:r w:rsidR="00035339" w:rsidRPr="004F2C30">
        <w:rPr>
          <w:rFonts w:ascii="Times New Roman" w:hAnsi="Times New Roman" w:cs="Times New Roman"/>
          <w:sz w:val="22"/>
          <w:szCs w:val="22"/>
          <w:lang w:val="en-US"/>
        </w:rPr>
        <w:t>allows</w:t>
      </w:r>
      <w:r w:rsidR="00DC4411" w:rsidRPr="004F2C30">
        <w:rPr>
          <w:rFonts w:ascii="Times New Roman" w:hAnsi="Times New Roman" w:cs="Times New Roman"/>
          <w:sz w:val="22"/>
          <w:szCs w:val="22"/>
          <w:lang w:val="en-US"/>
        </w:rPr>
        <w:t xml:space="preserve"> simultaneous estimation of summary effect sizes across </w:t>
      </w:r>
      <w:r w:rsidR="00035339" w:rsidRPr="004F2C30">
        <w:rPr>
          <w:rFonts w:ascii="Times New Roman" w:hAnsi="Times New Roman" w:cs="Times New Roman"/>
          <w:sz w:val="22"/>
          <w:szCs w:val="22"/>
          <w:lang w:val="en-US"/>
        </w:rPr>
        <w:t xml:space="preserve">multiple correlated </w:t>
      </w:r>
      <w:r w:rsidR="00DC4411" w:rsidRPr="004F2C30">
        <w:rPr>
          <w:rFonts w:ascii="Times New Roman" w:hAnsi="Times New Roman" w:cs="Times New Roman"/>
          <w:sz w:val="22"/>
          <w:szCs w:val="22"/>
          <w:lang w:val="en-US"/>
        </w:rPr>
        <w:t>parameters,</w:t>
      </w:r>
      <w:r w:rsidR="00035339" w:rsidRPr="004F2C30">
        <w:rPr>
          <w:rFonts w:ascii="Times New Roman" w:hAnsi="Times New Roman" w:cs="Times New Roman"/>
          <w:sz w:val="22"/>
          <w:szCs w:val="22"/>
          <w:lang w:val="en-US"/>
        </w:rPr>
        <w:t xml:space="preserve"> also</w:t>
      </w:r>
      <w:r w:rsidR="00DC4411" w:rsidRPr="004F2C30">
        <w:rPr>
          <w:rFonts w:ascii="Times New Roman" w:hAnsi="Times New Roman" w:cs="Times New Roman"/>
          <w:sz w:val="22"/>
          <w:szCs w:val="22"/>
          <w:lang w:val="en-US"/>
        </w:rPr>
        <w:t xml:space="preserve"> reducing </w:t>
      </w:r>
      <w:r w:rsidR="00035339" w:rsidRPr="004F2C30">
        <w:rPr>
          <w:rFonts w:ascii="Times New Roman" w:hAnsi="Times New Roman" w:cs="Times New Roman"/>
          <w:sz w:val="22"/>
          <w:szCs w:val="22"/>
          <w:lang w:val="en-US"/>
        </w:rPr>
        <w:t xml:space="preserve">the </w:t>
      </w:r>
      <w:r w:rsidR="00DC4411" w:rsidRPr="004F2C30">
        <w:rPr>
          <w:rFonts w:ascii="Times New Roman" w:hAnsi="Times New Roman" w:cs="Times New Roman"/>
          <w:sz w:val="22"/>
          <w:szCs w:val="22"/>
          <w:lang w:val="en-US"/>
        </w:rPr>
        <w:t>risk of false positives due to multiple comparisons</w:t>
      </w:r>
      <w:r w:rsidR="006A5045">
        <w:rPr>
          <w:rFonts w:ascii="Times New Roman" w:hAnsi="Times New Roman" w:cs="Times New Roman"/>
          <w:sz w:val="22"/>
          <w:szCs w:val="22"/>
          <w:lang w:val="en-US"/>
        </w:rPr>
        <w:t xml:space="preserve"> </w:t>
      </w:r>
      <w:r w:rsidR="000F1235" w:rsidRPr="004F2C30">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{"citationItems":[{"id":"ITEM-1","itemData":{"DOI":"https://doi.org/10.1016/j.jclinepi.2008.03.004","ISSN":"0895-4356","abstract":"Objective The objective of this paper is to describe the problem of multiple comparisons in systematic reviews and to provide some guidelines on how to deal with it in practice. Study Design and Setting We describe common reasons for multiplicity in systematic reviews, and present some examples. We provide guidance on how to deal with multiplicity when it is unavoidable. Results We identified six common reasons for multiplicity in systematic reviews: multiple outcomes, multiple groups, multiple time points, multiple effect measures, subgroup analyses, and multiple looks at accumulating data. The existing methods to deal with multiplicity in single trials can not always be applied in systematic reviews. Conclusion There is no simple and completely satisfactory solution to the problem of multiple comparisons in systematic reviews. More research is required to develop multiple comparison procedures for use in systematic reviews. Authors and consumers of systematic reviews should give serious attention to multiplicity in systematic reviews when presenting, interpreting and using the results of these reports.","author":[{"dropping-particle":"","family":"Bender","given":"Ralf","non-dropping-particle":"","parse-names":false,"suffix":""},{"dropping-particle":"","family":"Bunce","given":"Catey","non-dropping-particle":"","parse-names":false,"suffix":""},{"dropping-particle":"","family":"Clarke","given":"Mike","non-dropping-particle":"","parse-names":false,"suffix":""},{"dropping-particle":"","family":"Gates","given":"Simon","non-dropping-particle":"","parse-names":false,"suffix":""},{"dropping-particle":"","family":"Lange","given":"Stefan","non-dropping-particle":"","parse-names":false,"suffix":""},{"dropping-particle":"","family":"Pace","given":"Nathan L","non-dropping-particle":"","parse-names":false,"suffix":""},{"dropping-particle":"","family":"Thorlund","given":"Kristian","non-dropping-particle":"","parse-names":false,"suffix":""}],"container-title":"Journal of Clinical Epidemiology","id":"ITEM-1","issue":"9","issued":{"date-parts":[["2008"]]},"page":"857-865","title":"Attention should be given to multiplicity issues in systematic reviews","type":"article-journal","volume":"61"},"uris":["http://www.mendeley.com/documents/?uuid=eeb7bf30-c9f7-4088-a13c-ee86bf096fa6","http://www.mendeley.com/documents/?uuid=2a5ad366-cc13-49b5-b8f1-62952e606f32"]}],"mendeley":{"formattedCitation":"(Bender et al., 2008)","plainTextFormattedCitation":"(Bender et al., 2008)","previouslyFormattedCitation":"(Bender et al., 2008)"},"properties":{"noteIndex":0},"schema":"https://github.com/citation-style-language/schema/raw/master/csl-citation.json"}</w:instrText>
      </w:r>
      <w:r w:rsidR="000F1235" w:rsidRPr="004F2C30">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(Bender et al., 2008)</w:t>
      </w:r>
      <w:r w:rsidR="000F1235" w:rsidRPr="004F2C30">
        <w:rPr>
          <w:rFonts w:ascii="Times New Roman" w:hAnsi="Times New Roman" w:cs="Times New Roman"/>
          <w:sz w:val="22"/>
          <w:szCs w:val="22"/>
          <w:lang w:val="en-US"/>
        </w:rPr>
        <w:fldChar w:fldCharType="end"/>
      </w:r>
      <w:r w:rsidR="006A5045">
        <w:rPr>
          <w:rFonts w:ascii="Times New Roman" w:hAnsi="Times New Roman" w:cs="Times New Roman"/>
          <w:sz w:val="22"/>
          <w:szCs w:val="22"/>
          <w:lang w:val="en-US"/>
        </w:rPr>
        <w:t>.</w:t>
      </w:r>
    </w:p>
    <w:p w14:paraId="24DD2A7E" w14:textId="56FB06BC" w:rsidR="00DC4411" w:rsidRPr="004F2C30" w:rsidRDefault="00035339" w:rsidP="005A0E80">
      <w:pPr>
        <w:spacing w:line="360" w:lineRule="auto"/>
        <w:ind w:firstLine="720"/>
        <w:jc w:val="both"/>
        <w:rPr>
          <w:rFonts w:ascii="Times New Roman" w:hAnsi="Times New Roman" w:cs="Times New Roman"/>
          <w:sz w:val="22"/>
          <w:szCs w:val="22"/>
          <w:lang w:val="en-US"/>
        </w:rPr>
      </w:pPr>
      <w:r w:rsidRPr="004F2C30">
        <w:rPr>
          <w:rFonts w:ascii="Times New Roman" w:hAnsi="Times New Roman" w:cs="Times New Roman"/>
          <w:sz w:val="22"/>
          <w:szCs w:val="22"/>
          <w:lang w:val="en-US"/>
        </w:rPr>
        <w:t>The</w:t>
      </w:r>
      <w:r w:rsidR="00DC4411" w:rsidRPr="004F2C30">
        <w:rPr>
          <w:rFonts w:ascii="Times New Roman" w:hAnsi="Times New Roman" w:cs="Times New Roman"/>
          <w:sz w:val="22"/>
          <w:szCs w:val="22"/>
          <w:lang w:val="en-US"/>
        </w:rPr>
        <w:t xml:space="preserve"> meta-analys</w:t>
      </w:r>
      <w:r w:rsidRPr="004F2C30">
        <w:rPr>
          <w:rFonts w:ascii="Times New Roman" w:hAnsi="Times New Roman" w:cs="Times New Roman"/>
          <w:sz w:val="22"/>
          <w:szCs w:val="22"/>
          <w:lang w:val="en-US"/>
        </w:rPr>
        <w:t>e</w:t>
      </w:r>
      <w:r w:rsidR="00DC4411" w:rsidRPr="004F2C30">
        <w:rPr>
          <w:rFonts w:ascii="Times New Roman" w:hAnsi="Times New Roman" w:cs="Times New Roman"/>
          <w:sz w:val="22"/>
          <w:szCs w:val="22"/>
          <w:lang w:val="en-US"/>
        </w:rPr>
        <w:t xml:space="preserve">s of </w:t>
      </w:r>
      <w:r w:rsidRPr="004F2C30">
        <w:rPr>
          <w:rFonts w:ascii="Times New Roman" w:hAnsi="Times New Roman" w:cs="Times New Roman"/>
          <w:sz w:val="22"/>
          <w:szCs w:val="22"/>
          <w:lang w:val="en-US"/>
        </w:rPr>
        <w:t xml:space="preserve">mean </w:t>
      </w:r>
      <w:r w:rsidR="00DC4411" w:rsidRPr="004F2C30">
        <w:rPr>
          <w:rFonts w:ascii="Times New Roman" w:hAnsi="Times New Roman" w:cs="Times New Roman"/>
          <w:sz w:val="22"/>
          <w:szCs w:val="22"/>
          <w:lang w:val="en-US"/>
        </w:rPr>
        <w:t xml:space="preserve">group differences in immune parameters </w:t>
      </w:r>
      <w:r w:rsidRPr="004F2C30">
        <w:rPr>
          <w:rFonts w:ascii="Times New Roman" w:hAnsi="Times New Roman" w:cs="Times New Roman"/>
          <w:sz w:val="22"/>
          <w:szCs w:val="22"/>
          <w:lang w:val="en-US"/>
        </w:rPr>
        <w:t xml:space="preserve">were </w:t>
      </w:r>
      <w:r w:rsidR="00DC4411" w:rsidRPr="004F2C30">
        <w:rPr>
          <w:rFonts w:ascii="Times New Roman" w:hAnsi="Times New Roman" w:cs="Times New Roman"/>
          <w:sz w:val="22"/>
          <w:szCs w:val="22"/>
          <w:lang w:val="en-US"/>
        </w:rPr>
        <w:t>performed using Hedges</w:t>
      </w:r>
      <w:r w:rsidRPr="004F2C30">
        <w:rPr>
          <w:rFonts w:ascii="Times New Roman" w:hAnsi="Times New Roman" w:cs="Times New Roman"/>
          <w:sz w:val="22"/>
          <w:szCs w:val="22"/>
          <w:lang w:val="en-US"/>
        </w:rPr>
        <w:t xml:space="preserve"> </w:t>
      </w:r>
      <w:r w:rsidR="00DC4411" w:rsidRPr="00F5155B">
        <w:rPr>
          <w:rFonts w:ascii="Times New Roman" w:hAnsi="Times New Roman" w:cs="Times New Roman"/>
          <w:sz w:val="22"/>
          <w:szCs w:val="22"/>
          <w:lang w:val="en-US"/>
        </w:rPr>
        <w:t>g</w:t>
      </w:r>
      <w:r w:rsidRPr="00F5155B">
        <w:rPr>
          <w:rFonts w:ascii="Times New Roman" w:hAnsi="Times New Roman" w:cs="Times New Roman"/>
          <w:sz w:val="22"/>
          <w:szCs w:val="22"/>
          <w:lang w:val="en-US"/>
        </w:rPr>
        <w:t xml:space="preserve"> as a measure of effect size</w:t>
      </w:r>
      <w:r w:rsidR="00DC4411" w:rsidRPr="004F2C30">
        <w:rPr>
          <w:rFonts w:ascii="Times New Roman" w:hAnsi="Times New Roman" w:cs="Times New Roman"/>
          <w:sz w:val="22"/>
          <w:szCs w:val="22"/>
          <w:lang w:val="en-US"/>
        </w:rPr>
        <w:t xml:space="preserve">. A </w:t>
      </w:r>
      <w:r w:rsidR="004F2C30" w:rsidRPr="004F2C30">
        <w:rPr>
          <w:rFonts w:ascii="Times New Roman" w:hAnsi="Times New Roman" w:cs="Times New Roman"/>
          <w:sz w:val="22"/>
          <w:szCs w:val="22"/>
          <w:lang w:val="en-US"/>
        </w:rPr>
        <w:t>random-</w:t>
      </w:r>
      <w:r w:rsidR="00DC4411" w:rsidRPr="004F2C30">
        <w:rPr>
          <w:rFonts w:ascii="Times New Roman" w:hAnsi="Times New Roman" w:cs="Times New Roman"/>
          <w:sz w:val="22"/>
          <w:szCs w:val="22"/>
          <w:lang w:val="en-US"/>
        </w:rPr>
        <w:t xml:space="preserve">effects model </w:t>
      </w:r>
      <w:r w:rsidRPr="004F2C30">
        <w:rPr>
          <w:rFonts w:ascii="Times New Roman" w:hAnsi="Times New Roman" w:cs="Times New Roman"/>
          <w:sz w:val="22"/>
          <w:szCs w:val="22"/>
          <w:lang w:val="en-US"/>
        </w:rPr>
        <w:t>(</w:t>
      </w:r>
      <w:r w:rsidR="006F091D" w:rsidRPr="004F2C30">
        <w:rPr>
          <w:rFonts w:ascii="Times New Roman" w:hAnsi="Times New Roman" w:cs="Times New Roman"/>
          <w:sz w:val="22"/>
          <w:szCs w:val="22"/>
          <w:lang w:val="en-US"/>
        </w:rPr>
        <w:t>restricted maximum likelihood</w:t>
      </w:r>
      <w:r w:rsidRPr="004F2C30">
        <w:rPr>
          <w:rFonts w:ascii="Times New Roman" w:hAnsi="Times New Roman" w:cs="Times New Roman"/>
          <w:sz w:val="22"/>
          <w:szCs w:val="22"/>
          <w:lang w:val="en-US"/>
        </w:rPr>
        <w:t xml:space="preserve">) </w:t>
      </w:r>
      <w:r w:rsidR="00DC4411" w:rsidRPr="004F2C30">
        <w:rPr>
          <w:rFonts w:ascii="Times New Roman" w:hAnsi="Times New Roman" w:cs="Times New Roman"/>
          <w:sz w:val="22"/>
          <w:szCs w:val="22"/>
          <w:lang w:val="en-US"/>
        </w:rPr>
        <w:t xml:space="preserve">was used </w:t>
      </w:r>
      <w:r w:rsidR="006F091D" w:rsidRPr="004F2C30">
        <w:rPr>
          <w:rFonts w:ascii="Times New Roman" w:hAnsi="Times New Roman" w:cs="Times New Roman"/>
          <w:sz w:val="22"/>
          <w:szCs w:val="22"/>
          <w:lang w:val="en-US"/>
        </w:rPr>
        <w:t xml:space="preserve">to </w:t>
      </w:r>
      <w:r w:rsidR="00AC4CE7">
        <w:rPr>
          <w:rFonts w:ascii="Times New Roman" w:hAnsi="Times New Roman" w:cs="Times New Roman"/>
          <w:sz w:val="22"/>
          <w:szCs w:val="22"/>
          <w:lang w:val="en-US"/>
        </w:rPr>
        <w:t>consider</w:t>
      </w:r>
      <w:r w:rsidR="00AD695F" w:rsidRPr="004F2C30">
        <w:rPr>
          <w:rFonts w:ascii="Times New Roman" w:hAnsi="Times New Roman" w:cs="Times New Roman"/>
          <w:sz w:val="22"/>
          <w:szCs w:val="22"/>
          <w:lang w:val="en-US"/>
        </w:rPr>
        <w:t xml:space="preserve"> methodological</w:t>
      </w:r>
      <w:r w:rsidR="006F091D" w:rsidRPr="004F2C30">
        <w:rPr>
          <w:rFonts w:ascii="Times New Roman" w:hAnsi="Times New Roman" w:cs="Times New Roman"/>
          <w:sz w:val="22"/>
          <w:szCs w:val="22"/>
          <w:lang w:val="en-US"/>
        </w:rPr>
        <w:t xml:space="preserve"> differences across</w:t>
      </w:r>
      <w:r w:rsidR="00DC4411" w:rsidRPr="004F2C30">
        <w:rPr>
          <w:rFonts w:ascii="Times New Roman" w:hAnsi="Times New Roman" w:cs="Times New Roman"/>
          <w:sz w:val="22"/>
          <w:szCs w:val="22"/>
          <w:lang w:val="en-US"/>
        </w:rPr>
        <w:t xml:space="preserve"> studies.</w:t>
      </w:r>
    </w:p>
    <w:p w14:paraId="53B3EF9A" w14:textId="635D925E" w:rsidR="00DC4411" w:rsidRDefault="006F091D" w:rsidP="005A0E80">
      <w:pPr>
        <w:spacing w:line="360" w:lineRule="auto"/>
        <w:ind w:firstLine="720"/>
        <w:jc w:val="both"/>
        <w:rPr>
          <w:rFonts w:ascii="Times New Roman" w:hAnsi="Times New Roman" w:cs="Times New Roman"/>
          <w:color w:val="000000"/>
          <w:sz w:val="22"/>
          <w:szCs w:val="22"/>
        </w:rPr>
      </w:pPr>
      <w:r w:rsidRPr="004F2C30">
        <w:rPr>
          <w:rFonts w:ascii="Times New Roman" w:hAnsi="Times New Roman" w:cs="Times New Roman"/>
          <w:sz w:val="22"/>
          <w:szCs w:val="22"/>
          <w:lang w:val="en-US"/>
        </w:rPr>
        <w:t>Variability was measured through</w:t>
      </w:r>
      <w:r w:rsidR="00DC4411" w:rsidRPr="004F2C30">
        <w:rPr>
          <w:rFonts w:ascii="Times New Roman" w:hAnsi="Times New Roman" w:cs="Times New Roman"/>
          <w:sz w:val="22"/>
          <w:szCs w:val="22"/>
          <w:lang w:val="en-US"/>
        </w:rPr>
        <w:t xml:space="preserve"> the natural log of the ratio of estimates of the population standard deviations</w:t>
      </w:r>
      <w:r w:rsidR="00DC4411" w:rsidRPr="004F2C30">
        <w:rPr>
          <w:rFonts w:ascii="Times New Roman" w:hAnsi="Times New Roman" w:cs="Times New Roman"/>
          <w:color w:val="000000"/>
          <w:sz w:val="22"/>
          <w:szCs w:val="22"/>
        </w:rPr>
        <w:t xml:space="preserve"> for each group</w:t>
      </w:r>
      <w:r w:rsidRPr="004F2C30">
        <w:rPr>
          <w:rFonts w:ascii="Times New Roman" w:hAnsi="Times New Roman" w:cs="Times New Roman"/>
          <w:color w:val="000000"/>
          <w:sz w:val="22"/>
          <w:szCs w:val="22"/>
        </w:rPr>
        <w:t>,</w:t>
      </w:r>
      <w:r w:rsidR="00DC4411" w:rsidRPr="004F2C30">
        <w:rPr>
          <w:rFonts w:ascii="Times New Roman" w:hAnsi="Times New Roman" w:cs="Times New Roman"/>
          <w:color w:val="000000"/>
          <w:sz w:val="22"/>
          <w:szCs w:val="22"/>
        </w:rPr>
        <w:t xml:space="preserve"> to give the log variability ratio (VR), as previously described</w:t>
      </w:r>
      <w:r w:rsidR="006A5045">
        <w:rPr>
          <w:rFonts w:ascii="Times New Roman" w:hAnsi="Times New Roman" w:cs="Times New Roman"/>
          <w:color w:val="000000"/>
          <w:sz w:val="22"/>
          <w:szCs w:val="22"/>
        </w:rPr>
        <w:t xml:space="preserve"> </w:t>
      </w:r>
      <w:r w:rsidR="002430C1" w:rsidRPr="004F2C30">
        <w:rPr>
          <w:rFonts w:ascii="Times New Roman" w:hAnsi="Times New Roman" w:cs="Times New Roman"/>
          <w:color w:val="000000"/>
          <w:sz w:val="22"/>
          <w:szCs w:val="22"/>
        </w:rPr>
        <w:fldChar w:fldCharType="begin" w:fldLock="1"/>
      </w:r>
      <w:r w:rsidR="00CC5EA9">
        <w:rPr>
          <w:rFonts w:ascii="Times New Roman" w:hAnsi="Times New Roman" w:cs="Times New Roman"/>
          <w:color w:val="000000"/>
          <w:sz w:val="22"/>
          <w:szCs w:val="22"/>
        </w:rPr>
        <w:instrText>ADDIN CSL_CITATION {"citationItems":[{"id":"ITEM-1","itemData":{"DOI":"10.1016/j.bbi.2020.02.010","ISSN":"1090-2139","abstract":"IMPORTANCE: The magnitude and variability of cytokine alterations in depression are not clear. OBJECTIVE: To perform an up to date meta-analysis of mean differences of immune markers in depression, and to quantify and test for evidence of heterogeneity in immune markers in depression by conducting a meta-analysis of variability to ascertain whether only a sub-group of patients with depression show evidence of inflammation. DATA SOURCES: Studies that reported immune marker levels in peripheral blood in patients with depression and matched healthy controls in the MEDLINE database from inception to August 29th 2018 were examined. STUDY SELECTION: Case-control studies that reported immune marker levels in peripheral blood in patients with depression and healthy controls were selected. DATA EXTRACTION AND SYNTHESIS: Means and variances (SDs) were extracted for each measure to calculate effect sizes, which were combined using multivariate meta-analysis. MAIN OUTCOMES AND MEASURES: Hedges g was used to quantify mean differences. Relative variability of immune marker measurements in patients compared with control groups as indexed by the coefficient of variation ratio (CVR). RESULTS: A total of 107 studies that reported measurements from 5,166 patients with depression and 5,083 controls were included in the analyses. Levels of CRP (g = 0.71; 95%CI: 0.50-0.92; p &lt; 0.0001); IL-3 (g = 0.60; 95%CI: 0.31-0.89; p &lt; 0.0001); IL-6 (g = 0.61; 95%CI: 0.39-0.82; p &lt; 0.0001); IL-12 (g = 1.18; 95%CI: 0.74-1.62; p &lt; 0.0001); IL-18 (g = 1.97; 95%CI: 1.00-2.95; p &lt; 0.0001); sIL-2R (g = 0.71; 95%CI: 0.44-0.98; p &lt; 0.0001); and TNFα (g = 0.54; 95%CI: 0.32-0.76; p &lt; 0.0001) were significantly higher in patients with depression. These findings were robust to a range of potential confounds and moderators. Mean-scaled variability, measured as CVR, was significantly lower in patients with depression for CRP (CVR = 0.85; 95%CI: 0.75-0.98; p = 0.02); IL-12 (CVR = 0.61; 95%CI: 0.46-0.80; p &lt; 0.01); and sIL-2R (CVR = 0.85; 95%CI: 0.73-0.99; p = 0.04), while it was unchanged for IL-3, IL-6, IL-18, and TNF α. CONCLUSIONS AND RELEVANCE: Depression is confirmed as a pro-inflammatory state. Some of the inflammatory markers elevated in depression, including CRP and IL-12, show reduced variability in patients with depression, therefore supporting greater homogeneity in terms of an inflammatory phenotype in depression. Some inflammatory marker elevations in depression do not appear due to an inf…","author":[{"dropping-particle":"","family":"Osimo","given":"Emanuele F","non-dropping-particle":"","parse-names":false,"suffix":""},{"dropping-particle":"","family":"Pillinger","given":"Toby","non-dropping-particle":"","parse-names":false,"suffix":""},{"dropping-particle":"","family":"Rodriguez","given":"Irene Mateos","non-dropping-particle":"","parse-names":false,"suffix":""},{"dropping-particle":"","family":"Khandaker","given":"Golam M","non-dropping-particle":"","parse-names":false,"suffix":""},{"dropping-particle":"","family":"Pariante","given":"Carmine M","non-dropping-particle":"","parse-names":false,"suffix":""},{"dropping-particle":"","family":"Howes","given":"Oliver D","non-dropping-particle":"","parse-names":false,"suffix":""}],"container-title":"Brain, behavior, and immunity","edition":"2020/02/27","id":"ITEM-1","issued":{"date-parts":[["2020","7"]]},"language":"eng","page":"901-909","publisher":"Elsevier","title":"Inflammatory markers in depression: A meta-analysis of mean differences and variability in 5,166 patients and 5,083 controls","type":"article-journal","volume":"87"},"uris":["http://www.mendeley.com/documents/?uuid=f93f1d1e-b8e3-42a0-8c76-7af966dc87ef"]}],"mendeley":{"formattedCitation":"(Osimo et al., 2020)","plainTextFormattedCitation":"(Osimo et al., 2020)","previouslyFormattedCitation":"(Osimo et al., 2020)"},"properties":{"noteIndex":0},"schema":"https://github.com/citation-style-language/schema/raw/master/csl-citation.json"}</w:instrText>
      </w:r>
      <w:r w:rsidR="002430C1" w:rsidRPr="004F2C30">
        <w:rPr>
          <w:rFonts w:ascii="Times New Roman" w:hAnsi="Times New Roman" w:cs="Times New Roman"/>
          <w:color w:val="000000"/>
          <w:sz w:val="22"/>
          <w:szCs w:val="22"/>
        </w:rPr>
        <w:fldChar w:fldCharType="separate"/>
      </w:r>
      <w:r w:rsidR="008F0511" w:rsidRPr="008F0511">
        <w:rPr>
          <w:rFonts w:ascii="Times New Roman" w:hAnsi="Times New Roman" w:cs="Times New Roman"/>
          <w:noProof/>
          <w:color w:val="000000"/>
          <w:sz w:val="22"/>
          <w:szCs w:val="22"/>
        </w:rPr>
        <w:t>(Osimo et al., 2020)</w:t>
      </w:r>
      <w:r w:rsidR="002430C1" w:rsidRPr="004F2C30">
        <w:rPr>
          <w:rFonts w:ascii="Times New Roman" w:hAnsi="Times New Roman" w:cs="Times New Roman"/>
          <w:color w:val="000000"/>
          <w:sz w:val="22"/>
          <w:szCs w:val="22"/>
        </w:rPr>
        <w:fldChar w:fldCharType="end"/>
      </w:r>
      <w:r w:rsidR="00DC4411" w:rsidRPr="004F2C30">
        <w:rPr>
          <w:rFonts w:ascii="Times New Roman" w:hAnsi="Times New Roman" w:cs="Times New Roman"/>
          <w:color w:val="000000"/>
          <w:sz w:val="22"/>
          <w:szCs w:val="22"/>
        </w:rPr>
        <w:t xml:space="preserve">. In biological systems, variance often scales with </w:t>
      </w:r>
      <w:r w:rsidR="00225AFC">
        <w:rPr>
          <w:rFonts w:ascii="Times New Roman" w:hAnsi="Times New Roman" w:cs="Times New Roman"/>
          <w:color w:val="000000"/>
          <w:sz w:val="22"/>
          <w:szCs w:val="22"/>
        </w:rPr>
        <w:t xml:space="preserve">the </w:t>
      </w:r>
      <w:r w:rsidR="00DC4411" w:rsidRPr="004F2C30">
        <w:rPr>
          <w:rFonts w:ascii="Times New Roman" w:hAnsi="Times New Roman" w:cs="Times New Roman"/>
          <w:color w:val="000000"/>
          <w:sz w:val="22"/>
          <w:szCs w:val="22"/>
        </w:rPr>
        <w:t>mean</w:t>
      </w:r>
      <w:r w:rsidR="006A5045">
        <w:rPr>
          <w:rFonts w:ascii="Times New Roman" w:hAnsi="Times New Roman" w:cs="Times New Roman"/>
          <w:color w:val="000000"/>
          <w:sz w:val="22"/>
          <w:szCs w:val="22"/>
        </w:rPr>
        <w:t xml:space="preserve"> </w:t>
      </w:r>
      <w:r w:rsidR="002430C1" w:rsidRPr="004F2C30">
        <w:rPr>
          <w:rFonts w:ascii="Times New Roman" w:hAnsi="Times New Roman" w:cs="Times New Roman"/>
          <w:color w:val="000000"/>
          <w:sz w:val="22"/>
          <w:szCs w:val="22"/>
        </w:rPr>
        <w:fldChar w:fldCharType="begin" w:fldLock="1"/>
      </w:r>
      <w:r w:rsidR="00CC5EA9">
        <w:rPr>
          <w:rFonts w:ascii="Times New Roman" w:hAnsi="Times New Roman" w:cs="Times New Roman"/>
          <w:color w:val="000000"/>
          <w:sz w:val="22"/>
          <w:szCs w:val="22"/>
        </w:rPr>
        <w:instrText>ADDIN CSL_CITATION {"citationItems":[{"id":"ITEM-1","itemData":{"author":[{"dropping-particle":"","family":"Eisler","given":"Zoltan","non-dropping-particle":"","parse-names":false,"suffix":""},{"dropping-particle":"","family":"Kertész","given":"János","non-dropping-particle":"","parse-names":false,"suffix":""}],"id":"ITEM-1","issued":{"date-parts":[["2007","8","15"]]},"title":"Fluctuation scaling in complex systems","type":"article-journal"},"uris":["http://www.mendeley.com/documents/?uuid=9118bfcb-12e0-4d03-8b4e-d12fee784210","http://www.mendeley.com/documents/?uuid=9fa33dd6-950f-4e5a-8974-1669685bce19"]}],"mendeley":{"formattedCitation":"(Eisler and Kertész, 2007)","plainTextFormattedCitation":"(Eisler and Kertész, 2007)","previouslyFormattedCitation":"(Eisler and Kertész, 2007)"},"properties":{"noteIndex":0},"schema":"https://github.com/citation-style-language/schema/raw/master/csl-citation.json"}</w:instrText>
      </w:r>
      <w:r w:rsidR="002430C1" w:rsidRPr="004F2C30">
        <w:rPr>
          <w:rFonts w:ascii="Times New Roman" w:hAnsi="Times New Roman" w:cs="Times New Roman"/>
          <w:color w:val="000000"/>
          <w:sz w:val="22"/>
          <w:szCs w:val="22"/>
        </w:rPr>
        <w:fldChar w:fldCharType="separate"/>
      </w:r>
      <w:r w:rsidR="008F0511" w:rsidRPr="008F0511">
        <w:rPr>
          <w:rFonts w:ascii="Times New Roman" w:hAnsi="Times New Roman" w:cs="Times New Roman"/>
          <w:noProof/>
          <w:color w:val="000000"/>
          <w:sz w:val="22"/>
          <w:szCs w:val="22"/>
        </w:rPr>
        <w:t>(Eisler and Kertész, 2007)</w:t>
      </w:r>
      <w:r w:rsidR="002430C1" w:rsidRPr="004F2C30">
        <w:rPr>
          <w:rFonts w:ascii="Times New Roman" w:hAnsi="Times New Roman" w:cs="Times New Roman"/>
          <w:color w:val="000000"/>
          <w:sz w:val="22"/>
          <w:szCs w:val="22"/>
        </w:rPr>
        <w:fldChar w:fldCharType="end"/>
      </w:r>
      <w:r w:rsidR="006A5045">
        <w:rPr>
          <w:rFonts w:ascii="Times New Roman" w:hAnsi="Times New Roman" w:cs="Times New Roman"/>
          <w:color w:val="000000"/>
          <w:sz w:val="22"/>
          <w:szCs w:val="22"/>
        </w:rPr>
        <w:t>.</w:t>
      </w:r>
      <w:r w:rsidR="002430C1" w:rsidRPr="004F2C30">
        <w:rPr>
          <w:rFonts w:ascii="Times New Roman" w:hAnsi="Times New Roman" w:cs="Times New Roman"/>
          <w:color w:val="000000"/>
          <w:sz w:val="22"/>
          <w:szCs w:val="22"/>
        </w:rPr>
        <w:t xml:space="preserve"> </w:t>
      </w:r>
      <w:r w:rsidR="00DC4411" w:rsidRPr="004F2C30">
        <w:rPr>
          <w:rFonts w:ascii="Times New Roman" w:hAnsi="Times New Roman" w:cs="Times New Roman"/>
          <w:color w:val="000000"/>
          <w:sz w:val="22"/>
          <w:szCs w:val="22"/>
        </w:rPr>
        <w:t xml:space="preserve">Thus, </w:t>
      </w:r>
      <w:r w:rsidRPr="004F2C30">
        <w:rPr>
          <w:rFonts w:ascii="Times New Roman" w:hAnsi="Times New Roman" w:cs="Times New Roman"/>
          <w:color w:val="000000"/>
          <w:sz w:val="22"/>
          <w:szCs w:val="22"/>
        </w:rPr>
        <w:t xml:space="preserve">to account for </w:t>
      </w:r>
      <w:r w:rsidR="004F2C30" w:rsidRPr="004F2C30">
        <w:rPr>
          <w:rFonts w:ascii="Times New Roman" w:hAnsi="Times New Roman" w:cs="Times New Roman"/>
          <w:color w:val="000000"/>
          <w:sz w:val="22"/>
          <w:szCs w:val="22"/>
        </w:rPr>
        <w:t>between</w:t>
      </w:r>
      <w:r w:rsidR="004F2C30">
        <w:rPr>
          <w:rFonts w:ascii="Times New Roman" w:hAnsi="Times New Roman" w:cs="Times New Roman"/>
          <w:color w:val="000000"/>
          <w:sz w:val="22"/>
          <w:szCs w:val="22"/>
        </w:rPr>
        <w:t>-</w:t>
      </w:r>
      <w:r w:rsidR="00DC4411" w:rsidRPr="004F2C30">
        <w:rPr>
          <w:rFonts w:ascii="Times New Roman" w:hAnsi="Times New Roman" w:cs="Times New Roman"/>
          <w:color w:val="000000"/>
          <w:sz w:val="22"/>
          <w:szCs w:val="22"/>
        </w:rPr>
        <w:t>group differences in mean</w:t>
      </w:r>
      <w:r w:rsidRPr="004F2C30">
        <w:rPr>
          <w:rFonts w:ascii="Times New Roman" w:hAnsi="Times New Roman" w:cs="Times New Roman"/>
          <w:color w:val="000000"/>
          <w:sz w:val="22"/>
          <w:szCs w:val="22"/>
        </w:rPr>
        <w:t>, we performed</w:t>
      </w:r>
      <w:r w:rsidR="00DC4411" w:rsidRPr="004F2C30">
        <w:rPr>
          <w:rFonts w:ascii="Times New Roman" w:hAnsi="Times New Roman" w:cs="Times New Roman"/>
          <w:color w:val="000000"/>
          <w:sz w:val="22"/>
          <w:szCs w:val="22"/>
        </w:rPr>
        <w:t xml:space="preserve"> a meta-analysis of relative variability of </w:t>
      </w:r>
      <w:r w:rsidR="00751E42">
        <w:rPr>
          <w:rFonts w:ascii="Times New Roman" w:hAnsi="Times New Roman" w:cs="Times New Roman"/>
          <w:color w:val="000000"/>
          <w:sz w:val="22"/>
          <w:szCs w:val="22"/>
        </w:rPr>
        <w:t>subjects with BD</w:t>
      </w:r>
      <w:r w:rsidR="00751E42" w:rsidRPr="004F2C30">
        <w:rPr>
          <w:rFonts w:ascii="Times New Roman" w:hAnsi="Times New Roman" w:cs="Times New Roman"/>
          <w:color w:val="000000"/>
          <w:sz w:val="22"/>
          <w:szCs w:val="22"/>
        </w:rPr>
        <w:t xml:space="preserve"> </w:t>
      </w:r>
      <w:r w:rsidR="00DC4411" w:rsidRPr="004F2C30">
        <w:rPr>
          <w:rFonts w:ascii="Times New Roman" w:hAnsi="Times New Roman" w:cs="Times New Roman"/>
          <w:color w:val="000000"/>
          <w:sz w:val="22"/>
          <w:szCs w:val="22"/>
        </w:rPr>
        <w:t xml:space="preserve">compared </w:t>
      </w:r>
      <w:r w:rsidR="00AD695F" w:rsidRPr="004F2C30">
        <w:rPr>
          <w:rFonts w:ascii="Times New Roman" w:hAnsi="Times New Roman" w:cs="Times New Roman"/>
          <w:color w:val="000000"/>
          <w:sz w:val="22"/>
          <w:szCs w:val="22"/>
        </w:rPr>
        <w:t xml:space="preserve">to </w:t>
      </w:r>
      <w:r w:rsidR="00DC4411" w:rsidRPr="004F2C30">
        <w:rPr>
          <w:rFonts w:ascii="Times New Roman" w:hAnsi="Times New Roman" w:cs="Times New Roman"/>
          <w:color w:val="000000"/>
          <w:sz w:val="22"/>
          <w:szCs w:val="22"/>
        </w:rPr>
        <w:t>control immune parameters scaled to group means</w:t>
      </w:r>
      <w:r w:rsidRPr="004F2C30">
        <w:rPr>
          <w:rFonts w:ascii="Times New Roman" w:hAnsi="Times New Roman" w:cs="Times New Roman"/>
          <w:color w:val="000000"/>
          <w:sz w:val="22"/>
          <w:szCs w:val="22"/>
        </w:rPr>
        <w:t>.</w:t>
      </w:r>
      <w:r w:rsidR="00DC4411" w:rsidRPr="004F2C30">
        <w:rPr>
          <w:rFonts w:ascii="Times New Roman" w:hAnsi="Times New Roman" w:cs="Times New Roman"/>
          <w:color w:val="000000"/>
          <w:sz w:val="22"/>
          <w:szCs w:val="22"/>
        </w:rPr>
        <w:t xml:space="preserve"> </w:t>
      </w:r>
      <w:r w:rsidRPr="004F2C30">
        <w:rPr>
          <w:rFonts w:ascii="Times New Roman" w:hAnsi="Times New Roman" w:cs="Times New Roman"/>
          <w:color w:val="000000"/>
          <w:sz w:val="22"/>
          <w:szCs w:val="22"/>
        </w:rPr>
        <w:t xml:space="preserve">The </w:t>
      </w:r>
      <w:r w:rsidR="00DC4411" w:rsidRPr="004F2C30">
        <w:rPr>
          <w:rFonts w:ascii="Times New Roman" w:hAnsi="Times New Roman" w:cs="Times New Roman"/>
          <w:color w:val="000000"/>
          <w:sz w:val="22"/>
          <w:szCs w:val="22"/>
        </w:rPr>
        <w:t>log coefficient of variation ratio (CVR) (the natural logarithm of the ratio of estimates of population coefficients of variation)</w:t>
      </w:r>
      <w:r w:rsidRPr="004F2C30">
        <w:rPr>
          <w:rFonts w:ascii="Times New Roman" w:hAnsi="Times New Roman" w:cs="Times New Roman"/>
          <w:color w:val="000000"/>
          <w:sz w:val="22"/>
          <w:szCs w:val="22"/>
        </w:rPr>
        <w:t xml:space="preserve"> controls for between-group differences in mean</w:t>
      </w:r>
      <w:r w:rsidR="00DC4411" w:rsidRPr="004F2C30">
        <w:rPr>
          <w:rFonts w:ascii="Times New Roman" w:hAnsi="Times New Roman" w:cs="Times New Roman"/>
          <w:color w:val="000000"/>
          <w:sz w:val="22"/>
          <w:szCs w:val="22"/>
        </w:rPr>
        <w:t>.</w:t>
      </w:r>
      <w:r w:rsidR="00F80880" w:rsidRPr="004F2C30">
        <w:rPr>
          <w:rFonts w:ascii="Times New Roman" w:hAnsi="Times New Roman" w:cs="Times New Roman"/>
          <w:color w:val="000000"/>
          <w:sz w:val="22"/>
          <w:szCs w:val="22"/>
        </w:rPr>
        <w:t xml:space="preserve"> </w:t>
      </w:r>
      <w:r w:rsidR="00D71D2E" w:rsidRPr="004F2C30">
        <w:rPr>
          <w:rFonts w:ascii="Times New Roman" w:hAnsi="Times New Roman" w:cs="Times New Roman"/>
          <w:color w:val="000000"/>
          <w:sz w:val="22"/>
          <w:szCs w:val="22"/>
        </w:rPr>
        <w:t>To aid interpretation, summary effect sizes for lnVR and lnCVR were transformed back to a linear scale, as previously described</w:t>
      </w:r>
      <w:r w:rsidR="006A5045">
        <w:rPr>
          <w:rFonts w:ascii="Times New Roman" w:hAnsi="Times New Roman" w:cs="Times New Roman"/>
          <w:color w:val="000000"/>
          <w:sz w:val="22"/>
          <w:szCs w:val="22"/>
        </w:rPr>
        <w:t xml:space="preserve"> </w:t>
      </w:r>
      <w:r w:rsidR="002430C1" w:rsidRPr="004F2C30">
        <w:rPr>
          <w:rFonts w:ascii="Times New Roman" w:hAnsi="Times New Roman" w:cs="Times New Roman"/>
          <w:color w:val="000000"/>
          <w:sz w:val="22"/>
          <w:szCs w:val="22"/>
        </w:rPr>
        <w:fldChar w:fldCharType="begin" w:fldLock="1"/>
      </w:r>
      <w:r w:rsidR="00CC5EA9">
        <w:rPr>
          <w:rFonts w:ascii="Times New Roman" w:hAnsi="Times New Roman" w:cs="Times New Roman"/>
          <w:color w:val="000000"/>
          <w:sz w:val="22"/>
          <w:szCs w:val="22"/>
        </w:rPr>
        <w:instrText>ADDIN CSL_CITATION {"citationItems":[{"id":"ITEM-1","itemData":{"DOI":"10.1001/jamapsychiatry.2017.2663","ISSN":"2168-622X","abstract":"Schizophrenia is associated with alterations in mean regional brain volumes. However, it is not known whether the clinical heterogeneity seen in the disorder is reflected at the neurobiological level, for example, in differences in the interindividual variability of these brain volumes relative to control individuals.To investigate whether patients with first-episode schizophrenia exhibit greater variability of regional brain volumes in addition to mean volume differences.Studies that reported regional brain volumetric measures in patients and controls by using magnetic resonance imaging in the MEDLINE, EMBASE, and PsycINFO databases from inception to October 1, 2016, were examined.Case-control studies that reported regional brain volumes in patients with first-episode schizophrenia and healthy controls by using magnetic resonance imaging were selected.Means and variances (SDs) were extracted for each measure to calculate effect sizes, which were combined using multivariate meta-analysis.Relative variability of regional brain volumetric measurements in patients compared with control groups as indexed by the variability ratio (VR) and coefficient of variation ratio (CVR). Hedges g was used to quantify mean differences.A total of 108 studies that reported measurements from 3901 patients (1272 [32.6%] female) with first-episode schizophrenia and 4040 controls (1613 [39.9%] female) were included in the analyses. Variability of putamen (VR, 1.13; 95% CI, 1.03-1.24; P = .01), temporal lobe (VR, 1.12; 95% CI, 1.04-1.21; P = .004), thalamus (VR, 1.16; 95% CI, 1.07-1.26; P &amp;lt; .001), and third ventricle (VR, 1.43; 95% CI, 1.20-1.71; P &amp;lt; 1 × 10−5) volume was significantly greater in patients, whereas variability of anterior cingulate cortex volume was lower (VR, 0.89; 95% CI, 0.81-0.98; P = .02). These findings were robust to choice of outcome measure. There was no evidence of altered variability of caudate nucleus or frontal lobe volumes. Mean volumes of the lateral (g = 0.40; 95% CI, 0.29-0.51; P &amp;lt; .001) and third ventricles (g = 0.43; 95% CI, 0.26-0.59; P &amp;lt; .001) were greater, whereas mean volumes of the amygdala (g = −0.46; −0.65 to −0.26; P &amp;lt; .001), anterior cingulate cortex (g = −0.26; 95% CI, −0.43 to −0.10; P = .005), frontal lobe (g = −0.31; 95% CI, −0.44 to −0.19; P = .001), hippocampus (g = −0.66; 95% CI, −0.84 to −0.47; P &amp;lt; .001), temporal lobe (g = −0.22; 95% CI,  −0.36 to −0.09; P = .001), and thalamus (g = −0.36; 95% CI, −0.57 to −0…","author":[{"dropping-particle":"","family":"Brugger","given":"Stefan P","non-dropping-particle":"","parse-names":false,"suffix":""},{"dropping-particle":"","family":"Howes","given":"Oliver D","non-dropping-particle":"","parse-names":false,"suffix":""}],"container-title":"JAMA Psychiatry","id":"ITEM-1","issue":"11","issued":{"date-parts":[["2017","11","1"]]},"page":"1104-1111","title":"Heterogeneity and Homogeneity of Regional Brain Structure in Schizophrenia: A Meta-analysis","type":"article-journal","volume":"74"},"uris":["http://www.mendeley.com/documents/?uuid=af917fa5-2606-4282-b6a4-8fd813235965","http://www.mendeley.com/documents/?uuid=ce91b174-4a56-408e-905b-a7dcf15ecbc7"]},{"id":"ITEM-2","itemData":{"DOI":"10.1016/j.bbi.2020.02.010","ISSN":"1090-2139","abstract":"IMPORTANCE: The magnitude and variability of cytokine alterations in depression are not clear. OBJECTIVE: To perform an up to date meta-analysis of mean differences of immune markers in depression, and to quantify and test for evidence of heterogeneity in immune markers in depression by conducting a meta-analysis of variability to ascertain whether only a sub-group of patients with depression show evidence of inflammation. DATA SOURCES: Studies that reported immune marker levels in peripheral blood in patients with depression and matched healthy controls in the MEDLINE database from inception to August 29th 2018 were examined. STUDY SELECTION: Case-control studies that reported immune marker levels in peripheral blood in patients with depression and healthy controls were selected. DATA EXTRACTION AND SYNTHESIS: Means and variances (SDs) were extracted for each measure to calculate effect sizes, which were combined using multivariate meta-analysis. MAIN OUTCOMES AND MEASURES: Hedges g was used to quantify mean differences. Relative variability of immune marker measurements in patients compared with control groups as indexed by the coefficient of variation ratio (CVR). RESULTS: A total of 107 studies that reported measurements from 5,166 patients with depression and 5,083 controls were included in the analyses. Levels of CRP (g = 0.71; 95%CI: 0.50-0.92; p &lt; 0.0001); IL-3 (g = 0.60; 95%CI: 0.31-0.89; p &lt; 0.0001); IL-6 (g = 0.61; 95%CI: 0.39-0.82; p &lt; 0.0001); IL-12 (g = 1.18; 95%CI: 0.74-1.62; p &lt; 0.0001); IL-18 (g = 1.97; 95%CI: 1.00-2.95; p &lt; 0.0001); sIL-2R (g = 0.71; 95%CI: 0.44-0.98; p &lt; 0.0001); and TNFα (g = 0.54; 95%CI: 0.32-0.76; p &lt; 0.0001) were significantly higher in patients with depression. These findings were robust to a range of potential confounds and moderators. Mean-scaled variability, measured as CVR, was significantly lower in patients with depression for CRP (CVR = 0.85; 95%CI: 0.75-0.98; p = 0.02); IL-12 (CVR = 0.61; 95%CI: 0.46-0.80; p &lt; 0.01); and sIL-2R (CVR = 0.85; 95%CI: 0.73-0.99; p = 0.04), while it was unchanged for IL-3, IL-6, IL-18, and TNF α. CONCLUSIONS AND RELEVANCE: Depression is confirmed as a pro-inflammatory state. Some of the inflammatory markers elevated in depression, including CRP and IL-12, show reduced variability in patients with depression, therefore supporting greater homogeneity in terms of an inflammatory phenotype in depression. Some inflammatory marker elevations in depression do not appear due to an inf…","author":[{"dropping-particle":"","family":"Osimo","given":"Emanuele F","non-dropping-particle":"","parse-names":false,"suffix":""},{"dropping-particle":"","family":"Pillinger","given":"Toby","non-dropping-particle":"","parse-names":false,"suffix":""},{"dropping-particle":"","family":"Rodriguez","given":"Irene Mateos","non-dropping-particle":"","parse-names":false,"suffix":""},{"dropping-particle":"","family":"Khandaker","given":"Golam M","non-dropping-particle":"","parse-names":false,"suffix":""},{"dropping-particle":"","family":"Pariante","given":"Carmine M","non-dropping-particle":"","parse-names":false,"suffix":""},{"dropping-particle":"","family":"Howes","given":"Oliver D","non-dropping-particle":"","parse-names":false,"suffix":""}],"container-title":"Brain, behavior, and immunity","edition":"2020/02/27","id":"ITEM-2","issued":{"date-parts":[["2020","7"]]},"language":"eng","page":"901-909","publisher":"Elsevier","title":"Inflammatory markers in depression: A meta-analysis of mean differences and variability in 5,166 patients and 5,083 controls","type":"article-journal","volume":"87"},"uris":["http://www.mendeley.com/documents/?uuid=f93f1d1e-b8e3-42a0-8c76-7af966dc87ef"]}],"mendeley":{"formattedCitation":"(Brugger and Howes, 2017; Osimo et al., 2020)","plainTextFormattedCitation":"(Brugger and Howes, 2017; Osimo et al., 2020)","previouslyFormattedCitation":"(Brugger and Howes, 2017; Osimo et al., 2020)"},"properties":{"noteIndex":0},"schema":"https://github.com/citation-style-language/schema/raw/master/csl-citation.json"}</w:instrText>
      </w:r>
      <w:r w:rsidR="002430C1" w:rsidRPr="004F2C30">
        <w:rPr>
          <w:rFonts w:ascii="Times New Roman" w:hAnsi="Times New Roman" w:cs="Times New Roman"/>
          <w:color w:val="000000"/>
          <w:sz w:val="22"/>
          <w:szCs w:val="22"/>
        </w:rPr>
        <w:fldChar w:fldCharType="separate"/>
      </w:r>
      <w:r w:rsidR="008F0511" w:rsidRPr="008F0511">
        <w:rPr>
          <w:rFonts w:ascii="Times New Roman" w:hAnsi="Times New Roman" w:cs="Times New Roman"/>
          <w:noProof/>
          <w:color w:val="000000"/>
          <w:sz w:val="22"/>
          <w:szCs w:val="22"/>
        </w:rPr>
        <w:t>(Brugger and Howes, 2017; Osimo et al., 2020)</w:t>
      </w:r>
      <w:r w:rsidR="002430C1" w:rsidRPr="004F2C30">
        <w:rPr>
          <w:rFonts w:ascii="Times New Roman" w:hAnsi="Times New Roman" w:cs="Times New Roman"/>
          <w:color w:val="000000"/>
          <w:sz w:val="22"/>
          <w:szCs w:val="22"/>
        </w:rPr>
        <w:fldChar w:fldCharType="end"/>
      </w:r>
      <w:r w:rsidR="006A5045">
        <w:rPr>
          <w:rFonts w:ascii="Times New Roman" w:hAnsi="Times New Roman" w:cs="Times New Roman"/>
          <w:color w:val="000000"/>
          <w:sz w:val="22"/>
          <w:szCs w:val="22"/>
        </w:rPr>
        <w:t>.</w:t>
      </w:r>
      <w:r w:rsidR="00225AFC">
        <w:rPr>
          <w:rFonts w:ascii="Times New Roman" w:hAnsi="Times New Roman" w:cs="Times New Roman"/>
          <w:color w:val="000000"/>
          <w:sz w:val="22"/>
          <w:szCs w:val="22"/>
        </w:rPr>
        <w:t xml:space="preserve"> </w:t>
      </w:r>
      <w:r w:rsidR="00D71D2E" w:rsidRPr="004F2C30">
        <w:rPr>
          <w:rFonts w:ascii="Times New Roman" w:hAnsi="Times New Roman" w:cs="Times New Roman"/>
          <w:color w:val="000000"/>
          <w:sz w:val="22"/>
          <w:szCs w:val="22"/>
        </w:rPr>
        <w:t xml:space="preserve">Thus, </w:t>
      </w:r>
      <w:r w:rsidRPr="004F2C30">
        <w:rPr>
          <w:rFonts w:ascii="Times New Roman" w:hAnsi="Times New Roman" w:cs="Times New Roman"/>
          <w:color w:val="000000"/>
          <w:sz w:val="22"/>
          <w:szCs w:val="22"/>
        </w:rPr>
        <w:t xml:space="preserve">for example, </w:t>
      </w:r>
      <w:r w:rsidR="00D71D2E" w:rsidRPr="004F2C30">
        <w:rPr>
          <w:rFonts w:ascii="Times New Roman" w:hAnsi="Times New Roman" w:cs="Times New Roman"/>
          <w:color w:val="000000"/>
          <w:sz w:val="22"/>
          <w:szCs w:val="22"/>
        </w:rPr>
        <w:t xml:space="preserve">a </w:t>
      </w:r>
      <w:r w:rsidRPr="004F2C30">
        <w:rPr>
          <w:rFonts w:ascii="Times New Roman" w:hAnsi="Times New Roman" w:cs="Times New Roman"/>
          <w:color w:val="000000"/>
          <w:sz w:val="22"/>
          <w:szCs w:val="22"/>
        </w:rPr>
        <w:t>C</w:t>
      </w:r>
      <w:r w:rsidR="00D71D2E" w:rsidRPr="004F2C30">
        <w:rPr>
          <w:rFonts w:ascii="Times New Roman" w:hAnsi="Times New Roman" w:cs="Times New Roman"/>
          <w:color w:val="000000"/>
          <w:sz w:val="22"/>
          <w:szCs w:val="22"/>
        </w:rPr>
        <w:t xml:space="preserve">VR (or VR) of 1 indicates equal variability in patient and control groups, </w:t>
      </w:r>
      <w:r w:rsidRPr="004F2C30">
        <w:rPr>
          <w:rFonts w:ascii="Times New Roman" w:hAnsi="Times New Roman" w:cs="Times New Roman"/>
          <w:color w:val="000000"/>
          <w:sz w:val="22"/>
          <w:szCs w:val="22"/>
        </w:rPr>
        <w:t xml:space="preserve">while </w:t>
      </w:r>
      <w:r w:rsidR="00D71D2E" w:rsidRPr="004F2C30">
        <w:rPr>
          <w:rFonts w:ascii="Times New Roman" w:hAnsi="Times New Roman" w:cs="Times New Roman"/>
          <w:color w:val="000000"/>
          <w:sz w:val="22"/>
          <w:szCs w:val="22"/>
        </w:rPr>
        <w:t xml:space="preserve">a </w:t>
      </w:r>
      <w:r w:rsidRPr="004F2C30">
        <w:rPr>
          <w:rFonts w:ascii="Times New Roman" w:hAnsi="Times New Roman" w:cs="Times New Roman"/>
          <w:color w:val="000000"/>
          <w:sz w:val="22"/>
          <w:szCs w:val="22"/>
        </w:rPr>
        <w:t>C</w:t>
      </w:r>
      <w:r w:rsidR="00D71D2E" w:rsidRPr="004F2C30">
        <w:rPr>
          <w:rFonts w:ascii="Times New Roman" w:hAnsi="Times New Roman" w:cs="Times New Roman"/>
          <w:color w:val="000000"/>
          <w:sz w:val="22"/>
          <w:szCs w:val="22"/>
        </w:rPr>
        <w:t>VR (or VR) greater than 1 indicates greater relative variability in patient groups.</w:t>
      </w:r>
      <w:r w:rsidR="00194185">
        <w:rPr>
          <w:rFonts w:ascii="Times New Roman" w:hAnsi="Times New Roman" w:cs="Times New Roman"/>
          <w:color w:val="000000"/>
          <w:sz w:val="22"/>
          <w:szCs w:val="22"/>
        </w:rPr>
        <w:t xml:space="preserve"> Yet, CVR</w:t>
      </w:r>
      <w:r w:rsidR="00DE4681">
        <w:rPr>
          <w:rFonts w:ascii="Times New Roman" w:hAnsi="Times New Roman" w:cs="Times New Roman"/>
          <w:color w:val="000000"/>
          <w:sz w:val="22"/>
          <w:szCs w:val="22"/>
        </w:rPr>
        <w:t xml:space="preserve"> accounts for between-differences in mean.</w:t>
      </w:r>
    </w:p>
    <w:p w14:paraId="203F3358" w14:textId="77777777" w:rsidR="00E83947" w:rsidRPr="004F2C30" w:rsidRDefault="00E83947" w:rsidP="006F091D">
      <w:pPr>
        <w:spacing w:line="360" w:lineRule="auto"/>
        <w:jc w:val="both"/>
        <w:rPr>
          <w:rFonts w:ascii="Times New Roman" w:hAnsi="Times New Roman" w:cs="Times New Roman"/>
          <w:color w:val="000000"/>
          <w:sz w:val="22"/>
          <w:szCs w:val="22"/>
        </w:rPr>
      </w:pPr>
    </w:p>
    <w:p w14:paraId="38FBB9E4" w14:textId="5090152C" w:rsidR="00DC4411" w:rsidRPr="0011428F" w:rsidRDefault="00225AFC" w:rsidP="008D52D7">
      <w:pPr>
        <w:pStyle w:val="Heading2"/>
      </w:pPr>
      <w:r w:rsidRPr="0011428F">
        <w:t>2.</w:t>
      </w:r>
      <w:r w:rsidR="00E83947" w:rsidRPr="0011428F">
        <w:t>5</w:t>
      </w:r>
      <w:r w:rsidRPr="0011428F">
        <w:t xml:space="preserve">. </w:t>
      </w:r>
      <w:r w:rsidR="00B9197B" w:rsidRPr="0011428F">
        <w:t xml:space="preserve">Publication bias, </w:t>
      </w:r>
      <w:r w:rsidR="00DC4411" w:rsidRPr="0011428F">
        <w:t>sensitivity</w:t>
      </w:r>
      <w:r w:rsidR="004F2C30" w:rsidRPr="0011428F">
        <w:t>,</w:t>
      </w:r>
      <w:r w:rsidR="00DC4411" w:rsidRPr="0011428F">
        <w:t xml:space="preserve"> </w:t>
      </w:r>
      <w:r w:rsidR="00B9197B" w:rsidRPr="0011428F">
        <w:t xml:space="preserve">and meta-regression </w:t>
      </w:r>
      <w:r w:rsidR="00DC4411" w:rsidRPr="0011428F">
        <w:t>analyses</w:t>
      </w:r>
    </w:p>
    <w:p w14:paraId="2C173C97" w14:textId="278B5E17" w:rsidR="004F2C30" w:rsidRDefault="00B9197B" w:rsidP="005A0E80">
      <w:pPr>
        <w:pStyle w:val="p"/>
        <w:shd w:val="clear" w:color="auto" w:fill="FFFFFF"/>
        <w:spacing w:before="166" w:beforeAutospacing="0" w:after="166" w:afterAutospacing="0" w:line="360" w:lineRule="auto"/>
        <w:jc w:val="both"/>
        <w:rPr>
          <w:color w:val="000000"/>
          <w:sz w:val="22"/>
          <w:szCs w:val="22"/>
          <w:lang w:val="en-GB"/>
        </w:rPr>
      </w:pPr>
      <w:r w:rsidRPr="005C5EBC">
        <w:rPr>
          <w:color w:val="000000"/>
          <w:sz w:val="22"/>
          <w:szCs w:val="22"/>
          <w:lang w:val="en-GB"/>
        </w:rPr>
        <w:t>Publication bias was assessed via visual inspection of</w:t>
      </w:r>
      <w:r w:rsidR="006F091D">
        <w:rPr>
          <w:color w:val="000000"/>
          <w:sz w:val="22"/>
          <w:szCs w:val="22"/>
          <w:lang w:val="en-GB"/>
        </w:rPr>
        <w:t xml:space="preserve"> the</w:t>
      </w:r>
      <w:r w:rsidRPr="005C5EBC">
        <w:rPr>
          <w:color w:val="000000"/>
          <w:sz w:val="22"/>
          <w:szCs w:val="22"/>
          <w:lang w:val="en-GB"/>
        </w:rPr>
        <w:t xml:space="preserve"> funnel plot</w:t>
      </w:r>
      <w:r w:rsidR="006F091D">
        <w:rPr>
          <w:color w:val="000000"/>
          <w:sz w:val="22"/>
          <w:szCs w:val="22"/>
          <w:lang w:val="en-GB"/>
        </w:rPr>
        <w:t>, and studies falling outside of the funnel</w:t>
      </w:r>
      <w:r w:rsidR="00444E44">
        <w:rPr>
          <w:color w:val="000000"/>
          <w:sz w:val="22"/>
          <w:szCs w:val="22"/>
          <w:lang w:val="en-GB"/>
        </w:rPr>
        <w:t xml:space="preserve"> plot were</w:t>
      </w:r>
      <w:r w:rsidR="006F091D">
        <w:rPr>
          <w:color w:val="000000"/>
          <w:sz w:val="22"/>
          <w:szCs w:val="22"/>
          <w:lang w:val="en-GB"/>
        </w:rPr>
        <w:t xml:space="preserve"> excluded in sensitivity analyses</w:t>
      </w:r>
      <w:r w:rsidRPr="005C5EBC">
        <w:rPr>
          <w:color w:val="000000"/>
          <w:sz w:val="22"/>
          <w:szCs w:val="22"/>
          <w:lang w:val="en-GB"/>
        </w:rPr>
        <w:t xml:space="preserve">. </w:t>
      </w:r>
      <w:r w:rsidR="006F091D">
        <w:rPr>
          <w:color w:val="000000"/>
          <w:sz w:val="22"/>
          <w:szCs w:val="22"/>
          <w:lang w:val="en-GB"/>
        </w:rPr>
        <w:t>Further</w:t>
      </w:r>
      <w:r w:rsidR="00902229" w:rsidRPr="005C5EBC">
        <w:rPr>
          <w:color w:val="000000"/>
          <w:sz w:val="22"/>
          <w:szCs w:val="22"/>
          <w:lang w:val="en-GB"/>
        </w:rPr>
        <w:t xml:space="preserve"> sensitivity analyses </w:t>
      </w:r>
      <w:r w:rsidR="001E786E" w:rsidRPr="005C5EBC">
        <w:rPr>
          <w:color w:val="000000"/>
          <w:sz w:val="22"/>
          <w:szCs w:val="22"/>
          <w:lang w:val="en-GB"/>
        </w:rPr>
        <w:t>explore</w:t>
      </w:r>
      <w:r w:rsidR="006F091D">
        <w:rPr>
          <w:color w:val="000000"/>
          <w:sz w:val="22"/>
          <w:szCs w:val="22"/>
          <w:lang w:val="en-GB"/>
        </w:rPr>
        <w:t>d</w:t>
      </w:r>
      <w:r w:rsidR="001E786E" w:rsidRPr="005C5EBC">
        <w:rPr>
          <w:color w:val="000000"/>
          <w:sz w:val="22"/>
          <w:szCs w:val="22"/>
          <w:lang w:val="en-GB"/>
        </w:rPr>
        <w:t xml:space="preserve"> whether disease/mood state, </w:t>
      </w:r>
      <w:r w:rsidR="00DC4411" w:rsidRPr="005C5EBC">
        <w:rPr>
          <w:color w:val="000000"/>
          <w:sz w:val="22"/>
          <w:szCs w:val="22"/>
          <w:lang w:val="en-GB"/>
        </w:rPr>
        <w:t>medication status</w:t>
      </w:r>
      <w:r w:rsidR="006F091D">
        <w:rPr>
          <w:color w:val="000000"/>
          <w:sz w:val="22"/>
          <w:szCs w:val="22"/>
          <w:lang w:val="en-GB"/>
        </w:rPr>
        <w:t xml:space="preserve"> (including only studies with untreated subjects)</w:t>
      </w:r>
      <w:r w:rsidR="00DC4411" w:rsidRPr="005C5EBC">
        <w:rPr>
          <w:color w:val="000000"/>
          <w:sz w:val="22"/>
          <w:szCs w:val="22"/>
          <w:lang w:val="en-GB"/>
        </w:rPr>
        <w:t>,</w:t>
      </w:r>
      <w:r w:rsidR="001E786E" w:rsidRPr="005C5EBC">
        <w:rPr>
          <w:color w:val="000000"/>
          <w:sz w:val="22"/>
          <w:szCs w:val="22"/>
          <w:lang w:val="en-GB"/>
        </w:rPr>
        <w:t xml:space="preserve"> BMI matching</w:t>
      </w:r>
      <w:r w:rsidR="006F091D">
        <w:rPr>
          <w:color w:val="000000"/>
          <w:sz w:val="22"/>
          <w:szCs w:val="22"/>
          <w:lang w:val="en-GB"/>
        </w:rPr>
        <w:t xml:space="preserve"> (excluding BMI not mentioned or matched)</w:t>
      </w:r>
      <w:r w:rsidR="001E786E" w:rsidRPr="005C5EBC">
        <w:rPr>
          <w:color w:val="000000"/>
          <w:sz w:val="22"/>
          <w:szCs w:val="22"/>
          <w:lang w:val="en-GB"/>
        </w:rPr>
        <w:t xml:space="preserve">, smoking matching, </w:t>
      </w:r>
      <w:r w:rsidR="005B28E0" w:rsidRPr="005C5EBC">
        <w:rPr>
          <w:color w:val="000000"/>
          <w:sz w:val="22"/>
          <w:szCs w:val="22"/>
          <w:lang w:val="en-GB"/>
        </w:rPr>
        <w:t>and quality of included studies affected results</w:t>
      </w:r>
      <w:r w:rsidR="006F091D">
        <w:rPr>
          <w:color w:val="000000"/>
          <w:sz w:val="22"/>
          <w:szCs w:val="22"/>
          <w:lang w:val="en-GB"/>
        </w:rPr>
        <w:t xml:space="preserve"> (excluding </w:t>
      </w:r>
      <w:r w:rsidR="004F2C30">
        <w:rPr>
          <w:color w:val="000000"/>
          <w:sz w:val="22"/>
          <w:szCs w:val="22"/>
          <w:lang w:val="en-GB"/>
        </w:rPr>
        <w:t>lowest-</w:t>
      </w:r>
      <w:r w:rsidR="006F091D">
        <w:rPr>
          <w:color w:val="000000"/>
          <w:sz w:val="22"/>
          <w:szCs w:val="22"/>
          <w:lang w:val="en-GB"/>
        </w:rPr>
        <w:t>scoring studies)</w:t>
      </w:r>
      <w:r w:rsidR="005B28E0" w:rsidRPr="005C5EBC">
        <w:rPr>
          <w:color w:val="000000"/>
          <w:sz w:val="22"/>
          <w:szCs w:val="22"/>
          <w:lang w:val="en-GB"/>
        </w:rPr>
        <w:t xml:space="preserve">. Also, we explored via meta-regression whether age, </w:t>
      </w:r>
      <w:r w:rsidR="00DD3086" w:rsidRPr="005C5EBC">
        <w:rPr>
          <w:color w:val="000000"/>
          <w:sz w:val="22"/>
          <w:szCs w:val="22"/>
          <w:lang w:val="en-GB"/>
        </w:rPr>
        <w:t>sex</w:t>
      </w:r>
      <w:r w:rsidR="005B28E0" w:rsidRPr="005C5EBC">
        <w:rPr>
          <w:color w:val="000000"/>
          <w:sz w:val="22"/>
          <w:szCs w:val="22"/>
          <w:lang w:val="en-GB"/>
        </w:rPr>
        <w:t>,</w:t>
      </w:r>
      <w:r w:rsidR="00DD3086" w:rsidRPr="005C5EBC">
        <w:rPr>
          <w:color w:val="000000"/>
          <w:sz w:val="22"/>
          <w:szCs w:val="22"/>
          <w:lang w:val="en-GB"/>
        </w:rPr>
        <w:t xml:space="preserve"> duration of illness, sample size, </w:t>
      </w:r>
      <w:r w:rsidR="006F091D">
        <w:rPr>
          <w:color w:val="000000"/>
          <w:sz w:val="22"/>
          <w:szCs w:val="22"/>
          <w:lang w:val="en-GB"/>
        </w:rPr>
        <w:t xml:space="preserve">and </w:t>
      </w:r>
      <w:r w:rsidR="0062323A" w:rsidRPr="005C5EBC">
        <w:rPr>
          <w:color w:val="000000"/>
          <w:sz w:val="22"/>
          <w:szCs w:val="22"/>
          <w:lang w:val="en-GB"/>
        </w:rPr>
        <w:t>ethnicity moderated results</w:t>
      </w:r>
      <w:r w:rsidR="006F091D">
        <w:rPr>
          <w:color w:val="000000"/>
          <w:sz w:val="22"/>
          <w:szCs w:val="22"/>
          <w:lang w:val="en-GB"/>
        </w:rPr>
        <w:t>, when</w:t>
      </w:r>
      <w:r w:rsidR="00444E44">
        <w:rPr>
          <w:color w:val="000000"/>
          <w:sz w:val="22"/>
          <w:szCs w:val="22"/>
          <w:lang w:val="en-GB"/>
        </w:rPr>
        <w:t>ever</w:t>
      </w:r>
      <w:r w:rsidR="006F091D">
        <w:rPr>
          <w:color w:val="000000"/>
          <w:sz w:val="22"/>
          <w:szCs w:val="22"/>
          <w:lang w:val="en-GB"/>
        </w:rPr>
        <w:t xml:space="preserve"> information was available</w:t>
      </w:r>
      <w:r w:rsidR="0062323A" w:rsidRPr="005C5EBC">
        <w:rPr>
          <w:color w:val="000000"/>
          <w:sz w:val="22"/>
          <w:szCs w:val="22"/>
          <w:lang w:val="en-GB"/>
        </w:rPr>
        <w:t xml:space="preserve">. </w:t>
      </w:r>
    </w:p>
    <w:p w14:paraId="256B80EE" w14:textId="556C3180" w:rsidR="00DC4411" w:rsidRPr="004F2C30" w:rsidRDefault="004F2C30" w:rsidP="00F5155B">
      <w:pPr>
        <w:rPr>
          <w:color w:val="000000"/>
          <w:sz w:val="22"/>
          <w:szCs w:val="22"/>
        </w:rPr>
      </w:pPr>
      <w:r>
        <w:rPr>
          <w:color w:val="000000"/>
          <w:sz w:val="22"/>
          <w:szCs w:val="22"/>
        </w:rPr>
        <w:br w:type="page"/>
      </w:r>
    </w:p>
    <w:p w14:paraId="02A6F1AF" w14:textId="66138612" w:rsidR="00B26061" w:rsidRPr="00446D07" w:rsidRDefault="00C915B6" w:rsidP="008D52D7">
      <w:pPr>
        <w:pStyle w:val="Heading1"/>
        <w:numPr>
          <w:ilvl w:val="0"/>
          <w:numId w:val="22"/>
        </w:numPr>
      </w:pPr>
      <w:r w:rsidRPr="00446D07">
        <w:lastRenderedPageBreak/>
        <w:t>Results</w:t>
      </w:r>
    </w:p>
    <w:p w14:paraId="700C3738" w14:textId="63A97E99" w:rsidR="000E5D70" w:rsidRPr="00446D07" w:rsidRDefault="001B4B06" w:rsidP="008D52D7">
      <w:pPr>
        <w:pStyle w:val="Heading2"/>
      </w:pPr>
      <w:r w:rsidRPr="00446D07">
        <w:t>3</w:t>
      </w:r>
      <w:r w:rsidR="000E5D70" w:rsidRPr="00446D07">
        <w:t>.1 S</w:t>
      </w:r>
      <w:r w:rsidRPr="00446D07">
        <w:t>tudy selection</w:t>
      </w:r>
    </w:p>
    <w:p w14:paraId="6576F005" w14:textId="0944E829" w:rsidR="003763DF" w:rsidRPr="00F5155B" w:rsidRDefault="00B05A2D" w:rsidP="005A0E80">
      <w:pPr>
        <w:spacing w:line="480" w:lineRule="auto"/>
        <w:jc w:val="both"/>
        <w:rPr>
          <w:rFonts w:ascii="Times New Roman" w:hAnsi="Times New Roman" w:cs="Times New Roman"/>
          <w:noProof/>
          <w:sz w:val="22"/>
          <w:szCs w:val="22"/>
          <w:vertAlign w:val="superscript"/>
          <w:lang w:val="en-US"/>
        </w:rPr>
      </w:pPr>
      <w:r w:rsidRPr="00446D07">
        <w:rPr>
          <w:rFonts w:ascii="Times New Roman" w:hAnsi="Times New Roman" w:cs="Times New Roman"/>
          <w:sz w:val="22"/>
          <w:szCs w:val="22"/>
          <w:lang w:val="en-US"/>
        </w:rPr>
        <w:t xml:space="preserve">Out of </w:t>
      </w:r>
      <w:r w:rsidR="004F2C30">
        <w:rPr>
          <w:rFonts w:ascii="Times New Roman" w:hAnsi="Times New Roman" w:cs="Times New Roman"/>
          <w:sz w:val="22"/>
          <w:szCs w:val="22"/>
          <w:lang w:val="en-US"/>
        </w:rPr>
        <w:t xml:space="preserve">the </w:t>
      </w:r>
      <w:r w:rsidRPr="00446D07">
        <w:rPr>
          <w:rFonts w:ascii="Times New Roman" w:hAnsi="Times New Roman" w:cs="Times New Roman"/>
          <w:sz w:val="22"/>
          <w:szCs w:val="22"/>
          <w:lang w:val="en-US"/>
        </w:rPr>
        <w:t xml:space="preserve">initial 729 </w:t>
      </w:r>
      <w:r w:rsidR="00A95B6D">
        <w:rPr>
          <w:rFonts w:ascii="Times New Roman" w:hAnsi="Times New Roman" w:cs="Times New Roman"/>
          <w:sz w:val="22"/>
          <w:szCs w:val="22"/>
          <w:lang w:val="en-US"/>
        </w:rPr>
        <w:t>references</w:t>
      </w:r>
      <w:r w:rsidR="00A95B6D" w:rsidRPr="00446D07">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 xml:space="preserve">assessed at </w:t>
      </w:r>
      <w:r w:rsidR="004F2C30">
        <w:rPr>
          <w:rFonts w:ascii="Times New Roman" w:hAnsi="Times New Roman" w:cs="Times New Roman"/>
          <w:sz w:val="22"/>
          <w:szCs w:val="22"/>
          <w:lang w:val="en-US"/>
        </w:rPr>
        <w:t xml:space="preserve">the </w:t>
      </w:r>
      <w:r w:rsidRPr="00446D07">
        <w:rPr>
          <w:rFonts w:ascii="Times New Roman" w:hAnsi="Times New Roman" w:cs="Times New Roman"/>
          <w:sz w:val="22"/>
          <w:szCs w:val="22"/>
          <w:lang w:val="en-US"/>
        </w:rPr>
        <w:t xml:space="preserve">title/abstract level, </w:t>
      </w:r>
      <w:r w:rsidR="00ED1EA7" w:rsidRPr="00446D07">
        <w:rPr>
          <w:rFonts w:ascii="Times New Roman" w:hAnsi="Times New Roman" w:cs="Times New Roman"/>
          <w:sz w:val="22"/>
          <w:szCs w:val="22"/>
          <w:lang w:val="en-US"/>
        </w:rPr>
        <w:t>12</w:t>
      </w:r>
      <w:r w:rsidR="006B51FB">
        <w:rPr>
          <w:rFonts w:ascii="Times New Roman" w:hAnsi="Times New Roman" w:cs="Times New Roman"/>
          <w:sz w:val="22"/>
          <w:szCs w:val="22"/>
          <w:lang w:val="en-US"/>
        </w:rPr>
        <w:t>5</w:t>
      </w:r>
      <w:r w:rsidRPr="00446D07">
        <w:rPr>
          <w:rFonts w:ascii="Times New Roman" w:hAnsi="Times New Roman" w:cs="Times New Roman"/>
          <w:sz w:val="22"/>
          <w:szCs w:val="22"/>
          <w:lang w:val="en-US"/>
        </w:rPr>
        <w:t xml:space="preserve"> were assessed </w:t>
      </w:r>
      <w:r w:rsidR="00ED1EA7" w:rsidRPr="00446D07">
        <w:rPr>
          <w:rFonts w:ascii="Times New Roman" w:hAnsi="Times New Roman" w:cs="Times New Roman"/>
          <w:sz w:val="22"/>
          <w:szCs w:val="22"/>
          <w:lang w:val="en-US"/>
        </w:rPr>
        <w:t xml:space="preserve">at </w:t>
      </w:r>
      <w:r w:rsidR="004F2C30">
        <w:rPr>
          <w:rFonts w:ascii="Times New Roman" w:hAnsi="Times New Roman" w:cs="Times New Roman"/>
          <w:sz w:val="22"/>
          <w:szCs w:val="22"/>
          <w:lang w:val="en-US"/>
        </w:rPr>
        <w:t xml:space="preserve">the </w:t>
      </w:r>
      <w:r w:rsidR="00ED1EA7" w:rsidRPr="00446D07">
        <w:rPr>
          <w:rFonts w:ascii="Times New Roman" w:hAnsi="Times New Roman" w:cs="Times New Roman"/>
          <w:sz w:val="22"/>
          <w:szCs w:val="22"/>
          <w:lang w:val="en-US"/>
        </w:rPr>
        <w:t>full-text level. Of these, 7</w:t>
      </w:r>
      <w:r w:rsidR="00846AAC">
        <w:rPr>
          <w:rFonts w:ascii="Times New Roman" w:hAnsi="Times New Roman" w:cs="Times New Roman"/>
          <w:sz w:val="22"/>
          <w:szCs w:val="22"/>
          <w:lang w:val="en-US"/>
        </w:rPr>
        <w:t>2</w:t>
      </w:r>
      <w:r w:rsidR="00ED1EA7" w:rsidRPr="00446D07">
        <w:rPr>
          <w:rFonts w:ascii="Times New Roman" w:hAnsi="Times New Roman" w:cs="Times New Roman"/>
          <w:sz w:val="22"/>
          <w:szCs w:val="22"/>
          <w:lang w:val="en-US"/>
        </w:rPr>
        <w:t xml:space="preserve"> were </w:t>
      </w:r>
      <w:r w:rsidRPr="00446D07">
        <w:rPr>
          <w:rFonts w:ascii="Times New Roman" w:hAnsi="Times New Roman" w:cs="Times New Roman"/>
          <w:sz w:val="22"/>
          <w:szCs w:val="22"/>
          <w:lang w:val="en-US"/>
        </w:rPr>
        <w:t>excluded</w:t>
      </w:r>
      <w:r w:rsidR="00ED1EA7" w:rsidRPr="00446D07">
        <w:rPr>
          <w:rFonts w:ascii="Times New Roman" w:hAnsi="Times New Roman" w:cs="Times New Roman"/>
          <w:sz w:val="22"/>
          <w:szCs w:val="22"/>
          <w:lang w:val="en-US"/>
        </w:rPr>
        <w:t>, with specific reasons reported in</w:t>
      </w:r>
      <w:r w:rsidR="00BB0147" w:rsidRPr="00446D07">
        <w:rPr>
          <w:rFonts w:ascii="Times New Roman" w:hAnsi="Times New Roman" w:cs="Times New Roman"/>
          <w:sz w:val="22"/>
          <w:szCs w:val="22"/>
          <w:lang w:val="en-US"/>
        </w:rPr>
        <w:t xml:space="preserve"> eTable </w:t>
      </w:r>
      <w:r w:rsidR="00AA0CFE">
        <w:rPr>
          <w:rFonts w:ascii="Times New Roman" w:hAnsi="Times New Roman" w:cs="Times New Roman"/>
          <w:sz w:val="22"/>
          <w:szCs w:val="22"/>
          <w:lang w:val="en-US"/>
        </w:rPr>
        <w:t>3</w:t>
      </w:r>
      <w:r w:rsidR="00EB522D" w:rsidRPr="00446D07">
        <w:rPr>
          <w:rFonts w:ascii="Times New Roman" w:hAnsi="Times New Roman" w:cs="Times New Roman"/>
          <w:sz w:val="22"/>
          <w:szCs w:val="22"/>
          <w:lang w:val="en-US"/>
        </w:rPr>
        <w:t>, Supplementary</w:t>
      </w:r>
      <w:r w:rsidR="003A69F2">
        <w:rPr>
          <w:rFonts w:ascii="Times New Roman" w:hAnsi="Times New Roman" w:cs="Times New Roman"/>
          <w:sz w:val="22"/>
          <w:szCs w:val="22"/>
          <w:lang w:val="en-US"/>
        </w:rPr>
        <w:t xml:space="preserve"> online</w:t>
      </w:r>
      <w:r w:rsidR="00EB522D" w:rsidRPr="00446D07">
        <w:rPr>
          <w:rFonts w:ascii="Times New Roman" w:hAnsi="Times New Roman" w:cs="Times New Roman"/>
          <w:sz w:val="22"/>
          <w:szCs w:val="22"/>
          <w:lang w:val="en-US"/>
        </w:rPr>
        <w:t xml:space="preserve"> material</w:t>
      </w:r>
      <w:r w:rsidR="00586E24" w:rsidRPr="00446D07">
        <w:rPr>
          <w:rFonts w:ascii="Times New Roman" w:hAnsi="Times New Roman" w:cs="Times New Roman"/>
          <w:sz w:val="22"/>
          <w:szCs w:val="22"/>
          <w:lang w:val="en-US"/>
        </w:rPr>
        <w:t>.</w:t>
      </w:r>
      <w:r w:rsidR="00ED1EA7" w:rsidRPr="00446D07">
        <w:rPr>
          <w:rFonts w:ascii="Times New Roman" w:hAnsi="Times New Roman" w:cs="Times New Roman"/>
          <w:sz w:val="22"/>
          <w:szCs w:val="22"/>
          <w:lang w:val="en-US"/>
        </w:rPr>
        <w:t xml:space="preserve"> </w:t>
      </w:r>
      <w:r w:rsidR="00F740C7" w:rsidRPr="00446D07">
        <w:rPr>
          <w:rFonts w:ascii="Times New Roman" w:hAnsi="Times New Roman" w:cs="Times New Roman"/>
          <w:sz w:val="22"/>
          <w:szCs w:val="22"/>
          <w:lang w:val="en-US"/>
        </w:rPr>
        <w:t>Ultimately, 5</w:t>
      </w:r>
      <w:r w:rsidR="006B51FB">
        <w:rPr>
          <w:rFonts w:ascii="Times New Roman" w:hAnsi="Times New Roman" w:cs="Times New Roman"/>
          <w:sz w:val="22"/>
          <w:szCs w:val="22"/>
          <w:lang w:val="en-US"/>
        </w:rPr>
        <w:t>3</w:t>
      </w:r>
      <w:r w:rsidR="00F740C7" w:rsidRPr="00446D07">
        <w:rPr>
          <w:rFonts w:ascii="Times New Roman" w:hAnsi="Times New Roman" w:cs="Times New Roman"/>
          <w:sz w:val="22"/>
          <w:szCs w:val="22"/>
          <w:lang w:val="en-US"/>
        </w:rPr>
        <w:t xml:space="preserve"> studies were eligible for the systematic review</w:t>
      </w:r>
      <w:r w:rsidR="00353C7E">
        <w:rPr>
          <w:rFonts w:ascii="Times New Roman" w:hAnsi="Times New Roman" w:cs="Times New Roman"/>
          <w:sz w:val="22"/>
          <w:szCs w:val="22"/>
          <w:lang w:val="en-US"/>
        </w:rPr>
        <w:t>. Fo</w:t>
      </w:r>
      <w:r w:rsidR="005B3E30">
        <w:rPr>
          <w:rFonts w:ascii="Times New Roman" w:hAnsi="Times New Roman" w:cs="Times New Roman"/>
          <w:sz w:val="22"/>
          <w:szCs w:val="22"/>
          <w:lang w:val="en-US"/>
        </w:rPr>
        <w:t>u</w:t>
      </w:r>
      <w:r w:rsidR="00353C7E">
        <w:rPr>
          <w:rFonts w:ascii="Times New Roman" w:hAnsi="Times New Roman" w:cs="Times New Roman"/>
          <w:sz w:val="22"/>
          <w:szCs w:val="22"/>
          <w:lang w:val="en-US"/>
        </w:rPr>
        <w:t>r of these</w:t>
      </w:r>
      <w:r w:rsidR="00446D07" w:rsidRPr="00446D07">
        <w:rPr>
          <w:rFonts w:ascii="Times New Roman" w:hAnsi="Times New Roman" w:cs="Times New Roman"/>
          <w:sz w:val="22"/>
          <w:szCs w:val="22"/>
          <w:lang w:val="en-US"/>
        </w:rPr>
        <w:t xml:space="preserve"> did not provide data </w:t>
      </w:r>
      <w:r w:rsidR="00225AFC">
        <w:rPr>
          <w:rFonts w:ascii="Times New Roman" w:hAnsi="Times New Roman" w:cs="Times New Roman"/>
          <w:sz w:val="22"/>
          <w:szCs w:val="22"/>
          <w:lang w:val="en-US"/>
        </w:rPr>
        <w:t xml:space="preserve">suitable </w:t>
      </w:r>
      <w:r w:rsidR="00446D07" w:rsidRPr="00446D07">
        <w:rPr>
          <w:rFonts w:ascii="Times New Roman" w:hAnsi="Times New Roman" w:cs="Times New Roman"/>
          <w:sz w:val="22"/>
          <w:szCs w:val="22"/>
          <w:lang w:val="en-US"/>
        </w:rPr>
        <w:t xml:space="preserve">for </w:t>
      </w:r>
      <w:r w:rsidR="00446D07" w:rsidRPr="003E64F0">
        <w:rPr>
          <w:rFonts w:ascii="Times New Roman" w:hAnsi="Times New Roman" w:cs="Times New Roman"/>
          <w:sz w:val="22"/>
          <w:szCs w:val="22"/>
          <w:lang w:val="en-US"/>
        </w:rPr>
        <w:t>the analyses</w:t>
      </w:r>
      <w:r w:rsidR="00AD601F">
        <w:rPr>
          <w:rFonts w:ascii="Times New Roman" w:hAnsi="Times New Roman" w:cs="Times New Roman"/>
          <w:sz w:val="22"/>
          <w:szCs w:val="22"/>
          <w:lang w:val="en-US"/>
        </w:rPr>
        <w:t xml:space="preserve"> </w:t>
      </w:r>
      <w:r w:rsidR="00C32986">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{"citationItems":[{"id":"ITEM-1","itemData":{"DOI":"https://doi.org/10.1016/j.jad.2004.01.007","ISSN":"0165-0327","abstract":"Background: Our knowledge concerning immune functioning in bipolar affective disorder (BAD) is limited, while lithium's immunomodulatory effects seem multiple and conflicting. Our aim was to evaluate cytokine production and lithium's effect on it in BAD patients, using ELISPOT technique as a sensitive tool. Methods: Cytokine (IL-2, IL-6, IL-10 and IFN-γ) production from isolated peripheral blood lymphocytes (PBLs) was evaluated (ELISPOT technique) in 40 euthymic BAD patients under chronic lithium treatment, in 20 healthy volunteers, and in 10 never medicated BAD patients before and after the introduction of lithium therapy. In all cases, cytokine plasma levels were also measured using ELISA. Results: BAD patients under chronic lithium treatment had significantly lower numbers of IL-2, IL-6, IL-10 and IFN-γ secreting cells compared to healthy volunteers. The number of cytokine secreting cells decreased in never medicated patients after 3 months of lithium treatment. In vitro stimulation of PBLs with lithium did not affect the number of cytokine secreting cells either in the patients or in the healthy volunteers. Conclusions: The significantly lower number of PBLs producing cytokines (IL-2, IL-6, IL-10 and IFN-γ) in euthymic BAD patients under chronic lithium treatment result from the long-term (over 3 months) lithium administration. In vitro stimulation of PBLs with lithium did not change the number of cytokine producing cells. Our findings may be useful in elucidating possible downregulatory effects of lithium in humans.","author":[{"dropping-particle":"","family":"Boufidou","given":"Fotini","non-dropping-particle":"","parse-names":false,"suffix":""},{"dropping-particle":"","family":"Nikolaou","given":"Chryssoula","non-dropping-particle":"","parse-names":false,"suffix":""},{"dropping-particle":"","family":"Alevizos","given":"Basil","non-dropping-particle":"","parse-names":false,"suffix":""},{"dropping-particle":"","family":"Liappas","given":"Ioannis A","non-dropping-particle":"","parse-names":false,"suffix":""},{"dropping-particle":"","family":"Christodoulou","given":"George N","non-dropping-particle":"","parse-names":false,"suffix":""}],"container-title":"Journal of Affective Disorders","id":"ITEM-1","issue":"2","issued":{"date-parts":[["2004"]]},"page":"309-313","title":"Cytokine production in bipolar affective disorder patients under lithium treatment","type":"article-journal","volume":"82"},"uris":["http://www.mendeley.com/documents/?uuid=971355c4-d011-4bb2-818d-89917af75ef5"]},{"id":"ITEM-2","itemData":{"DOI":"10.5080/u18376","author":[{"dropping-particle":"","family":"Karabulut","given":"Sercan","non-dropping-particle":"","parse-names":false,"suffix":""},{"dropping-particle":"","family":"Tasdemir","given":"Ilker","non-dropping-particle":"","parse-names":false,"suffix":""},{"dropping-particle":"","family":"Akcan","given":"Uğur","non-dropping-particle":"","parse-names":false,"suffix":""},{"dropping-particle":"","family":"Kucukali","given":"Cem","non-dropping-particle":"","parse-names":false,"suffix":""},{"dropping-particle":"","family":"Tüzün","given":"Erdem","non-dropping-particle":"","parse-names":false,"suffix":""},{"dropping-particle":"","family":"Cakir","given":"Sibel","non-dropping-particle":"","parse-names":false,"suffix":""}],"container-title":"Turkish Journal of Psychiatry","id":"ITEM-2","issued":{"date-parts":[["2019","7","1"]]},"title":"Inflammation and Neurodegeneration in Patients with Early-Stage and Chronic Bipolar Disorder","type":"article-journal","volume":"30"},"uris":["http://www.mendeley.com/documents/?uuid=7091500d-6f67-4637-9f63-e7a156c3693b"]},{"id":"ITEM-3","itemData":{"DOI":"10.1017/S1461145708009310","author":[{"dropping-particle":"","family":"Kauer-Sant'Anna","given":"Marcia","non-dropping-particle":"","parse-names":false,"suffix":""},{"dropping-particle":"","family":"Kapczinski","given":"Flavio","non-dropping-particle":"","parse-names":false,"suffix":""},{"dropping-particle":"","family":"Andreazza","given":"Ana","non-dropping-particle":"","parse-names":false,"suffix":""},{"dropping-particle":"","family":"Bond","given":"David","non-dropping-particle":"","parse-names":false,"suffix":""},{"dropping-particle":"","family":"Lam","given":"Raymond","non-dropping-particle":"","parse-names":false,"suffix":""},{"dropping-particle":"","family":"Young","given":"L","non-dropping-particle":"","parse-names":false,"suffix":""},{"dropping-particle":"","family":"Yatham","given":"Lakshmi","non-dropping-particle":"","parse-names":false,"suffix":""}],"container-title":"The international journal of neuropsychopharmacology / official scientific journal of the Collegium Internationale Neuropsychopharmacologicum (CINP)","id":"ITEM-3","issued":{"date-parts":[["2008","10","1"]]},"page":"447-458","title":"Brain-derived neurotrophic factor and inflammatory markers in patients with early- vs. late-stage bipolar disorder","type":"article-journal","volume":"12"},"uris":["http://www.mendeley.com/documents/?uuid=0aba1866-3168-4e89-96cd-f97287fbf02f"]},{"id":"ITEM-4","itemData":{"DOI":"10.1016/j.ajp.2017.03.014","ISSN":"18762026","PMID":"28365164","author":[{"dropping-particle":"","family":"Sanjay","given":"Tarasingh N.","non-dropping-particle":"","parse-names":false,"suffix":""},{"dropping-particle":"","family":"Shivakumar","given":"Venkataram","non-dropping-particle":"","parse-names":false,"suffix":""},{"dropping-particle":"","family":"Subbanna","given":"Manjula","non-dropping-particle":"","parse-names":false,"suffix":""},{"dropping-particle":"","family":"Biradar","given":"Shweta U.","non-dropping-particle":"","parse-names":false,"suffix":""},{"dropping-particle":"","family":"Muralidharan","given":"Kesavan","non-dropping-particle":"","parse-names":false,"suffix":""},{"dropping-particle":"","family":"Venkatasubramanian","given":"Ganesan","non-dropping-particle":"","parse-names":false,"suffix":""}],"container-title":"Asian Journal of Psychiatry","id":"ITEM-4","issued":{"date-parts":[["2017","12","1"]]},"page":"212-213","publisher":"Elsevier B.V.","title":"Plasma interleukin-6 in remitted early bipolar I disorder and subjects at high-risk for bipolar disorder","type":"article","volume":"30"},"uris":["http://www.mendeley.com/documents/?uuid=f52a8a12-938c-3579-9663-29d0a8036c90"]}],"mendeley":{"formattedCitation":"(Boufidou et al., 2004; Karabulut et al., 2019; Kauer-Sant’Anna et al., 2008; Sanjay et al., 2017)","plainTextFormattedCitation":"(Boufidou et al., 2004; Karabulut et al., 2019; Kauer-Sant’Anna et al., 2008; Sanjay et al., 2017)","previouslyFormattedCitation":"(Boufidou et al., 2004; Karabulut et al., 2019; Kauer-Sant’Anna et al., 2008; Sanjay et al., 2017)"},"properties":{"noteIndex":0},"schema":"https://github.com/citation-style-language/schema/raw/master/csl-citation.json"}</w:instrText>
      </w:r>
      <w:r w:rsidR="00C32986">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(Boufidou et al., 2004; Karabulut et al., 2019; Kauer-Sant’Anna et al., 2008; Sanjay et al., 2017)</w:t>
      </w:r>
      <w:r w:rsidR="00C32986">
        <w:rPr>
          <w:rFonts w:ascii="Times New Roman" w:hAnsi="Times New Roman" w:cs="Times New Roman"/>
          <w:sz w:val="22"/>
          <w:szCs w:val="22"/>
          <w:lang w:val="en-US"/>
        </w:rPr>
        <w:fldChar w:fldCharType="end"/>
      </w:r>
      <w:r w:rsidR="0028795C">
        <w:rPr>
          <w:rFonts w:ascii="Times New Roman" w:hAnsi="Times New Roman" w:cs="Times New Roman"/>
          <w:sz w:val="22"/>
          <w:szCs w:val="22"/>
          <w:lang w:val="en-US"/>
        </w:rPr>
        <w:t xml:space="preserve">; </w:t>
      </w:r>
      <w:r w:rsidR="006B51FB">
        <w:rPr>
          <w:rFonts w:ascii="Times New Roman" w:hAnsi="Times New Roman" w:cs="Times New Roman"/>
          <w:sz w:val="22"/>
          <w:szCs w:val="22"/>
          <w:lang w:val="en-US"/>
        </w:rPr>
        <w:t>49</w:t>
      </w:r>
      <w:r w:rsidR="00F740C7" w:rsidRPr="00446D07">
        <w:rPr>
          <w:rFonts w:ascii="Times New Roman" w:hAnsi="Times New Roman" w:cs="Times New Roman"/>
          <w:sz w:val="22"/>
          <w:szCs w:val="22"/>
          <w:lang w:val="en-US"/>
        </w:rPr>
        <w:t xml:space="preserve"> were included in the </w:t>
      </w:r>
      <w:r w:rsidR="00F740C7" w:rsidRPr="00007E38">
        <w:rPr>
          <w:rFonts w:ascii="Times New Roman" w:hAnsi="Times New Roman" w:cs="Times New Roman"/>
          <w:sz w:val="22"/>
          <w:szCs w:val="22"/>
          <w:lang w:val="en-US"/>
        </w:rPr>
        <w:t>meta-analysis.</w:t>
      </w:r>
      <w:r w:rsidR="003477AF">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{"citationItems":[{"id":"ITEM-1","itemData":{"DOI":"https://doi.org/10.1016/j.bbi.2017.06.005","ISSN":"0889-1591","abstract":"Background Several studies have described an association between childhood maltreatment and inflammatory markers in the psychotic disorders (schizophrenia [SZ] and bipolar disorder [BD]). Previous studies have been relatively small (&lt;50 participants), and the severity of abuse and the putative influence of body mass index (BMI) have not been properly investigated. Methods The combined effects of childhood abuse severity and clinical diagnosis on inflammatory markers were investigated in a large sample (n=483) of patients with a disorder on the psychosis spectrum and in healthy controls (HCs). Plasma levels of inflammatory markers (high-sensitivity C-reactive protein [hs-CRP], soluble tumor necrosis factor receptor type 1 [TNFR-R1], glycoprotein 130 [gp130]) were analyzed, and BMI and data on childhood trauma events, on the basis of the Childhood Trauma Questionnaire (CTQ), were obtained from all participants. Results Patients had increased levels of hs-CRP (P&lt;0.001, Cohens d=0.4), lower levels of gp130 (P&lt;0.001, Cohens d=0.5), higher BMI (P&lt;0.001, Cohens d=0.5) and reported more childhood maltreatment experiences (P&lt;0.001, Cohens d=1.2) than the HC group. The severity of childhood abuse (up to three types of abuse: sexual abuse, physical abuse, and emotional abuse) was associated with elevated BMI (f=8.46, P&lt;0.001, Cohen’s d=0.5) and hs-CRP (f=5.47, P=0.001, Cohen’s d=0.3). Combined effects of patient status and severity of childhood abuse were found for elevated hs-CRP (f=4.76, P&lt;0.001, Cohen’s d=0.4). Differences among the groups disappeared when BMI was added to the model. Discussion Trauma-altered immune activation via elevated hs-CRP in patients with SZ and BD may be mediated by higher BMI; however, the direction of this association needs further clarification.","author":[{"dropping-particle":"","family":"Aas","given":"Monica","non-dropping-particle":"","parse-names":false,"suffix":""},{"dropping-particle":"","family":"Dieset","given":"Ingrid","non-dropping-particle":"","parse-names":false,"suffix":""},{"dropping-particle":"","family":"Hope","given":"Sigrun","non-dropping-particle":"","parse-names":false,"suffix":""},{"dropping-particle":"","family":"Hoseth","given":"Eva","non-dropping-particle":"","parse-names":false,"suffix":""},{"dropping-particle":"","family":"Mørch","given":"Ragni","non-dropping-particle":"","parse-names":false,"suffix":""},{"dropping-particle":"","family":"Reponen","given":"Elina","non-dropping-particle":"","parse-names":false,"suffix":""},{"dropping-particle":"","family":"Steen","given":"Nils Eiel","non-dropping-particle":"","parse-names":false,"suffix":""},{"dropping-particle":"","family":"Laskemoen","given":"Jannicke Fjæra","non-dropping-particle":"","parse-names":false,"suffix":""},{"dropping-particle":"","family":"Ueland","given":"Thor","non-dropping-particle":"","parse-names":false,"suffix":""},{"dropping-particle":"","family":"Aukrust","given":"Pål","non-dropping-particle":"","parse-names":false,"suffix":""},{"dropping-particle":"","family":"Agartz","given":"Ingrid","non-dropping-particle":"","parse-names":false,"suffix":""},{"dropping-particle":"","family":"Andreassen","given":"Ole A","non-dropping-particle":"","parse-names":false,"suffix":""},{"dropping-particle":"","family":"Melle","given":"Ingrid","non-dropping-particle":"","parse-names":false,"suffix":""}],"container-title":"Brain, Behavior, and Immunity","id":"ITEM-1","issued":{"date-parts":[["2017"]]},"page":"342-349","title":"Childhood maltreatment severity is associated with elevated C-reactive protein and body mass index in adults with schizophrenia and bipolar diagnoses","type":"article-journal","volume":"65"},"uris":["http://www.mendeley.com/documents/?uuid=50f15141-dcb4-4644-b2fd-c7602f510c4a"]},{"id":"ITEM-2","itemData":{"DOI":"https://doi.org/10.1111/bdi.12259","ISSN":"1398-5647","abstract":"Objective Research evidence has shown that bipolar disorder (BD) and unipolar depression (UD) are both related to inflammatory dysregulation, but few studies have compared the levels of cytokines between these two disorders. Methods Study subjects were age- and gender-matched outpatients with BD or UD and normal controls (NC). Severities of depression and mania symptoms were assessed with the Montgomery?Åsberg Depression Rating Scale (MADRS) and the Young Mania Rating Scale (YMRS). Pro-inflammatory cytokines, including soluble interleukin-6 receptor (sIL-6R), soluble interleukin-2 receptor (sIL-2R), C-reactive protein (CRP), soluble tumor necrosis factor receptor type 1 (sTNF-R1), soluble p-selectin receptor (sP-selectin), and monocyte chemotactic protein-1 (MCP-1), were assessed in all subjects by enzyme-linked immunosorbent assays. Results In all, 130 patients with BD, 149 patients with UD, and 130 NC were enrolled in the study; 67.6% were female and the average age was mean ± standard deviation (SD) 43.5 ± 11.8 years. The BD group had a significantly higher smoking rate, more medical comorbidity, higher body mass index (BMI), and higher levels of sIL-2R, sIL-6R, CRP, sTNF-R1, and MCP-1 (all p &lt; 0.01) than the UD and NC groups. When the remitted patients with BD (YMRS scores ≤ 12) were compared with the patients with UD, controlling for age, MADRS score, smoking, medical comorbidity, and BMI in the regression model, the results showed that the BD group had significantly higher levels of sIL-6R (p &lt; 0.001), CRP (p = 0.045), sTNF-R1 (p = 0.036), and MCP-1 (p = 0.001) than the UD group. Conclusions Higher levels of sIL-6R, CRP, sTNF-R1, and MCP-1 were noted in BD than in UD. These results may suggest a more severe inflammatory dysregulation in BD. Further studies are required to investigate whether these cytokines could be biomarkers for affective disorders.","author":[{"dropping-particle":"","family":"Bai","given":"Ya-Mei","non-dropping-particle":"","parse-names":false,"suffix":""},{"dropping-particle":"","family":"Su","given":"Tung-Ping","non-dropping-particle":"","parse-names":false,"suffix":""},{"dropping-particle":"","family":"Li","given":"Cheng-Ta","non-dropping-particle":"","parse-names":false,"suffix":""},{"dropping-particle":"","family":"Tsai","given":"Shih-Jen","non-dropping-particle":"","parse-names":false,"suffix":""},{"dropping-particle":"","family":"Chen","given":"Mu-Hong","non-dropping-particle":"","parse-names":false,"suffix":""},{"dropping-particle":"","family":"Tu","given":"Pei-Chi","non-dropping-particle":"","parse-names":false,"suffix":""},{"dropping-particle":"","family":"Chiou","given":"Wen-Fei","non-dropping-particle":"","parse-names":false,"suffix":""}],"container-title":"Bipolar Disorders","id":"ITEM-2","issue":"3","issued":{"date-parts":[["2015","5","1"]]},"note":"https://doi.org/10.1111/bdi.12259","page":"269-277","publisher":"John Wiley &amp; Sons, Ltd","title":"Comparison of pro-inflammatory cytokines among patients with bipolar disorder and unipolar depression and normal controls","type":"article-journal","volume":"17"},"uris":["http://www.mendeley.com/documents/?uuid=5c250b22-5c5e-4dcb-869f-22a5c6856053"]},{"id":"ITEM-3","itemData":{"DOI":"10.1007/s00406-010-0116-z","ISSN":"09401334","PMID":"20446090","abstract":"Bipolar disorder (BD) has been associated with a proinflammatory state in which TNF-α seems to play a relevant role. The aim of the present study was to evaluate the plasma levels of TNF-α and its soluble receptors (sTNFR1 and sTNFR2) in BD patients in mania and euthymia in comparison with control subjects. We evaluated 53 BD patients (34 in mania and 19 in euthymia) and 38 healthy subjects. All subjects were assessed by the Mini-International Neuropsychiatry Interview (MINI-Plus). Patients were also evaluated by the Young Mania Rating Scale (YMRS) and by Hamilton Depression Rating Scale (HDRS). Plasma TNF-α and its soluble receptors were measured by ELISA. The plasma TNF-α and sTNFR2 levels did not differ between groups, but higher sTNFR1 levels were found in BD patients. Of note, BD patients in mania had higher sTNFR1 levels than BD patients in euthymia and controls. The sTNFR1 and sTNFR2 levels correlated with BD duration, and sTNFR2 levels correlated with age of patients. Our data indicate a proinflammatory status in BD patients during mania and further suggest that inflammatory mechanisms may be involved with the physiopathology of BD. © 2010 Springer-Verlag.","author":[{"dropping-particle":"","family":"Barbosa","given":"Izabela Guimarães","non-dropping-particle":"","parse-names":false,"suffix":""},{"dropping-particle":"","family":"Huguet","given":"Rodrigo Barreto","non-dropping-particle":"","parse-names":false,"suffix":""},{"dropping-particle":"","family":"Mendonça","given":"Vanessa Amaral","non-dropping-particle":"","parse-names":false,"suffix":""},{"dropping-particle":"","family":"Sousa","given":"Lirlândia Pires","non-dropping-particle":"","parse-names":false,"suffix":""},{"dropping-particle":"","family":"Neves","given":"Fernando Silva","non-dropping-particle":"","parse-names":false,"suffix":""},{"dropping-particle":"","family":"Bauer","given":"Moisés Evandro","non-dropping-particle":"","parse-names":false,"suffix":""},{"dropping-particle":"","family":"Teixeira","given":"Antônio Lúcio","non-dropping-particle":"","parse-names":false,"suffix":""}],"container-title":"European Archives of Psychiatry and Clinical Neuroscience","id":"ITEM-3","issue":"2","issued":{"date-parts":[["2011","3","6"]]},"page":"139-143","publisher":"Springer","title":"Increased plasma levels of soluble TNF receptor i in patients with bipolar disorder","type":"article-journal","volume":"261"},"uris":["http://www.mendeley.com/documents/?uuid=ecaf3c08-23e5-39de-9336-e3d13a902334"]},{"id":"ITEM-4","itemData":{"DOI":"https://doi.org/10.1016/j.jpsychires.2011.11.010","ISSN":"0022-3956","abstract":"Bipolar disorder (BD) is associated with considerable higher chronic medical comorbidities, overweight and obesity. Adipokines are adipocyte-derived secretory factors which have functions in immune response and seem to be associated with both BD and overweight. The aim of this study was to evaluate the plasma levels of adipokines (adiponectin, resistin and leptin) and TNF-α and its receptors (sTNFR1 and sTNFR2) in BD overweight patients in comparison with overweight controls. Thirty euthymic BD type-I patients and thirty controls matched by age, gender and body-mass index (BMI) were assessed by Mini-International Neuropsychiatric Interview, Young Mania and Hamilton Depression rating scales (YMRS and HDRS, respectively). Plasma levels of adiponectin, resistin, leptin, TNF-α and its soluble receptors were measured by ELISA. BD patients presented increased plasma levels of adiponectin (p &lt; 0.001), leptin (p &lt; 0.001) and sTNFR1 (p = 0.01). Plasma levels of adipokines were not correlated neither with clinical parameters nor TNF-α, sTNFR1 and sTNFR2 plasma levels. This study provides further support to the hypothesis of the immune/inflammatory imbalance in BD.","author":[{"dropping-particle":"","family":"Barbosa","given":"Izabela Guimarães","non-dropping-particle":"","parse-names":false,"suffix":""},{"dropping-particle":"","family":"Rocha","given":"Natalia Pessoa","non-dropping-particle":"","parse-names":false,"suffix":""},{"dropping-particle":"de","family":"Miranda","given":"Aline Silva","non-dropping-particle":"","parse-names":false,"suffix":""},{"dropping-particle":"","family":"Magalhães","given":"Pedro Vieira da Silva","non-dropping-particle":"","parse-names":false,"suffix":""},{"dropping-particle":"","family":"Huguet","given":"Rodrigo Barreto","non-dropping-particle":"","parse-names":false,"suffix":""},{"dropping-particle":"de","family":"Souza","given":"Lirlandia Pires","non-dropping-particle":"","parse-names":false,"suffix":""},{"dropping-particle":"","family":"Kapczinski","given":"Flávio","non-dropping-particle":"","parse-names":false,"suffix":""},{"dropping-particle":"","family":"Teixeira","given":"Antonio Lucio","non-dropping-particle":"","parse-names":false,"suffix":""}],"container-title":"Journal of Psychiatric Research","id":"ITEM-4","issue":"3","issued":{"date-parts":[["2012"]]},"page":"389-393","title":"Increased levels of adipokines in bipolar disorder","type":"article-journal","volume":"46"},"uris":["http://www.mendeley.com/documents/?uuid=d25a3584-8c2e-487e-aac1-0a0458322ab9"]},{"id":"ITEM-5","itemData":{"DOI":"10.1016/j.jad.2011.12.034","ISSN":"01650327","PMID":"22252095","abstract":"Background: Despite the old Kraepelinean concept that bipolar disorder (BD) does not evolve with cognitive decline, the presence of cognitive impairment, especially executive dysfunction has been recognized in BD patients. Brain-derived neurotrophic factor (BDNF) and pro-inflammatory molecules are important contributors to the pathophysiology of BD, and imbalance in peripheral levels of these molecules may be implicated in the cognitive decline observed in BD patients. We aimed to investigate the executive performance of BD type I euthymic patients and its relation with the plasma levels of BDNF, TNF-α and its related soluble receptors (sTNFR1 and sTNFR2). Methods: We evaluated executive functioning through the Frontal Assessment Battery (FAB). Plasma levels of BDNF, TNF-α, sTNFR1 and sTNFR2 were measured using enzyme-linked immunosorbent assay (ELISA) in 25 euthymic type I BD patients and 25 age and gender matched healthy controls. Results: BD patients had an impairment in executive functioning (p &lt; 0.006), particularly sensitivity of interference (p = 0.02), inhibitory control (p = 0.02), and increased BDNF plasma levels (p = 0.001) in comparison with controls. Plasma levels of TNF-α were correlated with inhibitory control in BD patients (ρ = 0.50, p = 0.02) while motor programming was negatively correlated with sTNFR2 plasma levels (ρ = - 0.47, p = 0.02) in controls. Executive function correlated with age and MMSE, but not with BDNF, neither was influenced by psychiatric and clinical comorbidities nor medications in use. Conclusion: BDNF is altered in BD but do not correlate with executive functioning. © 2011 Elsevier B.V. All rights reserved.","author":[{"dropping-particle":"","family":"Barbosa","given":"Izabela Guimarães","non-dropping-particle":"","parse-names":false,"suffix":""},{"dropping-particle":"","family":"Rocha","given":"Natalia Pessoa","non-dropping-particle":"","parse-names":false,"suffix":""},{"dropping-particle":"","family":"Huguet","given":"Rodrigo Barreto","non-dropping-particle":"","parse-names":false,"suffix":""},{"dropping-particle":"","family":"Ferreira","given":"Rodrigo A.","non-dropping-particle":"","parse-names":false,"suffix":""},{"dropping-particle":"","family":"Salgado","given":"João Vinícius","non-dropping-particle":"","parse-names":false,"suffix":""},{"dropping-particle":"","family":"Carvalho","given":"Livia A.","non-dropping-particle":"","parse-names":false,"suffix":""},{"dropping-particle":"","family":"Pariante","given":"Carmine M.","non-dropping-particle":"","parse-names":false,"suffix":""},{"dropping-particle":"","family":"Teixeira","given":"Antônio Lúcio","non-dropping-particle":"","parse-names":false,"suffix":""}],"container-title":"Journal of Affective Disorders","id":"ITEM-5","issue":"1-3","issued":{"date-parts":[["2012","3"]]},"page":"151-155","publisher":"J Affect Disord","title":"Executive dysfunction in euthymic bipolar disorder patients and its association with plasma biomarkers","type":"article-journal","volume":"137"},"uris":["http://www.mendeley.com/documents/?uuid=0361c68e-e9a9-300d-8776-faa041dd03f9"]},{"id":"ITEM-6","itemData":{"DOI":"https://doi.org/10.1016/j.jpsychires.2013.08.019","ISSN":"0022-3956","abstract":"Bipolar disorder (BD) is a severe psychiatric disorder of complex physiopathology that has been associated with a pro-inflammatory state. The aim of the present study was to investigate intracellular pathways associated with inflammatory signaling, assessing the phosphorylation levels of transcription factor nuclear factor kappa B (NF-κB) and mitogen-activated protein kinase (MAPKs) in peripheral blood mononuclear cells of euthymic BD patients and healthy controls. Fifteen BD euthymic type I patients, and 12 healthy controls matched by age and gender were enrolled in this study. All subjects were assessed by the Mini-International Neuropsychiatry Interview and the patients also by the Young Mania Rating Scale and the Hamilton Depression Rating Scale. Phosphorylation levels of p65 NF-κB subunit, and MAPK ERK1/2, and p38 were assessed by Western blot and flow cytometry. Plasma cytokines (IL-2, IL-4, IL6, IL-10, IFN-γ, TNF-α, and IL-17A) were measured using cytometric bead arrays. Western blot and flow cytometry analyses showed increased phosphorylation levels of p65 NF-κB subunit, and MAPKs ERK1/2, and p38 in BD patients in euthymia in comparison with controls. BD patients presented increased pro-inflammatory cytokines levels in comparison with controls, and TNF-α correlated with the levels of phosphorylated p65 NF-κB. The present study found increased activation of MAPK and NF-κB pathways in BD patients, which is in line with a pro-inflammatory status.","author":[{"dropping-particle":"","family":"Barbosa","given":"Izabela Guimarães","non-dropping-particle":"","parse-names":false,"suffix":""},{"dropping-particle":"","family":"Nogueira","given":"Camila R C","non-dropping-particle":"","parse-names":false,"suffix":""},{"dropping-particle":"","family":"Rocha","given":"Natália Pessoa","non-dropping-particle":"","parse-names":false,"suffix":""},{"dropping-particle":"","family":"Queiroz","given":"Ana Luiza Lemos","non-dropping-particle":"","parse-names":false,"suffix":""},{"dropping-particle":"","family":"Vago","given":"Juliana Priscila","non-dropping-particle":"","parse-names":false,"suffix":""},{"dropping-particle":"","family":"Tavares","given":"Luciana Pádua","non-dropping-particle":"","parse-names":false,"suffix":""},{"dropping-particle":"","family":"Assis","given":"Frankcinéia","non-dropping-particle":"","parse-names":false,"suffix":""},{"dropping-particle":"","family":"Fagundes","given":"Caio Tavares","non-dropping-particle":"","parse-names":false,"suffix":""},{"dropping-particle":"","family":"Huguet","given":"Rodrigo Barreto","non-dropping-particle":"","parse-names":false,"suffix":""},{"dropping-particle":"","family":"Bauer","given":"Moisés Evandro","non-dropping-particle":"","parse-names":false,"suffix":""},{"dropping-particle":"","family":"Teixeira","given":"Antônio Lúcio","non-dropping-particle":"","parse-names":false,"suffix":""},{"dropping-particle":"","family":"Sousa","given":"Lirlândia Pires","non-dropping-particle":"de","parse-names":false,"suffix":""}],"container-title":"Journal of Psychiatric Research","id":"ITEM-6","issue":"12","issued":{"date-parts":[["2013"]]},"page":"1949-1954","title":"Altered intracellular signaling cascades in peripheral blood mononuclear cells from BD patients","type":"article-journal","volume":"47"},"uris":["http://www.mendeley.com/documents/?uuid=ad31973f-d0ce-4e3f-a4e9-191dc910cf3e"]},{"id":"ITEM-7","itemData":{"DOI":"10.9758/cpn.2017.15.3.269","ISSN":"1738-1088","abstract":"ObjectivePatients with bipolar disorder (BD) exhibit peripheral low-grade inflammation. The aim of the current study was to investigate the involvement of hitherto unexplored components of the tumor necrosis factor (TNF) superfamily in BD.MethodsEighty patients with type I BD and 50 healthy controls matched for age and gender were enrolled in this study. All subjects were assessed with the Mini-Plus to evaluate psychiatric comorbidities; the Young Mania Rating Scale and the Hamilton Depression Rating Scale to evaluate manic and depressive symptoms severity, respectively. TNF superfamily molecules (TNF, TNF-related weak inducer of apoptosis &amp;#x0005B;TWEAK&amp;#x0005D;, TNF-related apoptosis-inducing ligand &amp;#x0005B;TRAIL&amp;#x0005D;, soluble TNF receptor type 1 &amp;#x0005B;sTNFR1&amp;#x0005D;, and soluble TNF receptor type 2 &amp;#x0005B;sTNFR2&amp;#x0005D;) levels were measured by ELISA.ResultsPatients with BD, regardless of mood state, presented increased plasma levels of sTNFR1 and TWEAK in comparison with controls.ConclusionThese findings corroborate the view that TNF superfamily may play a role in BD pathophysiology.","author":[{"dropping-particle":"","family":"Barbosa","given":"Izabela G","non-dropping-particle":"","parse-names":false,"suffix":""},{"dropping-particle":"","family":"Vaz","given":"Gabriela Neves","non-dropping-particle":"","parse-names":false,"suffix":""},{"dropping-particle":"","family":"Rocha","given":"Natalia Pessoa","non-dropping-particle":"","parse-names":false,"suffix":""},{"dropping-particle":"","family":"Machado-Vieira","given":"Rodrigo","non-dropping-particle":"","parse-names":false,"suffix":""},{"dropping-particle":"","family":"Ventura","given":"Marcio Rogerio Diniz","non-dropping-particle":"","parse-names":false,"suffix":""},{"dropping-particle":"","family":"Huguet","given":"Rodrigo B","non-dropping-particle":"","parse-names":false,"suffix":""},{"dropping-particle":"","family":"Bauer","given":"Moises E","non-dropping-particle":"","parse-names":false,"suffix":""},{"dropping-particle":"","family":"Berk","given":"Michael","non-dropping-particle":"","parse-names":false,"suffix":""},{"dropping-particle":"","family":"Teixeira","given":"Antônio L","non-dropping-particle":"","parse-names":false,"suffix":""}],"container-title":"Clinical Psychopharmacology and Neuroscience","edition":"2017/08/31","id":"ITEM-7","issue":"3","issued":{"date-parts":[["2017","8"]]},"language":"eng","page":"269-275","publisher":"The Korean College of Neuropsychopharmacology","title":"Plasma Levels of Tumor Necrosis Factor Superfamily Molecules Are Increased in Bipolar Disorder","type":"article-journal","volume":"15"},"uris":["http://www.mendeley.com/documents/?uuid=7cc0fc2c-1e5b-4693-aae8-04c600ad7e7d"]},{"id":"ITEM-8","itemData":{"DOI":"https://doi.org/10.1016/j.jad.2008.12.001","ISSN":"0165-0327","abstract":"Background The neurobiology of bipolar disorder is not completely understood. Cytokines have received increasing attention as potential mediators of the interaction with immune, neuroendocrine system and specific pathways involved in mood, energy, and activity control. Previous reports have suggested the association of mania and bipolar depression with a proinflammatory state. However, they did not compare cytokine levels in all phases of bipolar disorder. Methods Sixty-one bipolar patients were recruited for assessment of serum cytokine levels. Of these, 14 were in euthymic state, 23 and 24 were in manic and depressive episodes, respectively. A healthy comparison group included 25 healthy volunteers. Cytokines involved in Th1/Th2 balance, such as TNF-α, IL-2, IL-4, IL-6, IL-10, IFN-γ, were examined by flow cytometry. Results During mania, proinflammatory cytokines, IL-2, IL-4 and IL-6, were increased in comparison with healthy subjects. Patients in depressive episode showed only increased IL-6 levels. There were no significant differences in cytokine levels between patients in remission and healthy subjects, except for IL-4. Mood symptoms showed a positive correlation with IL-6 and IL-2. Discussion These findings suggest that mania, and to a less extent, depression are associated with a proinflammatory state. These changes seem to be related to mood state, as changes in cytokine profile were more pronounced during acute episodes than in euthymia. This study provides further support to investigate the immune system as a target for future treatment development.","author":[{"dropping-particle":"","family":"Brietzke","given":"Elisa","non-dropping-particle":"","parse-names":false,"suffix":""},{"dropping-particle":"","family":"Stertz","given":"Laura","non-dropping-particle":"","parse-names":false,"suffix":""},{"dropping-particle":"","family":"Fernandes","given":"Brisa Simões","non-dropping-particle":"","parse-names":false,"suffix":""},{"dropping-particle":"","family":"Kauer-Sant’Anna","given":"Marcia","non-dropping-particle":"","parse-names":false,"suffix":""},{"dropping-particle":"","family":"Mascarenhas","given":"Marcello","non-dropping-particle":"","parse-names":false,"suffix":""},{"dropping-particle":"","family":"Escosteguy Vargas","given":"Andréia","non-dropping-particle":"","parse-names":false,"suffix":""},{"dropping-particle":"","family":"Chies","given":"José Artur","non-dropping-particle":"","parse-names":false,"suffix":""},{"dropping-particle":"","family":"Kapczinski","given":"Flávio","non-dropping-particle":"","parse-names":false,"suffix":""}],"container-title":"Journal of Affective Disorders","id":"ITEM-8","issue":"3","issued":{"date-parts":[["2009"]]},"page":"214-217","title":"Comparison of cytokine levels in depressed, manic and euthymic patients with bipolar disorder","type":"article-journal","volume":"116"},"uris":["http://www.mendeley.com/documents/?uuid=02e4eec5-8d93-47c5-967a-626672292230"]},{"id":"ITEM-9","itemData":{"DOI":"https://doi.org/10.1016/j.jad.2018.11.018","ISSN":"0165-0327","abstract":"Background Increased circulating inflammatory cytokines is a replicated finding in bipolar I disorder (BDI). Pro-inflammatory cytokines such as TNFα, IL-6 and IL-1 have also been associated with poorer cognitive functioning in patients with longer illness duration. However, the effect of inflammatory cytokines on cognition in early stage patients is not yet known. Here, we investigate the relationship between cytokines and cognition in BDI patients within three years of diagnosis. Methods Serum pro-inflammatory (TNFα, IL-6 and IL-1α) and anti-inflammatory (IL-4 and IL-10) cytokine levels were compared between 51 early stage BDI patients and 20 healthy controls. 46 patients completed neuropsychological testing, and multiple regression analysis was used to assess the association between cytokine levels and cognition after accounting for relevant clinical and demographic variables. Results TNFα was elevated at trend level significance in BDI patients compared to healthy controls, and was negatively associated with global cognition, processing speed, and working memory in patients. IL-6, IL-1α, IL-4 and IL-10 levels were comparable between groups and were not significantly associated with cognition. Limitations Direct causation cannot be established in this cross-sectional study; in addition, cytokine levels were not taken on the same day as neuropsychological testing for all patients. Conclusions TNFα may negatively impact cognition in early BDI. While replication is required in larger samples, these results suggest that inhibition of TNFα activity might be a strategy to preserve cognition in newly diagnosed BDI patients.","author":[{"dropping-particle":"","family":"Chakrabarty","given":"Trisha","non-dropping-particle":"","parse-names":false,"suffix":""},{"dropping-particle":"","family":"Torres","given":"Ivan J","non-dropping-particle":"","parse-names":false,"suffix":""},{"dropping-particle":"","family":"Bond","given":"David J","non-dropping-particle":"","parse-names":false,"suffix":""},{"dropping-particle":"","family":"Yatham","given":"Lakshmi N","non-dropping-particle":"","parse-names":false,"suffix":""}],"container-title":"Journal of Affective Disorders","id":"ITEM-9","issued":{"date-parts":[["2019"]]},"page":"679-685","title":"Inflammatory cytokines and cognitive functioning in early-stage bipolar I disorder","type":"article-journal","volume":"245"},"uris":["http://www.mendeley.com/documents/?uuid=b46bc973-7e5a-499f-8319-11b171b8ef54"]},{"id":"ITEM-10","itemData":{"DOI":"10.3109/15622975.2016.1155746","ISSN":"1562-2975","author":[{"dropping-particle":"","family":"Chang","given":"Hui Hua","non-dropping-particle":"","parse-names":false,"suffix":""},{"dropping-particle":"","family":"Wang","given":"Tzu-Yun","non-dropping-particle":"","parse-names":false,"suffix":""},{"dropping-particle":"","family":"Lee","given":"I Hui","non-dropping-particle":"","parse-names":false,"suffix":""},{"dropping-particle":"","family":"Lee","given":"Sheng-Yu","non-dropping-particle":"","parse-names":false,"suffix":""},{"dropping-particle":"","family":"Chen","given":"Kao Chin","non-dropping-particle":"","parse-names":false,"suffix":""},{"dropping-particle":"","family":"Huang","given":"San-Yuan","non-dropping-particle":"","parse-names":false,"suffix":""},{"dropping-particle":"","family":"Yang","given":"Yen Kuang","non-dropping-particle":"","parse-names":false,"suffix":""},{"dropping-particle":"","family":"Lu","given":"Ru-Band","non-dropping-particle":"","parse-names":false,"suffix":""},{"dropping-particle":"","family":"Chen","given":"Po See","non-dropping-particle":"","parse-names":false,"suffix":""}],"container-title":"The World Journal of Biological Psychiatry","id":"ITEM-10","issue":"1","issued":{"date-parts":[["2017","1","2"]]},"note":"doi: 10.3109/15622975.2016.1155746","page":"63-70","publisher":"Taylor &amp; Francis","title":"C-reactive protein: A differential biomarker for major depressive disorder and bipolar II disorder","type":"article-journal","volume":"18"},"uris":["http://www.mendeley.com/documents/?uuid=7fc56fd0-6893-4198-bbde-24c1ef6ac61e"]},{"id":"ITEM-11","itemData":{"PMID":"29192940","author":[{"dropping-particle":"","family":"Civil Arslan","given":"F.","non-dropping-particle":"","parse-names":false,"suffix":""},{"dropping-particle":"","family":"Tiryaki","given":"A.","non-dropping-particle":"","parse-names":false,"suffix":""},{"dropping-particle":"","family":"Özkorumak Karagüzel","given":"E.","non-dropping-particle":"","parse-names":false,"suffix":""},{"dropping-particle":"","family":"Aral","given":"Gizem.","non-dropping-particle":"","parse-names":false,"suffix":""},{"dropping-particle":"","family":"Sarıoğlu","given":"Oğuz .","non-dropping-particle":"","parse-names":false,"suffix":""},{"dropping-particle":"","family":"İnce","given":"İmran.","non-dropping-particle":"","parse-names":false,"suffix":""},{"dropping-particle":"","family":"Çankaya","given":"Sertaç.","non-dropping-particle":"","parse-names":false,"suffix":""},{"dropping-particle":"","family":"Alver","given":"Ahmet","non-dropping-particle":"","parse-names":false,"suffix":""}],"container-title":"Turk Psikiyatri Derg","id":"ITEM-11","issued":{"date-parts":[["0"]]},"page":"81-88","title":"The Relationship of Interleukin-18 and Interleukin-6 Levels with Cognitive Functions in Bipolar Disorder","type":"article-journal","volume":"28(2)"},"uris":["http://www.mendeley.com/documents/?uuid=ba18e6ee-5121-463d-978b-8c92a962c3f6"]},{"id":"ITEM-12","itemData":{"DOI":"10.1007/s00406-007-0797-0","ISSN":"1433-8491","abstract":"There has been an increasing interest in the role of the immune and inflammatory systems in mood disorders. Mood episodes are associated with changes in acute phase proteins such as high-sensitivity C-reactive protein (hsCRP). The present study investigated serum hsCRP in manic, depressed, and euthymic BD patients as compared to matched healthy controls. Serum hsCRP was assessed using an ultrasensitive assay of particle-enhanced immunoturbidimetric latex agglutination. Serum hsCRP levels were increased in manic BD patients, as compared to euthymic, depressed patients and healthy controls (P &lt; 0.001). These findings add to the notion that changes in the inflammatory system take place during acute episodes of mania.","author":[{"dropping-particle":"","family":"Cunha","given":"Ângelo B","non-dropping-particle":"","parse-names":false,"suffix":""},{"dropping-particle":"","family":"Andreazza","given":"Ana C","non-dropping-particle":"","parse-names":false,"suffix":""},{"dropping-particle":"","family":"Gomes","given":"Fabiano A","non-dropping-particle":"","parse-names":false,"suffix":""},{"dropping-particle":"","family":"Frey","given":"Benicio N","non-dropping-particle":"","parse-names":false,"suffix":""},{"dropping-particle":"","family":"Silveira","given":"Leonardo E","non-dropping-particle":"da","parse-names":false,"suffix":""},{"dropping-particle":"","family":"Gonçalves","given":"Carlos A","non-dropping-particle":"","parse-names":false,"suffix":""},{"dropping-particle":"","family":"Kapczinski","given":"Flávio","non-dropping-particle":"","parse-names":false,"suffix":""}],"container-title":"European Archives of Psychiatry and Clinical Neuroscience","id":"ITEM-12","issue":"5","issued":{"date-parts":[["2008"]]},"page":"300-304","title":"Investigation of serum high-sensitive C-reactive protein levels across all mood states in bipolar disorder","type":"article-journal","volume":"258"},"uris":["http://www.mendeley.com/documents/?uuid=669dd470-6eb5-4c99-a2d4-d299cac7a104"]},{"id":"ITEM-13","itemData":{"DOI":"https://doi.org/10.1016/j.psychres.2017.01.061","ISSN":"0165-1781","abstract":"Bipolar disorder is a recurrent and highly incapacitating illness, related to inflammation and changes in the insulin-like growth factor 1 (IGF-1). The objective of this study was to evaluate serum levels of IGF-1 in bipolar disorder patients and its relation to inflammation. We included 31 patients with bipolar disorder and 33 healthy controls. Serum concentrations of IGF-1, growth hormone (GH), insulin and tumor necrosis factor α (TNF-α) were analyzed. The serum levels of IGF-1 seem to be increased in bipolar disorder patients (248.84±104.91ng/mL) compared to controls (169.18±74.16ng/mL). Comparing reference values of IGF serum concentrations between groups, we found that 32% of patients had increased IGF-1 serum concentrations while only 3% of subjects are above normal range. We did not find statistically significant differences between groups in the concentration of insulin, GH, and TNF-α. This study suggests an association between IGF-1 in the pathophysiology of bipolar disorder. It is possible that this peripheral increase is related to a central nervous system increased resistance to IGF-1, thus reducing its neuroprotective action.","author":[{"dropping-particle":"","family":"Silva","given":"Emily G","non-dropping-particle":"da","parse-names":false,"suffix":""},{"dropping-particle":"","family":"Pfaffenseller","given":"Bianca","non-dropping-particle":"","parse-names":false,"suffix":""},{"dropping-particle":"","family":"Walz","given":"Julio","non-dropping-particle":"","parse-names":false,"suffix":""},{"dropping-particle":"","family":"Stertz","given":"Laura","non-dropping-particle":"","parse-names":false,"suffix":""},{"dropping-particle":"","family":"Fries","given":"Gabriel","non-dropping-particle":"","parse-names":false,"suffix":""},{"dropping-particle":"","family":"Rosa","given":"Adriane R","non-dropping-particle":"","parse-names":false,"suffix":""},{"dropping-particle":"V","family":"Magalhães","given":"Pedro","non-dropping-particle":"","parse-names":false,"suffix":""}],"container-title":"Psychiatry Research","id":"ITEM-13","issued":{"date-parts":[["2017"]]},"page":"30-34","title":"Peripheral insulin-like growth factor 1 in bipolar disorder","type":"article-journal","volume":"250"},"uris":["http://www.mendeley.com/documents/?uuid=40293764-1b21-4b31-b47b-7d495d41a7ec"]},{"id":"ITEM-14","itemData":{"DOI":"10.1177/039463200802100208","ISSN":"03946320","PMID":"18547475","abstract":"The aim of the present study is to evaluate the role of CRP and Total Cholesterol (TC) in patients suffering from type I Bipolar Disorder (BD-I). Moreover, the goal is to elucidate possible CRP and TC differences in different phases of BD-I: acute mania, euthymia and bipolar depression. Medical records of 90 BD-I patients (30 patients with acute mania, 30 in euthymic state, full remission, and 30 in depressive phase) were reviewed to evaluate serum CRP and TC levels. Laboratory data of 30 healthy controls were also obtained. The scores of Young Mania Rating Scale (YMRS), Bech-Rafaelsen Manic Rating Scale (BRMRS) and Hamilton Rating Scale for Depression (HAM-D) were evaluated. CRP levels were higher in acute mania and depressive phase subgroups when compared to healthy controls. CRP was positively associated with BRMRS and YMRS scores in acute mania and with HAM-D in depressive phase subgroups. TC levels were lower in all clinical groups compared to controls. TC levels were negatively correlated to BRMRS, YMRS and HAM-D. In conclusion, the results of the present study support the notion that CRP and TC may be altered in patients with BP-I. Copyright © by Biolife, s.a.s.","author":[{"dropping-particle":"","family":"Berardis","given":"Domenico","non-dropping-particle":"De","parse-names":false,"suffix":""},{"dropping-particle":"","family":"Conti","given":"C. M.","non-dropping-particle":"","parse-names":false,"suffix":""},{"dropping-particle":"","family":"Campanella","given":"D.","non-dropping-particle":"","parse-names":false,"suffix":""},{"dropping-particle":"","family":"Carano","given":"A.","non-dropping-particle":"","parse-names":false,"suffix":""},{"dropping-particle":"","family":"Scali","given":"M.","non-dropping-particle":"","parse-names":false,"suffix":""},{"dropping-particle":"","family":"Valchera","given":"A.","non-dropping-particle":"","parse-names":false,"suffix":""},{"dropping-particle":"","family":"Serroni","given":"N.","non-dropping-particle":"","parse-names":false,"suffix":""},{"dropping-particle":"","family":"Pizzorno","given":"A. M.","non-dropping-particle":"","parse-names":false,"suffix":""},{"dropping-particle":"","family":"D'Albenzio","given":"A.","non-dropping-particle":"","parse-names":false,"suffix":""},{"dropping-particle":"","family":"Fulcheri","given":"M.","non-dropping-particle":"","parse-names":false,"suffix":""},{"dropping-particle":"","family":"Gambi","given":"F.","non-dropping-particle":"","parse-names":false,"suffix":""},{"dropping-particle":"","family":"Rovere","given":"R.","non-dropping-particle":"La","parse-names":false,"suffix":""},{"dropping-particle":"","family":"Cotellessa","given":"C.","non-dropping-particle":"","parse-names":false,"suffix":""},{"dropping-particle":"","family":"Salerno","given":"R. M.","non-dropping-particle":"","parse-names":false,"suffix":""},{"dropping-particle":"","family":"Ferro","given":"F. M.","non-dropping-particle":"","parse-names":false,"suffix":""}],"container-title":"International Journal of Immunopathology and Pharmacology","id":"ITEM-14","issue":"2","issued":{"date-parts":[["2008"]]},"page":"319-324","publisher":"Biomedical Research Press s.a.s.","title":"Evaluation of C-reactive protein and total serum cholesterol in adult patients with bipolar disorder","type":"article-journal","volume":"21"},"uris":["http://www.mendeley.com/documents/?uuid=3b8705d1-913e-37ea-befe-a24a7e4b2c6d"]},{"id":"ITEM-15","itemData":{"DOI":"10.1016/j.pnpbp.2007.02.018","ISSN":"02785846","PMID":"17391822","abstract":"Objectives: We investigated the association between serum levels of C-reactive protein (CRP), a marker of inflammation, and the severity of psychopathology in outpatients with bipolar disorder. We also compared the levels of CRP in the bipolar disorder individuals with those of a non-psychiatric control group. Methods: We measured the level of CRP in N = 122 outpatients with bipolar disorder and N = 165 control individuals and evaluated the symptom severity of the bipolar disorder patients with the Young Mania Rating Scale (YMRS) and the Hamilton Depression Scale (Ham-D). Results: Within the bipolar disorder sample, CRP was significantly associated with the YMRS score (r = .306, p &lt; .006), age of onset, gender, and race. CRP was not significantly associated with the Ham-D score or other clinical or demographic variables. In a multivariate analysis of covariance, CRP was the only independent predictor of YMRS score (F = 11.7, p = .0009). The CRP levels of the n = 41 individuals with YMRS &gt; 6 were significantly greater than the levels of the n = 81 individuals with YMRS ≤ 6 (F = 7.94, &lt; .006). The CRP levels of the group with YMRS &gt; 6 were also significantly greater than the levels of the control group (p = .033) while the CRP levels of the group with YMRS ≤ 6 did not differ from that of controls (p &gt; .05). Conclusions: Our results suggest that outpatients with bipolar disorder with mania symptoms have increased levels of CRP as compared to those without mania symptoms and compared to individuals without psychiatric disorders. The long-term consequences of CRP in bipolar disorder should be the subject of future studies. © 2007 Elsevier Inc. All rights reserved.","author":[{"dropping-particle":"","family":"Dickerson","given":"Faith","non-dropping-particle":"","parse-names":false,"suffix":""},{"dropping-particle":"","family":"Stallings","given":"Cassie","non-dropping-particle":"","parse-names":false,"suffix":""},{"dropping-particle":"","family":"Origoni","given":"Andrea","non-dropping-particle":"","parse-names":false,"suffix":""},{"dropping-particle":"","family":"Boronow","given":"John","non-dropping-particle":"","parse-names":false,"suffix":""},{"dropping-particle":"","family":"Yolken","given":"Robert","non-dropping-particle":"","parse-names":false,"suffix":""}],"container-title":"Progress in Neuro-Psychopharmacology and Biological Psychiatry","id":"ITEM-15","issue":"4","issued":{"date-parts":[["2007","5","9"]]},"page":"952-955","publisher":"Prog Neuropsychopharmacol Biol Psychiatry","title":"Elevated serum levels of C-reactive protein are associated with mania symptoms in outpatients with bipolar disorder","type":"article-journal","volume":"31"},"uris":["http://www.mendeley.com/documents/?uuid=84d67713-ba4b-3d0a-ae6d-d0037a444e13"]},{"id":"ITEM-16","itemData":{"DOI":"https://doi.org/10.1002/hup.2301","ISSN":"0885-6222","abstract":"Objective Tumor necrosis factor-alpha (TNF-α) may play an important role in bipolar disorder (BD) pathogenesis. There is only one study about a relationship between TNF-α levels and cognitive impairments in BD. The aim of the present study was to see whether TNF-α, soluble P55 TNF receptor (sTNFR1), and soluble P75 TNF receptor (sTNFR2) levels in BD patients are different from controls and to investigate the relationships between the levels of TNF-α, sTNFR1, and sTNFR2 and the cognitive functions in euthymic BD patients and controls. Methods We assessed 54 BD type I patients and 18 controls by using a battery of neuropsychological tests. Serum TNF-α levels were measured using a commercially available enzyme-linked immunosorbent assay, whereas serum sTNFR1 and sTNFR2 levels were measured using a commercially enzyme-amplified sensitivity immunoassay kit. Results We found that levels of sTNFR1 and sTNFR2 in BD patients were different from controls. No difference was detected between the BD group and the control group for levels of TNF-α. TNF-α level was found to have a negative correlation with the delayed recall in RAVLT. Conclusions High levels of sTNFR1 and sTNFR2 in euthymic patients showed that it may support that proinflammatory process continues in euthymic period. This is the first study which showed increased sTNFR2 levels in euthymic period, which could be interpreted as a compensatory mechanism and again the first which deals with verbal memory. Copyright ? 2013 John Wiley &amp; Sons, Ltd.","author":[{"dropping-particle":"","family":"Doganavsargil-Baysal","given":"Ozge","non-dropping-particle":"","parse-names":false,"suffix":""},{"dropping-particle":"","family":"Cinemre","given":"Buket","non-dropping-particle":"","parse-names":false,"suffix":""},{"dropping-particle":"","family":"Aksoy","given":"Umut Mert","non-dropping-particle":"","parse-names":false,"suffix":""},{"dropping-particle":"","family":"Akbas","given":"Halide","non-dropping-particle":"","parse-names":false,"suffix":""},{"dropping-particle":"","family":"Metin","given":"Ozmen","non-dropping-particle":"","parse-names":false,"suffix":""},{"dropping-particle":"","family":"Fettahoglu","given":"Cıgıl","non-dropping-particle":"","parse-names":false,"suffix":""},{"dropping-particle":"","family":"Gokmen","given":"Zehra","non-dropping-particle":"","parse-names":false,"suffix":""},{"dropping-particle":"","family":"Davran","given":"Fatih","non-dropping-particle":"","parse-names":false,"suffix":""}],"container-title":"Human Psychopharmacology: Clinical and Experimental","id":"ITEM-16","issue":"2","issued":{"date-parts":[["2013","3","1"]]},"note":"https://doi.org/10.1002/hup.2301","page":"160-167","publisher":"John Wiley &amp; Sons, Ltd","title":"Levels of TNF-α, soluble TNF receptors (sTNFR1, sTNFR2), and cognition in bipolar disorder","type":"article-journal","volume":"28"},"uris":["http://www.mendeley.com/documents/?uuid=afae7634-994d-453c-9964-9a98485d9373"]},{"id":"ITEM-17","itemData":{"DOI":"https://doi.org/10.1111/j.1399-5618.2009.00757.x","ISSN":"1398-5647","abstract":"Background:? Alterations in the inflammatory system have been associated with schizophrenia and major depression, while bipolar disorder has been less studied. Most previous studies examined small samples, and the literature is inconsistent with regard to specific underlying immune mechanisms. In the present study, we examined markers representing different inflammatory pathways, and the aim was to investigate whether the levels of inflammatory parameters in a representative sample of bipolar disorder and schizophrenia are elevated compared to healthy controls, and to investigate whether the inflammatory profile is different between the groups. Methods:? Plasma levels of soluble tumor necrosis factor receptor 1 (sTNF-R1), interleukin-1 receptor antagonist (IL-1Ra), interleukin-6 (IL-6), high-sensitivity CRP (hs-CRP), soluble CD40L ligand (sCD40L), and von Willebrand factor (vWf) were measured with ELISA techniques in a catchment area based sample of consecutively referred patients with severe mental disorders [N?=?311, comprising bipolar disorder (n?=?125) and schizophrenia (n?=?186)] and in healthy volunteers (n?=?244). Results:? Plasma levels of sTNF-R1 and vWf were statistically significantly increased in both bipolar disorder and schizophrenia compared to controls (p?&lt;?0.00001), and were also increased in unmedicated patients, but there were no major differences between the two diagnostic groups. Controlling for age, gender, ethnicity, cardiovascular disorders, kidney and liver function, and other confounders did not affect the results. There were no differences in other inflammation factors between the groups. Conclusion:? The present results indicate specific alterations of endothelium-related inflammation processes in both bipolar disorder and schizophrenia.","author":[{"dropping-particle":"","family":"Hope","given":"Sigrun","non-dropping-particle":"","parse-names":false,"suffix":""},{"dropping-particle":"","family":"Melle","given":"Ingrid","non-dropping-particle":"","parse-names":false,"suffix":""},{"dropping-particle":"","family":"Aukrust","given":"Pål","non-dropping-particle":"","parse-names":false,"suffix":""},{"dropping-particle":"","family":"Steen","given":"Nils Eiel","non-dropping-particle":"","parse-names":false,"suffix":""},{"dropping-particle":"","family":"Birkenaes","given":"Astrid B","non-dropping-particle":"","parse-names":false,"suffix":""},{"dropping-particle":"","family":"Lorentzen","given":"Steinar","non-dropping-particle":"","parse-names":false,"suffix":""},{"dropping-particle":"","family":"Agartz","given":"Ingrid","non-dropping-particle":"","parse-names":false,"suffix":""},{"dropping-particle":"","family":"Ueland","given":"Thor","non-dropping-particle":"","parse-names":false,"suffix":""},{"dropping-particle":"","family":"Andreassen","given":"Ole A","non-dropping-particle":"","parse-names":false,"suffix":""}],"container-title":"Bipolar Disorders","id":"ITEM-17","issue":"7","issued":{"date-parts":[["2009","11","1"]]},"note":"https://doi.org/10.1111/j.1399-5618.2009.00757.x","page":"726-734","publisher":"John Wiley &amp; Sons, Ltd","title":"Similar immune profile in bipolar disorder and schizophrenia: selective increase in soluble tumor necrosis factor receptor I and von Willebrand factor","type":"article-journal","volume":"11"},"uris":["http://www.mendeley.com/documents/?uuid=1bbee5f0-1354-4661-9440-6b767db594cf"]},{"id":"ITEM-18","itemData":{"DOI":"https://doi.org/10.1016/j.jpsychires.2011.08.003","ISSN":"0022-3956","abstract":"Objective Elevated levels of inflammation are reported in bipolar disorders (BP), but how this relates to affective symptoms is unclear. We aimed to determine if immune markers that consistently have been reported elevated in BP were associated with depressive and manic symptoms, and if this was specific for BP. Methods From a catchment area, 112 BP patients were included together with 153 schizophrenia (SCZ) patients and 239 healthy controls. Depression and mania were assessed and the patients were grouped into depressed, neutral, and elevated mood. We measured the immune markers tumor necrosis factor receptor 1 (sTNF-R1), interleukin 1 receptor antagonist (IL-1Ra), interleukin 6 (IL-6), high sensitive C-reactive protein (hsCRP), osteoprotegerin (OPG) and von Willebrand factor (vWf) which have been found increased in severe mental disorders. Results In BP all inflammatory markers were lowest in depressed state, with significant group differences after control for confounders with respect to TNF-R1 (p = 0.04), IL-1Ra (p = 0.02), OPG (p = 0.004) and IL-6 (p = 0.005). STNF-R1 was positively correlated with the item elevated mood (p = 0.02) whereas sad mood was negatively correlated with OPG (p = 0.0003), IL-1Ra (p = 0.001) and IL-6 (p = 0.006). Compared to controls the neutral mood group had significantly higher levels of OPG (p = 0.0003) and IL-6 (p = 0.005), and the elevated mood group had higher levels of TNF-R1 (p = 0.000005) and vWf (p = 0.002). There were no significant associations between affective states orsymptoms in SCZ. Conclusions The current associations between inflammatory markers and affective symptomatology in BP and not SCZ suggest that immune related mechanisms are associated with core psychopathology of BP.","author":[{"dropping-particle":"","family":"Hope","given":"Sigrun","non-dropping-particle":"","parse-names":false,"suffix":""},{"dropping-particle":"","family":"Dieset","given":"Ingrid","non-dropping-particle":"","parse-names":false,"suffix":""},{"dropping-particle":"","family":"Agartz","given":"Ingrid","non-dropping-particle":"","parse-names":false,"suffix":""},{"dropping-particle":"","family":"Steen","given":"Nils E","non-dropping-particle":"","parse-names":false,"suffix":""},{"dropping-particle":"","family":"Ueland","given":"Thor","non-dropping-particle":"","parse-names":false,"suffix":""},{"dropping-particle":"","family":"Melle","given":"Ingrid","non-dropping-particle":"","parse-names":false,"suffix":""},{"dropping-particle":"","family":"Aukrust","given":"Pål","non-dropping-particle":"","parse-names":false,"suffix":""},{"dropping-particle":"","family":"Andreassen","given":"Ole A","non-dropping-particle":"","parse-names":false,"suffix":""}],"container-title":"Journal of Psychiatric Research","id":"ITEM-18","issue":"12","issued":{"date-parts":[["2011"]]},"page":"1608-1616","title":"Affective symptoms are associated with markers of inflammation and immune activation in bipolar disorders but not in schizophrenia","type":"article-journal","volume":"45"},"uris":["http://www.mendeley.com/documents/?uuid=717cb5a2-1faa-4557-8efb-b903ce5d8208"]},{"id":"ITEM-19","itemData":{"DOI":"https://doi.org/10.1016/j.schres.2015.04.004","ISSN":"0920-9964","abstract":"Background The mechanisms underlying cognitive impairment in schizophrenia and bipolar disorders are largely unknown. Immune abnormalities have been found in both disorders, and inflammatory mediators may play roles in cognitive function. We investigated if inflammatory markers are associated with general cognitive abilities. Methods Participants with schizophrenia spectrum (N=121) and bipolar spectrum (N=111) disorders and healthy controls (N=241) were included. General intellectual abilities were assessed using the Wechsler Abbreviated Scale of Intelligence (WASI). Serum concentrations of the following immune markers were measured: Soluble tumor necrosis factor receptor 1 (sTNF-R1), interleukin 1 receptor antagonist (IL-1Ra), osteoprotegerin, von Willebrand factor, C-reactive protein, interleukin-6 and CD40 ligand. Results After adjusting for age, sex and diagnostic group, significant negative associations with general cognitive function were found for sTNF-R1 (p=2×10−5), IL-1Ra (p=0.002) and sCD40 ligand (p=0.003). Among patients, the associations remained significant (p=0.006, p=0.005 and p=0.02) after adjusting for possible confounders including education, smoking, psychotic and affective symptoms, body mass index, cortisol, medication and time of blood sampling. Subgroup analysis, showed that general cognitive abilities were significantly associated with IL-1Ra and sTNF-R1 in schizophrenia patients, with sCD40L and IL-1Ra in bipolar disorder patients and with sTNF-R1 in healthy controls. Conclusion The study shows significant negative associations between inflammatory markers and general cognitive abilities after adjusting for possible confounders. The findings strongly support a role for inflammation in the neurophysiology of cognitive impairment.","author":[{"dropping-particle":"","family":"Hope","given":"Sigrun","non-dropping-particle":"","parse-names":false,"suffix":""},{"dropping-particle":"","family":"Hoseth","given":"Eva","non-dropping-particle":"","parse-names":false,"suffix":""},{"dropping-particle":"","family":"Dieset","given":"Ingrid","non-dropping-particle":"","parse-names":false,"suffix":""},{"dropping-particle":"","family":"Mørch","given":"Ragni H","non-dropping-particle":"","parse-names":false,"suffix":""},{"dropping-particle":"","family":"Aas","given":"Monica","non-dropping-particle":"","parse-names":false,"suffix":""},{"dropping-particle":"","family":"Aukrust","given":"Pål","non-dropping-particle":"","parse-names":false,"suffix":""},{"dropping-particle":"","family":"Djurovic","given":"Srdjan","non-dropping-particle":"","parse-names":false,"suffix":""},{"dropping-particle":"","family":"Melle","given":"Ingrid","non-dropping-particle":"","parse-names":false,"suffix":""},{"dropping-particle":"","family":"Ueland","given":"Torill","non-dropping-particle":"","parse-names":false,"suffix":""},{"dropping-particle":"","family":"Agartz","given":"Ingrid","non-dropping-particle":"","parse-names":false,"suffix":""},{"dropping-particle":"","family":"Ueland","given":"Thor","non-dropping-particle":"","parse-names":false,"suffix":""},{"dropping-particle":"","family":"Westlye","given":"Lars T","non-dropping-particle":"","parse-names":false,"suffix":""},{"dropping-particle":"","family":"Andreassen","given":"Ole A","non-dropping-particle":"","parse-names":false,"suffix":""}],"container-title":"Schizophrenia Research","id":"ITEM-19","issue":"2","issued":{"date-parts":[["2015"]]},"page":"188-194","title":"Inflammatory markers are associated with general cognitive abilities in schizophrenia and bipolar disorder patients and healthy controls","type":"article-journal","volume":"165"},"uris":["http://www.mendeley.com/documents/?uuid=11a90c89-d0e4-48f4-b62f-dd556f1bff95"]},{"id":"ITEM-20","itemData":{"DOI":"https://doi.org/10.1016/S0165-0327(97)00180-8","ISSN":"0165-0327","abstract":"Background: Patients with affective disorders show evidence of increased positive acute phase proteins (e.g., C-reactive protein [CRP], α-1-acid glycoprotein, haptoglobin) and decreased negative acute phase proteins (e.g., albumin, transferrin [TFN]). CRP reductions have been reported to be greater in patients who later respond to lithium augmentation, and these patients also demonstrate higher CRP levels on the failed antidepressant, prior to the addition of lithium. However, association of such systemic immune changes with affective subtypes, mood state, psychotropic medications, age and gender has not been extensively explored. Methods: The present study assessed levels of CRP and TFN in 79 bipolar I, 24 bipolar II, and 46 unipolar depressed outpatients in comparison to 22 healthy controls. Results: Patients on lithium monotherapy were significantly less likely to demonstrate elevated CRP, and a similar trend was noted in those patients taking lithium in combination with an antidepressant. The frequency of elevated CRP levels did not significantly vary for different psychotropic medications, affective subgroups, or mood states. TFN levels were not influenced by diagnosis, affective state or psychotropic medications. Limitations: Due to the retrospective nature of this analysis, the affective subgroups were heterogenous with regard to medications and affective state, and differed significantly in age. Due to limitations in subgroup sample size, significant effects of clinical variables may have been masked by interactions of medications, age, affective subtype, and mood state. Conclusions: The results imply that lithium may play a role in normalizing systemic immune activation associated with depression. Whether such immune changes may be restricted to lithium-responsive subgroups deserves further evaluation.","author":[{"dropping-particle":"","family":"Hornig","given":"Mady","non-dropping-particle":"","parse-names":false,"suffix":""},{"dropping-particle":"","family":"Goodman","given":"David B P","non-dropping-particle":"","parse-names":false,"suffix":""},{"dropping-particle":"","family":"Kamoun","given":"Malek","non-dropping-particle":"","parse-names":false,"suffix":""},{"dropping-particle":"","family":"Amsterdam","given":"Jay D","non-dropping-particle":"","parse-names":false,"suffix":""}],"container-title":"Journal of Affective Disorders","id":"ITEM-20","issue":"1","issued":{"date-parts":[["1998"]]},"page":"9-18","title":"Positive and negative acute phase proteins in affective subtypes","type":"article-journal","volume":"49"},"uris":["http://www.mendeley.com/documents/?uuid=bcd79078-0f80-4fd6-958e-1c7512b84510"]},{"id":"ITEM-21","itemData":{"DOI":"https://doi.org/10.1016/j.pnpbp.2006.09.010","ISSN":"0278-5846","abstract":"The serum high-sensitivity C-reactive protein (hsCRP) levels in patients with major depressive disorder and bipolar I disorder in acute phases were investigated. During a 1-year period, a total of 67 participants including 23 patients with major depressive disorder, 13 patients with bipolar I disorder (manic episode) and 31 healthy controls were recruited in this study. The diagnoses of mental disorders in participants were made by one psychiatrist according to the Structured Clinical Interview for DSM-IV Axis I Disorders (SCID). Both patient groups with major depression and bipolar disorder had higher mean serum hsCRP levels than the healthy control group. Using analysis of covariance with age adjustment, patients with bipolar I disorders still had significantly higher hsCRP levels than healthy controls (P=0.043). However, patients with major depression did not have significantly higher hsCRP levels than healthy controls (P=0.172). These results suggest that patients with bipolar I disorder might have a more severe inflammation reaction than patients without major depression. However, larger samples and adequate statistical methods are needed to prove these results.","author":[{"dropping-particle":"","family":"Huang","given":"Tiao-Lai","non-dropping-particle":"","parse-names":false,"suffix":""},{"dropping-particle":"","family":"Lin","given":"Fu-Chen","non-dropping-particle":"","parse-names":false,"suffix":""}],"container-title":"Progress in Neuro-Psychopharmacology and Biological Psychiatry","id":"ITEM-21","issue":"2","issued":{"date-parts":[["2007"]]},"page":"370-372","title":"High-sensitivity C-reactive protein levels in patients with major depressive disorder and bipolar mania","type":"article-journal","volume":"31"},"uris":["http://www.mendeley.com/documents/?uuid=69cbcefd-3f38-4a7f-9ffc-11bb4e28bfcf"]},{"id":"ITEM-22","itemData":{"DOI":"https://doi.org/10.1111/j.1365-2265.2007.02963.x","ISSN":"0300-0664","abstract":"Summary Objective? This study was designed to evaluate insulin sensitivity, proinflammatory markers and adiponectin concentration in young males with different subtypes of depressive disorder. Methods? Nonobese young males with depressive disorder (ages between 18 years and 30 years; body mass index, BMI ≤ 25 kg/m2) were recruited and divided into reactive depression (RD, N = 14), major depression (MD, N = 21) and bipolar depression (BD, N = 15) based on clinical course and symptom changes in Hamilton rating scale for depression (HAM-D). Fourteen age- and BMI-matched healthy males were enrolled as controls. All of the participants received a 75-g oral glucose tolerance test (OGTT). Insulin sensitivity and ?-cell function were calculated by minimal model method from the frequently sampled intravenous glucose tolerance test. Plasma C-reactive protein (CRP), adiponectin, tumour necrosis factor-α (TNF-α) and interleukin-6 (IL-6) were determined. Results? Compared to the controls, insulin sensitivity (SI) were significantly lower in MD and BD (0·78 ± 0·09 min?1/pmol and 0·75 ± 0·09 min?1/pmol vs. 1·09 ± 0·08 ? 10?5 min?1/pmol, P &lt; 0·05, respectively). Acute insulin response (AIR) to intravenous glucose was elevated in BD as compared to control and RD groups (6079·9 ± 841·8 pmol vs. 3339·8 ± 356·4 pmol and 3494·8 ± 337·7 pmol, P &lt; 0·05, respectively). Plasma adiponectin level was diminished in BD group as compared to the control and RD groups (7·41 ± 0·45 µg/ml vs. 9·07 ± 0·54 µg/ml and 9·38 ± 0·46 µg/ml; P &lt; 0·05 and P &lt; 0·01, respectively). By regression analysis, a significantly negative correlation between HAM-D score and SI was found in MD (r = ?0·60, P = 0·005) and BD groups (r = ?0·57, P = 0·04). Conclusions? The results suggest that there is an inverse relationship between both major and bipolar depression and insulin resistance in nonobese young males.","author":[{"dropping-particle":"","family":"Hung","given":"Yi-Jen","non-dropping-particle":"","parse-names":false,"suffix":""},{"dropping-particle":"","family":"Hsieh","given":"Chang-Hsun","non-dropping-particle":"","parse-names":false,"suffix":""},{"dropping-particle":"","family":"Chen","given":"Yu-Jun","non-dropping-particle":"","parse-names":false,"suffix":""},{"dropping-particle":"","family":"Pei","given":"Dee","non-dropping-particle":"","parse-names":false,"suffix":""},{"dropping-particle":"","family":"Kuo","given":"Shi-Wen","non-dropping-particle":"","parse-names":false,"suffix":""},{"dropping-particle":"","family":"Shen","given":"Der-Chung","non-dropping-particle":"","parse-names":false,"suffix":""},{"dropping-particle":"","family":"Sheu","given":"Wayne Huey-Herng","non-dropping-particle":"","parse-names":false,"suffix":""},{"dropping-particle":"","family":"Chen","given":"Yi-Chyan","non-dropping-particle":"","parse-names":false,"suffix":""}],"container-title":"Clinical Endocrinology","id":"ITEM-22","issue":"5","issued":{"date-parts":[["2007","11","1"]]},"note":"https://doi.org/10.1111/j.1365-2265.2007.02963.x","page":"784-789","publisher":"John Wiley &amp; Sons, Ltd","title":"Insulin sensitivity, proinflammatory markers and adiponectin in young males with different subtypes of depressive disorder","type":"article-journal","volume":"67"},"uris":["http://www.mendeley.com/documents/?uuid=ae00ca6e-212f-45b7-bf45-db8a3b1ab039"]},{"id":"ITEM-23","itemData":{"DOI":"DOI: 10.1017/S0033291717002744","ISSN":"0033-2917","abstract":"Background There has been increasing evidence that chronic low-grade inflammation is associated with mood disorders. However, the findings have been inconsistent because of heterogeneity across studies and methodological limitations. Our aim is to prospectively evaluate the bi-directional associations between inflammatory markers including interleukin (IL)-6, tumor necrosis factor (TNF)-α and high sensitivity C-reactive protein (hsCRP) with mood disorders.   Methods The sample consisted of 3118 participants (53.7% women; mean age: 51.0, s.d. 8.8 years), randomly selected from the general population, who underwent comprehensive somatic and psychiatric evaluations at baseline and follow-up (mean follow-up duration = 5.5 years, s.d. 0.6). Current and remitted mood disorders including bipolar and major depressive disorders (MDD) and its subtypes (atypical, melancholic, combined atypical and melancholic, and unspecified) were based on semi-structured diagnostic interviews. Inflammatory biomarkers were analyzed in fasting blood samples. Associations were tested by multiple linear and logistic regression models.   Results Current combined MDD [β = 0.29, 95% confidence interval (CI) 0.03–0.55] and current atypical MDD (β = 0.32, 95% CI 0.10–0.55) at baseline were associated with increased levels of hsCRP at follow-up. There was little evidence for inflammation markers at baseline predicting mood disorders at follow-up.   Conclusions The prospective unidirectional association between current MDD subtype with atypical features and hsCRP levels at follow-up suggests that inflammation may be a consequence of this condition. The role of inflammation, particularly hsCRP that is critically involved in cardiovascular diseases, warrants further study. Future research that examines potential influences of medications on inflammatory processes is indicated.","author":[{"dropping-particle":"","family":"Glaus","given":"J","non-dropping-particle":"","parse-names":false,"suffix":""},{"dropping-particle":"","family":"Känel","given":"R","non-dropping-particle":"von","parse-names":false,"suffix":""},{"dropping-particle":"","family":"Lasserre","given":"A M","non-dropping-particle":"","parse-names":false,"suffix":""},{"dropping-particle":"","family":"Strippoli","given":"M.-P. F","non-dropping-particle":"","parse-names":false,"suffix":""},{"dropping-particle":"","family":"Vandeleur","given":"C L","non-dropping-particle":"","parse-names":false,"suffix":""},{"dropping-particle":"","family":"Castelao","given":"E","non-dropping-particle":"","parse-names":false,"suffix":""},{"dropping-particle":"","family":"Gholam-Rezaee","given":"M","non-dropping-particle":"","parse-names":false,"suffix":""},{"dropping-particle":"","family":"Marangoni","given":"C","non-dropping-particle":"","parse-names":false,"suffix":""},{"dropping-particle":"","family":"Wagner","given":"E.-Y. N","non-dropping-particle":"","parse-names":false,"suffix":""},{"dropping-particle":"","family":"Marques-Vidal","given":"P","non-dropping-particle":"","parse-names":false,"suffix":""},{"dropping-particle":"","family":"Waeber","given":"G","non-dropping-particle":"","parse-names":false,"suffix":""},{"dropping-particle":"","family":"Vollenweider","given":"P","non-dropping-particle":"","parse-names":false,"suffix":""},{"dropping-particle":"","family":"Preisig","given":"M","non-dropping-particle":"","parse-names":false,"suffix":""},{"dropping-particle":"","family":"Merikangas","given":"K R","non-dropping-particle":"","parse-names":false,"suffix":""}],"container-title":"Psychological Medicine","edition":"2017/09/20","id":"ITEM-23","issue":"6","issued":{"date-parts":[["2018"]]},"page":"961-973","publisher":"Cambridge University Press","title":"Mood disorders and circulating levels of inflammatory markers in a longitudinal population-based study","type":"article-journal","volume":"48"},"uris":["http://www.mendeley.com/documents/?uuid=6e8290fc-b272-471d-951b-9bd79a689695"]},{"id":"ITEM-24","itemData":{"DOI":"10.1016/j.jad.2010.04.027","ISSN":"01650327","PMID":"20537397","abstract":"Background: The pathophysiology of bipolar disorder is not thoroughly understood. Several studies have investigated the possible role of cytokines in psychiatric disorders, based on their role in neuro-immune modulation; however, findings in studies on bipolar disorder remain limited and contradictory, and most studies have focused on either manic or depressive episodes. These studies suggest that both manic and depressive episodes could be pro-inflammatory states. The present study aimed to determine whether there are enduring differences in cytokine levels-unrelated to the effects of medication-between euthymic bipolar patients and healthy controls. Methods: The study included 31 euthymic bipolar patients-16 medication-free (MF) and 15 on lithium monotherapy (LM) and 16 healthy volunteers in whom serum cytokine levels were measured. The 3 groups were homogenous in terms of age, gender, and ethnicity. IFN-γ, TNF-α, IL-2, IL-4, IL-5, and IL-10 levels were measured in all groups using flow cytometry. Results: There were no differences in cytokine levels between MF euthymic bipolar patients and healthy controls. TNF-α and IL-4 levels in LM euthymic bipolar patients were higher than in both the MF euthymic bipolar patients and controls. Limitations: The small and strictly selected study sample could limit the generalizability of the findings. Conclusions: Cytokine production in MF euthymic bipolar patients was similar to that in healthy controls. The present study shows that the pro-inflammatory state resolves in euthymia and that lithium had an influence on the cytokine profile, which could create a confounding factor while investigating disease- related immunopathology of bipolar disorder. © 2010 Elsevier B.V. All rights reserved.","author":[{"dropping-particle":"","family":"Guloksuz","given":"Sinan","non-dropping-particle":"","parse-names":false,"suffix":""},{"dropping-particle":"","family":"Aktas Cetin","given":"Esin","non-dropping-particle":"","parse-names":false,"suffix":""},{"dropping-particle":"","family":"Cetin","given":"Turan","non-dropping-particle":"","parse-names":false,"suffix":""},{"dropping-particle":"","family":"Deniz","given":"Gunnur","non-dropping-particle":"","parse-names":false,"suffix":""},{"dropping-particle":"","family":"Oral","given":"E. Timucin","non-dropping-particle":"","parse-names":false,"suffix":""},{"dropping-particle":"","family":"Nutt","given":"David J.","non-dropping-particle":"","parse-names":false,"suffix":""}],"container-title":"Journal of Affective Disorders","id":"ITEM-24","issue":"3","issued":{"date-parts":[["2010","11"]]},"page":"458-462","publisher":"J Affect Disord","title":"Cytokine levels in euthymic bipolar patients","type":"article-journal","volume":"126"},"uris":["http://www.mendeley.com/documents/?uuid=89ebc344-3fb2-3c0f-886e-b1cd1f580096"]},{"id":"ITEM-25","itemData":{"DOI":"10.1016/j.jad.2016.03.040","ISSN":"15732517","PMID":"26994434","abstract":"Background Peripheral blood brain-derived neurotrophic factor (BDNF) and inflammatory markers may reflect key pathophysiological mechanisms in bipolar disorder in relation to disease activity and neuroprogression. Aims To investigate whether neutrophins and inflammatory marker vary with mood states and are increased in patients with bipolar disorder type I during euthymia as well as in all affective states as a group, compared to levels in healthy control subjects. Methods In a prospective 6-12 months follow-up study, we investigated state specific, intra-individual alterations in levels of BDNF, hsCRP, IL-1β, IL-6, IL-8, IL-18 and TNF-α in 60 patients with bipolar I disorder with an acute severe manic index episode and in subsequent euthymic and depressive and manic states and compared with repeated measurements in healthy control subjects. Data were analysed with linear mixed effects model and with adjustment for gender, age, BMI, alcohol intake and smoking. Results From inclusion to end of the 6-12 months follow-up, samples of blood were drawn from the 60 patients during a total of 180 affective states, comprising 57 manic, 11 mixed, 23 depressive and 89 states of euthymia. Further, 69 blood samples were drawn from 35 healthy control subjects with three months apart. In unadjusted mixed-model analysis, levels of IL-6 and IL-8 were increased 64% (b=1.64, 95% CI: 1.31-2.05, p=&lt;0.0001) and 24% (b=1.24, 95% CI: 1.05-1.47, p=0.013), respectively in patients with bipolar disorder overall compared with healthy control subjects. However, in adjusted models, no statistically significant differences were found in any measure between patients and control individuals. Levels of hsCRP in depressive states were decreased with 40% (95% CI: 5-62%, p=0.029) compared with euthymia and with 48% (95% CI: 17-66%, p=0.006) when compared with hypomanic/manic states after adjustment. BDNF and the other inflammatory markers did not vary according to affective state in adjusted mixed models. Limitations Patients were all medicated, specifically with high doses of atypical antipsychotics during the manic index episodes. Conclusions In a sample recruited during hospitalization for acute mania, levels of hsCRP varied according to affective state with higher levels during manic states compared with depressive states.","author":[{"dropping-particle":"","family":"Jacoby","given":"Anne Sophie","non-dropping-particle":"","parse-names":false,"suffix":""},{"dropping-particle":"","family":"Munkholm","given":"Klaus","non-dropping-particle":"","parse-names":false,"suffix":""},{"dropping-particle":"","family":"Vinberg","given":"Maj","non-dropping-particle":"","parse-names":false,"suffix":""},{"dropping-particle":"","family":"Pedersen","given":"Bente Klarlund","non-dropping-particle":"","parse-names":false,"suffix":""},{"dropping-particle":"","family":"Kessing","given":"Lars Vedel","non-dropping-particle":"","parse-names":false,"suffix":""}],"container-title":"Journal of Affective Disorders","id":"ITEM-25","issued":{"date-parts":[["2016","6","1"]]},"page":"167-174","publisher":"Elsevier B.V.","title":"Cytokines, brain-derived neurotrophic factor and C-reactive protein in bipolar i disorder - Results from a prospective study","type":"article-journal","volume":"197"},"uris":["http://www.mendeley.com/documents/?uuid=d3884ba5-68f0-32f8-b305-11443a8b47fb"]},{"id":"ITEM-26","itemData":{"DOI":"https://doi.org/10.1016/j.jpsychires.2010.05.015","ISSN":"0022-3956","abstract":"Recent evidence suggests that peripheral markers related to oxidative stress, inflammation and neurotrophins may be altered during mood episodes in bipolar disorder. These can be seen as proxies of peripheral toxicity or markers of illness activity. Here we report an en bloc assessment of a set of previously described biomarkers in different mood states (n = 60) as well as in healthy subjects (n = 80). To make the point that these are ominous changes, we obtained the same measures from a group of septic patients (n = 15) as a “positive” control group. In this sample, we measured serum levels of brain derived neurotrophic factor, neurotrophin 3, tumor necrosis factor α, interleukin 6, interleukin 10, total reactive antioxidant potential, thiobarbituric acid reactive substances and protein carbonyl content. Several of the markers discriminated between the bipolar and control groups, especially when patients were in acute episodes. In some cases, toxicity was as high in bipolar disorder as that seen in patients with sepsis. We believe these findings highlight the potential of using biomarkers to assess illness activity in bipolar disorder.","author":[{"dropping-particle":"","family":"Kapczinski","given":"Flávio","non-dropping-particle":"","parse-names":false,"suffix":""},{"dropping-particle":"","family":"Dal-Pizzol","given":"Felipe","non-dropping-particle":"","parse-names":false,"suffix":""},{"dropping-particle":"","family":"Teixeira","given":"Antonio Lucio","non-dropping-particle":"","parse-names":false,"suffix":""},{"dropping-particle":"","family":"Magalhaes","given":"Pedro V S","non-dropping-particle":"","parse-names":false,"suffix":""},{"dropping-particle":"","family":"Kauer-Sant’Anna","given":"Márcia","non-dropping-particle":"","parse-names":false,"suffix":""},{"dropping-particle":"","family":"Klamt","given":"Fábio","non-dropping-particle":"","parse-names":false,"suffix":""},{"dropping-particle":"","family":"Moreira","given":"José Claudio F","non-dropping-particle":"","parse-names":false,"suffix":""},{"dropping-particle":"","family":"Augusto de Bittencourt Pasquali","given":"Mateus","non-dropping-particle":"","parse-names":false,"suffix":""},{"dropping-particle":"","family":"Fries","given":"Gabriel Rodrigo","non-dropping-particle":"","parse-names":false,"suffix":""},{"dropping-particle":"","family":"Quevedo","given":"João","non-dropping-particle":"","parse-names":false,"suffix":""},{"dropping-particle":"","family":"Gama","given":"Clarissa Severino","non-dropping-particle":"","parse-names":false,"suffix":""},{"dropping-particle":"","family":"Post","given":"Robert","non-dropping-particle":"","parse-names":false,"suffix":""}],"container-title":"Journal of Psychiatric Research","id":"ITEM-26","issue":"2","issued":{"date-parts":[["2011"]]},"page":"156-161","title":"Peripheral biomarkers and illness activity in bipolar disorder","type":"article-journal","volume":"45"},"uris":["http://www.mendeley.com/documents/?uuid=dc31765c-242c-47ce-950a-f4592d9315eb"]},{"id":"ITEM-27","itemData":{"DOI":"https://doi.org/10.1016/j.jad.2007.02.018","ISSN":"0165-0327","abstract":"Background The role of cytokines in bipolar disorder is still controversial. Although a few studies have found alterations of cytokines in bipolar disorder, their findings were inconsistent. The aim of this study was to determine whether the cytokines are involved in the pathophysiology of bipolar disorder. Methods A total of 37 manic patients with bipolar disorder and 74 control subjects were recruited. The mitogen-induced production of tumor necrosis factor (TNF)-alpha, interleukin-6 (IL-6), IL-4, interferon (IFN)-gamma, and IL-2 was measured using quantitative sandwich ELISA at the time of admission and 6 weeks after mood stabilizer treatment. Results IL-6 and TNF-alpha production of bipolar manic patients was significantly higher than those of normal controls, while IL-4 values of the patients were significantly lower than normal controls. IL-6/IL-4, TNF-alpha/IL-4, IL-2/IL-4, and IFN-gamma/IL-4 ratios were significantly higher in bipolar manic patients than in normal controls. After 6 weeks of treatment, the levels of IL-6 significantly decreased compared with baseline. Limitations The effect of various types of mood stabilizers on cytokine production should be considered. Conclusions These findings suggest that the increased activity of pro-inflammatory cytokines and an imbalance between pro-inflammatory and anti-inflammatory cytokines may play a role in the pathophysiology of bipolar disorder.","author":[{"dropping-particle":"","family":"Kim","given":"Yong-Ku","non-dropping-particle":"","parse-names":false,"suffix":""},{"dropping-particle":"","family":"Jung","given":"Hyun-Gang","non-dropping-particle":"","parse-names":false,"suffix":""},{"dropping-particle":"","family":"Myint","given":"Aye-Mu","non-dropping-particle":"","parse-names":false,"suffix":""},{"dropping-particle":"","family":"Kim","given":"Hyun","non-dropping-particle":"","parse-names":false,"suffix":""},{"dropping-particle":"","family":"Park","given":"Sun-Hwa","non-dropping-particle":"","parse-names":false,"suffix":""}],"container-title":"Journal of Affective Disorders","id":"ITEM-27","issue":"1","issued":{"date-parts":[["2007"]]},"page":"91-95","title":"Imbalance between pro-inflammatory and anti-inflammatory cytokines in bipolar disorder","type":"article-journal","volume":"104"},"uris":["http://www.mendeley.com/documents/?uuid=648e75d5-a643-42de-9fad-07941a37deae"]},{"id":"ITEM-28","itemData":{"DOI":"10.3389/fpsyt.2019.00066","ISSN":"16640640","abstract":"Background: Two current theories regarding the neuroscientific bases of mood disorders involve alterations in glutamatergic neurotransmission and excessive activation of inflammatory pathways. We hypothesized that glutamate (Glu) levels and peripheral inflammatory markers would be associated with cognitive function, in patients with Bipolar Disorder Type II (BP-II), and that such factors would be associated with psychological treatment outcomes. Aims: The primary aim of this study was to explore the relationship between the neurotransmitter Glu, cytokines (CRP, IL_6, and TNFa) and neuropsychological and related functioning. The secondary aim was to assess cognitive functioning as a predictor of poor response to psychological therapy. Methods: Proton magnetic resonance spectroscopy data were acquired from the anterior cingulate cortex (ACC) of 15 participants with BP-II, and 13 healthy controls in a 3T magnetic resonance imaging scanner. The Digit Symbol Task (DST) for processing speed, TMT-B for executive function and Rey Auditory Verbal Learning Test (RAVLT) were administered to assess cognitive domains. Results: There was no significant difference in anterior cingulate Glu, or inflammatory markers between groups. Furthermore, we found no significant difference between groups in any cognitive tests. Scores on the DST were found to be significantly associated with poor response to psychological therapy. Conclusions: This study may highlight an association between neuropsychological dysfunction and treatment outcome in euthymic patients with BP-II. We did not find any association between peripheral inflammatory markers and brain Glu levels. This may have been in part due to the small sample size.","author":[{"dropping-particle":"","family":"King","given":"Sinead","non-dropping-particle":"","parse-names":false,"suffix":""},{"dropping-particle":"","family":"Jelen","given":"Luke A.","non-dropping-particle":"","parse-names":false,"suffix":""},{"dropping-particle":"","family":"Horne","given":"Charlotte M.","non-dropping-particle":"","parse-names":false,"suffix":""},{"dropping-particle":"","family":"Cleare","given":"Anthony","non-dropping-particle":"","parse-names":false,"suffix":""},{"dropping-particle":"","family":"Pariante","given":"Carmine M.","non-dropping-particle":"","parse-names":false,"suffix":""},{"dropping-particle":"","family":"Young","given":"Allan H.","non-dropping-particle":"","parse-names":false,"suffix":""},{"dropping-particle":"","family":"Stone","given":"James M.","non-dropping-particle":"","parse-names":false,"suffix":""}],"container-title":"Frontiers in Psychiatry","id":"ITEM-28","issue":"MAR","issued":{"date-parts":[["2019"]]},"publisher":"Frontiers Media S.A.","title":"Inflammation, glutamate, and cognition in bipolar disorder type II: A proof of concept study","type":"article-journal","volume":"10"},"uris":["http://www.mendeley.com/documents/?uuid=44e06d30-1622-3a83-9f42-e1acb904e21f"]},{"id":"ITEM-29","itemData":{"DOI":"10.1038/s41398-019-0536-0","ISSN":"2158-3188","abstract":"Inflammation and altered polyunsaturated fatty acid (PUFA) levels have been implicated in bipolar disorder (BD). A recent genome-wide association study identified a locus in the fatty acid desaturase (FADS) gene cluster conferring susceptibility to BD. In this study, we examined PUFA levels in patients with BD in relation to proinflammatory cytokines, FADS genotype, and dietary habits. We enrolled 83 patients with BD and 217 healthy controls who underwent plasma PUFA measurement. A subsample of 65 patients and 90 controls underwent plasma interleukin (IL)-6 and tumor necrosis factor alpha (TNFα) measurement, and three FADS single nucleotide polymorphisms (SNPs) were genotyped. Information on fish consumption was obtained by a self-reported diet history questionnaire. In comparing PUFA levels between patients and controls, significant differences were found for all 7 PUFAs tested. Specifically, n-3 eicosapentaenoic acid (EPA) level was decreased, and n-6 arachidonic acid level was increased in the patients (p &lt; 0.0001 for both). Plasma IL-6 and TNFα levels were both significantly increased in the patients. Plasma EPA level was negatively correlated with IL-6 and TNFα levels. The FADS genotype, which was associated with increased n-6 PUFA levels, was also associated with marked elevation in TNFα levels. Less frequent fish intake was associated with low EPA and high IL-6 level. Taken together, our results provide strong evidence for altered plasma PUFA and proinflammatory cytokine levels in patients with BD. Furthermore, FADS genotype and fish consumption may contribute not only to altered PUFA levels but also to inflammation in BD.","author":[{"dropping-particle":"","family":"Koga","given":"Norie","non-dropping-particle":"","parse-names":false,"suffix":""},{"dropping-particle":"","family":"Ogura","given":"Jun","non-dropping-particle":"","parse-names":false,"suffix":""},{"dropping-particle":"","family":"Yoshida","given":"Fuyuko","non-dropping-particle":"","parse-names":false,"suffix":""},{"dropping-particle":"","family":"Hattori","given":"Kotaro","non-dropping-particle":"","parse-names":false,"suffix":""},{"dropping-particle":"","family":"Hori","given":"Hiroaki","non-dropping-particle":"","parse-names":false,"suffix":""},{"dropping-particle":"","family":"Aizawa","given":"Emiko","non-dropping-particle":"","parse-names":false,"suffix":""},{"dropping-particle":"","family":"Ishida","given":"Ikki","non-dropping-particle":"","parse-names":false,"suffix":""},{"dropping-particle":"","family":"Kunugi","given":"Hiroshi","non-dropping-particle":"","parse-names":false,"suffix":""}],"container-title":"Translational Psychiatry","id":"ITEM-29","issue":"1","issued":{"date-parts":[["2019"]]},"page":"208","title":"Altered polyunsaturated fatty acid levels in relation to proinflammatory cytokines, fatty acid desaturase genotype, and diet in bipolar disorder","type":"article-journal","volume":"9"},"uris":["http://www.mendeley.com/documents/?uuid=5a5aaf66-419e-41cc-b670-73a84e6197e4"]},{"id":"ITEM-30","itemData":{"DOI":"10.1186/s12974-018-1197-2","ISSN":"17422094","PMID":"29803226","abstract":"Background: Over the past 30 years, evidence has been accumulating for an immunological component to schizophrenia etiology, including genetic links to the major histocompatibility complex, microglia activation, and dysregulated cytokine profiles. However, the degree of similarity in cytokine profiles for schizophrenia and bipolar disorder, as well as the relationship between cytokine levels and brain structure, is less well understood. Methods: To address this, we recruited 69 first-episode schizophrenia-spectrum patients, 16 first-episode bipolar patients with psychotic features, and 53 healthy controls, from the UC Davis EDAPT clinic. Blood plasma was collected and analyzed for all participants with a subset of participants that also underwent structural MRI on a 1.5T GE scanner. Results: Plasma levels of interleukin (IL)-1β, IL-2, IL-6, and interferon (IFN)-γ were elevated in schizophrenia patients compared to those in controls. Patients with bipolar disorder had elevated plasma IL-10 levels compared to controls, and the two patient groups did not differ significantly on any immunological measure. Percent whole-brain gray matter was inversely correlated with IFN-γ and IL-12 levels in patients with schizophrenia, with a trend relationship between IFN-γ and IL-12 and prefrontal cortical thickness. Furthermore, psychotic symptoms were positively related to IL-1β levels in individuals with schizophrenia. Conclusions: These data suggest a partially overlapping pattern of elevated blood cytokine levels in patients with first-episode schizophrenia and bipolar disorder with psychotic features. Furthermore, our findings suggest that elevated pro-inflammatory cytokines may be particularly involved in schizophrenia etiology, given evidence of cytokine-related decreases in total gray matter.","author":[{"dropping-particle":"","family":"Lesh","given":"Tyler A.","non-dropping-particle":"","parse-names":false,"suffix":""},{"dropping-particle":"","family":"Careaga","given":"Milo","non-dropping-particle":"","parse-names":false,"suffix":""},{"dropping-particle":"","family":"Rose","given":"Destanie R.","non-dropping-particle":"","parse-names":false,"suffix":""},{"dropping-particle":"","family":"McAllister","given":"A. Kimberley","non-dropping-particle":"","parse-names":false,"suffix":""},{"dropping-particle":"","family":"Water","given":"Judy","non-dropping-particle":"Van de","parse-names":false,"suffix":""},{"dropping-particle":"","family":"Carter","given":"Cameron S.","non-dropping-particle":"","parse-names":false,"suffix":""},{"dropping-particle":"","family":"Ashwood","given":"Paul","non-dropping-particle":"","parse-names":false,"suffix":""}],"container-title":"Journal of Neuroinflammation","id":"ITEM-30","issue":"1","issued":{"date-parts":[["2018","5","26"]]},"publisher":"BioMed Central Ltd.","title":"Cytokine alterations in first-episode schizophrenia and bipolar disorder: Relationships to brain structure and symptoms","type":"article-journal","volume":"15"},"uris":["http://www.mendeley.com/documents/?uuid=41f0bd0c-7806-3bec-b816-0a298f3d2203"]},{"id":"ITEM-31","itemData":{"DOI":"10.1016/j.jad.2018.04.115","ISSN":"15732517","PMID":"29778935","abstract":"Background: Immune system dysregulation is critical in the physiopathology of major depressive disorder (MDD) and bipolar disorder (BD). However, it is unclear whether both diseases present the same inflammatory patterns during depressive episodes. We explored the differences in pro- and anti-inflammatory cytokines between unipolar and bipolar depression (BDD) and the trajectory of these cytokines after acute-phase treatment. Methods: Sixty-four MDD patients, 61 BDD patients, and 62 healthy controls (HCs) were enrolled. We assessed the clinical features and cytokines plasma levels at baseline and week 12. The pro-inflammatory cytokines (IL-6, TNF-α) and anti-inflammatory cytokines (IL-4, IL-13) of all subjects were assessed by multiplexed sandwich ELISA-based quantitative arrays. Results: Before acute-phase treatment, the initial levels of TNF-α and IL-13 were significantly lower in the BDD patients than in the MDD patients. The results demonstrated that there was no relationship between each cytokine level and clinical features of unipolar and bipolar depressions. After 12 weeks, TNF-α, IL-4, and IL-13 levels became lower in MDD patients than in the other two groups regardless of the patients’ response to treatment while the levels of TNF-α and IL-4 increased only in the BDD responders. Limitations: The effects of different drugs on inflammatory cytokines in MDD or BDD could not be explored further due to the relatively small sample size. Conclusion: Even within the same depressive states, MDD and BDD patients present different inflammatory features, particularly in regard to pro-inflammatory TNF-α and anti-inflammatory IL-13. In addition, the fluctuations of cytokines induced by medication may provide a hint regarding the prediction of treatment response.","author":[{"dropping-particle":"","family":"Mao","given":"Ruizhi","non-dropping-particle":"","parse-names":false,"suffix":""},{"dropping-particle":"","family":"Zhang","given":"Chen","non-dropping-particle":"","parse-names":false,"suffix":""},{"dropping-particle":"","family":"Chen","given":"Jun","non-dropping-particle":"","parse-names":false,"suffix":""},{"dropping-particle":"","family":"Zhao","given":"Guoqing","non-dropping-particle":"","parse-names":false,"suffix":""},{"dropping-particle":"","family":"Zhou","given":"Rubai","non-dropping-particle":"","parse-names":false,"suffix":""},{"dropping-particle":"","family":"Wang","given":"Fan","non-dropping-particle":"","parse-names":false,"suffix":""},{"dropping-particle":"","family":"Xu","given":"Jingjing","non-dropping-particle":"","parse-names":false,"suffix":""},{"dropping-particle":"","family":"Yang","given":"Tao","non-dropping-particle":"","parse-names":false,"suffix":""},{"dropping-particle":"","family":"Su","given":"Yousong","non-dropping-particle":"","parse-names":false,"suffix":""},{"dropping-particle":"","family":"Huang","given":"Jia","non-dropping-particle":"","parse-names":false,"suffix":""},{"dropping-particle":"","family":"Wu","given":"Zhiguo","non-dropping-particle":"","parse-names":false,"suffix":""},{"dropping-particle":"","family":"Cao","given":"Lan","non-dropping-particle":"","parse-names":false,"suffix":""},{"dropping-particle":"","family":"Wang","given":"Yong","non-dropping-particle":"","parse-names":false,"suffix":""},{"dropping-particle":"","family":"Hu","given":"Yingyan","non-dropping-particle":"","parse-names":false,"suffix":""},{"dropping-particle":"","family":"Yuan","given":"Chengmei","non-dropping-particle":"","parse-names":false,"suffix":""},{"dropping-particle":"","family":"Yi","given":"Zhenghui","non-dropping-particle":"","parse-names":false,"suffix":""},{"dropping-particle":"","family":"Hong","given":"Wu","non-dropping-particle":"","parse-names":false,"suffix":""},{"dropping-particle":"","family":"Wang","given":"Zuowei","non-dropping-particle":"","parse-names":false,"suffix":""},{"dropping-particle":"","family":"Peng","given":"Daihui","non-dropping-particle":"","parse-names":false,"suffix":""},{"dropping-particle":"","family":"Fang","given":"Yiru","non-dropping-particle":"","parse-names":false,"suffix":""}],"container-title":"Journal of Affective Disorders","id":"ITEM-31","issued":{"date-parts":[["2018","9","1"]]},"page":"65-72","publisher":"Elsevier B.V.","title":"Different levels of pro- and anti-inflammatory cytokines in patients with unipolar and bipolar depression","type":"article-journal","volume":"237"},"uris":["http://www.mendeley.com/documents/?uuid=6b794a48-c708-37bf-b938-23ea43b13cb2"]},{"id":"ITEM-32","itemData":{"DOI":"10.1016/j.schres.2016.04.047","ISSN":"15732509","PMID":"27185483","abstract":"Objective The concept of resilience is relevant in understanding the heterogeneous outcomes noted in schizophrenia and bipolar disorder. However, clinical and biological correlates of resilience in these populations have rarely been investigated. We aimed to identify key correlates of subjective resilience in such patients using comprehensive assessments and to explore associations between resilience levels and peripheral biomarkers. Method 180 subjects with DSM-IV schizophrenia, bipolar disorder, and healthy controls (60 per group) were included. Demographic and clinical variables were assessed by means of interview and various psychometric scales. Furthermore, blood and saliva samples were obtained for the assessment of brain-derived neurotrophic factor, adrenocorticotropic hormone, cortisol, high sensitivity C-reactive protein, and alpha-amylase levels. Cross-sectional associations with resilience, as assessed by the 25-item Resilience Scale were sought. Results Resilience Scale total scores were significantly higher in healthy individuals (130.1, 95% confidence intervals (CI): 124.8–135.4) compared to subjects with schizophrenia (109.9, 95% CI: 104.6–115.2, p &lt; 0.001) and bipolar disorder (119.0, 95% CI: 113.8–124.3, p = 0.012), while the difference between patient groups was non-significant (p = 0.055). Self-esteem, spirituality, quality of life, and hopelessness were correlated with resilience in all three groups. In addition, internalized stigma and depression were relevant factors in the schizophrenia and bipolar disorder group, respectively. Correlations between resilience levels and peripheral biomarkers did not reach significance. Conclusion Although causal relationships must be confirmed in prospective studies, our results have implications in developing psychological interventions to enhance resilience in patients with schizophrenia and bipolar disorder. The biological correlates of resilience in these populations warrant further investigations.","author":[{"dropping-particle":"","family":"Mizuno","given":"Yuya","non-dropping-particle":"","parse-names":false,"suffix":""},{"dropping-particle":"","family":"Hofer","given":"Alex","non-dropping-particle":"","parse-names":false,"suffix":""},{"dropping-particle":"","family":"Suzuki","given":"Takefumi","non-dropping-particle":"","parse-names":false,"suffix":""},{"dropping-particle":"","family":"Frajo-Apor","given":"Beatrice","non-dropping-particle":"","parse-names":false,"suffix":""},{"dropping-particle":"","family":"Wartelsteiner","given":"Fabienne","non-dropping-particle":"","parse-names":false,"suffix":""},{"dropping-particle":"","family":"Kemmler","given":"Georg","non-dropping-particle":"","parse-names":false,"suffix":""},{"dropping-particle":"","family":"Saruta","given":"Juri","non-dropping-particle":"","parse-names":false,"suffix":""},{"dropping-particle":"","family":"Tsukinoki","given":"Keiichi","non-dropping-particle":"","parse-names":false,"suffix":""},{"dropping-particle":"","family":"Mimura","given":"Masaru","non-dropping-particle":"","parse-names":false,"suffix":""},{"dropping-particle":"","family":"Fleischhacker","given":"W. Wolfgang","non-dropping-particle":"","parse-names":false,"suffix":""},{"dropping-particle":"","family":"Uchida","given":"Hiroyuki","non-dropping-particle":"","parse-names":false,"suffix":""}],"container-title":"Schizophrenia Research","id":"ITEM-32","issue":"1-3","issued":{"date-parts":[["2016","8","1"]]},"page":"148-153","publisher":"Elsevier B.V.","title":"Clinical and biological correlates of resilience in patients with schizophrenia and bipolar disorder: A cross-sectional study","type":"article-journal","volume":"175"},"uris":["http://www.mendeley.com/documents/?uuid=271d8541-d30b-3ba9-a238-3a861af9bb20"]},{"id":"ITEM-33","itemData":{"DOI":"10.1016/j.jneuroim.2016.10.012","ISSN":"18728421","PMID":"27836181","abstract":"Objective To assess circadian preference among a community sample of people with bipolar disorder, major depression and without any mood disorders. Secondly, we investigated the association of circadian preference with cytokines interleukin-6 (IL-6), interleukin-10 (IL-10) and, tumor necrosis factor alpha (TNF-α) and oxidative stress assessed by thiobarbituric acid reactive substances (TBARS), uric acid and Protein Carbonyl Content (PCC). Method A cross-sectional study nested in a population-based sample. Caseness was confirmed with the Structured Clinical Interview for DSM-IV. A sample of 215 participants, in whom we measured circadian preferences, IL-6, IL-10, TNF-α, TBARS, uric acid, PCC. Biological rhythms were evaluated using the Biological Interview of Assessment in Neuropsychiatry. Results Bipolar group presented a higher alteration in biological rhythms (40.40 ± 9.78) when compared with the major depression group (36.35 ± 9.18) and control group (27.61 ± 6.89) p &lt; 0.001. Subjects with bipolar disorder who were active at night and had a day/night cycle reverse showed decreased levels of IL-6 (t, 44 = 2.096; p = 0.042), (t, 44 = 2.213; p = 0.032), respectively. In the bipolar disorder group subjects who presented day/night cycle reverse had lower TBARS levels (t, 41 = 2.612; p = 0.013). TNF-α were decreased in subjects more active at night with bipolar disorder. Conclusion Lower serum levels of IL-6, TNF-α and TBARS were associated with evening preference in bipolar disorder group. These findings suggest that chronotype may alter the levels of interleukins and oxidative stress levels in bipolar and healthy subjects. A better understanding of the role of circadian preferences in levels of interleukins and oxidative stress are needed.","author":[{"dropping-particle":"","family":"Mondin","given":"Thaise Campos","non-dropping-particle":"","parse-names":false,"suffix":""},{"dropping-particle":"","family":"Azevedo Cardoso","given":"Taiane","non-dropping-particle":"de","parse-names":false,"suffix":""},{"dropping-particle":"","family":"Moreira","given":"Fernanda Pedrotti","non-dropping-particle":"","parse-names":false,"suffix":""},{"dropping-particle":"","family":"Wiener","given":"Carolina","non-dropping-particle":"","parse-names":false,"suffix":""},{"dropping-particle":"","family":"Oses","given":"Jean Pierre","non-dropping-particle":"","parse-names":false,"suffix":""},{"dropping-particle":"","family":"Mattos Souza","given":"Luciano Dias","non-dropping-particle":"de","parse-names":false,"suffix":""},{"dropping-particle":"","family":"Jansen","given":"Karen","non-dropping-particle":"","parse-names":false,"suffix":""},{"dropping-particle":"","family":"Silva Magalhães","given":"Pedro Vieira","non-dropping-particle":"da","parse-names":false,"suffix":""},{"dropping-particle":"","family":"Kapczinski","given":"Flávio","non-dropping-particle":"","parse-names":false,"suffix":""},{"dropping-particle":"","family":"Silva","given":"Ricardo Azevedo","non-dropping-particle":"da","parse-names":false,"suffix":""}],"container-title":"Journal of Neuroimmunology","id":"ITEM-33","issued":{"date-parts":[["2016","12","15"]]},"page":"23-29","publisher":"Elsevier B.V.","title":"Circadian preferences, oxidative stress and inflammatory cytokines in bipolar disorder: A community study","type":"article-journal","volume":"301"},"uris":["http://www.mendeley.com/documents/?uuid=0557523c-6baa-302b-86da-7b3bfc4c4bcf"]},{"id":"ITEM-34","itemData":{"DOI":"10.1016/j.eurpsy.2019.02.006","ISSN":"17783585","PMID":"30808582","abstract":"Background: Neurotrophins such as brain-derived neurotrophic factor (BDNF), inflammation and oxidative damage may contribute to the pathophysiology of bipolar disorder (BD) in terms of illness activity. To date, there is a lack of studies linking the cognitive impairment observed in BD with these neurobiological mechanisms. This study aimed to investigate the role of these neurobiological factors in clinical and cognitive outcomes in a sample of bipolar individuals. Methods: We measured serum BDNF, cytokines and oxidative stress markers in a sample of 133 individuals: 52 euthymic bipolar patients, 32 manic patients and 49 healthy controls. They were all assessed with a comprehensive cognitive battery. Sociodemographic and clinical data were collected. Multiple linear regression models were built to study associations of neurotrophins and inflammatory and oxidative measures with cognitive functioning. Results: BDNF levels were decreased in euthymic (p = 0.039) and manic (p &lt; 0.001) individuals. Conversely, inflammatory (interleukin 6 (IL-6)) (p = 0.019) and oxidative stress (p = 0.003) measures were increased in bipolar individuals compared to controls. BDNF levels were associated with executive functioning (β = 0.01, p = 0.02) and verbal memory (β = 0.013, p = 0.005), together with other demographic variables. In particular, verbal memory was also associated with obesity (β=-0.04, p = 0.005). Neither inflammatory markers, oxidative stress markers nor other relevant clinical variables showed any association with cognitive outcome. Conclusions: Of all the peripheral neurobiological factors analysed, BDNF was the only one significantly associated with cognitive dysfunction in bipolar disorder individuals. This study emphasizes the role of BDNF not only across mood phases but also in cognitive functioning.","author":[{"dropping-particle":"","family":"Mora","given":"Ester","non-dropping-particle":"","parse-names":false,"suffix":""},{"dropping-particle":"","family":"Portella","given":"Maria J.","non-dropping-particle":"","parse-names":false,"suffix":""},{"dropping-particle":"","family":"Piñol-Ripoll","given":"Gerard","non-dropping-particle":"","parse-names":false,"suffix":""},{"dropping-particle":"","family":"López","given":"Ricard","non-dropping-particle":"","parse-names":false,"suffix":""},{"dropping-particle":"","family":"Cuadras","given":"Daniel","non-dropping-particle":"","parse-names":false,"suffix":""},{"dropping-particle":"","family":"Forcada","given":"Irene","non-dropping-particle":"","parse-names":false,"suffix":""},{"dropping-particle":"","family":"Teres","given":"Montse","non-dropping-particle":"","parse-names":false,"suffix":""},{"dropping-particle":"","family":"Vieta","given":"Eduard","non-dropping-particle":"","parse-names":false,"suffix":""},{"dropping-particle":"","family":"Mur","given":"Maria","non-dropping-particle":"","parse-names":false,"suffix":""}],"container-title":"European Psychiatry","id":"ITEM-34","issued":{"date-parts":[["2019","8","1"]]},"page":"97-107","publisher":"Elsevier Masson SAS","title":"High BDNF serum levels are associated to good cognitive functioning in bipolar disorder","type":"article-journal","volume":"60"},"uris":["http://www.mendeley.com/documents/?uuid=5fc213c7-9ac5-3269-8ce5-43a5e9053463"]},{"id":"ITEM-35","itemData":{"DOI":"https://doi.org/10.1111/j.1399-5618.2007.00493.x","ISSN":"1398-5647","abstract":"Objectives:? To characterize the immunological variations of patients with a bipolar disorder (BD) diagnosis in manic (BDm) and depressive (BDd) phases, by the quantification of the serum levels of interleukin (IL)-1?, -2, -4, -6 and tumor necrosis factor alpha (TNF-α). Methods:? Twenty physically healthy patients with a BD type I diagnosis and 33 matched controls were studied, after giving informed consent. The inclusion criteria included at least three weeks without any kind of psychopharmacological treatment, Young Mania Rating Scale score ≥20 for BDm (n?=?10) and Hamilton Depression Rating Scale score ≥21 for BDd patients (n?=?10). Exclusion criteria included any infectious diseases, allergies or any other kind of medical illness that required treatment with immunosuppressors, as well as any other diagnosis in Axis I. Physical and laboratory examinations were performed to rule out any clinical illness. Enzyme-linked immunosorbent assay (ELISA) was used to analyze the serum cytokines concentration. Results:? BD patients, when compared to controls, showed significant differences (p?≤?0.05) in the serum levels of the measured cytokines. The sub-group of BDd patients showed an increase in IL-6 and TNF-α, as well as a decrease in IL-2 concentration. The BDm sub-group, on the other hand, showed an increase in TNF-α and IL-4 values, with a low concentration of IL-1 and IL-2. The comparison between both sub-groups suggests that there is a distinctive cytokine pattern for the specific phases of the disorder: for mania, we found a high IL-4 and low IL-1? and IL-6 concentration, while in the depressive phase, the inverse pattern was found. Conclusions:? Our results show the existence of phasic differences in the serum levels of cytokines in BD.","author":[{"dropping-particle":"","family":"Ortiz-Domínguez","given":"Abigail","non-dropping-particle":"","parse-names":false,"suffix":""},{"dropping-particle":"","family":"Hernández","given":"María Eugenia","non-dropping-particle":"","parse-names":false,"suffix":""},{"dropping-particle":"","family":"Berlanga","given":"Carlos","non-dropping-particle":"","parse-names":false,"suffix":""},{"dropping-particle":"","family":"Gutiérrez-Mora","given":"Doris","non-dropping-particle":"","parse-names":false,"suffix":""},{"dropping-particle":"","family":"Moreno","given":"Julia","non-dropping-particle":"","parse-names":false,"suffix":""},{"dropping-particle":"","family":"Heinze","given":"Gerhard","non-dropping-particle":"","parse-names":false,"suffix":""},{"dropping-particle":"","family":"Pavón","given":"Lenin","non-dropping-particle":"","parse-names":false,"suffix":""}],"container-title":"Bipolar Disorders","id":"ITEM-35","issue":"6","issued":{"date-parts":[["2007","9","1"]]},"note":"https://doi.org/10.1111/j.1399-5618.2007.00493.x","page":"596-602","publisher":"John Wiley &amp; Sons, Ltd","title":"Immune variations in bipolar disorder: phasic differences","type":"article-journal","volume":"9"},"uris":["http://www.mendeley.com/documents/?uuid=2cfc5e3c-55d8-4f6e-8f22-6230ae86acac"]},{"id":"ITEM-36","itemData":{"DOI":"10.1080/15622975.2016.1259498","ISSN":"18141412","PMID":"27841086","abstract":"Objectives: To explore the serum levels of soluble vascular cell adhesion molecule-1 (sVCAM-1), soluble intercellular cell adhesion molecule-1 (sICAM-1), tumour necrosis factor-α (TNF-α) and interleukin-6 (IL-6) in patients with bipolar disorder (BD), with regard to acute episode characteristics, course of the disorder and treatment. Methods: The study group consisted of 83 patients diagnosed with BD type I. The control group consisted of 73 healthy individuals, matched with the study group according to age, gender and body mass index. The serum levels of sVCAM-1, sICAM-1, TNF-α and IL-6 were measured by ELISA. Results: Compared with healthy controls, significantly elevated levels of IL-6 and sICAM-1 and significantly lower levels of TNF-α and sVCAM-1 were identified in acute and remission phases of BD. The acute serum levels of sVCAM-1 were associated with the type and severity of acute mood symptoms as well as with course of illness characteristics. TNF-α was associated with duration of untreated disorder and type of treatment. Conclusions: BD is related to both acute and long-term alterations of immune mediators, including adhesion molecules. The potential immunomodulatory role of pharmacotherapeutic treatment is also to be considered in BD.","author":[{"dropping-particle":"","family":"Pantović-Stefanović","given":"Maja","non-dropping-particle":"","parse-names":false,"suffix":""},{"dropping-particle":"","family":"Petronijević","given":"Nataša","non-dropping-particle":"","parse-names":false,"suffix":""},{"dropping-particle":"","family":"Dunjić-Kostić","given":"Bojana","non-dropping-particle":"","parse-names":false,"suffix":""},{"dropping-particle":"","family":"Velimirović","given":"Milica","non-dropping-particle":"","parse-names":false,"suffix":""},{"dropping-particle":"","family":"Nikolić","given":"Tatjana","non-dropping-particle":"","parse-names":false,"suffix":""},{"dropping-particle":"","family":"Jurišić","given":"Vladimir","non-dropping-particle":"","parse-names":false,"suffix":""},{"dropping-particle":"","family":"Lačković","given":"Maja","non-dropping-particle":"","parse-names":false,"suffix":""},{"dropping-particle":"","family":"Damjanović","given":"Aleksandar","non-dropping-particle":"","parse-names":false,"suffix":""},{"dropping-particle":"","family":"Totić-Poznanović","given":"Sanja","non-dropping-particle":"","parse-names":false,"suffix":""},{"dropping-particle":"","family":"Jovanović","given":"Aleksandar A.","non-dropping-particle":"","parse-names":false,"suffix":""},{"dropping-particle":"","family":"Ivković","given":"Maja","non-dropping-particle":"","parse-names":false,"suffix":""}],"container-title":"World Journal of Biological Psychiatry","id":"ITEM-36","issue":"sup2","issued":{"date-parts":[["2018","10","31"]]},"page":"S41-S51","publisher":"Taylor and Francis Ltd","title":"sVCAM-1, sICAM-1, TNF-α and IL-6 levels in bipolar disorder type I: Acute, longitudinal and therapeutic implications","type":"article-journal","volume":"19"},"uris":["http://www.mendeley.com/documents/?uuid=50eedbca-98a6-3445-8ccd-ae403def25be"]},{"id":"ITEM-37","itemData":{"DOI":"10.1017/S0033291718003690","ISSN":"14698978","PMID":"30560764","abstract":"Background Elevated levels of pro-inflammatory cytokines are consistently reported in schizophrenia (SZ) and bipolar-I disorder (BD), as well as among individuals who have been exposed to childhood trauma. However, higher levels of inflammatory markers in these disorders are yet to be investigated with respect to levels of exposure to different types of childhood trauma.Methods Participants were 68 cases with a diagnosis of schizophrenia/schizoaffective disorder (SZ), 69 cases with a diagnosis of psychotic BD and 72 healthy controls (HC). Serum levels of interleukin 6 (IL-6), tumour necrosis factor-α (TNF-α) and C-reactive protein (CRP) were quantified, and childhood trauma exposure was assessed with the Childhood Trauma Questionnaire.Results The SZ group had significantly higher levels of IL-6, TNF-α and CRP when compared with the HC group (all p &lt; 0.05, d = 0.41-0.63), as well as higher levels of TNF-α when compared with the BD group (p = 0.014, d = 0.50); there were no differences between the BD and HC groups for any markers. Exposure to sexual abuse was positively associated (standardised β = 0.326, t = 2.459, p = 0.018) with levels of CRP in the SZ group, but there were no significant associations between any form of trauma exposure and cytokine levels in the HC or BD groups.Conclusions These results contribute to the evidence for a chronic state of inflammation in SZ but not BD cases. Differential associations between trauma exposure and levels of pro-inflammatory cytokines across the diagnostic categories suggest that trauma may impact biological (stress and immune) systems differently in these patient groups.","author":[{"dropping-particle":"","family":"Quidé","given":"Yann","non-dropping-particle":"","parse-names":false,"suffix":""},{"dropping-particle":"","family":"Bortolasci","given":"Chiara C.","non-dropping-particle":"","parse-names":false,"suffix":""},{"dropping-particle":"","family":"Spolding","given":"Briana","non-dropping-particle":"","parse-names":false,"suffix":""},{"dropping-particle":"","family":"Kidnapillai","given":"Srisaiyini","non-dropping-particle":"","parse-names":false,"suffix":""},{"dropping-particle":"","family":"Watkeys","given":"Oliver J.","non-dropping-particle":"","parse-names":false,"suffix":""},{"dropping-particle":"","family":"Cohen-Woods","given":"Sarah","non-dropping-particle":"","parse-names":false,"suffix":""},{"dropping-particle":"","family":"Berk","given":"Michael","non-dropping-particle":"","parse-names":false,"suffix":""},{"dropping-particle":"","family":"Carr","given":"Vaughan J.","non-dropping-particle":"","parse-names":false,"suffix":""},{"dropping-particle":"","family":"Walder","given":"Ken","non-dropping-particle":"","parse-names":false,"suffix":""},{"dropping-particle":"","family":"Green","given":"Melissa J.","non-dropping-particle":"","parse-names":false,"suffix":""}],"container-title":"Psychological Medicine","id":"ITEM-37","issue":"16","issued":{"date-parts":[["2019","12","1"]]},"page":"2736-2744","publisher":"Cambridge University Press","title":"Association between childhood trauma exposure and pro-inflammatory cytokines in schizophrenia and bipolar-I disorder","type":"article-journal","volume":"49"},"uris":["http://www.mendeley.com/documents/?uuid=d493b9a1-4a83-31e1-b8e6-3c57a6014f7d"]},{"id":"ITEM-38","itemData":{"ISSN":"0033-2674 (Print)","PMID":"23214162","abstract":"AIM: The aim of the study was to examine the activity of selected cytokines in  bipolar patients during manic and depressive episodes and in remission. METHOD: The cytokine status was assessed in 76 bipolar patients, 35 with mania- and 41 with depression. For cytokine measurements blood samples were drawn from each patient twice-- while in an acute episode and in remission. 78 healthy individuals were examined once. Serum samples were tested for concentrations of: IL-6, IL-10, IL-1beta, TNF-alpha, IFN-gamma using the cytometric method. The patients' mental status was assessed with Young Mania Rating Scale and Hamilton Depression Rating Scale. RESULTS: Concentration of IL-6 was higher during the manic state as compared to control group. Additionally, IL-6 level was higher in mania than in remission. Concentration of IL-10 was higher in patients in remission after manic episodes than in healthy controls. In manic patients raising of IFN-gamma level was accompanied by more severe symptoms evaluated with YMRS. In remission after mania there was a correlation between IL-6 concentration and the intensity of the manic state. IFN-gamma level was higher in depressed patients comparing to remission, as well as manic patients and subjects from control group. IFN-gamma in remission after depression was still higher than in the healthy controls. Concentration of IL-1beta was higher in depressed patients comparing to healthy subjects. CONCLUSION: The results obtained in this study show disturbances of the immune system in bipolar patients. These disturbances have features of either decrease or pathological increase of the immune response. Cytokines' profiles were different for mania and depression. Clinical improvement seems to be connected with immunomodulation process that results in changes of cytokine levels in bipolar patients in remission.","author":[{"dropping-particle":"","family":"Remlinger-Molenda","given":"Agnieszka","non-dropping-particle":"","parse-names":false,"suffix":""},{"dropping-particle":"","family":"Wójciak","given":"Paweł","non-dropping-particle":"","parse-names":false,"suffix":""},{"dropping-particle":"","family":"Michalak","given":"Michał","non-dropping-particle":"","parse-names":false,"suffix":""},{"dropping-particle":"","family":"Rybakowski","given":"Janusz","non-dropping-particle":"","parse-names":false,"suffix":""}],"container-title":"Psychiatria polska","id":"ITEM-38","issue":"4","issued":{"date-parts":[["2012"]]},"language":"pol","page":"599-611","publisher-place":"Poland","title":"[Activity of selected cytokines in bipolar patients during manic and depressive  episodes].","type":"article-journal","volume":"46"},"uris":["http://www.mendeley.com/documents/?uuid=a10227e4-bcff-414e-9c43-85042661a755"]},{"id":"ITEM-39","itemData":{"DOI":"10.1016/j.jad.2015.12.020","ISSN":"15732517","PMID":"26735329","abstract":"Background Prior work suggests that adult bipolar disorder (BD) is associated with increased oxidative stress and inflammation. This exploratory study examined markers of lipid and protein oxidation and inflammation in adolescents with and at varying risk for BD type I (BD-I). Methods Blood was obtained from four groups of adolescents (9-20 years of age): (1) healthy comparison subjects with no personal or family history of psychiatric disorders (n=13), (2) subjects with no psychiatric diagnosis and at least one parent with BD-I ('high-risk', n=15), (3) subjects with at least one parent with BD-I and a diagnosis of depressive disorder not-otherwise-specified ('ultra-high-risk', n=20), and (4) first-episode patients exhibiting mixed or manic symptoms that received a diagnosis of BD-I (n=16). Plasma levels of lipid peroxidation (LPH, 4-HNE, 8-ISO), protein carbonyl, and inflammation (IL-1α-β, IL-6, IL-10, IFNγ, TNFα) were assessed using analysis of variance and covariance models. Results LPH was lower in adolescents with fully syndromal BD than controls, while LPH levels in the at-risk groups were between healthy controls and fully syndromal BD. Post-hoc analysis showed a non-significant increase in the (4-HNE+8-ISO)/LPH ratio suggesting a potential conversion of LPH into late-stage markers of lipid peroxidation. There were no significant differences among protein carbonyl content and inflammatory markers. Conclusions In adolescents, fully syndromal BD is associated with significant reductions in LPH levels, and LPH levels decrease along the spectrum of risk for BD-I. Quantifying lipid peroxidation in longitudinal studies may help clarify the role of LPH in BD risk progression.","author":[{"dropping-particle":"","family":"Scola","given":"Gustavo","non-dropping-particle":"","parse-names":false,"suffix":""},{"dropping-particle":"","family":"McNamara","given":"Robert K.","non-dropping-particle":"","parse-names":false,"suffix":""},{"dropping-particle":"","family":"Croarkin","given":"Paul E.","non-dropping-particle":"","parse-names":false,"suffix":""},{"dropping-particle":"","family":"Leffler","given":"Jarrod M.","non-dropping-particle":"","parse-names":false,"suffix":""},{"dropping-particle":"","family":"Cullen","given":"Kathryn R.","non-dropping-particle":"","parse-names":false,"suffix":""},{"dropping-particle":"","family":"Geske","given":"Jennifer R.","non-dropping-particle":"","parse-names":false,"suffix":""},{"dropping-particle":"","family":"Biernacka","given":"Joanna M.","non-dropping-particle":"","parse-names":false,"suffix":""},{"dropping-particle":"","family":"Frye","given":"Mark A.","non-dropping-particle":"","parse-names":false,"suffix":""},{"dropping-particle":"","family":"Delbello","given":"Melissa P.","non-dropping-particle":"","parse-names":false,"suffix":""},{"dropping-particle":"","family":"Andreazza","given":"Ana C.","non-dropping-particle":"","parse-names":false,"suffix":""}],"container-title":"Journal of Affective Disorders","id":"ITEM-39","issued":{"date-parts":[["2016","3","1"]]},"page":"176-183","publisher":"Elsevier B.V.","title":"Lipid peroxidation biomarkers in adolescents with or at high-risk for bipolar disorder","type":"article-journal","volume":"192"},"uris":["http://www.mendeley.com/documents/?uuid=dfc5fa28-e8d2-38db-987a-92fa322e33af"]},{"id":"ITEM-40","itemData":{"DOI":"10.1016/j.jad.2011.08.022","ISSN":"01650327","PMID":"21962564","abstract":"Background: Weight gain and increased production of leptin may be associated with immuno-modulation and insulin resistance in bipolar disorder. The links among inflammatory markers, leptin, and insulin of bipolar patients from acute mania to full remission remain unclear. Methods: Thirty-three healthy, bipolar I patients under 45 years of age were enrolled. We measured the circulating levels of high-sensitivity C-reactive protein (hs-CRP), anti-inflammatory mediators (interleukin-1 receptor antagonist [IL-1Ra] and soluble tumor necrosis factor receptor 1 [sTNF-R1]), leptin, and insulin during acute mania and subsequent partial and full remission. The results were compared with 33 age- and gender-matched healthy subjects. Results: The levels of IL-1Ra and hs-CRP of bipolar patients in both acute mania and partial remission were significantly higher than their levels of control subjects. The hs-CRP level of bipolar patients was also elevated in full remission. The elevation of IL-1Ra and hs-CRP levels in acute mania was independent of each other. They were also independent of the body mass index (BMI) and levels of leptin and insulin measurements. The levels of leptin were all positively associated with insulin levels in the normal subjects and bipolar patients in three phases. However, a significant relationship between leptin and immunoparameter was only seen in full remission with sTNF-R1 (r = 0.51). Furthermore, IL-1Ra was inversely correlated with sTNF-R1 (r = - 0.37, p &lt; 0.05) during partly remission, and while levels of IL-1Ra tended to normalize when patients remitted, levels of hs-CRP and sTNF-R1 showed the opposite trend. Conclusions: Activated inflammation was found in acute mania, as evidenced by high levels of IL-1Ra, hs-CRP, and sTNF-R1. The production of leptin may be more tightly linked to insulin than the immunomodulators. Chronic inflammation may exist in bipolar patients and is reflected by elevations of IL-1Ra and hs-CRP levels in acute mania and persistent higher hs-CRP in full remission. © 2011 Elsevier B.V.","author":[{"dropping-particle":"","family":"Tsai","given":"Shang Ying","non-dropping-particle":"","parse-names":false,"suffix":""},{"dropping-particle":"","family":"Chung","given":"Kuo Hsuan","non-dropping-particle":"","parse-names":false,"suffix":""},{"dropping-particle":"","family":"Wu","given":"Jui Yu","non-dropping-particle":"","parse-names":false,"suffix":""},{"dropping-particle":"","family":"Kuo","given":"Chian Jue","non-dropping-particle":"","parse-names":false,"suffix":""},{"dropping-particle":"","family":"Lee","given":"Hsin Chien","non-dropping-particle":"","parse-names":false,"suffix":""},{"dropping-particle":"","family":"Huang","given":"Shou Hung","non-dropping-particle":"","parse-names":false,"suffix":""}],"container-title":"Journal of Affective Disorders","id":"ITEM-40","issue":"1-2","issued":{"date-parts":[["2012","1"]]},"page":"110-116","publisher":"J Affect Disord","title":"Inflammatory markers and their relationships with leptin and insulin from acute mania to full remission in bipolar disorder","type":"article-journal","volume":"136"},"uris":["http://www.mendeley.com/documents/?uuid=eb493668-65c6-36a1-be5d-b5ac6567e051"]},{"id":"ITEM-41","itemData":{"DOI":"10.1080/24750573.2019.1584489","ISSN":"2475-0573","abstract":"OBJECTIVE: In this study, we aimed to study copper metabolism in schizophrenia, bipolar disorder, major depression compared with healthy control. METHODS: This is a single-centered cross-sectional study. The patients with schizophrenia (n = 36), bipolar disorder (n = 37), major depression (n = 40), and healthy control (n = 32) were included in the study. All participants were initially evaluated by a clinical psychiatrist to confirm the appropriate diagnosis using the Structured Clinical Interview for Diagnostic and Statistical Manuel of Mental Disorders-IV (DSM-IV) Axis I Disorders (SCID-I). Serum copper level, ceruloplasmin mass, and ceruloplasmin-ferroxidase activity were measured. One-way ANOVA and Kruskal–Wallis Tests were performed for statistical analyses. RESULTS: Serum ceruloplasmin-ferroxidase activity (χ2 = 9.11, p = 0.028) demonstrated a significant statistical difference in all groups compared with the control group. Serum ceruloplasmin-ferroxidase activity of the bipolar disorder group was significantly higher than the healthy control group (p = 0.012), major depression group (p = 0.027), and the schizophrenia group (p = 0.019). Erythrocyte sedimentation rate (ESR) (p = 0.028) and waist circumference (p = 0.005) in bipolar disorder group, and the C-reactive protein (CRP) (p &lt; 0.001) and cholesterol (p = 0.043) in the schizophrenia group were found as the determinants of ceruloplasmin-ferroxidase activity. CONCLUSION: In this study, ceruloplasmin-ferroxidase activity is higher in all groups in comparison to the healthy control. The significantly higher ceruloplasmin-ferroxidase activity was shown in bipolar disorder followed by the major depression and schizophrenia. The ceruloplasmin-ferroxidase activity was correlated with erythrocyte sedimentation rate in the bipolar disorder group and with C-reactive protein in the schizophrenia group. Therefore, the ceruloplasmin-ferroxidase activity may be an encouraging candidate in the neuro-immune modulation and become a reliable clinical tool for demonstrating the strong association of inflammation in these disorders.","author":[{"dropping-particle":"","family":"Tunç","given":"Serhat","non-dropping-particle":"","parse-names":false,"suffix":""},{"dropping-particle":"","family":"Atagün","given":"Murat İlhan","non-dropping-particle":"","parse-names":false,"suffix":""},{"dropping-particle":"","family":"Başbuğ","given":"Hamit Serdar","non-dropping-particle":"","parse-names":false,"suffix":""},{"dropping-particle":"","family":"Erel","given":"Özcan","non-dropping-particle":"","parse-names":false,"suffix":""}],"container-title":"Psychiatry and Clinical Psychopharmacology","id":"ITEM-41","issue":"3","issued":{"date-parts":[["2019","7","3"]]},"page":"307-314","publisher":"Taylor and Francis Ltd.","title":"Serum ceruloplasmin-ferroxidase activity in bipolar disorder is elevated compared to major depressive disorder and schizophrenia: a controlled study","type":"article-journal","volume":"29"},"uris":["http://www.mendeley.com/documents/?uuid=55b7e18a-d6b0-3b67-8e30-35b7c07c8ae6"]},{"id":"ITEM-42","itemData":{"DOI":"10.3389/fpsyt.2018.00250","ISSN":"16640640","abstract":"Background: A mild pro-inflammatory status accompanies bipolar disorder (BD). Inflammation can cause a shift in monoamine metabolism, thereby activating more cytotoxic pathways. The extent to which low-grade inflammation in BD interacts with monoamine metabolism and how this accords to aging and clinical course is unknown. Objectives: We evaluated the presence of alterations in inflammation and monoamine metabolism in BD throughout different mood states and the role of aging therein. Methods: Sixty-seven patients with BD were included during an acute mood episode, either depressive (n = 29), (hypo)manic (n = 29), or mixed (n = 9). Plasma levels of inflammatory markers [tumor necrosis factor alpha (TNF-α), interferon gamma (IFN-y), interleukin-6 (IL-6), and C-reactive protein (CRP)] and markers of monoamine metabolism (neopterin, tryptophan, kynurenine, phenylalanine, and tyrosine) were measured repeatedly during a follow-up of 8 months. Levels in patients were compared to controls (n = 35) and correlated to HDRS-17 and YMRS scores. Spearman correlations and linear mixed model analysis were used for statistical analysis. Results: Forty-nine patients and 30 controls (age range: 22-62 years) completed the study. No significant differences in inflammatory markers were found between patients and controls overall. Tryptophan, tyrosine, and phenylalanine levels were lower in patients. In both patients and controls, markers of inflammation correlated only weakly with markers of monoamine metabolism, but correlations representative for activity of cytotoxic pathways in monoamine metabolism were more pronounced in patients. In patients, but not in controls, older age was associated with increases in inflammatory markers (IL-6, CRP, neopterin) and the kynurenine/tryptophan ratio. None of the biological markers correlated significantly with mood symptom severity. Conclusion: Our data suggest an increased susceptibility of patients with BD to develop a pro-inflammatory state and to shift monoamine metabolism toward more cytotoxic pathways. These findings are in support of the theory of neuroprogression and accelerated aging in BD. Since associations between biological markers and clinical characteristics are limited, it remains to be determined if alterations in biological markers are due to a disease effect or rather are a consequence of confounding factors.","author":[{"dropping-particle":"","family":"Ameele","given":"Seline","non-dropping-particle":"van den","parse-names":false,"suffix":""},{"dropping-particle":"","family":"Fuchs","given":"Dietmar","non-dropping-particle":"","parse-names":false,"suffix":""},{"dropping-particle":"","family":"Coppens","given":"Violette","non-dropping-particle":"","parse-names":false,"suffix":""},{"dropping-particle":"","family":"Boer","given":"Peter","non-dropping-particle":"de","parse-names":false,"suffix":""},{"dropping-particle":"","family":"Timmers","given":"Maarten","non-dropping-particle":"","parse-names":false,"suffix":""},{"dropping-particle":"","family":"Sabbe","given":"Bernard","non-dropping-particle":"","parse-names":false,"suffix":""},{"dropping-particle":"","family":"Morrens","given":"Manuel","non-dropping-particle":"","parse-names":false,"suffix":""}],"container-title":"Frontiers in Psychiatry","id":"ITEM-42","issue":"JUN","issued":{"date-parts":[["2018","6","14"]]},"publisher":"Frontiers Media S.A.","title":"Markers of inflammation and monoamine metabolism indicate accelerated aging in bipolar disorder","type":"article-journal","volume":"9"},"uris":["http://www.mendeley.com/documents/?uuid=9ac46abe-230e-3c68-9296-0f1f57674192"]},{"id":"ITEM-43","itemData":{"DOI":"10.1093/ijnp/pyx001","ISSN":"14695111","PMID":"28339618","abstract":"Background: Growing evidence supports the existence of neurobiological trait abnormalities in individuals at genetic risk for bipolar disorder. The aim of this study was to examine potential differences in brain-derived neurotrophic factor, cytokines, oxidative stress, and telomere length markers between patients with bipolar disorder, their siblings, and healthy controls. Methods: Thirty-six patients with bipolar disorder type I, 39 siblings, and 44 healthy controls were assessed. Serum levels of brain-derived neurotrophic factor, interleukin-6, interleukin-10, tumor necrosis factor-α, C-C motif chemokine 11, C-C motif chemokine 24, and 3-nitrotyrosine were measured, as were the activities of glutathione peroxidase, glutathione reductase, and glutathione S-Transferase. Telomere length (T/S ratio) was measured using quantitative polymerase chain reaction. Results: Telomere length was different between the 3 groups (P = .041) with both patients and siblings showing a shorter T/S ratio compared with healthy controls. Patients showed increased levels of interleukin-6 (P = .005) and interleukin-10 (P = .002) compared with controls as well as increased levels of interleukin-6 (p = 0.014) and CCL24 (P = .016) compared with their siblings. C-C motif chemokine 11 levels were increased in siblings compared with controls (P = .015), and a similar tendency was found in patients compared with controls (P = .045). Glutathione peroxidase activity was decreased in patients compared with controls (P = .006) and siblings (P = .025). No differences were found for the other markers. Conclusions: The present results suggest that unaffected siblings may present accelerated aging features. These neurobiological findings may be considered as endophenotypic traits. Further prospective studies are warranted.","author":[{"dropping-particle":"","family":"Vasconcelos-Moreno","given":"Mirela Paiva","non-dropping-particle":"","parse-names":false,"suffix":""},{"dropping-particle":"","family":"Fries","given":"Gabriel Rodrigo","non-dropping-particle":"","parse-names":false,"suffix":""},{"dropping-particle":"","family":"Gubert","given":"Carolina","non-dropping-particle":"","parse-names":false,"suffix":""},{"dropping-particle":"","family":"Santos","given":"Bárbara Tietböhl Martins Quadros","non-dropping-particle":"Dos","parse-names":false,"suffix":""},{"dropping-particle":"","family":"Fijtman","given":"Adam","non-dropping-particle":"","parse-names":false,"suffix":""},{"dropping-particle":"","family":"Sartori","given":"Juliana","non-dropping-particle":"","parse-names":false,"suffix":""},{"dropping-particle":"","family":"Ferrari","given":"Pamela","non-dropping-particle":"","parse-names":false,"suffix":""},{"dropping-particle":"","family":"Grun","given":"Lucas Kich","non-dropping-particle":"","parse-names":false,"suffix":""},{"dropping-particle":"","family":"Parisi","given":"Mariana Migliorini","non-dropping-particle":"","parse-names":false,"suffix":""},{"dropping-particle":"","family":"Guma","given":"Fátima Theresinha Costa Rodrigues","non-dropping-particle":"","parse-names":false,"suffix":""},{"dropping-particle":"","family":"Barbé-Tuana","given":"Florencia Maria","non-dropping-particle":"","parse-names":false,"suffix":""},{"dropping-particle":"","family":"Kapczinski","given":"Flávio","non-dropping-particle":"","parse-names":false,"suffix":""},{"dropping-particle":"","family":"Rosa","given":"Adriane Ribeiro","non-dropping-particle":"","parse-names":false,"suffix":""},{"dropping-particle":"","family":"Yatham","given":"Lakshmi N.","non-dropping-particle":"","parse-names":false,"suffix":""},{"dropping-particle":"","family":"Kauer-Sant'Anna","given":"Marcia","non-dropping-particle":"","parse-names":false,"suffix":""}],"container-title":"International Journal of Neuropsychopharmacology","id":"ITEM-43","issue":"6","issued":{"date-parts":[["2017","6","1"]]},"page":"445-454","publisher":"Oxford University Press","title":"Telomere Length, Oxidative Stress, Inflammation and BDNF Levels in Siblings of Patients with Bipolar Disorder: Implications for Accelerated Cellular Aging","type":"article-journal","volume":"20"},"uris":["http://www.mendeley.com/documents/?uuid=886d170a-11d1-38b9-b2cc-55d20199572f"]},{"id":"ITEM-44","itemData":{"DOI":"10.1002/hup.390","ISSN":"08856222","PMID":"12404684","abstract":"Although abnormalities of the immune system have been described in depression, information on serological alteration in acutely manic patients has been scarce. The present study undertook to investigate the levels of C-reactive proteins, circulating immune complexes, total immunoglobulins and immunoglobulin subclasses, complement proteins C3, C4, C6 and Factor B in the sera of 45 patients suffering from an acute manic episode. The findings were compared with assessments on the sera of 45 controls. The results demonstrate a number of significant differences between patients and controls. Whilst levels of immunoglobulin D were significantly lower, the levels of total immunoglobulin and immunoglobulin G1, complement proteins C3, C6 and Factor B were raised in the patient group when compared with the controls. Our results suggest a relationship between acute mania and immunological parameters associated with acute phase responses. Copyright © 2002 John Wiley &amp; Sons, Ltd.","author":[{"dropping-particle":"","family":"Wadee","given":"Ahmed A.","non-dropping-particle":"","parse-names":false,"suffix":""},{"dropping-particle":"","family":"Kuschke","given":"Reverie H.","non-dropping-particle":"","parse-names":false,"suffix":""},{"dropping-particle":"","family":"Wood","given":"Lesley A.","non-dropping-particle":"","parse-names":false,"suffix":""},{"dropping-particle":"","family":"Berk","given":"Michael","non-dropping-particle":"","parse-names":false,"suffix":""},{"dropping-particle":"","family":"Ichim","given":"Liuvu","non-dropping-particle":"","parse-names":false,"suffix":""},{"dropping-particle":"","family":"Maes","given":"Michael","non-dropping-particle":"","parse-names":false,"suffix":""}],"container-title":"Human Psychopharmacology","id":"ITEM-44","issue":"4","issued":{"date-parts":[["2002"]]},"page":"175-179","publisher":"Hum Psychopharmacol","title":"Serological observations in patients suffering from acute manic episodes","type":"article-journal","volume":"17"},"uris":["http://www.mendeley.com/documents/?uuid=13ef742f-51bf-3286-9d4d-a1c6ad5c5d55"]},{"id":"ITEM-45","itemData":{"DOI":"10.1093/ijnp/pyw012","ISSN":"14695111","PMID":"26865313","abstract":"Objective: Emerging evidence suggests that inflammation and neurodegeneration underlies bipolar disorder. To investigate biological markers of cytokines and brain-derived neurotrophic factor between bipolar I, bipolar II, and other specified bipolar disorder with short duration hypomania may support the association with inflammatory dysregulation and bipolar disorder and, more specifically, provide evidence for other specified bipolar disorder with short duration hypomania patients were similar to bipolar II disorder patients from a biological marker perspective. Methods: We enrolled patients with bipolar I disorder (n = 234), bipolar II disorder (n = 260), other specified bipolar disorder with short duration hypomania (n = 243), and healthy controls (n = 140). Their clinical symptoms were rated using the Hamilton Depression Rating Scale and Young Mania Rating Scale. Inflammatory cytokine (tumor necrosis factor-α, C-reactive protein, transforming growth factor-β1, and interleukin-8) and brain-derived neurotrophic factor levels were measured in each group. Multivariate analysis of covariance and linear regression controlled for possible confounders were used to compare cytokine and brain-derived neurotrophic factor levels among the groups. Results: Multivariate analysis of covariance adjusted for age and sex and a main effect of diagnosis was significant (P &lt; .001). Three of the 5 measured biomarkers (tumor necrosis factor-α, transforming growth factor-β1, and interleukin-8) were significantly (P = .006, .01, and &lt;.001) higher in all bipolar disorder patients than in controls. Moreover, covarying for multiple associated confounders showed that bipolar I disorder patients had significantly higher IL-8 levels than did bipolar II disorder and other specified bipolar disorder with short duration hypomania patients in multivariate analysis of covariance (P = .03) and linear regression (P=.02) analyses. Biomarkers differences between bipolar II disorder and other specified bipolar disorder with short duration hypomania patients were nonsignificant. Conclusion: The immunological disturbance along the bipolar spectrum was most severe in bipolar I disorder patients. Other specified bipolar disorder with short duration hypomania patients and bipolar II disorder patients did not differ in these biological markers.","author":[{"dropping-particle":"","family":"Wang","given":"Tzu Yun","non-dropping-particle":"","parse-names":false,"suffix":""},{"dropping-particle":"","family":"Lee","given":"Sheng Yu","non-dropping-particle":"","parse-names":false,"suffix":""},{"dropping-particle":"","family":"Chen","given":"Shiou Lan","non-dropping-particle":"","parse-names":false,"suffix":""},{"dropping-particle":"","family":"Chung","given":"Yi Lun","non-dropping-particle":"","parse-names":false,"suffix":""},{"dropping-particle":"","family":"Li","given":"Chia Ling","non-dropping-particle":"","parse-names":false,"suffix":""},{"dropping-particle":"","family":"Chang","given":"Yun Hsuan","non-dropping-particle":"","parse-names":false,"suffix":""},{"dropping-particle":"","family":"Wang","given":"Liang Jen","non-dropping-particle":"","parse-names":false,"suffix":""},{"dropping-particle":"","family":"Chen","given":"Po See","non-dropping-particle":"","parse-names":false,"suffix":""},{"dropping-particle":"","family":"Chen","given":"Shih Heng","non-dropping-particle":"","parse-names":false,"suffix":""},{"dropping-particle":"","family":"Chu","given":"Chun Hsien","non-dropping-particle":"","parse-names":false,"suffix":""},{"dropping-particle":"","family":"Huang","given":"San Yuan","non-dropping-particle":"","parse-names":false,"suffix":""},{"dropping-particle":"","family":"Tzeng","given":"Nian Sheng","non-dropping-particle":"","parse-names":false,"suffix":""},{"dropping-particle":"","family":"Hsieh","given":"Tsai Hsin","non-dropping-particle":"","parse-names":false,"suffix":""},{"dropping-particle":"","family":"Chiu","given":"Yen Chu","non-dropping-particle":"","parse-names":false,"suffix":""},{"dropping-particle":"","family":"Lee","given":"I. Hui","non-dropping-particle":"","parse-names":false,"suffix":""},{"dropping-particle":"","family":"Chen","given":"Kao Chin","non-dropping-particle":"","parse-names":false,"suffix":""},{"dropping-particle":"","family":"Yang","given":"Yen Kuang","non-dropping-particle":"","parse-names":false,"suffix":""},{"dropping-particle":"","family":"Hong","given":"Jau Shyong","non-dropping-particle":"","parse-names":false,"suffix":""},{"dropping-particle":"","family":"Lu","given":"Ru Band","non-dropping-particle":"","parse-names":false,"suffix":""}],"container-title":"International Journal of Neuropsychopharmacology","id":"ITEM-45","issue":"8","issued":{"date-parts":[["2016","8","1"]]},"page":"1-8","publisher":"Oxford University Press","title":"The differential levels of inflammatory cytokines and bdnf among bipolar spectrum disorders","type":"article-journal","volume":"19"},"uris":["http://www.mendeley.com/documents/?uuid=acc65cd3-9239-3302-9d99-396e324a8e45"]},{"id":"ITEM-46","itemData":{"DOI":"10.1016/j.jneuroim.2017.03.003","ISSN":"18728421","PMID":"28495135","abstract":"Objective To assess the association between peripheral levels of inflammatory cytokines and functional impairment in subjects with Bipolar Disorder (BD), Major Depressive Disorder (MDD) and population controls. Methods This was a cross-sectional study with a matched sample of drug-free young adults with BD (n = 48), MDD (n = 48) and population controls (n = 48). Mood disorder was confirmed by a certified psychologist using the Structured Clinical Interview for DSM-IV (SCID-I). Functional impairment was assessed using the Functional Assessment Short Test (FAST). Serum levels of IL-6 and IL-10 were measured by ELISA. Results Peripheral levels of IL-6 and IL-10 were not significantly different between subjects with BD, MDD compared to controls. Higher levels of functional impairment were verified in subjects with BD and MDD compared to population controls (p ≤ 0.001). In addition, IL-6 and IL-10 levels were positively correlated with functional impairment in subjects with BD (IL-6: r = 0.349, p = 0.016; and IL-10: r = 0.351, p = 0.016). Conclusion Inflammatory dysregulation was associated with functional impairment among drug-free subjects with BD. This finding suggests that inflammatory dysregulation may be involved in the neuroprogression of BD.","author":[{"dropping-particle":"","family":"Wiener","given":"Carolina David","non-dropping-particle":"","parse-names":false,"suffix":""},{"dropping-particle":"","family":"Moreira","given":"Fernanda Pedrotti","non-dropping-particle":"","parse-names":false,"suffix":""},{"dropping-particle":"","family":"Cardoso","given":"Taiane Azevedo","non-dropping-particle":"","parse-names":false,"suffix":""},{"dropping-particle":"","family":"Mondin","given":"Thaise Campos","non-dropping-particle":"","parse-names":false,"suffix":""},{"dropping-particle":"","family":"Silva Magalhães","given":"Pedro Vieira","non-dropping-particle":"da","parse-names":false,"suffix":""},{"dropping-particle":"","family":"Kapczinski","given":"Flavio","non-dropping-particle":"","parse-names":false,"suffix":""},{"dropping-particle":"","family":"Mattos Souza","given":"Luciano Dias","non-dropping-particle":"de","parse-names":false,"suffix":""},{"dropping-particle":"","family":"Silva","given":"Ricardo Azevedo","non-dropping-particle":"da","parse-names":false,"suffix":""},{"dropping-particle":"","family":"Oses","given":"Jean Pierre","non-dropping-particle":"","parse-names":false,"suffix":""},{"dropping-particle":"","family":"Jansen","given":"Karen","non-dropping-particle":"","parse-names":false,"suffix":""}],"container-title":"Journal of Neuroimmunology","id":"ITEM-46","issued":{"date-parts":[["2017","6","15"]]},"page":"33-36","publisher":"Elsevier B.V.","title":"Inflammatory cytokines and functional impairment in drug-free subjects with mood disorder","type":"article-journal","volume":"307"},"uris":["http://www.mendeley.com/documents/?uuid=6d05110e-35ea-34af-bb3d-973fbded79c2"]},{"id":"ITEM-47","itemData":{"DOI":"10.1016/j.psychres.2019.01.100","ISSN":"18727123","PMID":"31207853","abstract":"Objective: The aim of this study was to assess if cytokines levels (IL-6 and IL-10) are related to major depressive disorder (MDD) and bipolar disorder (BD), in a population-based study. Methods: This was a cross-sectional study population-based, involving 1037 people aged 18–35. MDD, BD, anxiety and suicide risk were assessed using the Mini International Neuropsychiatric Interview. Serum IL-6 and IL-10 were measured by ELISA using a commercial kit. Results: The total sample comprised 1034 young adults, being 14.4% with MDD and 13.7% with BD. MDD and BD groups showed significantly higher serum IL-6 levels (p ≤ 0.001) and IL-10 levels (p ≤ 0.001) when compared to healthy control group. No correlation was found between serum IL-6 and IL-10 levels in health control group (p = 0.830; r = −0.008), non-suicide risk (p = 0.337; r = 0.032) and non-anxiety disorder (p = 0.375; r = 0.031). Covariance analysis showed that mood disorders alone, increase both interleukin levels (IL-6, p = 0.019; and IL-10, p = 0.026), whilst the interaction of mood disorders and suicide risk or anxiety disorders did not. Conclusion: Our results suggest that inflammatory dysregulation may be involved in the physiopathology of mood disorders and serum IL-6 and IL-10 levels are putative biomarkers for these disorders.","author":[{"dropping-particle":"","family":"Wiener","given":"Carolina David","non-dropping-particle":"","parse-names":false,"suffix":""},{"dropping-particle":"","family":"Moreira","given":"Fernanda Pedrotti","non-dropping-particle":"","parse-names":false,"suffix":""},{"dropping-particle":"","family":"Portela","given":"Luis Valmor","non-dropping-particle":"","parse-names":false,"suffix":""},{"dropping-particle":"","family":"Strogulski","given":"Nathan R.","non-dropping-particle":"","parse-names":false,"suffix":""},{"dropping-particle":"","family":"Lara","given":"Diogo R.","non-dropping-particle":"","parse-names":false,"suffix":""},{"dropping-particle":"","family":"Silva","given":"Ricardo Azevedo","non-dropping-particle":"da","parse-names":false,"suffix":""},{"dropping-particle":"","family":"Souza","given":"Luciano Dias de Mattos","non-dropping-particle":"","parse-names":false,"suffix":""},{"dropping-particle":"","family":"Jansen","given":"Karen","non-dropping-particle":"","parse-names":false,"suffix":""},{"dropping-particle":"","family":"Oses","given":"Jean Pierre","non-dropping-particle":"","parse-names":false,"suffix":""}],"container-title":"Psychiatry Research","id":"ITEM-47","issued":{"date-parts":[["2019","3","1"]]},"page":"685-689","publisher":"Elsevier Ireland Ltd","title":"Interleukin-6 and Interleukin-10 in mood disorders: A population-based study","type":"article-journal","volume":"273"},"uris":["http://www.mendeley.com/documents/?uuid=626e8c39-1eb9-355f-8df3-7f567280ffcd"]},{"id":"ITEM-48","itemData":{"DOI":"10.1016/j.neulet.2014.07.040","ISSN":"18727972","PMID":"25092610","abstract":"Mounting evidence suggests a chronic pro-inflammatory state in individuals with bipolar disorder (BD). Stress exposure is known to exacerbate several inflammatory conditions as well as psychiatric disorders. Here, we analyzed plasma levels of pro-inflammatory cytokines and their soluble receptors to realistic acute psychosocial stress challenge in BD. Thirteen euthymic type 1 BD patients and 15 matched controls underwent the Trier Social Stress Test protocol (TSST). Blood samples were collected before and after TSST and plasma cytokines interleukin IL-2, IL-6, IL-33, and tumor necrosis factor alpha (TNF-α) were measured. In addition TNF-α soluble receptors TNFR1 and TNFR2, and IL-33 soluble receptor sST2 were assessed. Increased IL-33 and reduced sST2 levels were observed in BD subjects as compared to controls, independently of stress exposure. Following TSST, there were higher levels of IL-2 and reduced levels of sTNFR1 in both groups. However, the magnitude change for both cytokines was found higher in controls than BD subjects. Our data suggest that BD patients have differential stress reactivity as compared to controls, possibly related to an immunologic imbalance and failure of regulatory mechanisms. © 2014 Elsevier Ireland Ltd.","author":[{"dropping-particle":"","family":"Wieck","given":"Andrea","non-dropping-particle":"","parse-names":false,"suffix":""},{"dropping-particle":"","family":"Grassi-Oliveira","given":"Rodrigo","non-dropping-particle":"","parse-names":false,"suffix":""},{"dropping-particle":"","family":"Prado","given":"Carine Hartmann","non-dropping-particle":"do","parse-names":false,"suffix":""},{"dropping-particle":"","family":"Rizzo","given":"Lucas Bortolotto","non-dropping-particle":"","parse-names":false,"suffix":""},{"dropping-particle":"","family":"Oliveira","given":"Agatha Schommer","non-dropping-particle":"de","parse-names":false,"suffix":""},{"dropping-particle":"","family":"Kommers-Molina","given":"Júlia","non-dropping-particle":"","parse-names":false,"suffix":""},{"dropping-particle":"","family":"Viola","given":"Thiago Wendt","non-dropping-particle":"","parse-names":false,"suffix":""},{"dropping-particle":"","family":"Marciano Vieira","given":"Érica Leandro","non-dropping-particle":"","parse-names":false,"suffix":""},{"dropping-particle":"","family":"Teixeira","given":"Ant Ônio Lúcio","non-dropping-particle":"","parse-names":false,"suffix":""},{"dropping-particle":"","family":"Bauer","given":"Moisés Evandro","non-dropping-particle":"","parse-names":false,"suffix":""}],"container-title":"Neuroscience Letters","id":"ITEM-48","issued":{"date-parts":[["2014"]]},"title":"Pro-inflammatory cytokines and soluble receptors in response to acute psychosocial stress: Differential reactivity in bipolar disorder","type":"article-journal"},"uris":["http://www.mendeley.com/documents/?uuid=ab7565dd-9367-41fa-8056-b0b8dcf09029","http://www.mendeley.com/documents/?uuid=35d3b05e-aff7-4066-9a59-6dbffc32d2f9"]},{"id":"ITEM-49","itemData":{"DOI":"10.1038/srep40530","ISSN":"20452322","PMID":"28074937","abstract":"This study aimed to investigate the less known activation pattern of T lymphocyte populations and immune checkpoint inhibitors on immunocytes in patients with bipolar II disorder depression (BD) or major depression (MD). A total of 23 patients with BD, 22 patients with MD, and 20 healthy controls (HCs) were recruited. The blood cell count of T lymphocyte subsets and the plasma level of cytokines (IL-2, IL-4, IL-6, IL-10, TNF-α, and IFN-λ) were selectively investigated. The expression of T-cell immunoglobulin and mucin-domain containing-3 (TIM-3), programmed cell death protein 1 (PD-1) and its ligands, PD-L1 and PD-L2, on T lymphocytes and monocytes, was detected. In results, blood proportion of cytotoxic T cells significantly decreased in BD patients than in either MD patients or HCs. The plasma level of IL-6 increased in patients with BD and MD. The expression of TIM-3 on cytotoxic T cells significantly increased, whereas the expression of PD-L2 on monocytes significantly decreased in patients with BD than in HCs. These findings extended our knowledge of the immune dysfunction in patients with affective disorders.","author":[{"dropping-particle":"","family":"Wu","given":"Wei","non-dropping-particle":"","parse-names":false,"suffix":""},{"dropping-particle":"","family":"Zheng","given":"Ya Li","non-dropping-particle":"","parse-names":false,"suffix":""},{"dropping-particle":"","family":"Tian","given":"Li Ping","non-dropping-particle":"","parse-names":false,"suffix":""},{"dropping-particle":"","family":"Lai","given":"Jian Bo","non-dropping-particle":"","parse-names":false,"suffix":""},{"dropping-particle":"","family":"Hu","given":"Chan Chan","non-dropping-particle":"","parse-names":false,"suffix":""},{"dropping-particle":"","family":"Zhang","given":"Peng","non-dropping-particle":"","parse-names":false,"suffix":""},{"dropping-particle":"","family":"Chen","given":"Jing Kai","non-dropping-particle":"","parse-names":false,"suffix":""},{"dropping-particle":"","family":"Hu","given":"Jian Bo","non-dropping-particle":"","parse-names":false,"suffix":""},{"dropping-particle":"","family":"Huang","given":"Man Li","non-dropping-particle":"","parse-names":false,"suffix":""},{"dropping-particle":"","family":"Wei","given":"Ning","non-dropping-particle":"","parse-names":false,"suffix":""},{"dropping-particle":"","family":"Xu","given":"Wei Juan","non-dropping-particle":"","parse-names":false,"suffix":""},{"dropping-particle":"","family":"Zhou","given":"Wei Hua","non-dropping-particle":"","parse-names":false,"suffix":""},{"dropping-particle":"","family":"Lu","given":"Shao Jia","non-dropping-particle":"","parse-names":false,"suffix":""},{"dropping-particle":"","family":"Lu","given":"Jing","non-dropping-particle":"","parse-names":false,"suffix":""},{"dropping-particle":"","family":"Qi","given":"Hong Li","non-dropping-particle":"","parse-names":false,"suffix":""},{"dropping-particle":"","family":"Wang","given":"Dan Dan","non-dropping-particle":"","parse-names":false,"suffix":""},{"dropping-particle":"","family":"Zhou","given":"Xiao Yi","non-dropping-particle":"","parse-names":false,"suffix":""},{"dropping-particle":"","family":"Duan","given":"Jin Feng","non-dropping-particle":"","parse-names":false,"suffix":""},{"dropping-particle":"","family":"Xu","given":"Yi","non-dropping-particle":"","parse-names":false,"suffix":""},{"dropping-particle":"","family":"Hu","given":"Shao Hua","non-dropping-particle":"","parse-names":false,"suffix":""}],"container-title":"Scientific Reports","id":"ITEM-49","issued":{"date-parts":[["2017","1","11"]]},"publisher":"Nature Publishing Group","title":"Circulating T lymphocyte subsets, cytokines, and immune checkpoint inhibitors in patients with bipolar II or major depression: A preliminary study","type":"article-journal","volume":"7"},"uris":["http://www.mendeley.com/documents/?uuid=11927765-2f11-3773-a7be-cb434ac4ecb2"]}],"mendeley":{"formattedCitation":"(Aas et al., 2017; Bai et al., 2015; Barbosa et al., 2017, 2013, 2012b, 2012a, 2011; Brietzke et al., 2009; Chakrabarty et al., 2019; Chang et al., 2017; Civil Arslan et al., n.d.; Cunha et al., 2008; da Silva et al., 2017; De Berardis et al., 2008; Dickerson et al., 2007; Doganavsargil-Baysal et al., 2013; Glaus et al., 2018; Guloksuz et al., 2010; Hope et al., 2015, 2011, 2009; Hornig et al., 1998; Huang and Lin, 2007; Hung et al., 2007; Jacoby et al., 2016; Kapczinski et al., 2011; Kim et al., 2007; King et al., 2019; Koga et al., 2019; Lesh et al., 2018; Mao et al., 2018; Mizuno et al., 2016; Mondin et al., 2016; Mora et al., 2019; Ortiz-Domínguez et al., 2007; Pantović-Stefanović et al., 2018; Quidé et al., 2019; Remlinger-Molenda et al., 2012; Scola et al., 2016; Tsai et al., 2012; Tunç et al., 2019; van den Ameele et al., 2018; Vasconcelos-Moreno et al., 2017; Wadee et al., 2002; Wang et al., 2016; Wieck et al., 2014; Wiener et al., 2019, 2017; Wu et al., 2017)","plainTextFormattedCitation":"(Aas et al., 2017; Bai et al., 2015; Barbosa et al., 2017, 2013, 2012b, 2012a, 2011; Brietzke et al., 2009; Chakrabarty et al., 2019; Chang et al., 2017; Civil Arslan et al., n.d.; Cunha et al., 2008; da Silva et al., 2017; De Berardis et al., 2008; Dickerson et al., 2007; Doganavsargil-Baysal et al., 2013; Glaus et al., 2018; Guloksuz et al., 2010; Hope et al., 2015, 2011, 2009; Hornig et al., 1998; Huang and Lin, 2007; Hung et al., 2007; Jacoby et al., 2016; Kapczinski et al., 2011; Kim et al., 2007; King et al., 2019; Koga et al., 2019; Lesh et al., 2018; Mao et al., 2018; Mizuno et al., 2016; Mondin et al., 2016; Mora et al., 2019; Ortiz-Domínguez et al., 2007; Pantović-Stefanović et al., 2018; Quidé et al., 2019; Remlinger-Molenda et al., 2012; Scola et al., 2016; Tsai et al., 2012; Tunç et al., 2019; van den Ameele et al., 2018; Vasconcelos-Moreno et al., 2017; Wadee et al., 2002; Wang et al., 2016; Wieck et al., 2014; Wiener et al., 2019, 2017; Wu et al., 2017)","previouslyFormattedCitation":"(Aas et al., 2017; Bai et al., 2015; Barbosa et al., 2017, 2013, 2012b, 2012a, 2011; Brietzke et al., 2009; Chakrabarty et al., 2019; Chang et al., 2017; Civil Arslan et al., n.d.; Cunha et al., 2008; da Silva et al., 2017; De Berardis et al., 2008; Dickerson et al., 2007; Doganavsargil-Baysal et al., 2013; Glaus et al., 2018; Guloksuz et al., 2010; Hope et al., 2015, 2011, 2009; Hornig et al., 1998; Huang and Lin, 2007; Hung et al., 2007; Jacoby et al., 2016; Kapczinski et al., 2011; Kim et al., 2007; King et al., 2019; Koga et al., 2019; Lesh et al., 2018; Mao et al., 2018; Mizuno et al., 2016; Mondin et al., 2016; Mora et al., 2019; Ortiz-Domínguez et al., 2007; Pantović-Stefanović et al., 2018; Quidé et al., 2019; Remlinger-Molenda et al., 2012; Scola et al., 2016; Tsai et al., 2012; Tunç et al., 2019; van den Ameele et al., 2018; Vasconcelos-Moreno et al., 2017; Wadee et al., 2002; Wang et al., 2016; Wieck et al., 2014; Wiener et al., 2019, 2017; Wu et al., 2017)"},"properties":{"noteIndex":0},"schema":"https://github.com/citation-style-language/schema/raw/master/csl-citation.json"}</w:instrText>
      </w:r>
      <w:r w:rsidR="003477AF">
        <w:rPr>
          <w:rFonts w:ascii="Times New Roman" w:hAnsi="Times New Roman" w:cs="Times New Roman"/>
          <w:sz w:val="22"/>
          <w:szCs w:val="22"/>
          <w:lang w:val="en-US"/>
        </w:rPr>
        <w:fldChar w:fldCharType="separate"/>
      </w:r>
      <w:r w:rsidR="00CC5EA9" w:rsidRPr="00CC5EA9">
        <w:rPr>
          <w:rFonts w:ascii="Times New Roman" w:hAnsi="Times New Roman" w:cs="Times New Roman"/>
          <w:noProof/>
          <w:sz w:val="22"/>
          <w:szCs w:val="22"/>
          <w:lang w:val="en-US"/>
        </w:rPr>
        <w:t>(Aas et al., 2017; Bai et al., 2015; Barbosa et al., 2017, 2013, 2012b, 2012a, 2011; Brietzke et al., 2009; Chakrabarty et al., 2019; Chang et al., 2017; Civil Arslan et al., n.d.; Cunha et al., 2008; da Silva et al., 2017; De Berardis et al., 2008; Dickerson et al., 2007; Doganavsargil-Baysal et al., 2013; Glaus et al., 2018; Guloksuz et al., 2010; Hope et al., 2015, 2011, 2009; Hornig et al., 1998; Huang and Lin, 2007; Hung et al., 2007; Jacoby et al., 2016; Kapczinski et al., 2011; Kim et al., 2007; King et al., 2019; Koga et al., 2019; Lesh et al., 2018; Mao et al., 2018; Mizuno et al., 2016; Mondin et al., 2016; Mora et al., 2019; Ortiz-Domínguez et al., 2007; Pantović-Stefanović et al., 2018; Quidé et al., 2019; Remlinger-Molenda et al., 2012; Scola et al., 2016; Tsai et al., 2012; Tunç et al., 2019; van den Ameele et al., 2018; Vasconcelos-Moreno et al., 2017; Wadee et al., 2002; Wang et al., 2016; Wieck et al., 2014; Wiener et al., 2019, 2017; Wu et al., 2017)</w:t>
      </w:r>
      <w:r w:rsidR="003477AF">
        <w:rPr>
          <w:rFonts w:ascii="Times New Roman" w:hAnsi="Times New Roman" w:cs="Times New Roman"/>
          <w:sz w:val="22"/>
          <w:szCs w:val="22"/>
          <w:lang w:val="en-US"/>
        </w:rPr>
        <w:fldChar w:fldCharType="end"/>
      </w:r>
      <w:r w:rsidR="00AD601F">
        <w:rPr>
          <w:rFonts w:ascii="Times New Roman" w:hAnsi="Times New Roman" w:cs="Times New Roman"/>
          <w:sz w:val="22"/>
          <w:szCs w:val="22"/>
          <w:lang w:val="en-US"/>
        </w:rPr>
        <w:t xml:space="preserve"> (see eFigure 1, supplementary online material).</w:t>
      </w:r>
    </w:p>
    <w:p w14:paraId="7BD90871" w14:textId="2C5E203A" w:rsidR="006028AA" w:rsidRDefault="00A95B6D" w:rsidP="005A0E80">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Data on</w:t>
      </w:r>
      <w:r w:rsidR="00251CA6" w:rsidRPr="00446D07">
        <w:rPr>
          <w:rFonts w:ascii="Times New Roman" w:hAnsi="Times New Roman" w:cs="Times New Roman"/>
          <w:sz w:val="22"/>
          <w:szCs w:val="22"/>
          <w:lang w:val="en-US"/>
        </w:rPr>
        <w:t xml:space="preserve"> </w:t>
      </w:r>
      <w:r>
        <w:rPr>
          <w:rFonts w:ascii="Times New Roman" w:hAnsi="Times New Roman" w:cs="Times New Roman"/>
          <w:sz w:val="22"/>
          <w:szCs w:val="22"/>
          <w:lang w:val="en-US"/>
        </w:rPr>
        <w:t>m</w:t>
      </w:r>
      <w:r w:rsidRPr="00446D07">
        <w:rPr>
          <w:rFonts w:ascii="Times New Roman" w:hAnsi="Times New Roman" w:cs="Times New Roman"/>
          <w:sz w:val="22"/>
          <w:szCs w:val="22"/>
          <w:lang w:val="en-US"/>
        </w:rPr>
        <w:t xml:space="preserve">ore </w:t>
      </w:r>
      <w:r w:rsidR="00EC1FF1" w:rsidRPr="00446D07">
        <w:rPr>
          <w:rFonts w:ascii="Times New Roman" w:hAnsi="Times New Roman" w:cs="Times New Roman"/>
          <w:sz w:val="22"/>
          <w:szCs w:val="22"/>
          <w:lang w:val="en-US"/>
        </w:rPr>
        <w:t xml:space="preserve">than one </w:t>
      </w:r>
      <w:r w:rsidR="00BD01E2">
        <w:rPr>
          <w:rFonts w:ascii="Times New Roman" w:hAnsi="Times New Roman" w:cs="Times New Roman"/>
          <w:sz w:val="22"/>
          <w:szCs w:val="22"/>
          <w:lang w:val="en-US"/>
        </w:rPr>
        <w:t>inflammatory mediator</w:t>
      </w:r>
      <w:r w:rsidR="006028AA" w:rsidRPr="00446D07">
        <w:rPr>
          <w:rFonts w:ascii="Times New Roman" w:hAnsi="Times New Roman" w:cs="Times New Roman"/>
          <w:sz w:val="22"/>
          <w:szCs w:val="22"/>
          <w:lang w:val="en-US"/>
        </w:rPr>
        <w:t xml:space="preserve"> </w:t>
      </w:r>
      <w:r w:rsidRPr="00446D07">
        <w:rPr>
          <w:rFonts w:ascii="Times New Roman" w:hAnsi="Times New Roman" w:cs="Times New Roman"/>
          <w:sz w:val="22"/>
          <w:szCs w:val="22"/>
          <w:lang w:val="en-US"/>
        </w:rPr>
        <w:t>w</w:t>
      </w:r>
      <w:r>
        <w:rPr>
          <w:rFonts w:ascii="Times New Roman" w:hAnsi="Times New Roman" w:cs="Times New Roman"/>
          <w:sz w:val="22"/>
          <w:szCs w:val="22"/>
          <w:lang w:val="en-US"/>
        </w:rPr>
        <w:t>ere</w:t>
      </w:r>
      <w:r w:rsidRPr="00446D07">
        <w:rPr>
          <w:rFonts w:ascii="Times New Roman" w:hAnsi="Times New Roman" w:cs="Times New Roman"/>
          <w:sz w:val="22"/>
          <w:szCs w:val="22"/>
          <w:lang w:val="en-US"/>
        </w:rPr>
        <w:t xml:space="preserve"> </w:t>
      </w:r>
      <w:r w:rsidR="006028AA" w:rsidRPr="00446D07">
        <w:rPr>
          <w:rFonts w:ascii="Times New Roman" w:hAnsi="Times New Roman" w:cs="Times New Roman"/>
          <w:sz w:val="22"/>
          <w:szCs w:val="22"/>
          <w:lang w:val="en-US"/>
        </w:rPr>
        <w:t xml:space="preserve">reported </w:t>
      </w:r>
      <w:r w:rsidR="00EC1FF1" w:rsidRPr="00446D07">
        <w:rPr>
          <w:rFonts w:ascii="Times New Roman" w:hAnsi="Times New Roman" w:cs="Times New Roman"/>
          <w:sz w:val="22"/>
          <w:szCs w:val="22"/>
          <w:lang w:val="en-US"/>
        </w:rPr>
        <w:t xml:space="preserve">in </w:t>
      </w:r>
      <w:r w:rsidR="0028795C">
        <w:rPr>
          <w:rFonts w:ascii="Times New Roman" w:hAnsi="Times New Roman" w:cs="Times New Roman"/>
          <w:sz w:val="22"/>
          <w:szCs w:val="22"/>
          <w:lang w:val="en-US"/>
        </w:rPr>
        <w:t>most</w:t>
      </w:r>
      <w:r w:rsidR="0028795C" w:rsidRPr="00446D07">
        <w:rPr>
          <w:rFonts w:ascii="Times New Roman" w:hAnsi="Times New Roman" w:cs="Times New Roman"/>
          <w:sz w:val="22"/>
          <w:szCs w:val="22"/>
          <w:lang w:val="en-US"/>
        </w:rPr>
        <w:t xml:space="preserve"> </w:t>
      </w:r>
      <w:r w:rsidR="006F7F10" w:rsidRPr="00446D07">
        <w:rPr>
          <w:rFonts w:ascii="Times New Roman" w:hAnsi="Times New Roman" w:cs="Times New Roman"/>
          <w:sz w:val="22"/>
          <w:szCs w:val="22"/>
          <w:lang w:val="en-US"/>
        </w:rPr>
        <w:t xml:space="preserve">of the </w:t>
      </w:r>
      <w:r w:rsidR="006B51FB">
        <w:rPr>
          <w:rFonts w:ascii="Times New Roman" w:hAnsi="Times New Roman" w:cs="Times New Roman"/>
          <w:sz w:val="22"/>
          <w:szCs w:val="22"/>
          <w:lang w:val="en-US"/>
        </w:rPr>
        <w:t>49</w:t>
      </w:r>
      <w:r w:rsidR="006F7F10" w:rsidRPr="00446D07">
        <w:rPr>
          <w:rFonts w:ascii="Times New Roman" w:hAnsi="Times New Roman" w:cs="Times New Roman"/>
          <w:sz w:val="22"/>
          <w:szCs w:val="22"/>
          <w:lang w:val="en-US"/>
        </w:rPr>
        <w:t xml:space="preserve"> </w:t>
      </w:r>
      <w:r w:rsidR="00EC1FF1" w:rsidRPr="00446D07">
        <w:rPr>
          <w:rFonts w:ascii="Times New Roman" w:hAnsi="Times New Roman" w:cs="Times New Roman"/>
          <w:sz w:val="22"/>
          <w:szCs w:val="22"/>
          <w:lang w:val="en-US"/>
        </w:rPr>
        <w:t>stud</w:t>
      </w:r>
      <w:r w:rsidR="006F7F10" w:rsidRPr="00446D07">
        <w:rPr>
          <w:rFonts w:ascii="Times New Roman" w:hAnsi="Times New Roman" w:cs="Times New Roman"/>
          <w:sz w:val="22"/>
          <w:szCs w:val="22"/>
          <w:lang w:val="en-US"/>
        </w:rPr>
        <w:t>ies</w:t>
      </w:r>
      <w:r w:rsidR="00EC1FF1" w:rsidRPr="00446D07">
        <w:rPr>
          <w:rFonts w:ascii="Times New Roman" w:hAnsi="Times New Roman" w:cs="Times New Roman"/>
          <w:sz w:val="22"/>
          <w:szCs w:val="22"/>
          <w:lang w:val="en-US"/>
        </w:rPr>
        <w:t xml:space="preserve">, </w:t>
      </w:r>
      <w:r w:rsidR="00E90596" w:rsidRPr="00446D07">
        <w:rPr>
          <w:rFonts w:ascii="Times New Roman" w:hAnsi="Times New Roman" w:cs="Times New Roman"/>
          <w:sz w:val="22"/>
          <w:szCs w:val="22"/>
          <w:lang w:val="en-US"/>
        </w:rPr>
        <w:t xml:space="preserve">yielding </w:t>
      </w:r>
      <w:r w:rsidR="008E3D24" w:rsidRPr="00446D07">
        <w:rPr>
          <w:rFonts w:ascii="Times New Roman" w:hAnsi="Times New Roman" w:cs="Times New Roman"/>
          <w:sz w:val="22"/>
          <w:szCs w:val="22"/>
          <w:lang w:val="en-US"/>
        </w:rPr>
        <w:t xml:space="preserve">135 data points, </w:t>
      </w:r>
      <w:r w:rsidR="006F7F10" w:rsidRPr="00446D07">
        <w:rPr>
          <w:rFonts w:ascii="Times New Roman" w:hAnsi="Times New Roman" w:cs="Times New Roman"/>
          <w:sz w:val="22"/>
          <w:szCs w:val="22"/>
          <w:lang w:val="en-US"/>
        </w:rPr>
        <w:t xml:space="preserve">specifically 37 for CRP, </w:t>
      </w:r>
      <w:r w:rsidR="00961647">
        <w:rPr>
          <w:rFonts w:ascii="Times New Roman" w:hAnsi="Times New Roman" w:cs="Times New Roman"/>
          <w:sz w:val="22"/>
          <w:szCs w:val="22"/>
          <w:lang w:val="en-US"/>
        </w:rPr>
        <w:t>4</w:t>
      </w:r>
      <w:r w:rsidR="00961647" w:rsidRPr="00446D07">
        <w:rPr>
          <w:rFonts w:ascii="Times New Roman" w:hAnsi="Times New Roman" w:cs="Times New Roman"/>
          <w:sz w:val="22"/>
          <w:szCs w:val="22"/>
          <w:lang w:val="en-US"/>
        </w:rPr>
        <w:t xml:space="preserve"> </w:t>
      </w:r>
      <w:r w:rsidR="00B47058" w:rsidRPr="00446D07">
        <w:rPr>
          <w:rFonts w:ascii="Times New Roman" w:hAnsi="Times New Roman" w:cs="Times New Roman"/>
          <w:sz w:val="22"/>
          <w:szCs w:val="22"/>
          <w:lang w:val="en-US"/>
        </w:rPr>
        <w:t>for IL-1</w:t>
      </w:r>
      <w:r w:rsidR="005A0E80">
        <w:rPr>
          <w:rFonts w:ascii="Times New Roman" w:hAnsi="Times New Roman" w:cs="Times New Roman"/>
          <w:sz w:val="22"/>
          <w:szCs w:val="22"/>
          <w:lang w:val="en-US"/>
        </w:rPr>
        <w:t>β</w:t>
      </w:r>
      <w:r w:rsidR="00B47058" w:rsidRPr="00446D07">
        <w:rPr>
          <w:rFonts w:ascii="Times New Roman" w:hAnsi="Times New Roman" w:cs="Times New Roman"/>
          <w:sz w:val="22"/>
          <w:szCs w:val="22"/>
          <w:lang w:val="en-US"/>
        </w:rPr>
        <w:t>, 45 for IL-6, and 49 for TNF-α</w:t>
      </w:r>
      <w:r w:rsidR="00E90596" w:rsidRPr="00446D07">
        <w:rPr>
          <w:rFonts w:ascii="Times New Roman" w:hAnsi="Times New Roman" w:cs="Times New Roman"/>
          <w:sz w:val="22"/>
          <w:szCs w:val="22"/>
          <w:lang w:val="en-US"/>
        </w:rPr>
        <w:t>.</w:t>
      </w:r>
      <w:r w:rsidR="008E3D24" w:rsidRPr="00446D07">
        <w:rPr>
          <w:rFonts w:ascii="Times New Roman" w:hAnsi="Times New Roman" w:cs="Times New Roman"/>
          <w:sz w:val="22"/>
          <w:szCs w:val="22"/>
          <w:lang w:val="en-US"/>
        </w:rPr>
        <w:t xml:space="preserve"> </w:t>
      </w:r>
      <w:r w:rsidR="001532B3">
        <w:rPr>
          <w:rFonts w:ascii="Times New Roman" w:hAnsi="Times New Roman" w:cs="Times New Roman"/>
          <w:sz w:val="22"/>
          <w:szCs w:val="22"/>
          <w:lang w:val="en-US"/>
        </w:rPr>
        <w:t xml:space="preserve">Details </w:t>
      </w:r>
      <w:r w:rsidR="00E2645F">
        <w:rPr>
          <w:rFonts w:ascii="Times New Roman" w:hAnsi="Times New Roman" w:cs="Times New Roman"/>
          <w:sz w:val="22"/>
          <w:szCs w:val="22"/>
          <w:lang w:val="en-US"/>
        </w:rPr>
        <w:t xml:space="preserve">on </w:t>
      </w:r>
      <w:r w:rsidR="00912D29">
        <w:rPr>
          <w:rFonts w:ascii="Times New Roman" w:hAnsi="Times New Roman" w:cs="Times New Roman"/>
          <w:sz w:val="22"/>
          <w:szCs w:val="22"/>
          <w:lang w:val="en-US"/>
        </w:rPr>
        <w:t xml:space="preserve">the distribution of outcomes across included studies as well as further characteristics </w:t>
      </w:r>
      <w:r w:rsidR="001532B3">
        <w:rPr>
          <w:rFonts w:ascii="Times New Roman" w:hAnsi="Times New Roman" w:cs="Times New Roman"/>
          <w:sz w:val="22"/>
          <w:szCs w:val="22"/>
          <w:lang w:val="en-US"/>
        </w:rPr>
        <w:t>on outcomes</w:t>
      </w:r>
      <w:r w:rsidR="00E2645F">
        <w:rPr>
          <w:rFonts w:ascii="Times New Roman" w:hAnsi="Times New Roman" w:cs="Times New Roman"/>
          <w:sz w:val="22"/>
          <w:szCs w:val="22"/>
          <w:lang w:val="en-US"/>
        </w:rPr>
        <w:t xml:space="preserve"> are</w:t>
      </w:r>
      <w:r w:rsidR="001532B3">
        <w:rPr>
          <w:rFonts w:ascii="Times New Roman" w:hAnsi="Times New Roman" w:cs="Times New Roman"/>
          <w:sz w:val="22"/>
          <w:szCs w:val="22"/>
          <w:lang w:val="en-US"/>
        </w:rPr>
        <w:t xml:space="preserve"> reported </w:t>
      </w:r>
      <w:r w:rsidR="00E2645F">
        <w:rPr>
          <w:rFonts w:ascii="Times New Roman" w:hAnsi="Times New Roman" w:cs="Times New Roman"/>
          <w:sz w:val="22"/>
          <w:szCs w:val="22"/>
          <w:lang w:val="en-US"/>
        </w:rPr>
        <w:t xml:space="preserve">in Table </w:t>
      </w:r>
      <w:r w:rsidR="00AA0CFE">
        <w:rPr>
          <w:rFonts w:ascii="Times New Roman" w:hAnsi="Times New Roman" w:cs="Times New Roman"/>
          <w:sz w:val="22"/>
          <w:szCs w:val="22"/>
          <w:lang w:val="en-US"/>
        </w:rPr>
        <w:t>1</w:t>
      </w:r>
      <w:r w:rsidR="00E2645F">
        <w:rPr>
          <w:rFonts w:ascii="Times New Roman" w:hAnsi="Times New Roman" w:cs="Times New Roman"/>
          <w:sz w:val="22"/>
          <w:szCs w:val="22"/>
          <w:lang w:val="en-US"/>
        </w:rPr>
        <w:t xml:space="preserve">. </w:t>
      </w:r>
      <w:r w:rsidR="001E2B2C">
        <w:rPr>
          <w:rFonts w:ascii="Times New Roman" w:hAnsi="Times New Roman" w:cs="Times New Roman"/>
          <w:sz w:val="22"/>
          <w:szCs w:val="22"/>
          <w:lang w:val="en-US"/>
        </w:rPr>
        <w:t xml:space="preserve">Subjects’ </w:t>
      </w:r>
      <w:r w:rsidR="004F2C30">
        <w:rPr>
          <w:rFonts w:ascii="Times New Roman" w:hAnsi="Times New Roman" w:cs="Times New Roman"/>
          <w:sz w:val="22"/>
          <w:szCs w:val="22"/>
          <w:lang w:val="en-US"/>
        </w:rPr>
        <w:t>m</w:t>
      </w:r>
      <w:r w:rsidR="004F2C30" w:rsidRPr="00446D07">
        <w:rPr>
          <w:rFonts w:ascii="Times New Roman" w:hAnsi="Times New Roman" w:cs="Times New Roman"/>
          <w:sz w:val="22"/>
          <w:szCs w:val="22"/>
          <w:lang w:val="en-US"/>
        </w:rPr>
        <w:t xml:space="preserve">ean </w:t>
      </w:r>
      <w:r w:rsidR="008E3D24" w:rsidRPr="00446D07">
        <w:rPr>
          <w:rFonts w:ascii="Times New Roman" w:hAnsi="Times New Roman" w:cs="Times New Roman"/>
          <w:sz w:val="22"/>
          <w:szCs w:val="22"/>
          <w:lang w:val="en-US"/>
        </w:rPr>
        <w:t>age was 36.96</w:t>
      </w:r>
      <w:r w:rsidR="004F2C30">
        <w:rPr>
          <w:rFonts w:ascii="Times New Roman" w:hAnsi="Times New Roman" w:cs="Times New Roman"/>
          <w:sz w:val="22"/>
          <w:szCs w:val="22"/>
          <w:lang w:val="en-US"/>
        </w:rPr>
        <w:t xml:space="preserve"> years</w:t>
      </w:r>
      <w:r w:rsidR="008E3D24" w:rsidRPr="00446D07">
        <w:rPr>
          <w:rFonts w:ascii="Times New Roman" w:hAnsi="Times New Roman" w:cs="Times New Roman"/>
          <w:sz w:val="22"/>
          <w:szCs w:val="22"/>
          <w:lang w:val="en-US"/>
        </w:rPr>
        <w:t xml:space="preserve"> (standard deviation 9.29), and </w:t>
      </w:r>
      <w:r w:rsidR="004F2C30">
        <w:rPr>
          <w:rFonts w:ascii="Times New Roman" w:hAnsi="Times New Roman" w:cs="Times New Roman"/>
          <w:sz w:val="22"/>
          <w:szCs w:val="22"/>
          <w:lang w:val="en-US"/>
        </w:rPr>
        <w:t xml:space="preserve">the </w:t>
      </w:r>
      <w:r w:rsidR="008E3D24" w:rsidRPr="00446D07">
        <w:rPr>
          <w:rFonts w:ascii="Times New Roman" w:hAnsi="Times New Roman" w:cs="Times New Roman"/>
          <w:sz w:val="22"/>
          <w:szCs w:val="22"/>
          <w:lang w:val="en-US"/>
        </w:rPr>
        <w:t>mean female percentage was 56.31 (</w:t>
      </w:r>
      <w:r w:rsidR="00225AFC">
        <w:rPr>
          <w:rFonts w:ascii="Times New Roman" w:hAnsi="Times New Roman" w:cs="Times New Roman"/>
          <w:sz w:val="22"/>
          <w:szCs w:val="22"/>
          <w:lang w:val="en-US"/>
        </w:rPr>
        <w:t xml:space="preserve">SD </w:t>
      </w:r>
      <w:r w:rsidR="008E3D24" w:rsidRPr="00446D07">
        <w:rPr>
          <w:rFonts w:ascii="Times New Roman" w:hAnsi="Times New Roman" w:cs="Times New Roman"/>
          <w:sz w:val="22"/>
          <w:szCs w:val="22"/>
          <w:lang w:val="en-US"/>
        </w:rPr>
        <w:t>16.61).</w:t>
      </w:r>
      <w:r>
        <w:rPr>
          <w:rFonts w:ascii="Times New Roman" w:hAnsi="Times New Roman" w:cs="Times New Roman"/>
          <w:sz w:val="22"/>
          <w:szCs w:val="22"/>
          <w:lang w:val="en-US"/>
        </w:rPr>
        <w:t xml:space="preserve"> </w:t>
      </w:r>
      <w:r w:rsidR="004766F3">
        <w:rPr>
          <w:rFonts w:ascii="Times New Roman" w:hAnsi="Times New Roman" w:cs="Times New Roman"/>
          <w:sz w:val="22"/>
          <w:szCs w:val="22"/>
          <w:lang w:val="en-US"/>
        </w:rPr>
        <w:t xml:space="preserve">Data </w:t>
      </w:r>
      <w:r w:rsidR="00225AFC">
        <w:rPr>
          <w:rFonts w:ascii="Times New Roman" w:hAnsi="Times New Roman" w:cs="Times New Roman"/>
          <w:sz w:val="22"/>
          <w:szCs w:val="22"/>
          <w:lang w:val="en-US"/>
        </w:rPr>
        <w:t xml:space="preserve">were </w:t>
      </w:r>
      <w:r w:rsidR="004766F3">
        <w:rPr>
          <w:rFonts w:ascii="Times New Roman" w:hAnsi="Times New Roman" w:cs="Times New Roman"/>
          <w:sz w:val="22"/>
          <w:szCs w:val="22"/>
          <w:lang w:val="en-US"/>
        </w:rPr>
        <w:t>synthesized</w:t>
      </w:r>
      <w:r>
        <w:rPr>
          <w:rFonts w:ascii="Times New Roman" w:hAnsi="Times New Roman" w:cs="Times New Roman"/>
          <w:sz w:val="22"/>
          <w:szCs w:val="22"/>
          <w:lang w:val="en-US"/>
        </w:rPr>
        <w:t xml:space="preserve"> from </w:t>
      </w:r>
      <w:r w:rsidR="00B84093">
        <w:rPr>
          <w:rFonts w:ascii="Times New Roman" w:hAnsi="Times New Roman" w:cs="Times New Roman"/>
          <w:sz w:val="22"/>
          <w:szCs w:val="22"/>
          <w:lang w:val="en-US"/>
        </w:rPr>
        <w:t>8</w:t>
      </w:r>
      <w:r w:rsidR="004F2C30">
        <w:rPr>
          <w:rFonts w:ascii="Times New Roman" w:hAnsi="Times New Roman" w:cs="Times New Roman"/>
          <w:sz w:val="22"/>
          <w:szCs w:val="22"/>
          <w:lang w:val="en-US"/>
        </w:rPr>
        <w:t>,</w:t>
      </w:r>
      <w:r w:rsidR="00B84093">
        <w:rPr>
          <w:rFonts w:ascii="Times New Roman" w:hAnsi="Times New Roman" w:cs="Times New Roman"/>
          <w:sz w:val="22"/>
          <w:szCs w:val="22"/>
          <w:lang w:val="en-US"/>
        </w:rPr>
        <w:t>837</w:t>
      </w:r>
      <w:r>
        <w:rPr>
          <w:rFonts w:ascii="Times New Roman" w:hAnsi="Times New Roman" w:cs="Times New Roman"/>
          <w:sz w:val="22"/>
          <w:szCs w:val="22"/>
          <w:lang w:val="en-US"/>
        </w:rPr>
        <w:t xml:space="preserve"> participants</w:t>
      </w:r>
      <w:r w:rsidR="006C4BE3">
        <w:rPr>
          <w:rFonts w:ascii="Times New Roman" w:hAnsi="Times New Roman" w:cs="Times New Roman"/>
          <w:sz w:val="22"/>
          <w:szCs w:val="22"/>
          <w:lang w:val="en-US"/>
        </w:rPr>
        <w:t xml:space="preserve"> (</w:t>
      </w:r>
      <w:r w:rsidR="00B84093">
        <w:rPr>
          <w:rFonts w:ascii="Times New Roman" w:hAnsi="Times New Roman" w:cs="Times New Roman"/>
          <w:sz w:val="22"/>
          <w:szCs w:val="22"/>
          <w:lang w:val="en-US"/>
        </w:rPr>
        <w:t>3</w:t>
      </w:r>
      <w:r w:rsidR="004F2C30">
        <w:rPr>
          <w:rFonts w:ascii="Times New Roman" w:hAnsi="Times New Roman" w:cs="Times New Roman"/>
          <w:sz w:val="22"/>
          <w:szCs w:val="22"/>
          <w:lang w:val="en-US"/>
        </w:rPr>
        <w:t>,</w:t>
      </w:r>
      <w:r w:rsidR="00B84093">
        <w:rPr>
          <w:rFonts w:ascii="Times New Roman" w:hAnsi="Times New Roman" w:cs="Times New Roman"/>
          <w:sz w:val="22"/>
          <w:szCs w:val="22"/>
          <w:lang w:val="en-US"/>
        </w:rPr>
        <w:t>528</w:t>
      </w:r>
      <w:r w:rsidR="006C4BE3">
        <w:rPr>
          <w:rFonts w:ascii="Times New Roman" w:hAnsi="Times New Roman" w:cs="Times New Roman"/>
          <w:sz w:val="22"/>
          <w:szCs w:val="22"/>
          <w:lang w:val="en-US"/>
        </w:rPr>
        <w:t xml:space="preserve"> participants with BD and </w:t>
      </w:r>
      <w:r w:rsidR="00B84093">
        <w:rPr>
          <w:rFonts w:ascii="Times New Roman" w:hAnsi="Times New Roman" w:cs="Times New Roman"/>
          <w:sz w:val="22"/>
          <w:szCs w:val="22"/>
          <w:lang w:val="en-US"/>
        </w:rPr>
        <w:t>5</w:t>
      </w:r>
      <w:r w:rsidR="004F2C30">
        <w:rPr>
          <w:rFonts w:ascii="Times New Roman" w:hAnsi="Times New Roman" w:cs="Times New Roman"/>
          <w:sz w:val="22"/>
          <w:szCs w:val="22"/>
          <w:lang w:val="en-US"/>
        </w:rPr>
        <w:t>,</w:t>
      </w:r>
      <w:r w:rsidR="00B84093">
        <w:rPr>
          <w:rFonts w:ascii="Times New Roman" w:hAnsi="Times New Roman" w:cs="Times New Roman"/>
          <w:sz w:val="22"/>
          <w:szCs w:val="22"/>
          <w:lang w:val="en-US"/>
        </w:rPr>
        <w:t>309</w:t>
      </w:r>
      <w:r w:rsidR="006C4BE3">
        <w:rPr>
          <w:rFonts w:ascii="Times New Roman" w:hAnsi="Times New Roman" w:cs="Times New Roman"/>
          <w:sz w:val="22"/>
          <w:szCs w:val="22"/>
          <w:lang w:val="en-US"/>
        </w:rPr>
        <w:t xml:space="preserve"> controls).</w:t>
      </w:r>
    </w:p>
    <w:p w14:paraId="059ACD70" w14:textId="06EDAF1F" w:rsidR="00F740C7" w:rsidRPr="00446D07" w:rsidRDefault="001B4B06" w:rsidP="008D52D7">
      <w:pPr>
        <w:pStyle w:val="Heading2"/>
      </w:pPr>
      <w:r w:rsidRPr="00446D07">
        <w:t>3.</w:t>
      </w:r>
      <w:r w:rsidR="00E83947">
        <w:t>2</w:t>
      </w:r>
      <w:r w:rsidRPr="00446D07">
        <w:t xml:space="preserve"> Mean difference</w:t>
      </w:r>
      <w:r w:rsidR="001D52E1" w:rsidRPr="00446D07">
        <w:t xml:space="preserve"> in levels of inflammatory mediators</w:t>
      </w:r>
    </w:p>
    <w:p w14:paraId="65D856C1" w14:textId="608F30BE" w:rsidR="00F41676" w:rsidRDefault="00D57162" w:rsidP="00F41676">
      <w:pPr>
        <w:spacing w:line="480" w:lineRule="auto"/>
        <w:jc w:val="both"/>
        <w:rPr>
          <w:rFonts w:ascii="Times New Roman" w:hAnsi="Times New Roman" w:cs="Times New Roman"/>
          <w:sz w:val="22"/>
          <w:szCs w:val="22"/>
          <w:lang w:val="en-US"/>
        </w:rPr>
      </w:pPr>
      <w:r w:rsidRPr="00446D07">
        <w:rPr>
          <w:rFonts w:ascii="Times New Roman" w:hAnsi="Times New Roman" w:cs="Times New Roman"/>
          <w:sz w:val="22"/>
          <w:szCs w:val="22"/>
          <w:lang w:val="en-US"/>
        </w:rPr>
        <w:t xml:space="preserve">The results of the comparative meta-analysis on levels of a-priori selected inflammatory mediators is reported </w:t>
      </w:r>
      <w:r w:rsidR="00446D07" w:rsidRPr="00446D07">
        <w:rPr>
          <w:rFonts w:ascii="Times New Roman" w:hAnsi="Times New Roman" w:cs="Times New Roman"/>
          <w:sz w:val="22"/>
          <w:szCs w:val="22"/>
          <w:lang w:val="en-US"/>
        </w:rPr>
        <w:t xml:space="preserve">in Figure </w:t>
      </w:r>
      <w:r w:rsidR="00AD601F">
        <w:rPr>
          <w:rFonts w:ascii="Times New Roman" w:hAnsi="Times New Roman" w:cs="Times New Roman"/>
          <w:sz w:val="22"/>
          <w:szCs w:val="22"/>
          <w:lang w:val="en-US"/>
        </w:rPr>
        <w:t>1</w:t>
      </w:r>
      <w:r w:rsidR="00446D07" w:rsidRPr="00446D07">
        <w:rPr>
          <w:rFonts w:ascii="Times New Roman" w:hAnsi="Times New Roman" w:cs="Times New Roman"/>
          <w:sz w:val="22"/>
          <w:szCs w:val="22"/>
          <w:lang w:val="en-US"/>
        </w:rPr>
        <w:t>.</w:t>
      </w:r>
      <w:r w:rsidR="00446D07">
        <w:rPr>
          <w:rFonts w:ascii="Times New Roman" w:hAnsi="Times New Roman" w:cs="Times New Roman"/>
          <w:sz w:val="22"/>
          <w:szCs w:val="22"/>
          <w:lang w:val="en-US"/>
        </w:rPr>
        <w:t xml:space="preserve"> </w:t>
      </w:r>
      <w:r w:rsidR="0063031A">
        <w:rPr>
          <w:rFonts w:ascii="Times New Roman" w:hAnsi="Times New Roman" w:cs="Times New Roman"/>
          <w:sz w:val="22"/>
          <w:szCs w:val="22"/>
          <w:lang w:val="en-US"/>
        </w:rPr>
        <w:t xml:space="preserve">All </w:t>
      </w:r>
      <w:r w:rsidR="00D145EA">
        <w:rPr>
          <w:rFonts w:ascii="Times New Roman" w:hAnsi="Times New Roman" w:cs="Times New Roman"/>
          <w:sz w:val="22"/>
          <w:szCs w:val="22"/>
          <w:lang w:val="en-US"/>
        </w:rPr>
        <w:t xml:space="preserve">mediators </w:t>
      </w:r>
      <w:r w:rsidR="00AB0974">
        <w:rPr>
          <w:rFonts w:ascii="Times New Roman" w:hAnsi="Times New Roman" w:cs="Times New Roman"/>
          <w:sz w:val="22"/>
          <w:szCs w:val="22"/>
          <w:lang w:val="en-US"/>
        </w:rPr>
        <w:t xml:space="preserve">except </w:t>
      </w:r>
      <w:r w:rsidR="0063031A">
        <w:rPr>
          <w:rFonts w:ascii="Times New Roman" w:hAnsi="Times New Roman" w:cs="Times New Roman"/>
          <w:sz w:val="22"/>
          <w:szCs w:val="22"/>
          <w:lang w:val="en-US"/>
        </w:rPr>
        <w:t xml:space="preserve">IL-1 were elevated in BD compared </w:t>
      </w:r>
      <w:r w:rsidR="006C4BE3">
        <w:rPr>
          <w:rFonts w:ascii="Times New Roman" w:hAnsi="Times New Roman" w:cs="Times New Roman"/>
          <w:sz w:val="22"/>
          <w:szCs w:val="22"/>
          <w:lang w:val="en-US"/>
        </w:rPr>
        <w:t xml:space="preserve">to </w:t>
      </w:r>
      <w:r w:rsidR="0063031A">
        <w:rPr>
          <w:rFonts w:ascii="Times New Roman" w:hAnsi="Times New Roman" w:cs="Times New Roman"/>
          <w:sz w:val="22"/>
          <w:szCs w:val="22"/>
          <w:lang w:val="en-US"/>
        </w:rPr>
        <w:t>controls.</w:t>
      </w:r>
      <w:r w:rsidR="00C52FF7">
        <w:rPr>
          <w:rFonts w:ascii="Times New Roman" w:hAnsi="Times New Roman" w:cs="Times New Roman"/>
          <w:sz w:val="22"/>
          <w:szCs w:val="22"/>
          <w:lang w:val="en-US"/>
        </w:rPr>
        <w:t xml:space="preserve"> </w:t>
      </w:r>
      <w:r w:rsidR="0066645F">
        <w:rPr>
          <w:rFonts w:ascii="Times New Roman" w:hAnsi="Times New Roman" w:cs="Times New Roman"/>
          <w:sz w:val="22"/>
          <w:szCs w:val="22"/>
          <w:lang w:val="en-US"/>
        </w:rPr>
        <w:t xml:space="preserve">Specifically, </w:t>
      </w:r>
      <w:r w:rsidR="00C52FF7" w:rsidRPr="00883C4E">
        <w:rPr>
          <w:rFonts w:ascii="Times New Roman" w:hAnsi="Times New Roman" w:cs="Times New Roman"/>
          <w:sz w:val="22"/>
          <w:szCs w:val="22"/>
          <w:lang w:val="en-US"/>
        </w:rPr>
        <w:t xml:space="preserve">CRP (g=0.70, 95% CI 0.31-1.09, </w:t>
      </w:r>
      <w:r w:rsidR="00E83947">
        <w:rPr>
          <w:rFonts w:ascii="Times New Roman" w:hAnsi="Times New Roman" w:cs="Times New Roman"/>
          <w:sz w:val="22"/>
          <w:szCs w:val="22"/>
          <w:lang w:val="en-US"/>
        </w:rPr>
        <w:t>I</w:t>
      </w:r>
      <w:r w:rsidR="00E83947" w:rsidRPr="00E83947">
        <w:rPr>
          <w:rFonts w:ascii="Times New Roman" w:hAnsi="Times New Roman" w:cs="Times New Roman"/>
          <w:sz w:val="22"/>
          <w:szCs w:val="22"/>
          <w:vertAlign w:val="superscript"/>
          <w:lang w:val="en-US"/>
        </w:rPr>
        <w:t>2</w:t>
      </w:r>
      <w:r w:rsidR="00E83947">
        <w:rPr>
          <w:rFonts w:ascii="Times New Roman" w:hAnsi="Times New Roman" w:cs="Times New Roman"/>
          <w:sz w:val="22"/>
          <w:szCs w:val="22"/>
          <w:lang w:val="en-US"/>
        </w:rPr>
        <w:t xml:space="preserve">=97.05%, </w:t>
      </w:r>
      <w:r w:rsidR="00C52FF7" w:rsidRPr="00883C4E">
        <w:rPr>
          <w:rFonts w:ascii="Times New Roman" w:hAnsi="Times New Roman" w:cs="Times New Roman"/>
          <w:sz w:val="22"/>
          <w:szCs w:val="22"/>
          <w:lang w:val="en-US"/>
        </w:rPr>
        <w:t xml:space="preserve">k=37, BD=2,215 vs HC=3,750),  IL-6 (g=0.81, 95% CI 0.46-1.16, </w:t>
      </w:r>
      <w:r w:rsidR="00E83947">
        <w:rPr>
          <w:rFonts w:ascii="Times New Roman" w:hAnsi="Times New Roman" w:cs="Times New Roman"/>
          <w:sz w:val="22"/>
          <w:szCs w:val="22"/>
          <w:lang w:val="en-US"/>
        </w:rPr>
        <w:t>I</w:t>
      </w:r>
      <w:r w:rsidR="00E83947" w:rsidRPr="00E83947">
        <w:rPr>
          <w:rFonts w:ascii="Times New Roman" w:hAnsi="Times New Roman" w:cs="Times New Roman"/>
          <w:sz w:val="22"/>
          <w:szCs w:val="22"/>
          <w:vertAlign w:val="superscript"/>
          <w:lang w:val="en-US"/>
        </w:rPr>
        <w:t>2</w:t>
      </w:r>
      <w:r w:rsidR="00E83947">
        <w:rPr>
          <w:rFonts w:ascii="Times New Roman" w:hAnsi="Times New Roman" w:cs="Times New Roman"/>
          <w:sz w:val="22"/>
          <w:szCs w:val="22"/>
          <w:lang w:val="en-US"/>
        </w:rPr>
        <w:t>=96.12%,</w:t>
      </w:r>
      <w:r w:rsidR="00C52FF7" w:rsidRPr="00883C4E">
        <w:rPr>
          <w:rFonts w:ascii="Times New Roman" w:hAnsi="Times New Roman" w:cs="Times New Roman"/>
          <w:sz w:val="22"/>
          <w:szCs w:val="22"/>
          <w:lang w:val="en-US"/>
        </w:rPr>
        <w:t>k=45, BD=1,956 vs HC=4,106), TNF-α (g=0.49, 95% CI 0.19-0.78,</w:t>
      </w:r>
      <w:r w:rsidR="00E83947">
        <w:rPr>
          <w:rFonts w:ascii="Times New Roman" w:hAnsi="Times New Roman" w:cs="Times New Roman"/>
          <w:sz w:val="22"/>
          <w:szCs w:val="22"/>
          <w:lang w:val="en-US"/>
        </w:rPr>
        <w:t xml:space="preserve"> I</w:t>
      </w:r>
      <w:r w:rsidR="00E83947" w:rsidRPr="00E83947">
        <w:rPr>
          <w:rFonts w:ascii="Times New Roman" w:hAnsi="Times New Roman" w:cs="Times New Roman"/>
          <w:sz w:val="22"/>
          <w:szCs w:val="22"/>
          <w:vertAlign w:val="superscript"/>
          <w:lang w:val="en-US"/>
        </w:rPr>
        <w:t>2</w:t>
      </w:r>
      <w:r w:rsidR="00E83947">
        <w:rPr>
          <w:rFonts w:ascii="Times New Roman" w:hAnsi="Times New Roman" w:cs="Times New Roman"/>
          <w:sz w:val="22"/>
          <w:szCs w:val="22"/>
          <w:lang w:val="en-US"/>
        </w:rPr>
        <w:t>=93.96%,</w:t>
      </w:r>
      <w:r w:rsidR="00C52FF7" w:rsidRPr="00883C4E">
        <w:rPr>
          <w:rFonts w:ascii="Times New Roman" w:hAnsi="Times New Roman" w:cs="Times New Roman"/>
          <w:sz w:val="22"/>
          <w:szCs w:val="22"/>
          <w:lang w:val="en-US"/>
        </w:rPr>
        <w:t xml:space="preserve"> </w:t>
      </w:r>
      <w:r w:rsidR="00C52FF7" w:rsidRPr="00883C4E">
        <w:rPr>
          <w:rFonts w:ascii="Times New Roman" w:hAnsi="Times New Roman" w:cs="Times New Roman"/>
          <w:sz w:val="22"/>
          <w:szCs w:val="22"/>
          <w:lang w:val="en-US"/>
        </w:rPr>
        <w:lastRenderedPageBreak/>
        <w:t xml:space="preserve">k=49, BD=2,231 vs HC=3,017) </w:t>
      </w:r>
      <w:r w:rsidR="00C52FF7">
        <w:rPr>
          <w:rFonts w:ascii="Times New Roman" w:hAnsi="Times New Roman" w:cs="Times New Roman"/>
          <w:sz w:val="22"/>
          <w:szCs w:val="22"/>
          <w:lang w:val="en-US"/>
        </w:rPr>
        <w:t xml:space="preserve">were elevated in </w:t>
      </w:r>
      <w:r w:rsidR="00CD66CB">
        <w:rPr>
          <w:rFonts w:ascii="Times New Roman" w:hAnsi="Times New Roman" w:cs="Times New Roman"/>
          <w:sz w:val="22"/>
          <w:szCs w:val="22"/>
          <w:lang w:val="en-US"/>
        </w:rPr>
        <w:t xml:space="preserve">subjects </w:t>
      </w:r>
      <w:r w:rsidR="00C52FF7">
        <w:rPr>
          <w:rFonts w:ascii="Times New Roman" w:hAnsi="Times New Roman" w:cs="Times New Roman"/>
          <w:sz w:val="22"/>
          <w:szCs w:val="22"/>
          <w:lang w:val="en-US"/>
        </w:rPr>
        <w:t xml:space="preserve">with BD vs healthy controls, </w:t>
      </w:r>
      <w:r w:rsidR="0073221D">
        <w:rPr>
          <w:rFonts w:ascii="Times New Roman" w:hAnsi="Times New Roman" w:cs="Times New Roman"/>
          <w:sz w:val="22"/>
          <w:szCs w:val="22"/>
          <w:lang w:val="en-US"/>
        </w:rPr>
        <w:t>whilst no difference em</w:t>
      </w:r>
      <w:r w:rsidR="00FC67B4">
        <w:rPr>
          <w:rFonts w:ascii="Times New Roman" w:hAnsi="Times New Roman" w:cs="Times New Roman"/>
          <w:sz w:val="22"/>
          <w:szCs w:val="22"/>
          <w:lang w:val="en-US"/>
        </w:rPr>
        <w:t>e</w:t>
      </w:r>
      <w:r w:rsidR="0073221D">
        <w:rPr>
          <w:rFonts w:ascii="Times New Roman" w:hAnsi="Times New Roman" w:cs="Times New Roman"/>
          <w:sz w:val="22"/>
          <w:szCs w:val="22"/>
          <w:lang w:val="en-US"/>
        </w:rPr>
        <w:t>rged for</w:t>
      </w:r>
      <w:r w:rsidR="00C52FF7" w:rsidRPr="00883C4E">
        <w:rPr>
          <w:rFonts w:ascii="Times New Roman" w:hAnsi="Times New Roman" w:cs="Times New Roman"/>
          <w:sz w:val="22"/>
          <w:szCs w:val="22"/>
          <w:lang w:val="en-US"/>
        </w:rPr>
        <w:t xml:space="preserve"> IL-1</w:t>
      </w:r>
      <w:r w:rsidR="005A0E80">
        <w:rPr>
          <w:rFonts w:ascii="Times New Roman" w:hAnsi="Times New Roman" w:cs="Times New Roman"/>
          <w:sz w:val="22"/>
          <w:szCs w:val="22"/>
          <w:lang w:val="en-US"/>
        </w:rPr>
        <w:t>β</w:t>
      </w:r>
      <w:r w:rsidR="00C52FF7" w:rsidRPr="00883C4E">
        <w:rPr>
          <w:rFonts w:ascii="Times New Roman" w:hAnsi="Times New Roman" w:cs="Times New Roman"/>
          <w:sz w:val="22"/>
          <w:szCs w:val="22"/>
          <w:lang w:val="en-US"/>
        </w:rPr>
        <w:t xml:space="preserve"> (g=-0.28, 95% CI -0.68</w:t>
      </w:r>
      <w:r w:rsidR="0073221D">
        <w:rPr>
          <w:rFonts w:ascii="Times New Roman" w:hAnsi="Times New Roman" w:cs="Times New Roman"/>
          <w:sz w:val="22"/>
          <w:szCs w:val="22"/>
          <w:lang w:val="en-US"/>
        </w:rPr>
        <w:t xml:space="preserve"> to </w:t>
      </w:r>
      <w:r w:rsidR="00C52FF7" w:rsidRPr="00883C4E">
        <w:rPr>
          <w:rFonts w:ascii="Times New Roman" w:hAnsi="Times New Roman" w:cs="Times New Roman"/>
          <w:sz w:val="22"/>
          <w:szCs w:val="22"/>
          <w:lang w:val="en-US"/>
        </w:rPr>
        <w:t xml:space="preserve">0.12, </w:t>
      </w:r>
      <w:r w:rsidR="00E83947">
        <w:rPr>
          <w:rFonts w:ascii="Times New Roman" w:hAnsi="Times New Roman" w:cs="Times New Roman"/>
          <w:sz w:val="22"/>
          <w:szCs w:val="22"/>
          <w:lang w:val="en-US"/>
        </w:rPr>
        <w:t>I</w:t>
      </w:r>
      <w:r w:rsidR="00E83947" w:rsidRPr="00E83947">
        <w:rPr>
          <w:rFonts w:ascii="Times New Roman" w:hAnsi="Times New Roman" w:cs="Times New Roman"/>
          <w:sz w:val="22"/>
          <w:szCs w:val="22"/>
          <w:vertAlign w:val="superscript"/>
          <w:lang w:val="en-US"/>
        </w:rPr>
        <w:t>2</w:t>
      </w:r>
      <w:r w:rsidR="00E83947">
        <w:rPr>
          <w:rFonts w:ascii="Times New Roman" w:hAnsi="Times New Roman" w:cs="Times New Roman"/>
          <w:sz w:val="22"/>
          <w:szCs w:val="22"/>
          <w:lang w:val="en-US"/>
        </w:rPr>
        <w:t>=18.65%,</w:t>
      </w:r>
      <w:r w:rsidR="00C52FF7" w:rsidRPr="00883C4E">
        <w:rPr>
          <w:rFonts w:ascii="Times New Roman" w:hAnsi="Times New Roman" w:cs="Times New Roman"/>
          <w:sz w:val="22"/>
          <w:szCs w:val="22"/>
          <w:lang w:val="en-US"/>
        </w:rPr>
        <w:t>k=4, BD=87 vs HC=66)</w:t>
      </w:r>
      <w:r w:rsidR="00C52FF7">
        <w:rPr>
          <w:rFonts w:ascii="Times New Roman" w:hAnsi="Times New Roman" w:cs="Times New Roman"/>
          <w:sz w:val="22"/>
          <w:szCs w:val="22"/>
          <w:lang w:val="en-US"/>
        </w:rPr>
        <w:t>.</w:t>
      </w:r>
    </w:p>
    <w:p w14:paraId="341538EC" w14:textId="3206CF0A" w:rsidR="00E83947" w:rsidRPr="00446D07" w:rsidRDefault="00E83947" w:rsidP="008D52D7">
      <w:pPr>
        <w:pStyle w:val="Heading2"/>
      </w:pPr>
      <w:r w:rsidRPr="00446D07">
        <w:t>3.</w:t>
      </w:r>
      <w:r>
        <w:t>3</w:t>
      </w:r>
      <w:r w:rsidRPr="00446D07">
        <w:t xml:space="preserve"> </w:t>
      </w:r>
      <w:r w:rsidRPr="00F5155B">
        <w:t>Variability of levels of inflammatory mediators</w:t>
      </w:r>
    </w:p>
    <w:p w14:paraId="2D35902D" w14:textId="398FE643" w:rsidR="00E83947" w:rsidRDefault="00E83947" w:rsidP="005A0E80">
      <w:pPr>
        <w:spacing w:line="360" w:lineRule="auto"/>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Results of meta-analyses of variability ratios are reported in Figures </w:t>
      </w:r>
      <w:r w:rsidR="00AD601F">
        <w:rPr>
          <w:rFonts w:ascii="Times New Roman" w:hAnsi="Times New Roman" w:cs="Times New Roman"/>
          <w:sz w:val="22"/>
          <w:szCs w:val="22"/>
          <w:lang w:val="en-US"/>
        </w:rPr>
        <w:t>3</w:t>
      </w:r>
      <w:r>
        <w:rPr>
          <w:rFonts w:ascii="Times New Roman" w:hAnsi="Times New Roman" w:cs="Times New Roman"/>
          <w:sz w:val="22"/>
          <w:szCs w:val="22"/>
          <w:lang w:val="en-US"/>
        </w:rPr>
        <w:t>-</w:t>
      </w:r>
      <w:r w:rsidR="00AD601F">
        <w:rPr>
          <w:rFonts w:ascii="Times New Roman" w:hAnsi="Times New Roman" w:cs="Times New Roman"/>
          <w:sz w:val="22"/>
          <w:szCs w:val="22"/>
          <w:lang w:val="en-US"/>
        </w:rPr>
        <w:t>4</w:t>
      </w:r>
      <w:r>
        <w:rPr>
          <w:rFonts w:ascii="Times New Roman" w:hAnsi="Times New Roman" w:cs="Times New Roman"/>
          <w:sz w:val="22"/>
          <w:szCs w:val="22"/>
          <w:lang w:val="en-US"/>
        </w:rPr>
        <w:t xml:space="preserve">, and eFigures </w:t>
      </w:r>
      <w:r w:rsidR="00A74C8D">
        <w:rPr>
          <w:rFonts w:ascii="Times New Roman" w:hAnsi="Times New Roman" w:cs="Times New Roman"/>
          <w:sz w:val="22"/>
          <w:szCs w:val="22"/>
          <w:lang w:val="en-US"/>
        </w:rPr>
        <w:t>8</w:t>
      </w:r>
      <w:r>
        <w:rPr>
          <w:rFonts w:ascii="Times New Roman" w:hAnsi="Times New Roman" w:cs="Times New Roman"/>
          <w:sz w:val="22"/>
          <w:szCs w:val="22"/>
          <w:lang w:val="en-US"/>
        </w:rPr>
        <w:t>-</w:t>
      </w:r>
      <w:r w:rsidR="00A74C8D">
        <w:rPr>
          <w:rFonts w:ascii="Times New Roman" w:hAnsi="Times New Roman" w:cs="Times New Roman"/>
          <w:sz w:val="22"/>
          <w:szCs w:val="22"/>
          <w:lang w:val="en-US"/>
        </w:rPr>
        <w:t>9</w:t>
      </w:r>
      <w:r>
        <w:rPr>
          <w:rFonts w:ascii="Times New Roman" w:hAnsi="Times New Roman" w:cs="Times New Roman"/>
          <w:sz w:val="22"/>
          <w:szCs w:val="22"/>
          <w:lang w:val="en-US"/>
        </w:rPr>
        <w:t>.</w:t>
      </w:r>
    </w:p>
    <w:p w14:paraId="7AE8CB09" w14:textId="2D30B5C5" w:rsidR="00E83947" w:rsidRDefault="00E83947" w:rsidP="005A0E80">
      <w:pPr>
        <w:spacing w:line="36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When considering the whole sample, n</w:t>
      </w:r>
      <w:r w:rsidRPr="00750091">
        <w:rPr>
          <w:rFonts w:ascii="Times New Roman" w:hAnsi="Times New Roman" w:cs="Times New Roman"/>
          <w:sz w:val="22"/>
          <w:szCs w:val="22"/>
          <w:lang w:val="en-US"/>
        </w:rPr>
        <w:t>o difference in CVR emerged for CRP</w:t>
      </w:r>
      <w:r>
        <w:rPr>
          <w:rFonts w:ascii="Times New Roman" w:hAnsi="Times New Roman" w:cs="Times New Roman"/>
          <w:sz w:val="22"/>
          <w:szCs w:val="22"/>
          <w:lang w:val="en-US"/>
        </w:rPr>
        <w:t xml:space="preserve"> (CVR=1.06, 95% CI 0.94-1.19, k=37, BD=2,215 vs HC=3,750)</w:t>
      </w:r>
      <w:r w:rsidRPr="00750091">
        <w:rPr>
          <w:rFonts w:ascii="Times New Roman" w:hAnsi="Times New Roman" w:cs="Times New Roman"/>
          <w:sz w:val="22"/>
          <w:szCs w:val="22"/>
          <w:lang w:val="en-US"/>
        </w:rPr>
        <w:t>, IL-1</w:t>
      </w:r>
      <w:r w:rsidR="005A0E80">
        <w:rPr>
          <w:rFonts w:ascii="Times New Roman" w:hAnsi="Times New Roman" w:cs="Times New Roman"/>
          <w:sz w:val="22"/>
          <w:szCs w:val="22"/>
          <w:lang w:val="en-US"/>
        </w:rPr>
        <w:t>β</w:t>
      </w:r>
      <w:r w:rsidRPr="005A5682">
        <w:rPr>
          <w:rFonts w:ascii="Times New Roman" w:hAnsi="Times New Roman" w:cs="Times New Roman"/>
          <w:sz w:val="22"/>
          <w:szCs w:val="22"/>
          <w:lang w:val="en-US"/>
        </w:rPr>
        <w:t xml:space="preserve"> </w:t>
      </w:r>
      <w:r>
        <w:rPr>
          <w:rFonts w:ascii="Times New Roman" w:hAnsi="Times New Roman" w:cs="Times New Roman"/>
          <w:sz w:val="22"/>
          <w:szCs w:val="22"/>
          <w:lang w:val="en-US"/>
        </w:rPr>
        <w:t>(CVR=1.05, 95% CI 0.58-1.93, k=4, BD=87 vs HC=66)</w:t>
      </w:r>
      <w:r w:rsidRPr="00750091">
        <w:rPr>
          <w:rFonts w:ascii="Times New Roman" w:hAnsi="Times New Roman" w:cs="Times New Roman"/>
          <w:sz w:val="22"/>
          <w:szCs w:val="22"/>
          <w:lang w:val="en-US"/>
        </w:rPr>
        <w:t>, and TNF-α</w:t>
      </w:r>
      <w:r>
        <w:rPr>
          <w:rFonts w:ascii="Times New Roman" w:hAnsi="Times New Roman" w:cs="Times New Roman"/>
          <w:sz w:val="22"/>
          <w:szCs w:val="22"/>
          <w:lang w:val="en-US"/>
        </w:rPr>
        <w:t xml:space="preserve"> (CVR=0.95, 95% CI 0.84-1.07, k=49, BD=2,231 vs HC=3,017)</w:t>
      </w:r>
      <w:r w:rsidRPr="00750091">
        <w:rPr>
          <w:rFonts w:ascii="Times New Roman" w:hAnsi="Times New Roman" w:cs="Times New Roman"/>
          <w:sz w:val="22"/>
          <w:szCs w:val="22"/>
          <w:lang w:val="en-US"/>
        </w:rPr>
        <w:t>, while</w:t>
      </w:r>
      <w:r>
        <w:rPr>
          <w:rFonts w:ascii="Times New Roman" w:hAnsi="Times New Roman" w:cs="Times New Roman"/>
          <w:sz w:val="22"/>
          <w:szCs w:val="22"/>
          <w:lang w:val="en-US"/>
        </w:rPr>
        <w:t xml:space="preserve"> lower CVR was observed for IL-6 (CVR=0.84, 95% CI 0.75-0.95, k=45, BD=1956 vs HC=4106).</w:t>
      </w:r>
    </w:p>
    <w:p w14:paraId="4FC21D6B" w14:textId="77777777" w:rsidR="00E83947" w:rsidRDefault="00E83947" w:rsidP="005A0E80">
      <w:pPr>
        <w:spacing w:line="36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When considering disease phases, no significant difference in mean-scaled variability between cases and controls were observed in euthymia and in mixed states for CRP (CVR=1.05, 95% CI 0.91-1.22, k=8, BD=340 vs HC=1882 ; CVR=1.05, 95% CI 0.90-1.23, k=13, BD=1285 vs HC=1424), TNF</w:t>
      </w:r>
      <w:r w:rsidRPr="00750091">
        <w:rPr>
          <w:rFonts w:ascii="Times New Roman" w:hAnsi="Times New Roman" w:cs="Times New Roman"/>
          <w:sz w:val="22"/>
          <w:szCs w:val="22"/>
          <w:lang w:val="en-US"/>
        </w:rPr>
        <w:t>-α</w:t>
      </w:r>
      <w:r>
        <w:rPr>
          <w:rFonts w:ascii="Times New Roman" w:hAnsi="Times New Roman" w:cs="Times New Roman"/>
          <w:sz w:val="22"/>
          <w:szCs w:val="22"/>
          <w:lang w:val="en-US"/>
        </w:rPr>
        <w:t xml:space="preserve"> (CVR=0.98, 95% CI 0.87-1.10, k=16, BD=535 vs HC=1997 ; CVR=0.92, 95% CI 0.72-1.18, k=16, BD=1138 vs HC=656) and IL-6 (CVR=0.82, 95% CI 0.70-0.97, k=13, BD=442 vs HC=1973 ; CVR=0.84, 95% CI 0.72-0.99, k=14, BD=920 vs HC=1660). During depressive episodes, CVR was larger among participants with BD for CRP (CVR=1.38, 95% CI 1.14-1.69, k=7, BD=300 vs HC=228) but not for IL-6 (CVR=0.91, 95% CI 0.70-1.18, k=10, BD=341 vs HC=236) and TNF</w:t>
      </w:r>
      <w:r w:rsidRPr="00750091">
        <w:rPr>
          <w:rFonts w:ascii="Times New Roman" w:hAnsi="Times New Roman" w:cs="Times New Roman"/>
          <w:sz w:val="22"/>
          <w:szCs w:val="22"/>
          <w:lang w:val="en-US"/>
        </w:rPr>
        <w:t>-α</w:t>
      </w:r>
      <w:r>
        <w:rPr>
          <w:rFonts w:ascii="Times New Roman" w:hAnsi="Times New Roman" w:cs="Times New Roman"/>
          <w:sz w:val="22"/>
          <w:szCs w:val="22"/>
          <w:lang w:val="en-US"/>
        </w:rPr>
        <w:t xml:space="preserve"> (CVR=0.70, 95% CI 0.49-1.02, k=7, BD=236 vs HC=112). During mania, CVR was larger in participants with BD for all immune mediators with available data: CRP (CVR=5.45, 95% CI 2.08-14.29, k=9, BD=290 vs HC=216), IL-6 (CVR=3.50, 95% CI 1.72-7.11, k=8, BD=253 vs HC=237) and TNF</w:t>
      </w:r>
      <w:r w:rsidRPr="00750091">
        <w:rPr>
          <w:rFonts w:ascii="Times New Roman" w:hAnsi="Times New Roman" w:cs="Times New Roman"/>
          <w:sz w:val="22"/>
          <w:szCs w:val="22"/>
          <w:lang w:val="en-US"/>
        </w:rPr>
        <w:t>-α</w:t>
      </w:r>
      <w:r>
        <w:rPr>
          <w:rFonts w:ascii="Times New Roman" w:hAnsi="Times New Roman" w:cs="Times New Roman"/>
          <w:sz w:val="22"/>
          <w:szCs w:val="22"/>
          <w:lang w:val="en-US"/>
        </w:rPr>
        <w:t xml:space="preserve"> (CVR=2.94, 95% CI 1.00-8.60, k=10, BD=322 vs HC=253).</w:t>
      </w:r>
    </w:p>
    <w:p w14:paraId="64EF632B" w14:textId="77777777" w:rsidR="00E83947" w:rsidRDefault="00E83947" w:rsidP="005A0E80">
      <w:pPr>
        <w:spacing w:line="36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When including only untreated samples in sensitivity analyses, CVR differences were attenuated for IL-6 (CVR=0.82, 95% CI 0.64-1.06, k=8, BD=420 vs HC=998), and for TNF</w:t>
      </w:r>
      <w:r w:rsidRPr="00750091">
        <w:rPr>
          <w:rFonts w:ascii="Times New Roman" w:hAnsi="Times New Roman" w:cs="Times New Roman"/>
          <w:sz w:val="22"/>
          <w:szCs w:val="22"/>
          <w:lang w:val="en-US"/>
        </w:rPr>
        <w:t>-α</w:t>
      </w:r>
      <w:r>
        <w:rPr>
          <w:rFonts w:ascii="Times New Roman" w:hAnsi="Times New Roman" w:cs="Times New Roman"/>
          <w:sz w:val="22"/>
          <w:szCs w:val="22"/>
          <w:lang w:val="en-US"/>
        </w:rPr>
        <w:t xml:space="preserve"> (CVR=0.85, 95% CI 0.65-1.12, k=7, BD=239 vs HC=240).</w:t>
      </w:r>
    </w:p>
    <w:p w14:paraId="4EBC4588" w14:textId="3C0830E9" w:rsidR="00E83947" w:rsidRDefault="00E83947" w:rsidP="005A0E80">
      <w:pPr>
        <w:spacing w:line="36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Finally, the analysis of variability ratios revealed a lower ratio for CRP (VR=0.59, 95% CI 0.44-0.80, k=37, BD=2215 vs HC=3750) and TNF</w:t>
      </w:r>
      <w:r w:rsidRPr="00750091">
        <w:rPr>
          <w:rFonts w:ascii="Times New Roman" w:hAnsi="Times New Roman" w:cs="Times New Roman"/>
          <w:sz w:val="22"/>
          <w:szCs w:val="22"/>
          <w:lang w:val="en-US"/>
        </w:rPr>
        <w:t>-α</w:t>
      </w:r>
      <w:r>
        <w:rPr>
          <w:rFonts w:ascii="Times New Roman" w:hAnsi="Times New Roman" w:cs="Times New Roman"/>
          <w:sz w:val="22"/>
          <w:szCs w:val="22"/>
          <w:lang w:val="en-US"/>
        </w:rPr>
        <w:t xml:space="preserve"> (VR=0.75, 95% CI 0.58-0.98, k=49, BD=2231 vs HC=3017), a higher ratio for IL-1</w:t>
      </w:r>
      <w:r w:rsidR="005A0E80">
        <w:rPr>
          <w:rFonts w:ascii="Times New Roman" w:hAnsi="Times New Roman" w:cs="Times New Roman"/>
          <w:sz w:val="22"/>
          <w:szCs w:val="22"/>
          <w:lang w:val="en-US"/>
        </w:rPr>
        <w:t>β</w:t>
      </w:r>
      <w:r>
        <w:rPr>
          <w:rFonts w:ascii="Times New Roman" w:hAnsi="Times New Roman" w:cs="Times New Roman"/>
          <w:sz w:val="22"/>
          <w:szCs w:val="22"/>
          <w:lang w:val="en-US"/>
        </w:rPr>
        <w:t xml:space="preserve"> (VR=2.56, 95% CI 1.13-5.77, k=4, BD=87 vs HC=66), and no difference for IL-6 (VR=0.62, 95% CI 0.35-1.08, k=45, BD=1956 vs HC=4106).</w:t>
      </w:r>
    </w:p>
    <w:p w14:paraId="038F86A2" w14:textId="551F781C" w:rsidR="005636A7" w:rsidRPr="008D52D7" w:rsidRDefault="005636A7" w:rsidP="008D52D7">
      <w:pPr>
        <w:pStyle w:val="Heading3"/>
        <w:rPr>
          <w:i/>
          <w:iCs/>
        </w:rPr>
      </w:pPr>
      <w:r w:rsidRPr="008D52D7">
        <w:rPr>
          <w:i/>
          <w:iCs/>
        </w:rPr>
        <w:t>3.</w:t>
      </w:r>
      <w:r w:rsidR="00CC5EA9" w:rsidRPr="008D52D7">
        <w:rPr>
          <w:i/>
          <w:iCs/>
        </w:rPr>
        <w:t>3</w:t>
      </w:r>
      <w:r w:rsidRPr="008D52D7">
        <w:rPr>
          <w:i/>
          <w:iCs/>
        </w:rPr>
        <w:t>.1 Sensitivity analyses</w:t>
      </w:r>
    </w:p>
    <w:p w14:paraId="2E577CCC" w14:textId="27254905" w:rsidR="00CA76A0" w:rsidRDefault="00A73262" w:rsidP="005A0E80">
      <w:pPr>
        <w:spacing w:line="480" w:lineRule="auto"/>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Results of sensitivity analyses are reported in Figure </w:t>
      </w:r>
      <w:r w:rsidR="00A74C8D">
        <w:rPr>
          <w:rFonts w:ascii="Times New Roman" w:hAnsi="Times New Roman" w:cs="Times New Roman"/>
          <w:sz w:val="22"/>
          <w:szCs w:val="22"/>
          <w:lang w:val="en-US"/>
        </w:rPr>
        <w:t>2</w:t>
      </w:r>
      <w:r>
        <w:rPr>
          <w:rFonts w:ascii="Times New Roman" w:hAnsi="Times New Roman" w:cs="Times New Roman"/>
          <w:sz w:val="22"/>
          <w:szCs w:val="22"/>
          <w:lang w:val="en-US"/>
        </w:rPr>
        <w:t xml:space="preserve">, and eFigures </w:t>
      </w:r>
      <w:r w:rsidR="00A74C8D">
        <w:rPr>
          <w:rFonts w:ascii="Times New Roman" w:hAnsi="Times New Roman" w:cs="Times New Roman"/>
          <w:sz w:val="22"/>
          <w:szCs w:val="22"/>
          <w:lang w:val="en-US"/>
        </w:rPr>
        <w:t>3</w:t>
      </w:r>
      <w:r>
        <w:rPr>
          <w:rFonts w:ascii="Times New Roman" w:hAnsi="Times New Roman" w:cs="Times New Roman"/>
          <w:sz w:val="22"/>
          <w:szCs w:val="22"/>
          <w:lang w:val="en-US"/>
        </w:rPr>
        <w:t>-</w:t>
      </w:r>
      <w:r w:rsidR="00A74C8D">
        <w:rPr>
          <w:rFonts w:ascii="Times New Roman" w:hAnsi="Times New Roman" w:cs="Times New Roman"/>
          <w:sz w:val="22"/>
          <w:szCs w:val="22"/>
          <w:lang w:val="en-US"/>
        </w:rPr>
        <w:t>7</w:t>
      </w:r>
      <w:r>
        <w:rPr>
          <w:rFonts w:ascii="Times New Roman" w:hAnsi="Times New Roman" w:cs="Times New Roman"/>
          <w:sz w:val="22"/>
          <w:szCs w:val="22"/>
          <w:lang w:val="en-US"/>
        </w:rPr>
        <w:t xml:space="preserve">. </w:t>
      </w:r>
      <w:r w:rsidR="00CA76A0">
        <w:rPr>
          <w:rFonts w:ascii="Times New Roman" w:hAnsi="Times New Roman" w:cs="Times New Roman"/>
          <w:sz w:val="22"/>
          <w:szCs w:val="22"/>
          <w:lang w:val="en-US"/>
        </w:rPr>
        <w:t xml:space="preserve">When considering different </w:t>
      </w:r>
      <w:r w:rsidR="008034B5">
        <w:rPr>
          <w:rFonts w:ascii="Times New Roman" w:hAnsi="Times New Roman" w:cs="Times New Roman"/>
          <w:sz w:val="22"/>
          <w:szCs w:val="22"/>
          <w:lang w:val="en-US"/>
        </w:rPr>
        <w:t>d</w:t>
      </w:r>
      <w:r w:rsidR="00CA76A0">
        <w:rPr>
          <w:rFonts w:ascii="Times New Roman" w:hAnsi="Times New Roman" w:cs="Times New Roman"/>
          <w:sz w:val="22"/>
          <w:szCs w:val="22"/>
          <w:lang w:val="en-US"/>
        </w:rPr>
        <w:t>isease</w:t>
      </w:r>
      <w:r w:rsidR="008034B5">
        <w:rPr>
          <w:rFonts w:ascii="Times New Roman" w:hAnsi="Times New Roman" w:cs="Times New Roman"/>
          <w:sz w:val="22"/>
          <w:szCs w:val="22"/>
          <w:lang w:val="en-US"/>
        </w:rPr>
        <w:t xml:space="preserve"> states</w:t>
      </w:r>
      <w:r w:rsidR="00CA76A0">
        <w:rPr>
          <w:rFonts w:ascii="Times New Roman" w:hAnsi="Times New Roman" w:cs="Times New Roman"/>
          <w:sz w:val="22"/>
          <w:szCs w:val="22"/>
          <w:lang w:val="en-US"/>
        </w:rPr>
        <w:t xml:space="preserve">, levels of all the considered </w:t>
      </w:r>
      <w:r w:rsidR="00033706">
        <w:rPr>
          <w:rFonts w:ascii="Times New Roman" w:hAnsi="Times New Roman" w:cs="Times New Roman"/>
          <w:sz w:val="22"/>
          <w:szCs w:val="22"/>
          <w:lang w:val="en-US"/>
        </w:rPr>
        <w:t>immune mediators</w:t>
      </w:r>
      <w:r w:rsidR="00CA76A0">
        <w:rPr>
          <w:rFonts w:ascii="Times New Roman" w:hAnsi="Times New Roman" w:cs="Times New Roman"/>
          <w:sz w:val="22"/>
          <w:szCs w:val="22"/>
          <w:lang w:val="en-US"/>
        </w:rPr>
        <w:t xml:space="preserve"> </w:t>
      </w:r>
      <w:r w:rsidR="00033706">
        <w:rPr>
          <w:rFonts w:ascii="Times New Roman" w:hAnsi="Times New Roman" w:cs="Times New Roman"/>
          <w:sz w:val="22"/>
          <w:szCs w:val="22"/>
          <w:lang w:val="en-US"/>
        </w:rPr>
        <w:t xml:space="preserve">were </w:t>
      </w:r>
      <w:r w:rsidR="00CA76A0">
        <w:rPr>
          <w:rFonts w:ascii="Times New Roman" w:hAnsi="Times New Roman" w:cs="Times New Roman"/>
          <w:sz w:val="22"/>
          <w:szCs w:val="22"/>
          <w:lang w:val="en-US"/>
        </w:rPr>
        <w:t xml:space="preserve">elevated </w:t>
      </w:r>
      <w:r w:rsidR="00053345">
        <w:rPr>
          <w:rFonts w:ascii="Times New Roman" w:hAnsi="Times New Roman" w:cs="Times New Roman"/>
          <w:sz w:val="22"/>
          <w:szCs w:val="22"/>
          <w:lang w:val="en-US"/>
        </w:rPr>
        <w:t xml:space="preserve">in </w:t>
      </w:r>
      <w:r w:rsidR="00CA76A0">
        <w:rPr>
          <w:rFonts w:ascii="Times New Roman" w:hAnsi="Times New Roman" w:cs="Times New Roman"/>
          <w:sz w:val="22"/>
          <w:szCs w:val="22"/>
          <w:lang w:val="en-US"/>
        </w:rPr>
        <w:t xml:space="preserve">all acute </w:t>
      </w:r>
      <w:r w:rsidR="00973D1B">
        <w:rPr>
          <w:rFonts w:ascii="Times New Roman" w:hAnsi="Times New Roman" w:cs="Times New Roman"/>
          <w:sz w:val="22"/>
          <w:szCs w:val="22"/>
          <w:lang w:val="en-US"/>
        </w:rPr>
        <w:t xml:space="preserve">illness </w:t>
      </w:r>
      <w:r w:rsidR="00CA76A0">
        <w:rPr>
          <w:rFonts w:ascii="Times New Roman" w:hAnsi="Times New Roman" w:cs="Times New Roman"/>
          <w:sz w:val="22"/>
          <w:szCs w:val="22"/>
          <w:lang w:val="en-US"/>
        </w:rPr>
        <w:t>phases. Specifically, CRP, IL-6 and TNF</w:t>
      </w:r>
      <w:r w:rsidR="00CA76A0" w:rsidRPr="00883C4E">
        <w:rPr>
          <w:rFonts w:ascii="Times New Roman" w:hAnsi="Times New Roman" w:cs="Times New Roman"/>
          <w:sz w:val="22"/>
          <w:szCs w:val="22"/>
          <w:lang w:val="en-US"/>
        </w:rPr>
        <w:t>-α</w:t>
      </w:r>
      <w:r w:rsidR="00CA76A0">
        <w:rPr>
          <w:rFonts w:ascii="Times New Roman" w:hAnsi="Times New Roman" w:cs="Times New Roman"/>
          <w:sz w:val="22"/>
          <w:szCs w:val="22"/>
          <w:lang w:val="en-US"/>
        </w:rPr>
        <w:t xml:space="preserve"> </w:t>
      </w:r>
      <w:r w:rsidR="00225AFC">
        <w:rPr>
          <w:rFonts w:ascii="Times New Roman" w:hAnsi="Times New Roman" w:cs="Times New Roman"/>
          <w:sz w:val="22"/>
          <w:szCs w:val="22"/>
          <w:lang w:val="en-US"/>
        </w:rPr>
        <w:t xml:space="preserve">were elevated </w:t>
      </w:r>
      <w:r w:rsidR="00033706">
        <w:rPr>
          <w:rFonts w:ascii="Times New Roman" w:hAnsi="Times New Roman" w:cs="Times New Roman"/>
          <w:sz w:val="22"/>
          <w:szCs w:val="22"/>
          <w:lang w:val="en-US"/>
        </w:rPr>
        <w:t>among partic</w:t>
      </w:r>
      <w:r w:rsidR="00FC67B4">
        <w:rPr>
          <w:rFonts w:ascii="Times New Roman" w:hAnsi="Times New Roman" w:cs="Times New Roman"/>
          <w:sz w:val="22"/>
          <w:szCs w:val="22"/>
          <w:lang w:val="en-US"/>
        </w:rPr>
        <w:t>i</w:t>
      </w:r>
      <w:r w:rsidR="00033706">
        <w:rPr>
          <w:rFonts w:ascii="Times New Roman" w:hAnsi="Times New Roman" w:cs="Times New Roman"/>
          <w:sz w:val="22"/>
          <w:szCs w:val="22"/>
          <w:lang w:val="en-US"/>
        </w:rPr>
        <w:t xml:space="preserve">pants with </w:t>
      </w:r>
      <w:r w:rsidR="00CA76A0">
        <w:rPr>
          <w:rFonts w:ascii="Times New Roman" w:hAnsi="Times New Roman" w:cs="Times New Roman"/>
          <w:sz w:val="22"/>
          <w:szCs w:val="22"/>
          <w:lang w:val="en-US"/>
        </w:rPr>
        <w:t xml:space="preserve">BD </w:t>
      </w:r>
      <w:r w:rsidR="00033706">
        <w:rPr>
          <w:rFonts w:ascii="Times New Roman" w:hAnsi="Times New Roman" w:cs="Times New Roman"/>
          <w:sz w:val="22"/>
          <w:szCs w:val="22"/>
          <w:lang w:val="en-US"/>
        </w:rPr>
        <w:t xml:space="preserve">in a major depressive episode </w:t>
      </w:r>
      <w:r w:rsidR="00CA76A0">
        <w:rPr>
          <w:rFonts w:ascii="Times New Roman" w:hAnsi="Times New Roman" w:cs="Times New Roman"/>
          <w:sz w:val="22"/>
          <w:szCs w:val="22"/>
          <w:lang w:val="en-US"/>
        </w:rPr>
        <w:t xml:space="preserve">compared </w:t>
      </w:r>
      <w:r w:rsidR="00033706">
        <w:rPr>
          <w:rFonts w:ascii="Times New Roman" w:hAnsi="Times New Roman" w:cs="Times New Roman"/>
          <w:sz w:val="22"/>
          <w:szCs w:val="22"/>
          <w:lang w:val="en-US"/>
        </w:rPr>
        <w:t xml:space="preserve">to healthy </w:t>
      </w:r>
      <w:r w:rsidR="00CA76A0">
        <w:rPr>
          <w:rFonts w:ascii="Times New Roman" w:hAnsi="Times New Roman" w:cs="Times New Roman"/>
          <w:sz w:val="22"/>
          <w:szCs w:val="22"/>
          <w:lang w:val="en-US"/>
        </w:rPr>
        <w:t>controls (</w:t>
      </w:r>
      <w:r w:rsidR="00225AFC">
        <w:rPr>
          <w:rFonts w:ascii="Times New Roman" w:hAnsi="Times New Roman" w:cs="Times New Roman"/>
          <w:sz w:val="22"/>
          <w:szCs w:val="22"/>
          <w:lang w:val="en-US"/>
        </w:rPr>
        <w:t xml:space="preserve">CRP </w:t>
      </w:r>
      <w:r w:rsidR="00CA76A0">
        <w:rPr>
          <w:rFonts w:ascii="Times New Roman" w:hAnsi="Times New Roman" w:cs="Times New Roman"/>
          <w:sz w:val="22"/>
          <w:szCs w:val="22"/>
          <w:lang w:val="en-US"/>
        </w:rPr>
        <w:t xml:space="preserve">g=1.72, 95% CI 0.52-2.92, k=7, BD=300 vs HC=228 ; </w:t>
      </w:r>
      <w:r w:rsidR="00225AFC">
        <w:rPr>
          <w:rFonts w:ascii="Times New Roman" w:hAnsi="Times New Roman" w:cs="Times New Roman"/>
          <w:sz w:val="22"/>
          <w:szCs w:val="22"/>
          <w:lang w:val="en-US"/>
        </w:rPr>
        <w:t xml:space="preserve">IL-6 </w:t>
      </w:r>
      <w:r w:rsidR="00CA76A0">
        <w:rPr>
          <w:rFonts w:ascii="Times New Roman" w:hAnsi="Times New Roman" w:cs="Times New Roman"/>
          <w:sz w:val="22"/>
          <w:szCs w:val="22"/>
          <w:lang w:val="en-US"/>
        </w:rPr>
        <w:t xml:space="preserve">g=1.00, 95% CI 0.22-1.77, k=10, BD=341 vs HC=236 ; </w:t>
      </w:r>
      <w:r w:rsidR="00225AFC">
        <w:rPr>
          <w:rFonts w:ascii="Times New Roman" w:hAnsi="Times New Roman" w:cs="Times New Roman"/>
          <w:sz w:val="22"/>
          <w:szCs w:val="22"/>
          <w:lang w:val="en-US"/>
        </w:rPr>
        <w:t>TNF</w:t>
      </w:r>
      <w:r w:rsidR="00225AFC" w:rsidRPr="00883C4E">
        <w:rPr>
          <w:rFonts w:ascii="Times New Roman" w:hAnsi="Times New Roman" w:cs="Times New Roman"/>
          <w:sz w:val="22"/>
          <w:szCs w:val="22"/>
          <w:lang w:val="en-US"/>
        </w:rPr>
        <w:t>-α</w:t>
      </w:r>
      <w:r w:rsidR="00225AFC">
        <w:rPr>
          <w:rFonts w:ascii="Times New Roman" w:hAnsi="Times New Roman" w:cs="Times New Roman"/>
          <w:sz w:val="22"/>
          <w:szCs w:val="22"/>
          <w:lang w:val="en-US"/>
        </w:rPr>
        <w:t xml:space="preserve"> </w:t>
      </w:r>
      <w:r w:rsidR="00CA76A0">
        <w:rPr>
          <w:rFonts w:ascii="Times New Roman" w:hAnsi="Times New Roman" w:cs="Times New Roman"/>
          <w:sz w:val="22"/>
          <w:szCs w:val="22"/>
          <w:lang w:val="en-US"/>
        </w:rPr>
        <w:t>g=2.32, 95% CI 0.76-3.89, k=7, BD=236 vs HC=112), as well as in</w:t>
      </w:r>
      <w:r w:rsidR="00033706">
        <w:rPr>
          <w:rFonts w:ascii="Times New Roman" w:hAnsi="Times New Roman" w:cs="Times New Roman"/>
          <w:sz w:val="22"/>
          <w:szCs w:val="22"/>
          <w:lang w:val="en-US"/>
        </w:rPr>
        <w:t xml:space="preserve"> participants with </w:t>
      </w:r>
      <w:r w:rsidR="0096298A">
        <w:rPr>
          <w:rFonts w:ascii="Times New Roman" w:hAnsi="Times New Roman" w:cs="Times New Roman"/>
          <w:sz w:val="22"/>
          <w:szCs w:val="22"/>
          <w:lang w:val="en-US"/>
        </w:rPr>
        <w:t>mania</w:t>
      </w:r>
      <w:r w:rsidR="00033706">
        <w:rPr>
          <w:rFonts w:ascii="Times New Roman" w:hAnsi="Times New Roman" w:cs="Times New Roman"/>
          <w:sz w:val="22"/>
          <w:szCs w:val="22"/>
          <w:lang w:val="en-US"/>
        </w:rPr>
        <w:t xml:space="preserve"> </w:t>
      </w:r>
      <w:r w:rsidR="00CA76A0">
        <w:rPr>
          <w:rFonts w:ascii="Times New Roman" w:hAnsi="Times New Roman" w:cs="Times New Roman"/>
          <w:sz w:val="22"/>
          <w:szCs w:val="22"/>
          <w:lang w:val="en-US"/>
        </w:rPr>
        <w:t>(</w:t>
      </w:r>
      <w:r w:rsidR="00225AFC">
        <w:rPr>
          <w:rFonts w:ascii="Times New Roman" w:hAnsi="Times New Roman" w:cs="Times New Roman"/>
          <w:sz w:val="22"/>
          <w:szCs w:val="22"/>
          <w:lang w:val="en-US"/>
        </w:rPr>
        <w:t xml:space="preserve">CRP </w:t>
      </w:r>
      <w:r w:rsidR="00CA76A0">
        <w:rPr>
          <w:rFonts w:ascii="Times New Roman" w:hAnsi="Times New Roman" w:cs="Times New Roman"/>
          <w:sz w:val="22"/>
          <w:szCs w:val="22"/>
          <w:lang w:val="en-US"/>
        </w:rPr>
        <w:t xml:space="preserve">g=1.70, 95% CI 0.73-2.66, k=9, </w:t>
      </w:r>
      <w:r w:rsidR="00CA76A0">
        <w:rPr>
          <w:rFonts w:ascii="Times New Roman" w:hAnsi="Times New Roman" w:cs="Times New Roman"/>
          <w:sz w:val="22"/>
          <w:szCs w:val="22"/>
          <w:lang w:val="en-US"/>
        </w:rPr>
        <w:lastRenderedPageBreak/>
        <w:t xml:space="preserve">BD=290 vs HC=216 ; </w:t>
      </w:r>
      <w:r w:rsidR="00225AFC">
        <w:rPr>
          <w:rFonts w:ascii="Times New Roman" w:hAnsi="Times New Roman" w:cs="Times New Roman"/>
          <w:sz w:val="22"/>
          <w:szCs w:val="22"/>
          <w:lang w:val="en-US"/>
        </w:rPr>
        <w:t xml:space="preserve">IL-6 </w:t>
      </w:r>
      <w:r w:rsidR="00CA76A0">
        <w:rPr>
          <w:rFonts w:ascii="Times New Roman" w:hAnsi="Times New Roman" w:cs="Times New Roman"/>
          <w:sz w:val="22"/>
          <w:szCs w:val="22"/>
          <w:lang w:val="en-US"/>
        </w:rPr>
        <w:t xml:space="preserve">g=1.25, 95% CI 0.54-1.96, k=8, BD=253 vs HC=237 ; </w:t>
      </w:r>
      <w:r w:rsidR="00225AFC">
        <w:rPr>
          <w:rFonts w:ascii="Times New Roman" w:hAnsi="Times New Roman" w:cs="Times New Roman"/>
          <w:sz w:val="22"/>
          <w:szCs w:val="22"/>
          <w:lang w:val="en-US"/>
        </w:rPr>
        <w:t>TNF</w:t>
      </w:r>
      <w:r w:rsidR="00225AFC" w:rsidRPr="00883C4E">
        <w:rPr>
          <w:rFonts w:ascii="Times New Roman" w:hAnsi="Times New Roman" w:cs="Times New Roman"/>
          <w:sz w:val="22"/>
          <w:szCs w:val="22"/>
          <w:lang w:val="en-US"/>
        </w:rPr>
        <w:t>-α</w:t>
      </w:r>
      <w:r w:rsidR="00225AFC">
        <w:rPr>
          <w:rFonts w:ascii="Times New Roman" w:hAnsi="Times New Roman" w:cs="Times New Roman"/>
          <w:sz w:val="22"/>
          <w:szCs w:val="22"/>
          <w:lang w:val="en-US"/>
        </w:rPr>
        <w:t xml:space="preserve"> </w:t>
      </w:r>
      <w:r w:rsidR="00CA76A0">
        <w:rPr>
          <w:rFonts w:ascii="Times New Roman" w:hAnsi="Times New Roman" w:cs="Times New Roman"/>
          <w:sz w:val="22"/>
          <w:szCs w:val="22"/>
          <w:lang w:val="en-US"/>
        </w:rPr>
        <w:t>g=1.08, 95% CI 0.00-2.15, k=10, BD=322 vs HC=253) and</w:t>
      </w:r>
      <w:r w:rsidR="0096298A">
        <w:rPr>
          <w:rFonts w:ascii="Times New Roman" w:hAnsi="Times New Roman" w:cs="Times New Roman"/>
          <w:sz w:val="22"/>
          <w:szCs w:val="22"/>
          <w:lang w:val="en-US"/>
        </w:rPr>
        <w:t xml:space="preserve"> in</w:t>
      </w:r>
      <w:r w:rsidR="00CA76A0">
        <w:rPr>
          <w:rFonts w:ascii="Times New Roman" w:hAnsi="Times New Roman" w:cs="Times New Roman"/>
          <w:sz w:val="22"/>
          <w:szCs w:val="22"/>
          <w:lang w:val="en-US"/>
        </w:rPr>
        <w:t xml:space="preserve"> mixed state</w:t>
      </w:r>
      <w:r w:rsidR="0096298A">
        <w:rPr>
          <w:rFonts w:ascii="Times New Roman" w:hAnsi="Times New Roman" w:cs="Times New Roman"/>
          <w:sz w:val="22"/>
          <w:szCs w:val="22"/>
          <w:lang w:val="en-US"/>
        </w:rPr>
        <w:t>s</w:t>
      </w:r>
      <w:r w:rsidR="00CA76A0">
        <w:rPr>
          <w:rFonts w:ascii="Times New Roman" w:hAnsi="Times New Roman" w:cs="Times New Roman"/>
          <w:sz w:val="22"/>
          <w:szCs w:val="22"/>
          <w:lang w:val="en-US"/>
        </w:rPr>
        <w:t xml:space="preserve"> (</w:t>
      </w:r>
      <w:r w:rsidR="00CC5EA9">
        <w:rPr>
          <w:rFonts w:ascii="Times New Roman" w:hAnsi="Times New Roman" w:cs="Times New Roman"/>
          <w:sz w:val="22"/>
          <w:szCs w:val="22"/>
          <w:lang w:val="en-US"/>
        </w:rPr>
        <w:t xml:space="preserve">CRP </w:t>
      </w:r>
      <w:r w:rsidR="00CA76A0">
        <w:rPr>
          <w:rFonts w:ascii="Times New Roman" w:hAnsi="Times New Roman" w:cs="Times New Roman"/>
          <w:sz w:val="22"/>
          <w:szCs w:val="22"/>
          <w:lang w:val="en-US"/>
        </w:rPr>
        <w:t>g=0.48, 95% CI 0.06-0.90, k=13, BD=1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 xml:space="preserve">285 vs HC=1424 ; </w:t>
      </w:r>
      <w:r w:rsidR="00CC5EA9">
        <w:rPr>
          <w:rFonts w:ascii="Times New Roman" w:hAnsi="Times New Roman" w:cs="Times New Roman"/>
          <w:sz w:val="22"/>
          <w:szCs w:val="22"/>
          <w:lang w:val="en-US"/>
        </w:rPr>
        <w:t xml:space="preserve">IL-6 </w:t>
      </w:r>
      <w:r w:rsidR="00CA76A0">
        <w:rPr>
          <w:rFonts w:ascii="Times New Roman" w:hAnsi="Times New Roman" w:cs="Times New Roman"/>
          <w:sz w:val="22"/>
          <w:szCs w:val="22"/>
          <w:lang w:val="en-US"/>
        </w:rPr>
        <w:t>g=0.69, 95% CI 0.25-1.14, k=14, BD=920 vs HC=1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 xml:space="preserve">660 ; </w:t>
      </w:r>
      <w:r w:rsidR="00CC5EA9">
        <w:rPr>
          <w:rFonts w:ascii="Times New Roman" w:hAnsi="Times New Roman" w:cs="Times New Roman"/>
          <w:sz w:val="22"/>
          <w:szCs w:val="22"/>
          <w:lang w:val="en-US"/>
        </w:rPr>
        <w:t>TNF-</w:t>
      </w:r>
      <w:r w:rsidR="00CC5EA9" w:rsidRPr="00883C4E">
        <w:rPr>
          <w:rFonts w:ascii="Times New Roman" w:hAnsi="Times New Roman" w:cs="Times New Roman"/>
          <w:sz w:val="22"/>
          <w:szCs w:val="22"/>
          <w:lang w:val="en-US"/>
        </w:rPr>
        <w:t>α</w:t>
      </w:r>
      <w:r w:rsidR="00CC5EA9">
        <w:rPr>
          <w:rFonts w:ascii="Times New Roman" w:hAnsi="Times New Roman" w:cs="Times New Roman"/>
          <w:sz w:val="22"/>
          <w:szCs w:val="22"/>
          <w:lang w:val="en-US"/>
        </w:rPr>
        <w:t xml:space="preserve"> </w:t>
      </w:r>
      <w:r w:rsidR="00CA76A0">
        <w:rPr>
          <w:rFonts w:ascii="Times New Roman" w:hAnsi="Times New Roman" w:cs="Times New Roman"/>
          <w:sz w:val="22"/>
          <w:szCs w:val="22"/>
          <w:lang w:val="en-US"/>
        </w:rPr>
        <w:t>g=0.33, 95% CI 0.12-0.54, k=16, BD=1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138 vs HC=656</w:t>
      </w:r>
      <w:r w:rsidR="0096298A">
        <w:rPr>
          <w:rFonts w:ascii="Times New Roman" w:hAnsi="Times New Roman" w:cs="Times New Roman"/>
          <w:sz w:val="22"/>
          <w:szCs w:val="22"/>
          <w:lang w:val="en-US"/>
        </w:rPr>
        <w:t>, respectively</w:t>
      </w:r>
      <w:r w:rsidR="00CA76A0">
        <w:rPr>
          <w:rFonts w:ascii="Times New Roman" w:hAnsi="Times New Roman" w:cs="Times New Roman"/>
          <w:sz w:val="22"/>
          <w:szCs w:val="22"/>
          <w:lang w:val="en-US"/>
        </w:rPr>
        <w:t xml:space="preserve">). In euthymia, only IL-6 </w:t>
      </w:r>
      <w:r w:rsidR="0096298A">
        <w:rPr>
          <w:rFonts w:ascii="Times New Roman" w:hAnsi="Times New Roman" w:cs="Times New Roman"/>
          <w:sz w:val="22"/>
          <w:szCs w:val="22"/>
          <w:lang w:val="en-US"/>
        </w:rPr>
        <w:t xml:space="preserve">levels </w:t>
      </w:r>
      <w:r w:rsidR="00FF5EA7">
        <w:rPr>
          <w:rFonts w:ascii="Times New Roman" w:hAnsi="Times New Roman" w:cs="Times New Roman"/>
          <w:sz w:val="22"/>
          <w:szCs w:val="22"/>
          <w:lang w:val="en-US"/>
        </w:rPr>
        <w:t xml:space="preserve">were </w:t>
      </w:r>
      <w:r w:rsidR="00CA76A0">
        <w:rPr>
          <w:rFonts w:ascii="Times New Roman" w:hAnsi="Times New Roman" w:cs="Times New Roman"/>
          <w:sz w:val="22"/>
          <w:szCs w:val="22"/>
          <w:lang w:val="en-US"/>
        </w:rPr>
        <w:t>elevated in</w:t>
      </w:r>
      <w:r w:rsidR="0096298A">
        <w:rPr>
          <w:rFonts w:ascii="Times New Roman" w:hAnsi="Times New Roman" w:cs="Times New Roman"/>
          <w:sz w:val="22"/>
          <w:szCs w:val="22"/>
          <w:lang w:val="en-US"/>
        </w:rPr>
        <w:t xml:space="preserve"> participants with</w:t>
      </w:r>
      <w:r w:rsidR="00CA76A0">
        <w:rPr>
          <w:rFonts w:ascii="Times New Roman" w:hAnsi="Times New Roman" w:cs="Times New Roman"/>
          <w:sz w:val="22"/>
          <w:szCs w:val="22"/>
          <w:lang w:val="en-US"/>
        </w:rPr>
        <w:t xml:space="preserve"> BD compared to healthy controls (g=0.40, 95% CI 0.11-0.69, k=13, BD=442 vs HC=1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973), but not CRP (g=0.50, 95% CI -0.24-1.23, k=8, BD=340 vs HC=1882) or TNF</w:t>
      </w:r>
      <w:r w:rsidR="00CA76A0" w:rsidRPr="00883C4E">
        <w:rPr>
          <w:rFonts w:ascii="Times New Roman" w:hAnsi="Times New Roman" w:cs="Times New Roman"/>
          <w:sz w:val="22"/>
          <w:szCs w:val="22"/>
          <w:lang w:val="en-US"/>
        </w:rPr>
        <w:t>-α</w:t>
      </w:r>
      <w:r w:rsidR="00CA76A0">
        <w:rPr>
          <w:rFonts w:ascii="Times New Roman" w:hAnsi="Times New Roman" w:cs="Times New Roman"/>
          <w:sz w:val="22"/>
          <w:szCs w:val="22"/>
          <w:lang w:val="en-US"/>
        </w:rPr>
        <w:t xml:space="preserve"> (g=0.15, 95% CI -0.27-0.57, k=16, BD=535 vs HC=1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997).</w:t>
      </w:r>
    </w:p>
    <w:p w14:paraId="1DAFB3AE" w14:textId="4650370B" w:rsidR="00CA76A0" w:rsidRDefault="0096298A" w:rsidP="005A0E80">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Those results remained </w:t>
      </w:r>
      <w:r w:rsidR="00A80F6A">
        <w:rPr>
          <w:rFonts w:ascii="Times New Roman" w:hAnsi="Times New Roman" w:cs="Times New Roman"/>
          <w:sz w:val="22"/>
          <w:szCs w:val="22"/>
          <w:lang w:val="en-US"/>
        </w:rPr>
        <w:t xml:space="preserve">unaltered after </w:t>
      </w:r>
      <w:r w:rsidR="00CA76A0">
        <w:rPr>
          <w:rFonts w:ascii="Times New Roman" w:hAnsi="Times New Roman" w:cs="Times New Roman"/>
          <w:sz w:val="22"/>
          <w:szCs w:val="22"/>
          <w:lang w:val="en-US"/>
        </w:rPr>
        <w:t>the exclusion of</w:t>
      </w:r>
      <w:r w:rsidR="00A73262">
        <w:rPr>
          <w:rFonts w:ascii="Times New Roman" w:hAnsi="Times New Roman" w:cs="Times New Roman"/>
          <w:sz w:val="22"/>
          <w:szCs w:val="22"/>
          <w:lang w:val="en-US"/>
        </w:rPr>
        <w:t xml:space="preserve"> outliers, identified with funnel plot visual inspection, </w:t>
      </w:r>
      <w:r w:rsidR="00CA76A0">
        <w:rPr>
          <w:rFonts w:ascii="Times New Roman" w:hAnsi="Times New Roman" w:cs="Times New Roman"/>
          <w:sz w:val="22"/>
          <w:szCs w:val="22"/>
          <w:lang w:val="en-US"/>
        </w:rPr>
        <w:t xml:space="preserve">and the exclusion of studies </w:t>
      </w:r>
      <w:r w:rsidR="00A80F6A">
        <w:rPr>
          <w:rFonts w:ascii="Times New Roman" w:hAnsi="Times New Roman" w:cs="Times New Roman"/>
          <w:sz w:val="22"/>
          <w:szCs w:val="22"/>
          <w:lang w:val="en-US"/>
        </w:rPr>
        <w:t>with low methodological quality</w:t>
      </w:r>
      <w:r w:rsidR="00DC79B0">
        <w:rPr>
          <w:rFonts w:ascii="Times New Roman" w:hAnsi="Times New Roman" w:cs="Times New Roman"/>
          <w:sz w:val="22"/>
          <w:szCs w:val="22"/>
          <w:lang w:val="en-US"/>
        </w:rPr>
        <w:t xml:space="preserve">. Specifically, </w:t>
      </w:r>
      <w:r w:rsidR="00A73262">
        <w:rPr>
          <w:rFonts w:ascii="Times New Roman" w:hAnsi="Times New Roman" w:cs="Times New Roman"/>
          <w:sz w:val="22"/>
          <w:szCs w:val="22"/>
          <w:lang w:val="en-US"/>
        </w:rPr>
        <w:t xml:space="preserve">elevation persisted </w:t>
      </w:r>
      <w:r w:rsidR="00A80F6A">
        <w:rPr>
          <w:rFonts w:ascii="Times New Roman" w:hAnsi="Times New Roman" w:cs="Times New Roman"/>
          <w:sz w:val="22"/>
          <w:szCs w:val="22"/>
          <w:lang w:val="en-US"/>
        </w:rPr>
        <w:t xml:space="preserve">for </w:t>
      </w:r>
      <w:r w:rsidR="00A73262">
        <w:rPr>
          <w:rFonts w:ascii="Times New Roman" w:hAnsi="Times New Roman" w:cs="Times New Roman"/>
          <w:sz w:val="22"/>
          <w:szCs w:val="22"/>
          <w:lang w:val="en-US"/>
        </w:rPr>
        <w:t>CRP (g=0.55, 95% CI 0.27-0.82, k=33, BD=2099 vs HC=3</w:t>
      </w:r>
      <w:r w:rsidR="004F2C30">
        <w:rPr>
          <w:rFonts w:ascii="Times New Roman" w:hAnsi="Times New Roman" w:cs="Times New Roman"/>
          <w:sz w:val="22"/>
          <w:szCs w:val="22"/>
          <w:lang w:val="en-US"/>
        </w:rPr>
        <w:t>,</w:t>
      </w:r>
      <w:r w:rsidR="00A73262">
        <w:rPr>
          <w:rFonts w:ascii="Times New Roman" w:hAnsi="Times New Roman" w:cs="Times New Roman"/>
          <w:sz w:val="22"/>
          <w:szCs w:val="22"/>
          <w:lang w:val="en-US"/>
        </w:rPr>
        <w:t>715</w:t>
      </w:r>
      <w:r w:rsidR="00CA76A0">
        <w:rPr>
          <w:rFonts w:ascii="Times New Roman" w:hAnsi="Times New Roman" w:cs="Times New Roman"/>
          <w:sz w:val="22"/>
          <w:szCs w:val="22"/>
          <w:lang w:val="en-US"/>
        </w:rPr>
        <w:t xml:space="preserve"> ; g=0.83, 95% CI 0.16-1.50, k=26, BD=1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658 vs HC=2923</w:t>
      </w:r>
      <w:r w:rsidR="00A73262">
        <w:rPr>
          <w:rFonts w:ascii="Times New Roman" w:hAnsi="Times New Roman" w:cs="Times New Roman"/>
          <w:sz w:val="22"/>
          <w:szCs w:val="22"/>
          <w:lang w:val="en-US"/>
        </w:rPr>
        <w:t>), IL-6 (g=0.61, 95% CI 0.31-0.91, k=44, BD=1946 vs HC=4</w:t>
      </w:r>
      <w:r w:rsidR="004F2C30">
        <w:rPr>
          <w:rFonts w:ascii="Times New Roman" w:hAnsi="Times New Roman" w:cs="Times New Roman"/>
          <w:sz w:val="22"/>
          <w:szCs w:val="22"/>
          <w:lang w:val="en-US"/>
        </w:rPr>
        <w:t>,</w:t>
      </w:r>
      <w:r w:rsidR="00A73262">
        <w:rPr>
          <w:rFonts w:ascii="Times New Roman" w:hAnsi="Times New Roman" w:cs="Times New Roman"/>
          <w:sz w:val="22"/>
          <w:szCs w:val="22"/>
          <w:lang w:val="en-US"/>
        </w:rPr>
        <w:t>073</w:t>
      </w:r>
      <w:r w:rsidR="00CA76A0">
        <w:rPr>
          <w:rFonts w:ascii="Times New Roman" w:hAnsi="Times New Roman" w:cs="Times New Roman"/>
          <w:sz w:val="22"/>
          <w:szCs w:val="22"/>
          <w:lang w:val="en-US"/>
        </w:rPr>
        <w:t xml:space="preserve"> ; g=0.90, 95% CI 0.44-1.35, k=36, BD=1722 vs HC=3922</w:t>
      </w:r>
      <w:r w:rsidR="00A73262">
        <w:rPr>
          <w:rFonts w:ascii="Times New Roman" w:hAnsi="Times New Roman" w:cs="Times New Roman"/>
          <w:sz w:val="22"/>
          <w:szCs w:val="22"/>
          <w:lang w:val="en-US"/>
        </w:rPr>
        <w:t>) and TNF</w:t>
      </w:r>
      <w:r w:rsidR="00A73262" w:rsidRPr="00883C4E">
        <w:rPr>
          <w:rFonts w:ascii="Times New Roman" w:hAnsi="Times New Roman" w:cs="Times New Roman"/>
          <w:sz w:val="22"/>
          <w:szCs w:val="22"/>
          <w:lang w:val="en-US"/>
        </w:rPr>
        <w:t>-α</w:t>
      </w:r>
      <w:r w:rsidR="00A73262">
        <w:rPr>
          <w:rFonts w:ascii="Times New Roman" w:hAnsi="Times New Roman" w:cs="Times New Roman"/>
          <w:sz w:val="22"/>
          <w:szCs w:val="22"/>
          <w:lang w:val="en-US"/>
        </w:rPr>
        <w:t xml:space="preserve"> (g=0.36, 95% CI 0.18-0.55, k=45, BD=2</w:t>
      </w:r>
      <w:r w:rsidR="004F2C30">
        <w:rPr>
          <w:rFonts w:ascii="Times New Roman" w:hAnsi="Times New Roman" w:cs="Times New Roman"/>
          <w:sz w:val="22"/>
          <w:szCs w:val="22"/>
          <w:lang w:val="en-US"/>
        </w:rPr>
        <w:t>,</w:t>
      </w:r>
      <w:r w:rsidR="00A73262">
        <w:rPr>
          <w:rFonts w:ascii="Times New Roman" w:hAnsi="Times New Roman" w:cs="Times New Roman"/>
          <w:sz w:val="22"/>
          <w:szCs w:val="22"/>
          <w:lang w:val="en-US"/>
        </w:rPr>
        <w:t>162 vs HC=2</w:t>
      </w:r>
      <w:r w:rsidR="004F2C30">
        <w:rPr>
          <w:rFonts w:ascii="Times New Roman" w:hAnsi="Times New Roman" w:cs="Times New Roman"/>
          <w:sz w:val="22"/>
          <w:szCs w:val="22"/>
          <w:lang w:val="en-US"/>
        </w:rPr>
        <w:t>,</w:t>
      </w:r>
      <w:r w:rsidR="00A73262">
        <w:rPr>
          <w:rFonts w:ascii="Times New Roman" w:hAnsi="Times New Roman" w:cs="Times New Roman"/>
          <w:sz w:val="22"/>
          <w:szCs w:val="22"/>
          <w:lang w:val="en-US"/>
        </w:rPr>
        <w:t>969</w:t>
      </w:r>
      <w:r w:rsidR="00CA76A0">
        <w:rPr>
          <w:rFonts w:ascii="Times New Roman" w:hAnsi="Times New Roman" w:cs="Times New Roman"/>
          <w:sz w:val="22"/>
          <w:szCs w:val="22"/>
          <w:lang w:val="en-US"/>
        </w:rPr>
        <w:t xml:space="preserve"> ; g=0.61, 95% CI 0.12-1.10, k=37, BD=1</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857 vs HC=2</w:t>
      </w:r>
      <w:r w:rsidR="004F2C30">
        <w:rPr>
          <w:rFonts w:ascii="Times New Roman" w:hAnsi="Times New Roman" w:cs="Times New Roman"/>
          <w:sz w:val="22"/>
          <w:szCs w:val="22"/>
          <w:lang w:val="en-US"/>
        </w:rPr>
        <w:t>,</w:t>
      </w:r>
      <w:r w:rsidR="00CA76A0">
        <w:rPr>
          <w:rFonts w:ascii="Times New Roman" w:hAnsi="Times New Roman" w:cs="Times New Roman"/>
          <w:sz w:val="22"/>
          <w:szCs w:val="22"/>
          <w:lang w:val="en-US"/>
        </w:rPr>
        <w:t>680</w:t>
      </w:r>
      <w:r w:rsidR="00A73262">
        <w:rPr>
          <w:rFonts w:ascii="Times New Roman" w:hAnsi="Times New Roman" w:cs="Times New Roman"/>
          <w:sz w:val="22"/>
          <w:szCs w:val="22"/>
          <w:lang w:val="en-US"/>
        </w:rPr>
        <w:t>)</w:t>
      </w:r>
      <w:r w:rsidR="00CC5EA9">
        <w:rPr>
          <w:rFonts w:ascii="Times New Roman" w:hAnsi="Times New Roman" w:cs="Times New Roman"/>
          <w:sz w:val="22"/>
          <w:szCs w:val="22"/>
          <w:lang w:val="en-US"/>
        </w:rPr>
        <w:t>.</w:t>
      </w:r>
      <w:r w:rsidR="00CC5EA9" w:rsidDel="00CC5EA9">
        <w:rPr>
          <w:rFonts w:ascii="Times New Roman" w:hAnsi="Times New Roman" w:cs="Times New Roman"/>
          <w:sz w:val="22"/>
          <w:szCs w:val="22"/>
          <w:lang w:val="en-US"/>
        </w:rPr>
        <w:t xml:space="preserve"> </w:t>
      </w:r>
    </w:p>
    <w:p w14:paraId="1CCA9F5A" w14:textId="77777777" w:rsidR="00A74C8D" w:rsidRDefault="00CA76A0" w:rsidP="00A74C8D">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Similar results were obtained including only BMI-matched samples for CRP (g=0.94, 95% CI 0.37-1.51, k=21, BD=1</w:t>
      </w:r>
      <w:r w:rsidR="004F2C30">
        <w:rPr>
          <w:rFonts w:ascii="Times New Roman" w:hAnsi="Times New Roman" w:cs="Times New Roman"/>
          <w:sz w:val="22"/>
          <w:szCs w:val="22"/>
          <w:lang w:val="en-US"/>
        </w:rPr>
        <w:t>,</w:t>
      </w:r>
      <w:r>
        <w:rPr>
          <w:rFonts w:ascii="Times New Roman" w:hAnsi="Times New Roman" w:cs="Times New Roman"/>
          <w:sz w:val="22"/>
          <w:szCs w:val="22"/>
          <w:lang w:val="en-US"/>
        </w:rPr>
        <w:t>113 vs HC=2780), IL-6 (g=0.73, 95% CI 0.35-1.11, k=23, BD=1091 vs HC=2</w:t>
      </w:r>
      <w:r w:rsidR="004F2C30">
        <w:rPr>
          <w:rFonts w:ascii="Times New Roman" w:hAnsi="Times New Roman" w:cs="Times New Roman"/>
          <w:sz w:val="22"/>
          <w:szCs w:val="22"/>
          <w:lang w:val="en-US"/>
        </w:rPr>
        <w:t>,</w:t>
      </w:r>
      <w:r>
        <w:rPr>
          <w:rFonts w:ascii="Times New Roman" w:hAnsi="Times New Roman" w:cs="Times New Roman"/>
          <w:sz w:val="22"/>
          <w:szCs w:val="22"/>
          <w:lang w:val="en-US"/>
        </w:rPr>
        <w:t>618), and TNF</w:t>
      </w:r>
      <w:r w:rsidRPr="00883C4E">
        <w:rPr>
          <w:rFonts w:ascii="Times New Roman" w:hAnsi="Times New Roman" w:cs="Times New Roman"/>
          <w:sz w:val="22"/>
          <w:szCs w:val="22"/>
          <w:lang w:val="en-US"/>
        </w:rPr>
        <w:t>-α</w:t>
      </w:r>
      <w:r>
        <w:rPr>
          <w:rFonts w:ascii="Times New Roman" w:hAnsi="Times New Roman" w:cs="Times New Roman"/>
          <w:sz w:val="22"/>
          <w:szCs w:val="22"/>
          <w:lang w:val="en-US"/>
        </w:rPr>
        <w:t xml:space="preserve"> (g=0.49, 95% CI 0.17-0.81, k=22, BD=929 vs HC=2</w:t>
      </w:r>
      <w:r w:rsidR="004F2C30">
        <w:rPr>
          <w:rFonts w:ascii="Times New Roman" w:hAnsi="Times New Roman" w:cs="Times New Roman"/>
          <w:sz w:val="22"/>
          <w:szCs w:val="22"/>
          <w:lang w:val="en-US"/>
        </w:rPr>
        <w:t>,</w:t>
      </w:r>
      <w:r>
        <w:rPr>
          <w:rFonts w:ascii="Times New Roman" w:hAnsi="Times New Roman" w:cs="Times New Roman"/>
          <w:sz w:val="22"/>
          <w:szCs w:val="22"/>
          <w:lang w:val="en-US"/>
        </w:rPr>
        <w:t xml:space="preserve">187). </w:t>
      </w:r>
    </w:p>
    <w:p w14:paraId="4FC537A0" w14:textId="51CC1190" w:rsidR="00CA76A0" w:rsidRDefault="00CA76A0" w:rsidP="00A74C8D">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When including only untreated samples,</w:t>
      </w:r>
      <w:r w:rsidR="00131279">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{"citationItems":[{"id":"ITEM-1","itemData":{"DOI":"10.1016/j.psychres.2019.01.100","ISSN":"18727123","PMID":"31207853","abstract":"Objective: The aim of this study was to assess if cytokines levels (IL-6 and IL-10) are related to major depressive disorder (MDD) and bipolar disorder (BD), in a population-based study. Methods: This was a cross-sectional study population-based, involving 1037 people aged 18–35. MDD, BD, anxiety and suicide risk were assessed using the Mini International Neuropsychiatric Interview. Serum IL-6 and IL-10 were measured by ELISA using a commercial kit. Results: The total sample comprised 1034 young adults, being 14.4% with MDD and 13.7% with BD. MDD and BD groups showed significantly higher serum IL-6 levels (p ≤ 0.001) and IL-10 levels (p ≤ 0.001) when compared to healthy control group. No correlation was found between serum IL-6 and IL-10 levels in health control group (p = 0.830; r = −0.008), non-suicide risk (p = 0.337; r = 0.032) and non-anxiety disorder (p = 0.375; r = 0.031). Covariance analysis showed that mood disorders alone, increase both interleukin levels (IL-6, p = 0.019; and IL-10, p = 0.026), whilst the interaction of mood disorders and suicide risk or anxiety disorders did not. Conclusion: Our results suggest that inflammatory dysregulation may be involved in the physiopathology of mood disorders and serum IL-6 and IL-10 levels are putative biomarkers for these disorders.","author":[{"dropping-particle":"","family":"Wiener","given":"Carolina David","non-dropping-particle":"","parse-names":false,"suffix":""},{"dropping-particle":"","family":"Moreira","given":"Fernanda Pedrotti","non-dropping-particle":"","parse-names":false,"suffix":""},{"dropping-particle":"","family":"Portela","given":"Luis Valmor","non-dropping-particle":"","parse-names":false,"suffix":""},{"dropping-particle":"","family":"Strogulski","given":"Nathan R.","non-dropping-particle":"","parse-names":false,"suffix":""},{"dropping-particle":"","family":"Lara","given":"Diogo R.","non-dropping-particle":"","parse-names":false,"suffix":""},{"dropping-particle":"","family":"Silva","given":"Ricardo Azevedo","non-dropping-particle":"da","parse-names":false,"suffix":""},{"dropping-particle":"","family":"Souza","given":"Luciano Dias de Mattos","non-dropping-particle":"","parse-names":false,"suffix":""},{"dropping-particle":"","family":"Jansen","given":"Karen","non-dropping-particle":"","parse-names":false,"suffix":""},{"dropping-particle":"","family":"Oses","given":"Jean Pierre","non-dropping-particle":"","parse-names":false,"suffix":""}],"container-title":"Psychiatry Research","id":"ITEM-1","issued":{"date-parts":[["2019","3","1"]]},"page":"685-689","publisher":"Elsevier Ireland Ltd","title":"Interleukin-6 and Interleukin-10 in mood disorders: A population-based study","type":"article-journal","volume":"273"},"uris":["http://www.mendeley.com/documents/?uuid=626e8c39-1eb9-355f-8df3-7f567280ffcd"]},{"id":"ITEM-2","itemData":{"DOI":"10.3109/15622975.2016.1155746","ISSN":"1562-2975","author":[{"dropping-particle":"","family":"Chang","given":"Hui Hua","non-dropping-particle":"","parse-names":false,"suffix":""},{"dropping-particle":"","family":"Wang","given":"Tzu-Yun","non-dropping-particle":"","parse-names":false,"suffix":""},{"dropping-particle":"","family":"Lee","given":"I Hui","non-dropping-particle":"","parse-names":false,"suffix":""},{"dropping-particle":"","family":"Lee","given":"Sheng-Yu","non-dropping-particle":"","parse-names":false,"suffix":""},{"dropping-particle":"","family":"Chen","given":"Kao Chin","non-dropping-particle":"","parse-names":false,"suffix":""},{"dropping-particle":"","family":"Huang","given":"San-Yuan","non-dropping-particle":"","parse-names":false,"suffix":""},{"dropping-particle":"","family":"Yang","given":"Yen Kuang","non-dropping-particle":"","parse-names":false,"suffix":""},{"dropping-particle":"","family":"Lu","given":"Ru-Band","non-dropping-particle":"","parse-names":false,"suffix":""},{"dropping-particle":"","family":"Chen","given":"Po See","non-dropping-particle":"","parse-names":false,"suffix":""}],"container-title":"The World Journal of Biological Psychiatry","id":"ITEM-2","issue":"1","issued":{"date-parts":[["2017","1","2"]]},"note":"doi: 10.3109/15622975.2016.1155746","page":"63-70","publisher":"Taylor &amp; Francis","title":"C-reactive protein: A differential biomarker for major depressive disorder and bipolar II disorder","type":"article-journal","volume":"18"},"uris":["http://www.mendeley.com/documents/?uuid=7fc56fd0-6893-4198-bbde-24c1ef6ac61e"]},{"id":"ITEM-3","itemData":{"DOI":"https://doi.org/10.1016/j.pnpbp.2006.09.010","ISSN":"0278-5846","abstract":"The serum high-sensitivity C-reactive protein (hsCRP) levels in patients with major depressive disorder and bipolar I disorder in acute phases were investigated. During a 1-year period, a total of 67 participants including 23 patients with major depressive disorder, 13 patients with bipolar I disorder (manic episode) and 31 healthy controls were recruited in this study. The diagnoses of mental disorders in participants were made by one psychiatrist according to the Structured Clinical Interview for DSM-IV Axis I Disorders (SCID). Both patient groups with major depression and bipolar disorder had higher mean serum hsCRP levels than the healthy control group. Using analysis of covariance with age adjustment, patients with bipolar I disorders still had significantly higher hsCRP levels than healthy controls (P=0.043). However, patients with major depression did not have significantly higher hsCRP levels than healthy controls (P=0.172). These results suggest that patients with bipolar I disorder might have a more severe inflammation reaction than patients without major depression. However, larger samples and adequate statistical methods are needed to prove these results.","author":[{"dropping-particle":"","family":"Huang","given":"Tiao-Lai","non-dropping-particle":"","parse-names":false,"suffix":""},{"dropping-particle":"","family":"Lin","given":"Fu-Chen","non-dropping-particle":"","parse-names":false,"suffix":""}],"container-title":"Progress in Neuro-Psychopharmacology and Biological Psychiatry","id":"ITEM-3","issue":"2","issued":{"date-parts":[["2007"]]},"page":"370-372","title":"High-sensitivity C-reactive protein levels in patients with major depressive disorder and bipolar mania","type":"article-journal","volume":"31"},"uris":["http://www.mendeley.com/documents/?uuid=69cbcefd-3f38-4a7f-9ffc-11bb4e28bfcf"]},{"id":"ITEM-4","itemData":{"DOI":"10.1016/j.jad.2010.04.027","ISSN":"01650327","PMID":"20537397","abstract":"Background: The pathophysiology of bipolar disorder is not thoroughly understood. Several studies have investigated the possible role of cytokines in psychiatric disorders, based on their role in neuro-immune modulation; however, findings in studies on bipolar disorder remain limited and contradictory, and most studies have focused on either manic or depressive episodes. These studies suggest that both manic and depressive episodes could be pro-inflammatory states. The present study aimed to determine whether there are enduring differences in cytokine levels-unrelated to the effects of medication-between euthymic bipolar patients and healthy controls. Methods: The study included 31 euthymic bipolar patients-16 medication-free (MF) and 15 on lithium monotherapy (LM) and 16 healthy volunteers in whom serum cytokine levels were measured. The 3 groups were homogenous in terms of age, gender, and ethnicity. IFN-γ, TNF-α, IL-2, IL-4, IL-5, and IL-10 levels were measured in all groups using flow cytometry. Results: There were no differences in cytokine levels between MF euthymic bipolar patients and healthy controls. TNF-α and IL-4 levels in LM euthymic bipolar patients were higher than in both the MF euthymic bipolar patients and controls. Limitations: The small and strictly selected study sample could limit the generalizability of the findings. Conclusions: Cytokine production in MF euthymic bipolar patients was similar to that in healthy controls. The present study shows that the pro-inflammatory state resolves in euthymia and that lithium had an influence on the cytokine profile, which could create a confounding factor while investigating disease- related immunopathology of bipolar disorder. © 2010 Elsevier B.V. All rights reserved.","author":[{"dropping-particle":"","family":"Guloksuz","given":"Sinan","non-dropping-particle":"","parse-names":false,"suffix":""},{"dropping-particle":"","family":"Aktas Cetin","given":"Esin","non-dropping-particle":"","parse-names":false,"suffix":""},{"dropping-particle":"","family":"Cetin","given":"Turan","non-dropping-particle":"","parse-names":false,"suffix":""},{"dropping-particle":"","family":"Deniz","given":"Gunnur","non-dropping-particle":"","parse-names":false,"suffix":""},{"dropping-particle":"","family":"Oral","given":"E. Timucin","non-dropping-particle":"","parse-names":false,"suffix":""},{"dropping-particle":"","family":"Nutt","given":"David J.","non-dropping-particle":"","parse-names":false,"suffix":""}],"container-title":"Journal of Affective Disorders","id":"ITEM-4","issue":"3","issued":{"date-parts":[["2010","11"]]},"page":"458-462","publisher":"J Affect Disord","title":"Cytokine levels in euthymic bipolar patients","type":"article-journal","volume":"126"},"uris":["http://www.mendeley.com/documents/?uuid=89ebc344-3fb2-3c0f-886e-b1cd1f580096"]},{"id":"ITEM-5","itemData":{"DOI":"https://doi.org/10.1016/j.jad.2007.02.018","ISSN":"0165-0327","abstract":"Background The role of cytokines in bipolar disorder is still controversial. Although a few studies have found alterations of cytokines in bipolar disorder, their findings were inconsistent. The aim of this study was to determine whether the cytokines are involved in the pathophysiology of bipolar disorder. Methods A total of 37 manic patients with bipolar disorder and 74 control subjects were recruited. The mitogen-induced production of tumor necrosis factor (TNF)-alpha, interleukin-6 (IL-6), IL-4, interferon (IFN)-gamma, and IL-2 was measured using quantitative sandwich ELISA at the time of admission and 6 weeks after mood stabilizer treatment. Results IL-6 and TNF-alpha production of bipolar manic patients was significantly higher than those of normal controls, while IL-4 values of the patients were significantly lower than normal controls. IL-6/IL-4, TNF-alpha/IL-4, IL-2/IL-4, and IFN-gamma/IL-4 ratios were significantly higher in bipolar manic patients than in normal controls. After 6 weeks of treatment, the levels of IL-6 significantly decreased compared with baseline. Limitations The effect of various types of mood stabilizers on cytokine production should be considered. Conclusions These findings suggest that the increased activity of pro-inflammatory cytokines and an imbalance between pro-inflammatory and anti-inflammatory cytokines may play a role in the pathophysiology of bipolar disorder.","author":[{"dropping-particle":"","family":"Kim","given":"Yong-Ku","non-dropping-particle":"","parse-names":false,"suffix":""},{"dropping-particle":"","family":"Jung","given":"Hyun-Gang","non-dropping-particle":"","parse-names":false,"suffix":""},{"dropping-particle":"","family":"Myint","given":"Aye-Mu","non-dropping-particle":"","parse-names":false,"suffix":""},{"dropping-particle":"","family":"Kim","given":"Hyun","non-dropping-particle":"","parse-names":false,"suffix":""},{"dropping-particle":"","family":"Park","given":"Sun-Hwa","non-dropping-particle":"","parse-names":false,"suffix":""}],"container-title":"Journal of Affective Disorders","id":"ITEM-5","issue":"1","issued":{"date-parts":[["2007"]]},"page":"91-95","title":"Imbalance between pro-inflammatory and anti-inflammatory cytokines in bipolar disorder","type":"article-journal","volume":"104"},"uris":["http://www.mendeley.com/documents/?uuid=648e75d5-a643-42de-9fad-07941a37deae"]},{"id":"ITEM-6","itemData":{"DOI":"10.1186/s12974-018-1197-2","ISSN":"17422094","PMID":"29803226","abstract":"Background: Over the past 30 years, evidence has been accumulating for an immunological component to schizophrenia etiology, including genetic links to the major histocompatibility complex, microglia activation, and dysregulated cytokine profiles. However, the degree of similarity in cytokine profiles for schizophrenia and bipolar disorder, as well as the relationship between cytokine levels and brain structure, is less well understood. Methods: To address this, we recruited 69 first-episode schizophrenia-spectrum patients, 16 first-episode bipolar patients with psychotic features, and 53 healthy controls, from the UC Davis EDAPT clinic. Blood plasma was collected and analyzed for all participants with a subset of participants that also underwent structural MRI on a 1.5T GE scanner. Results: Plasma levels of interleukin (IL)-1β, IL-2, IL-6, and interferon (IFN)-γ were elevated in schizophrenia patients compared to those in controls. Patients with bipolar disorder had elevated plasma IL-10 levels compared to controls, and the two patient groups did not differ significantly on any immunological measure. Percent whole-brain gray matter was inversely correlated with IFN-γ and IL-12 levels in patients with schizophrenia, with a trend relationship between IFN-γ and IL-12 and prefrontal cortical thickness. Furthermore, psychotic symptoms were positively related to IL-1β levels in individuals with schizophrenia. Conclusions: These data suggest a partially overlapping pattern of elevated blood cytokine levels in patients with first-episode schizophrenia and bipolar disorder with psychotic features. Furthermore, our findings suggest that elevated pro-inflammatory cytokines may be particularly involved in schizophrenia etiology, given evidence of cytokine-related decreases in total gray matter.","author":[{"dropping-particle":"","family":"Lesh","given":"Tyler A.","non-dropping-particle":"","parse-names":false,"suffix":""},{"dropping-particle":"","family":"Careaga","given":"Milo","non-dropping-particle":"","parse-names":false,"suffix":""},{"dropping-particle":"","family":"Rose","given":"Destanie R.","non-dropping-particle":"","parse-names":false,"suffix":""},{"dropping-particle":"","family":"McAllister","given":"A. Kimberley","non-dropping-particle":"","parse-names":false,"suffix":""},{"dropping-particle":"","family":"Water","given":"Judy","non-dropping-particle":"Van de","parse-names":false,"suffix":""},{"dropping-particle":"","family":"Carter","given":"Cameron S.","non-dropping-particle":"","parse-names":false,"suffix":""},{"dropping-particle":"","family":"Ashwood","given":"Paul","non-dropping-particle":"","parse-names":false,"suffix":""}],"container-title":"Journal of Neuroinflammation","id":"ITEM-6","issue":"1","issued":{"date-parts":[["2018","5","26"]]},"publisher":"BioMed Central Ltd.","title":"Cytokine alterations in first-episode schizophrenia and bipolar disorder: Relationships to brain structure and symptoms","type":"article-journal","volume":"15"},"uris":["http://www.mendeley.com/documents/?uuid=41f0bd0c-7806-3bec-b816-0a298f3d2203"]},{"id":"ITEM-7","itemData":{"DOI":"10.1016/j.jad.2018.04.115","ISSN":"15732517","PMID":"29778935","abstract":"Background: Immune system dysregulation is critical in the physiopathology of major depressive disorder (MDD) and bipolar disorder (BD). However, it is unclear whether both diseases present the same inflammatory patterns during depressive episodes. We explored the differences in pro- and anti-inflammatory cytokines between unipolar and bipolar depression (BDD) and the trajectory of these cytokines after acute-phase treatment. Methods: Sixty-four MDD patients, 61 BDD patients, and 62 healthy controls (HCs) were enrolled. We assessed the clinical features and cytokines plasma levels at baseline and week 12. The pro-inflammatory cytokines (IL-6, TNF-α) and anti-inflammatory cytokines (IL-4, IL-13) of all subjects were assessed by multiplexed sandwich ELISA-based quantitative arrays. Results: Before acute-phase treatment, the initial levels of TNF-α and IL-13 were significantly lower in the BDD patients than in the MDD patients. The results demonstrated that there was no relationship between each cytokine level and clinical features of unipolar and bipolar depressions. After 12 weeks, TNF-α, IL-4, and IL-13 levels became lower in MDD patients than in the other two groups regardless of the patients’ response to treatment while the levels of TNF-α and IL-4 increased only in the BDD responders. Limitations: The effects of different drugs on inflammatory cytokines in MDD or BDD could not be explored further due to the relatively small sample size. Conclusion: Even within the same depressive states, MDD and BDD patients present different inflammatory features, particularly in regard to pro-inflammatory TNF-α and anti-inflammatory IL-13. In addition, the fluctuations of cytokines induced by medication may provide a hint regarding the prediction of treatment response.","author":[{"dropping-particle":"","family":"Mao","given":"Ruizhi","non-dropping-particle":"","parse-names":false,"suffix":""},{"dropping-particle":"","family":"Zhang","given":"Chen","non-dropping-particle":"","parse-names":false,"suffix":""},{"dropping-particle":"","family":"Chen","given":"Jun","non-dropping-particle":"","parse-names":false,"suffix":""},{"dropping-particle":"","family":"Zhao","given":"Guoqing","non-dropping-particle":"","parse-names":false,"suffix":""},{"dropping-particle":"","family":"Zhou","given":"Rubai","non-dropping-particle":"","parse-names":false,"suffix":""},{"dropping-particle":"","family":"Wang","given":"Fan","non-dropping-particle":"","parse-names":false,"suffix":""},{"dropping-particle":"","family":"Xu","given":"Jingjing","non-dropping-particle":"","parse-names":false,"suffix":""},{"dropping-particle":"","family":"Yang","given":"Tao","non-dropping-particle":"","parse-names":false,"suffix":""},{"dropping-particle":"","family":"Su","given":"Yousong","non-dropping-particle":"","parse-names":false,"suffix":""},{"dropping-particle":"","family":"Huang","given":"Jia","non-dropping-particle":"","parse-names":false,"suffix":""},{"dropping-particle":"","family":"Wu","given":"Zhiguo","non-dropping-particle":"","parse-names":false,"suffix":""},{"dropping-particle":"","family":"Cao","given":"Lan","non-dropping-particle":"","parse-names":false,"suffix":""},{"dropping-particle":"","family":"Wang","given":"Yong","non-dropping-particle":"","parse-names":false,"suffix":""},{"dropping-particle":"","family":"Hu","given":"Yingyan","non-dropping-particle":"","parse-names":false,"suffix":""},{"dropping-particle":"","family":"Yuan","given":"Chengmei","non-dropping-particle":"","parse-names":false,"suffix":""},{"dropping-particle":"","family":"Yi","given":"Zhenghui","non-dropping-particle":"","parse-names":false,"suffix":""},{"dropping-particle":"","family":"Hong","given":"Wu","non-dropping-particle":"","parse-names":false,"suffix":""},{"dropping-particle":"","family":"Wang","given":"Zuowei","non-dropping-particle":"","parse-names":false,"suffix":""},{"dropping-particle":"","family":"Peng","given":"Daihui","non-dropping-particle":"","parse-names":false,"suffix":""},{"dropping-particle":"","family":"Fang","given":"Yiru","non-dropping-particle":"","parse-names":false,"suffix":""}],"container-title":"Journal of Affective Disorders","id":"ITEM-7","issued":{"date-parts":[["2018","9","1"]]},"page":"65-72","publisher":"Elsevier B.V.","title":"Different levels of pro- and anti-inflammatory cytokines in patients with unipolar and bipolar depression","type":"article-journal","volume":"237"},"uris":["http://www.mendeley.com/documents/?uuid=6b794a48-c708-37bf-b938-23ea43b13cb2"]},{"id":"ITEM-8","itemData":{"DOI":"https://doi.org/10.1111/j.1399-5618.2007.00493.x","ISSN":"1398-5647","abstract":"Objectives:? To characterize the immunological variations of patients with a bipolar disorder (BD) diagnosis in manic (BDm) and depressive (BDd) phases, by the quantification of the serum levels of interleukin (IL)-1?, -2, -4, -6 and tumor necrosis factor alpha (TNF-α). Methods:? Twenty physically healthy patients with a BD type I diagnosis and 33 matched controls were studied, after giving informed consent. The inclusion criteria included at least three weeks without any kind of psychopharmacological treatment, Young Mania Rating Scale score ≥20 for BDm (n?=?10) and Hamilton Depression Rating Scale score ≥21 for BDd patients (n?=?10). Exclusion criteria included any infectious diseases, allergies or any other kind of medical illness that required treatment with immunosuppressors, as well as any other diagnosis in Axis I. Physical and laboratory examinations were performed to rule out any clinical illness. Enzyme-linked immunosorbent assay (ELISA) was used to analyze the serum cytokines concentration. Results:? BD patients, when compared to controls, showed significant differences (p?≤?0.05) in the serum levels of the measured cytokines. The sub-group of BDd patients showed an increase in IL-6 and TNF-α, as well as a decrease in IL-2 concentration. The BDm sub-group, on the other hand, showed an increase in TNF-α and IL-4 values, with a low concentration of IL-1 and IL-2. The comparison between both sub-groups suggests that there is a distinctive cytokine pattern for the specific phases of the disorder: for mania, we found a high IL-4 and low IL-1? and IL-6 concentration, while in the depressive phase, the inverse pattern was found. Conclusions:? Our results show the existence of phasic differences in the serum levels of cytokines in BD.","author":[{"dropping-particle":"","family":"Ortiz-Domínguez","given":"Abigail","non-dropping-particle":"","parse-names":false,"suffix":""},{"dropping-particle":"","family":"Hernández","given":"María Eugenia","non-dropping-particle":"","parse-names":false,"suffix":""},{"dropping-particle":"","family":"Berlanga","given":"Carlos","non-dropping-particle":"","parse-names":false,"suffix":""},{"dropping-particle":"","family":"Gutiérrez-Mora","given":"Doris","non-dropping-particle":"","parse-names":false,"suffix":""},{"dropping-particle":"","family":"Moreno","given":"Julia","non-dropping-particle":"","parse-names":false,"suffix":""},{"dropping-particle":"","family":"Heinze","given":"Gerhard","non-dropping-particle":"","parse-names":false,"suffix":""},{"dropping-particle":"","family":"Pavón","given":"Lenin","non-dropping-particle":"","parse-names":false,"suffix":""}],"container-title":"Bipolar Disorders","id":"ITEM-8","issue":"6","issued":{"date-parts":[["2007","9","1"]]},"note":"https://doi.org/10.1111/j.1399-5618.2007.00493.x","page":"596-602","publisher":"John Wiley &amp; Sons, Ltd","title":"Immune variations in bipolar disorder: phasic differences","type":"article-journal","volume":"9"},"uris":["http://www.mendeley.com/documents/?uuid=2cfc5e3c-55d8-4f6e-8f22-6230ae86acac"]},{"id":"ITEM-9","itemData":{"DOI":"10.1080/15622975.2016.1259498","ISSN":"18141412","PMID":"27841086","abstract":"Objectives: To explore the serum levels of soluble vascular cell adhesion molecule-1 (sVCAM-1), soluble intercellular cell adhesion molecule-1 (sICAM-1), tumour necrosis factor-α (TNF-α) and interleukin-6 (IL-6) in patients with bipolar disorder (BD), with regard to acute episode characteristics, course of the disorder and treatment. Methods: The study group consisted of 83 patients diagnosed with BD type I. The control group consisted of 73 healthy individuals, matched with the study group according to age, gender and body mass index. The serum levels of sVCAM-1, sICAM-1, TNF-α and IL-6 were measured by ELISA. Results: Compared with healthy controls, significantly elevated levels of IL-6 and sICAM-1 and significantly lower levels of TNF-α and sVCAM-1 were identified in acute and remission phases of BD. The acute serum levels of sVCAM-1 were associated with the type and severity of acute mood symptoms as well as with course of illness characteristics. TNF-α was associated with duration of untreated disorder and type of treatment. Conclusions: BD is related to both acute and long-term alterations of immune mediators, including adhesion molecules. The potential immunomodulatory role of pharmacotherapeutic treatment is also to be considered in BD.","author":[{"dropping-particle":"","family":"Pantović-Stefanović","given":"Maja","non-dropping-particle":"","parse-names":false,"suffix":""},{"dropping-particle":"","family":"Petronijević","given":"Nataša","non-dropping-particle":"","parse-names":false,"suffix":""},{"dropping-particle":"","family":"Dunjić-Kostić","given":"Bojana","non-dropping-particle":"","parse-names":false,"suffix":""},{"dropping-particle":"","family":"Velimirović","given":"Milica","non-dropping-particle":"","parse-names":false,"suffix":""},{"dropping-particle":"","family":"Nikolić","given":"Tatjana","non-dropping-particle":"","parse-names":false,"suffix":""},{"dropping-particle":"","family":"Jurišić","given":"Vladimir","non-dropping-particle":"","parse-names":false,"suffix":""},{"dropping-particle":"","family":"Lačković","given":"Maja","non-dropping-particle":"","parse-names":false,"suffix":""},{"dropping-particle":"","family":"Damjanović","given":"Aleksandar","non-dropping-particle":"","parse-names":false,"suffix":""},{"dropping-particle":"","family":"Totić-Poznanović","given":"Sanja","non-dropping-particle":"","parse-names":false,"suffix":""},{"dropping-particle":"","family":"Jovanović","given":"Aleksandar A.","non-dropping-particle":"","parse-names":false,"suffix":""},{"dropping-particle":"","family":"Ivković","given":"Maja","non-dropping-particle":"","parse-names":false,"suffix":""}],"container-title":"World Journal of Biological Psychiatry","id":"ITEM-9","issue":"sup2","issued":{"date-parts":[["2018","10","31"]]},"page":"S41-S51","publisher":"Taylor and Francis Ltd","title":"sVCAM-1, sICAM-1, TNF-α and IL-6 levels in bipolar disorder type I: Acute, longitudinal and therapeutic implications","type":"article-journal","volume":"19"},"uris":["http://www.mendeley.com/documents/?uuid=50eedbca-98a6-3445-8ccd-ae403def25be"]},{"id":"ITEM-10","itemData":{"DOI":"10.1016/j.jad.2015.12.020","ISSN":"15732517","PMID":"26735329","abstract":"Background Prior work suggests that adult bipolar disorder (BD) is associated with increased oxidative stress and inflammation. This exploratory study examined markers of lipid and protein oxidation and inflammation in adolescents with and at varying risk for BD type I (BD-I). Methods Blood was obtained from four groups of adolescents (9-20 years of age): (1) healthy comparison subjects with no personal or family history of psychiatric disorders (n=13), (2) subjects with no psychiatric diagnosis and at least one parent with BD-I ('high-risk', n=15), (3) subjects with at least one parent with BD-I and a diagnosis of depressive disorder not-otherwise-specified ('ultra-high-risk', n=20), and (4) first-episode patients exhibiting mixed or manic symptoms that received a diagnosis of BD-I (n=16). Plasma levels of lipid peroxidation (LPH, 4-HNE, 8-ISO), protein carbonyl, and inflammation (IL-1α-β, IL-6, IL-10, IFNγ, TNFα) were assessed using analysis of variance and covariance models. Results LPH was lower in adolescents with fully syndromal BD than controls, while LPH levels in the at-risk groups were between healthy controls and fully syndromal BD. Post-hoc analysis showed a non-significant increase in the (4-HNE+8-ISO)/LPH ratio suggesting a potential conversion of LPH into late-stage markers of lipid peroxidation. There were no significant differences among protein carbonyl content and inflammatory markers. Conclusions In adolescents, fully syndromal BD is associated with significant reductions in LPH levels, and LPH levels decrease along the spectrum of risk for BD-I. Quantifying lipid peroxidation in longitudinal studies may help clarify the role of LPH in BD risk progression.","author":[{"dropping-particle":"","family":"Scola","given":"Gustavo","non-dropping-particle":"","parse-names":false,"suffix":""},{"dropping-particle":"","family":"McNamara","given":"Robert K.","non-dropping-particle":"","parse-names":false,"suffix":""},{"dropping-particle":"","family":"Croarkin","given":"Paul E.","non-dropping-particle":"","parse-names":false,"suffix":""},{"dropping-particle":"","family":"Leffler","given":"Jarrod M.","non-dropping-particle":"","parse-names":false,"suffix":""},{"dropping-particle":"","family":"Cullen","given":"Kathryn R.","non-dropping-particle":"","parse-names":false,"suffix":""},{"dropping-particle":"","family":"Geske","given":"Jennifer R.","non-dropping-particle":"","parse-names":false,"suffix":""},{"dropping-particle":"","family":"Biernacka","given":"Joanna M.","non-dropping-particle":"","parse-names":false,"suffix":""},{"dropping-particle":"","family":"Frye","given":"Mark A.","non-dropping-particle":"","parse-names":false,"suffix":""},{"dropping-particle":"","family":"Delbello","given":"Melissa P.","non-dropping-particle":"","parse-names":false,"suffix":""},{"dropping-particle":"","family":"Andreazza","given":"Ana C.","non-dropping-particle":"","parse-names":false,"suffix":""}],"container-title":"Journal of Affective Disorders","id":"ITEM-10","issued":{"date-parts":[["2016","3","1"]]},"page":"176-183","publisher":"Elsevier B.V.","title":"Lipid peroxidation biomarkers in adolescents with or at high-risk for bipolar disorder","type":"article-journal","volume":"192"},"uris":["http://www.mendeley.com/documents/?uuid=dfc5fa28-e8d2-38db-987a-92fa322e33af"]},{"id":"ITEM-11","itemData":{"DOI":"10.1038/srep40530","ISSN":"20452322","PMID":"28074937","abstract":"This study aimed to investigate the less known activation pattern of T lymphocyte populations and immune checkpoint inhibitors on immunocytes in patients with bipolar II disorder depression (BD) or major depression (MD). A total of 23 patients with BD, 22 patients with MD, and 20 healthy controls (HCs) were recruited. The blood cell count of T lymphocyte subsets and the plasma level of cytokines (IL-2, IL-4, IL-6, IL-10, TNF-α, and IFN-λ) were selectively investigated. The expression of T-cell immunoglobulin and mucin-domain containing-3 (TIM-3), programmed cell death protein 1 (PD-1) and its ligands, PD-L1 and PD-L2, on T lymphocytes and monocytes, was detected. In results, blood proportion of cytotoxic T cells significantly decreased in BD patients than in either MD patients or HCs. The plasma level of IL-6 increased in patients with BD and MD. The expression of TIM-3 on cytotoxic T cells significantly increased, whereas the expression of PD-L2 on monocytes significantly decreased in patients with BD than in HCs. These findings extended our knowledge of the immune dysfunction in patients with affective disorders.","author":[{"dropping-particle":"","family":"Wu","given":"Wei","non-dropping-particle":"","parse-names":false,"suffix":""},{"dropping-particle":"","family":"Zheng","given":"Ya Li","non-dropping-particle":"","parse-names":false,"suffix":""},{"dropping-particle":"","family":"Tian","given":"Li Ping","non-dropping-particle":"","parse-names":false,"suffix":""},{"dropping-particle":"","family":"Lai","given":"Jian Bo","non-dropping-particle":"","parse-names":false,"suffix":""},{"dropping-particle":"","family":"Hu","given":"Chan Chan","non-dropping-particle":"","parse-names":false,"suffix":""},{"dropping-particle":"","family":"Zhang","given":"Peng","non-dropping-particle":"","parse-names":false,"suffix":""},{"dropping-particle":"","family":"Chen","given":"Jing Kai","non-dropping-particle":"","parse-names":false,"suffix":""},{"dropping-particle":"","family":"Hu","given":"Jian Bo","non-dropping-particle":"","parse-names":false,"suffix":""},{"dropping-particle":"","family":"Huang","given":"Man Li","non-dropping-particle":"","parse-names":false,"suffix":""},{"dropping-particle":"","family":"Wei","given":"Ning","non-dropping-particle":"","parse-names":false,"suffix":""},{"dropping-particle":"","family":"Xu","given":"Wei Juan","non-dropping-particle":"","parse-names":false,"suffix":""},{"dropping-particle":"","family":"Zhou","given":"Wei Hua","non-dropping-particle":"","parse-names":false,"suffix":""},{"dropping-particle":"","family":"Lu","given":"Shao Jia","non-dropping-particle":"","parse-names":false,"suffix":""},{"dropping-particle":"","family":"Lu","given":"Jing","non-dropping-particle":"","parse-names":false,"suffix":""},{"dropping-particle":"","family":"Qi","given":"Hong Li","non-dropping-particle":"","parse-names":false,"suffix":""},{"dropping-particle":"","family":"Wang","given":"Dan Dan","non-dropping-particle":"","parse-names":false,"suffix":""},{"dropping-particle":"","family":"Zhou","given":"Xiao Yi","non-dropping-particle":"","parse-names":false,"suffix":""},{"dropping-particle":"","family":"Duan","given":"Jin Feng","non-dropping-particle":"","parse-names":false,"suffix":""},{"dropping-particle":"","family":"Xu","given":"Yi","non-dropping-particle":"","parse-names":false,"suffix":""},{"dropping-particle":"","family":"Hu","given":"Shao Hua","non-dropping-particle":"","parse-names":false,"suffix":""}],"container-title":"Scientific Reports","id":"ITEM-11","issued":{"date-parts":[["2017","1","11"]]},"publisher":"Nature Publishing Group","title":"Circulating T lymphocyte subsets, cytokines, and immune checkpoint inhibitors in patients with bipolar II or major depression: A preliminary study","type":"article-journal","volume":"7"},"uris":["http://www.mendeley.com/documents/?uuid=11927765-2f11-3773-a7be-cb434ac4ecb2"]},{"id":"ITEM-12","itemData":{"DOI":"10.1016/j.jneuroim.2017.03.003","ISSN":"18728421","PMID":"28495135","abstract":"Objective To assess the association between peripheral levels of inflammatory cytokines and functional impairment in subjects with Bipolar Disorder (BD), Major Depressive Disorder (MDD) and population controls. Methods This was a cross-sectional study with a matched sample of drug-free young adults with BD (n = 48), MDD (n = 48) and population controls (n = 48). Mood disorder was confirmed by a certified psychologist using the Structured Clinical Interview for DSM-IV (SCID-I). Functional impairment was assessed using the Functional Assessment Short Test (FAST). Serum levels of IL-6 and IL-10 were measured by ELISA. Results Peripheral levels of IL-6 and IL-10 were not significantly different between subjects with BD, MDD compared to controls. Higher levels of functional impairment were verified in subjects with BD and MDD compared to population controls (p ≤ 0.001). In addition, IL-6 and IL-10 levels were positively correlated with functional impairment in subjects with BD (IL-6: r = 0.349, p = 0.016; and IL-10: r = 0.351, p = 0.016). Conclusion Inflammatory dysregulation was associated with functional impairment among drug-free subjects with BD. This finding suggests that inflammatory dysregulation may be involved in the neuroprogression of BD.","author":[{"dropping-particle":"","family":"Wiener","given":"Carolina David","non-dropping-particle":"","parse-names":false,"suffix":""},{"dropping-particle":"","family":"Moreira","given":"Fernanda Pedrotti","non-dropping-particle":"","parse-names":false,"suffix":""},{"dropping-particle":"","family":"Cardoso","given":"Taiane Azevedo","non-dropping-particle":"","parse-names":false,"suffix":""},{"dropping-particle":"","family":"Mondin","given":"Thaise Campos","non-dropping-particle":"","parse-names":false,"suffix":""},{"dropping-particle":"","family":"Silva Magalhães","given":"Pedro Vieira","non-dropping-particle":"da","parse-names":false,"suffix":""},{"dropping-particle":"","family":"Kapczinski","given":"Flavio","non-dropping-particle":"","parse-names":false,"suffix":""},{"dropping-particle":"","family":"Mattos Souza","given":"Luciano Dias","non-dropping-particle":"de","parse-names":false,"suffix":""},{"dropping-particle":"","family":"Silva","given":"Ricardo Azevedo","non-dropping-particle":"da","parse-names":false,"suffix":""},{"dropping-particle":"","family":"Oses","given":"Jean Pierre","non-dropping-particle":"","parse-names":false,"suffix":""},{"dropping-particle":"","family":"Jansen","given":"Karen","non-dropping-particle":"","parse-names":false,"suffix":""}],"container-title":"Journal of Neuroimmunology","id":"ITEM-12","issued":{"date-parts":[["2017","6","15"]]},"page":"33-36","publisher":"Elsevier B.V.","title":"Inflammatory cytokines and functional impairment in drug-free subjects with mood disorder","type":"article-journal","volume":"307"},"uris":["http://www.mendeley.com/documents/?uuid=6d05110e-35ea-34af-bb3d-973fbded79c2"]}],"mendeley":{"formattedCitation":"(Chang et al., 2017; Guloksuz et al., 2010; Huang and Lin, 2007; Kim et al., 2007; Lesh et al., 2018; Mao et al., 2018; Ortiz-Domínguez et al., 2007; Pantović-Stefanović et al., 2018; Scola et al., 2016; Wiener et al., 2017, 2019; Wu et al., 2017)","plainTextFormattedCitation":"(Chang et al., 2017; Guloksuz et al., 2010; Huang and Lin, 2007; Kim et al., 2007; Lesh et al., 2018; Mao et al., 2018; Ortiz-Domínguez et al., 2007; Pantović-Stefanović et al., 2018; Scola et al., 2016; Wiener et al., 2017, 2019; Wu et al., 2017)","previouslyFormattedCitation":"(Chang et al., 2017; Guloksuz et al., 2010; Huang and Lin, 2007; Kim et al., 2007; Lesh et al., 2018; Mao et al., 2018; Ortiz-Domínguez et al., 2007; Pantović-Stefanović et al., 2018; Scola et al., 2016; Wiener et al., 2017, 2019; Wu et al., 2017)"},"properties":{"noteIndex":0},"schema":"https://github.com/citation-style-language/schema/raw/master/csl-citation.json"}</w:instrText>
      </w:r>
      <w:r w:rsidR="00131279">
        <w:rPr>
          <w:rFonts w:ascii="Times New Roman" w:hAnsi="Times New Roman" w:cs="Times New Roman"/>
          <w:sz w:val="22"/>
          <w:szCs w:val="22"/>
          <w:lang w:val="en-US"/>
        </w:rPr>
        <w:fldChar w:fldCharType="separate"/>
      </w:r>
      <w:r w:rsidR="00CC5EA9" w:rsidRPr="00CC5EA9">
        <w:rPr>
          <w:rFonts w:ascii="Times New Roman" w:hAnsi="Times New Roman" w:cs="Times New Roman"/>
          <w:noProof/>
          <w:sz w:val="22"/>
          <w:szCs w:val="22"/>
          <w:lang w:val="en-US"/>
        </w:rPr>
        <w:t>(Chang et al., 2017; Guloksuz et al., 2010; Huang and Lin, 2007; Kim et al., 2007; Lesh et al., 2018; Mao et al., 2018; Ortiz-Domínguez et al., 2007; Pantović-Stefanović et al., 2018; Scola et al., 2016; Wiener et al., 2017, 2019; Wu et al., 2017)</w:t>
      </w:r>
      <w:r w:rsidR="00131279">
        <w:rPr>
          <w:rFonts w:ascii="Times New Roman" w:hAnsi="Times New Roman" w:cs="Times New Roman"/>
          <w:sz w:val="22"/>
          <w:szCs w:val="22"/>
          <w:lang w:val="en-US"/>
        </w:rPr>
        <w:fldChar w:fldCharType="end"/>
      </w:r>
      <w:r>
        <w:rPr>
          <w:rFonts w:ascii="Times New Roman" w:hAnsi="Times New Roman" w:cs="Times New Roman"/>
          <w:sz w:val="22"/>
          <w:szCs w:val="22"/>
          <w:lang w:val="en-US"/>
        </w:rPr>
        <w:t xml:space="preserve"> data </w:t>
      </w:r>
      <w:r w:rsidR="004F2C30">
        <w:rPr>
          <w:rFonts w:ascii="Times New Roman" w:hAnsi="Times New Roman" w:cs="Times New Roman"/>
          <w:sz w:val="22"/>
          <w:szCs w:val="22"/>
          <w:lang w:val="en-US"/>
        </w:rPr>
        <w:t xml:space="preserve">were </w:t>
      </w:r>
      <w:r>
        <w:rPr>
          <w:rFonts w:ascii="Times New Roman" w:hAnsi="Times New Roman" w:cs="Times New Roman"/>
          <w:sz w:val="22"/>
          <w:szCs w:val="22"/>
          <w:lang w:val="en-US"/>
        </w:rPr>
        <w:t>available only for IL-6 and TNF</w:t>
      </w:r>
      <w:r w:rsidRPr="00883C4E">
        <w:rPr>
          <w:rFonts w:ascii="Times New Roman" w:hAnsi="Times New Roman" w:cs="Times New Roman"/>
          <w:sz w:val="22"/>
          <w:szCs w:val="22"/>
          <w:lang w:val="en-US"/>
        </w:rPr>
        <w:t>-α</w:t>
      </w:r>
      <w:r w:rsidR="00C63F3F">
        <w:rPr>
          <w:rFonts w:ascii="Times New Roman" w:hAnsi="Times New Roman" w:cs="Times New Roman"/>
          <w:sz w:val="22"/>
          <w:szCs w:val="22"/>
          <w:lang w:val="en-US"/>
        </w:rPr>
        <w:t xml:space="preserve">. </w:t>
      </w:r>
      <w:r w:rsidR="00A23DEC">
        <w:rPr>
          <w:rFonts w:ascii="Times New Roman" w:hAnsi="Times New Roman" w:cs="Times New Roman"/>
          <w:sz w:val="22"/>
          <w:szCs w:val="22"/>
          <w:lang w:val="en-US"/>
        </w:rPr>
        <w:t xml:space="preserve">Only </w:t>
      </w:r>
      <w:r w:rsidR="00C63F3F">
        <w:rPr>
          <w:rFonts w:ascii="Times New Roman" w:hAnsi="Times New Roman" w:cs="Times New Roman"/>
          <w:sz w:val="22"/>
          <w:szCs w:val="22"/>
          <w:lang w:val="en-US"/>
        </w:rPr>
        <w:t>IL-6</w:t>
      </w:r>
      <w:r w:rsidR="00A23DEC">
        <w:rPr>
          <w:rFonts w:ascii="Times New Roman" w:hAnsi="Times New Roman" w:cs="Times New Roman"/>
          <w:sz w:val="22"/>
          <w:szCs w:val="22"/>
          <w:lang w:val="en-US"/>
        </w:rPr>
        <w:t xml:space="preserve"> showed higher </w:t>
      </w:r>
      <w:r>
        <w:rPr>
          <w:rFonts w:ascii="Times New Roman" w:hAnsi="Times New Roman" w:cs="Times New Roman"/>
          <w:sz w:val="22"/>
          <w:szCs w:val="22"/>
          <w:lang w:val="en-US"/>
        </w:rPr>
        <w:t>elevated</w:t>
      </w:r>
      <w:r w:rsidR="00A80F6A">
        <w:rPr>
          <w:rFonts w:ascii="Times New Roman" w:hAnsi="Times New Roman" w:cs="Times New Roman"/>
          <w:sz w:val="22"/>
          <w:szCs w:val="22"/>
          <w:lang w:val="en-US"/>
        </w:rPr>
        <w:t xml:space="preserve"> levels in participants with BD relative to HCs</w:t>
      </w:r>
      <w:r>
        <w:rPr>
          <w:rFonts w:ascii="Times New Roman" w:hAnsi="Times New Roman" w:cs="Times New Roman"/>
          <w:sz w:val="22"/>
          <w:szCs w:val="22"/>
          <w:lang w:val="en-US"/>
        </w:rPr>
        <w:t xml:space="preserve"> (g=1.22, 95% CI 0.26-2.18, k=8, BD=420 vs HC=998)</w:t>
      </w:r>
      <w:r w:rsidR="00A80F6A">
        <w:rPr>
          <w:rFonts w:ascii="Times New Roman" w:hAnsi="Times New Roman" w:cs="Times New Roman"/>
          <w:sz w:val="22"/>
          <w:szCs w:val="22"/>
          <w:lang w:val="en-US"/>
        </w:rPr>
        <w:t>,</w:t>
      </w:r>
      <w:r>
        <w:rPr>
          <w:rFonts w:ascii="Times New Roman" w:hAnsi="Times New Roman" w:cs="Times New Roman"/>
          <w:sz w:val="22"/>
          <w:szCs w:val="22"/>
          <w:lang w:val="en-US"/>
        </w:rPr>
        <w:t xml:space="preserve"> </w:t>
      </w:r>
      <w:r w:rsidR="00F2054F">
        <w:rPr>
          <w:rFonts w:ascii="Times New Roman" w:hAnsi="Times New Roman" w:cs="Times New Roman"/>
          <w:sz w:val="22"/>
          <w:szCs w:val="22"/>
          <w:lang w:val="en-US"/>
        </w:rPr>
        <w:t xml:space="preserve">while </w:t>
      </w:r>
      <w:r w:rsidR="00A80F6A">
        <w:rPr>
          <w:rFonts w:ascii="Times New Roman" w:hAnsi="Times New Roman" w:cs="Times New Roman"/>
          <w:sz w:val="22"/>
          <w:szCs w:val="22"/>
          <w:lang w:val="en-US"/>
        </w:rPr>
        <w:t xml:space="preserve">no significant differences were observed for TNF-α </w:t>
      </w:r>
      <w:r>
        <w:rPr>
          <w:rFonts w:ascii="Times New Roman" w:hAnsi="Times New Roman" w:cs="Times New Roman"/>
          <w:sz w:val="22"/>
          <w:szCs w:val="22"/>
          <w:lang w:val="en-US"/>
        </w:rPr>
        <w:t>(g=1.11, 95% CI -0.77-2.98, k=7, BD=239 vs HC=240)</w:t>
      </w:r>
      <w:r w:rsidR="00406D99">
        <w:rPr>
          <w:rFonts w:ascii="Times New Roman" w:hAnsi="Times New Roman" w:cs="Times New Roman"/>
          <w:sz w:val="22"/>
          <w:szCs w:val="22"/>
          <w:lang w:val="en-US"/>
        </w:rPr>
        <w:t>.</w:t>
      </w:r>
    </w:p>
    <w:p w14:paraId="7F508D10" w14:textId="0FDC0614" w:rsidR="00406D99" w:rsidRDefault="00406D99" w:rsidP="005A0E80">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With the inclusion of only smoking-matched sample</w:t>
      </w:r>
      <w:r w:rsidR="00A80F6A">
        <w:rPr>
          <w:rFonts w:ascii="Times New Roman" w:hAnsi="Times New Roman" w:cs="Times New Roman"/>
          <w:sz w:val="22"/>
          <w:szCs w:val="22"/>
          <w:lang w:val="en-US"/>
        </w:rPr>
        <w:t>s</w:t>
      </w:r>
      <w:r>
        <w:rPr>
          <w:rFonts w:ascii="Times New Roman" w:hAnsi="Times New Roman" w:cs="Times New Roman"/>
          <w:sz w:val="22"/>
          <w:szCs w:val="22"/>
          <w:lang w:val="en-US"/>
        </w:rPr>
        <w:t xml:space="preserve">, both CRP (g=0.28, 95% CI -0.17-0.74, k=4, BD=333 vs HC=2099) and IL-6 (g=0.16, 95% CI -0.75-1.06, k=4, BD=267 vs HC=2065) did not differ between </w:t>
      </w:r>
      <w:r w:rsidR="00A80F6A">
        <w:rPr>
          <w:rFonts w:ascii="Times New Roman" w:hAnsi="Times New Roman" w:cs="Times New Roman"/>
          <w:sz w:val="22"/>
          <w:szCs w:val="22"/>
          <w:lang w:val="en-US"/>
        </w:rPr>
        <w:t xml:space="preserve">participants with BD </w:t>
      </w:r>
      <w:r>
        <w:rPr>
          <w:rFonts w:ascii="Times New Roman" w:hAnsi="Times New Roman" w:cs="Times New Roman"/>
          <w:sz w:val="22"/>
          <w:szCs w:val="22"/>
          <w:lang w:val="en-US"/>
        </w:rPr>
        <w:t>and controls.</w:t>
      </w:r>
    </w:p>
    <w:p w14:paraId="4B6A7B9F" w14:textId="0E5C7A3D" w:rsidR="001B4B06" w:rsidRPr="000F0E48" w:rsidRDefault="005636A7" w:rsidP="000F0E48">
      <w:pPr>
        <w:pStyle w:val="Heading3"/>
        <w:rPr>
          <w:i/>
          <w:iCs/>
        </w:rPr>
      </w:pPr>
      <w:r w:rsidRPr="000F0E48">
        <w:rPr>
          <w:i/>
          <w:iCs/>
        </w:rPr>
        <w:t>3.</w:t>
      </w:r>
      <w:r w:rsidR="00CC5EA9" w:rsidRPr="000F0E48">
        <w:rPr>
          <w:i/>
          <w:iCs/>
        </w:rPr>
        <w:t>3</w:t>
      </w:r>
      <w:r w:rsidRPr="000F0E48">
        <w:rPr>
          <w:i/>
          <w:iCs/>
        </w:rPr>
        <w:t>.2 Meta-regression</w:t>
      </w:r>
    </w:p>
    <w:p w14:paraId="2AC275FF" w14:textId="6AC4F871" w:rsidR="0026763B" w:rsidRDefault="00EF04D3" w:rsidP="005A0E80">
      <w:pPr>
        <w:spacing w:line="480" w:lineRule="auto"/>
        <w:jc w:val="both"/>
        <w:rPr>
          <w:rFonts w:ascii="Times New Roman" w:hAnsi="Times New Roman" w:cs="Times New Roman"/>
          <w:sz w:val="22"/>
          <w:szCs w:val="22"/>
          <w:lang w:val="en-US"/>
        </w:rPr>
      </w:pPr>
      <w:r w:rsidRPr="00D27588">
        <w:rPr>
          <w:rFonts w:ascii="Times New Roman" w:hAnsi="Times New Roman" w:cs="Times New Roman"/>
          <w:sz w:val="22"/>
          <w:szCs w:val="22"/>
          <w:lang w:val="en-US"/>
        </w:rPr>
        <w:t>Meta-regression</w:t>
      </w:r>
      <w:r w:rsidR="00A80F6A">
        <w:rPr>
          <w:rFonts w:ascii="Times New Roman" w:hAnsi="Times New Roman" w:cs="Times New Roman"/>
          <w:sz w:val="22"/>
          <w:szCs w:val="22"/>
          <w:lang w:val="en-US"/>
        </w:rPr>
        <w:t xml:space="preserve"> analyses</w:t>
      </w:r>
      <w:r w:rsidRPr="00D27588">
        <w:rPr>
          <w:rFonts w:ascii="Times New Roman" w:hAnsi="Times New Roman" w:cs="Times New Roman"/>
          <w:sz w:val="22"/>
          <w:szCs w:val="22"/>
          <w:lang w:val="en-US"/>
        </w:rPr>
        <w:t xml:space="preserve"> showed that age</w:t>
      </w:r>
      <w:r w:rsidR="0026763B">
        <w:rPr>
          <w:rFonts w:ascii="Times New Roman" w:hAnsi="Times New Roman" w:cs="Times New Roman"/>
          <w:sz w:val="22"/>
          <w:szCs w:val="22"/>
          <w:lang w:val="en-US"/>
        </w:rPr>
        <w:t xml:space="preserve"> </w:t>
      </w:r>
      <w:r w:rsidR="00A80F6A">
        <w:rPr>
          <w:rFonts w:ascii="Times New Roman" w:hAnsi="Times New Roman" w:cs="Times New Roman"/>
          <w:sz w:val="22"/>
          <w:szCs w:val="22"/>
          <w:lang w:val="en-US"/>
        </w:rPr>
        <w:t xml:space="preserve">was </w:t>
      </w:r>
      <w:r w:rsidR="0026763B">
        <w:rPr>
          <w:rFonts w:ascii="Times New Roman" w:hAnsi="Times New Roman" w:cs="Times New Roman"/>
          <w:sz w:val="22"/>
          <w:szCs w:val="22"/>
          <w:lang w:val="en-US"/>
        </w:rPr>
        <w:t>a moderator for</w:t>
      </w:r>
      <w:r w:rsidRPr="00D27588">
        <w:rPr>
          <w:rFonts w:ascii="Times New Roman" w:hAnsi="Times New Roman" w:cs="Times New Roman"/>
          <w:sz w:val="22"/>
          <w:szCs w:val="22"/>
          <w:lang w:val="en-US"/>
        </w:rPr>
        <w:t xml:space="preserve"> IL</w:t>
      </w:r>
      <w:r>
        <w:rPr>
          <w:rFonts w:ascii="Times New Roman" w:hAnsi="Times New Roman" w:cs="Times New Roman"/>
          <w:sz w:val="22"/>
          <w:szCs w:val="22"/>
          <w:lang w:val="en-US"/>
        </w:rPr>
        <w:t>-6</w:t>
      </w:r>
      <w:r w:rsidR="0026763B">
        <w:rPr>
          <w:rFonts w:ascii="Times New Roman" w:hAnsi="Times New Roman" w:cs="Times New Roman"/>
          <w:sz w:val="22"/>
          <w:szCs w:val="22"/>
          <w:lang w:val="en-US"/>
        </w:rPr>
        <w:t xml:space="preserve"> (r=-0.04, p&lt;0.001) and</w:t>
      </w:r>
      <w:r>
        <w:rPr>
          <w:rFonts w:ascii="Times New Roman" w:hAnsi="Times New Roman" w:cs="Times New Roman"/>
          <w:sz w:val="22"/>
          <w:szCs w:val="22"/>
          <w:lang w:val="en-US"/>
        </w:rPr>
        <w:t xml:space="preserve"> TNF-</w:t>
      </w:r>
      <w:r w:rsidRPr="00883C4E">
        <w:rPr>
          <w:rFonts w:ascii="Times New Roman" w:hAnsi="Times New Roman" w:cs="Times New Roman"/>
          <w:sz w:val="22"/>
          <w:szCs w:val="22"/>
          <w:lang w:val="en-US"/>
        </w:rPr>
        <w:t>α</w:t>
      </w:r>
      <w:r w:rsidR="0028795C">
        <w:rPr>
          <w:rFonts w:ascii="Times New Roman" w:hAnsi="Times New Roman" w:cs="Times New Roman"/>
          <w:sz w:val="22"/>
          <w:szCs w:val="22"/>
          <w:lang w:val="en-US"/>
        </w:rPr>
        <w:t xml:space="preserve"> </w:t>
      </w:r>
      <w:r w:rsidR="0026763B">
        <w:rPr>
          <w:rFonts w:ascii="Times New Roman" w:hAnsi="Times New Roman" w:cs="Times New Roman"/>
          <w:sz w:val="22"/>
          <w:szCs w:val="22"/>
          <w:lang w:val="en-US"/>
        </w:rPr>
        <w:t>(r=-0.05, p&lt;0.001</w:t>
      </w:r>
      <w:r>
        <w:rPr>
          <w:rFonts w:ascii="Times New Roman" w:hAnsi="Times New Roman" w:cs="Times New Roman"/>
          <w:sz w:val="22"/>
          <w:szCs w:val="22"/>
          <w:lang w:val="en-US"/>
        </w:rPr>
        <w:t>),</w:t>
      </w:r>
      <w:r w:rsidR="0026763B">
        <w:rPr>
          <w:rFonts w:ascii="Times New Roman" w:hAnsi="Times New Roman" w:cs="Times New Roman"/>
          <w:sz w:val="22"/>
          <w:szCs w:val="22"/>
          <w:lang w:val="en-US"/>
        </w:rPr>
        <w:t xml:space="preserve"> while CRP was moderated by</w:t>
      </w:r>
      <w:r>
        <w:rPr>
          <w:rFonts w:ascii="Times New Roman" w:hAnsi="Times New Roman" w:cs="Times New Roman"/>
          <w:sz w:val="22"/>
          <w:szCs w:val="22"/>
          <w:lang w:val="en-US"/>
        </w:rPr>
        <w:t xml:space="preserve"> gender (</w:t>
      </w:r>
      <w:r w:rsidR="0026763B">
        <w:rPr>
          <w:rFonts w:ascii="Times New Roman" w:hAnsi="Times New Roman" w:cs="Times New Roman"/>
          <w:sz w:val="22"/>
          <w:szCs w:val="22"/>
          <w:lang w:val="en-US"/>
        </w:rPr>
        <w:t>r=-0.02, p=0.02</w:t>
      </w:r>
      <w:r w:rsidR="005A5682">
        <w:rPr>
          <w:rFonts w:ascii="Times New Roman" w:hAnsi="Times New Roman" w:cs="Times New Roman"/>
          <w:sz w:val="22"/>
          <w:szCs w:val="22"/>
          <w:lang w:val="en-US"/>
        </w:rPr>
        <w:t>1</w:t>
      </w:r>
      <w:r>
        <w:rPr>
          <w:rFonts w:ascii="Times New Roman" w:hAnsi="Times New Roman" w:cs="Times New Roman"/>
          <w:sz w:val="22"/>
          <w:szCs w:val="22"/>
          <w:lang w:val="en-US"/>
        </w:rPr>
        <w:t>)</w:t>
      </w:r>
      <w:r w:rsidR="005A5682">
        <w:rPr>
          <w:rFonts w:ascii="Times New Roman" w:hAnsi="Times New Roman" w:cs="Times New Roman"/>
          <w:sz w:val="22"/>
          <w:szCs w:val="22"/>
          <w:lang w:val="en-US"/>
        </w:rPr>
        <w:t xml:space="preserve"> and</w:t>
      </w:r>
      <w:r>
        <w:rPr>
          <w:rFonts w:ascii="Times New Roman" w:hAnsi="Times New Roman" w:cs="Times New Roman"/>
          <w:sz w:val="22"/>
          <w:szCs w:val="22"/>
          <w:lang w:val="en-US"/>
        </w:rPr>
        <w:t xml:space="preserve"> duration of illness (</w:t>
      </w:r>
      <w:r w:rsidR="005A5682">
        <w:rPr>
          <w:rFonts w:ascii="Times New Roman" w:hAnsi="Times New Roman" w:cs="Times New Roman"/>
          <w:sz w:val="22"/>
          <w:szCs w:val="22"/>
          <w:lang w:val="en-US"/>
        </w:rPr>
        <w:t>r=-</w:t>
      </w:r>
      <w:r w:rsidR="005A5682">
        <w:rPr>
          <w:rFonts w:ascii="Times New Roman" w:hAnsi="Times New Roman" w:cs="Times New Roman"/>
          <w:sz w:val="22"/>
          <w:szCs w:val="22"/>
          <w:lang w:val="en-US"/>
        </w:rPr>
        <w:lastRenderedPageBreak/>
        <w:t>0.1</w:t>
      </w:r>
      <w:r w:rsidR="00CA74D1">
        <w:rPr>
          <w:rFonts w:ascii="Times New Roman" w:hAnsi="Times New Roman" w:cs="Times New Roman"/>
          <w:sz w:val="22"/>
          <w:szCs w:val="22"/>
          <w:lang w:val="en-US"/>
        </w:rPr>
        <w:t>1</w:t>
      </w:r>
      <w:r w:rsidR="005A5682">
        <w:rPr>
          <w:rFonts w:ascii="Times New Roman" w:hAnsi="Times New Roman" w:cs="Times New Roman"/>
          <w:sz w:val="22"/>
          <w:szCs w:val="22"/>
          <w:lang w:val="en-US"/>
        </w:rPr>
        <w:t>6, p=0.046</w:t>
      </w:r>
      <w:r>
        <w:rPr>
          <w:rFonts w:ascii="Times New Roman" w:hAnsi="Times New Roman" w:cs="Times New Roman"/>
          <w:sz w:val="22"/>
          <w:szCs w:val="22"/>
          <w:lang w:val="en-US"/>
        </w:rPr>
        <w:t>).</w:t>
      </w:r>
      <w:r w:rsidR="005A5682">
        <w:rPr>
          <w:rFonts w:ascii="Times New Roman" w:hAnsi="Times New Roman" w:cs="Times New Roman"/>
          <w:sz w:val="22"/>
          <w:szCs w:val="22"/>
          <w:lang w:val="en-US"/>
        </w:rPr>
        <w:t xml:space="preserve"> </w:t>
      </w:r>
      <w:r w:rsidR="0026763B">
        <w:rPr>
          <w:rFonts w:ascii="Times New Roman" w:hAnsi="Times New Roman" w:cs="Times New Roman"/>
          <w:sz w:val="22"/>
          <w:szCs w:val="22"/>
          <w:lang w:val="en-US"/>
        </w:rPr>
        <w:t xml:space="preserve">Duration of illness, publication year, Caucasian ethnicity, and sample size did not moderate levels of any of the considered </w:t>
      </w:r>
      <w:r w:rsidR="00A80F6A">
        <w:rPr>
          <w:rFonts w:ascii="Times New Roman" w:hAnsi="Times New Roman" w:cs="Times New Roman"/>
          <w:sz w:val="22"/>
          <w:szCs w:val="22"/>
          <w:lang w:val="en-US"/>
        </w:rPr>
        <w:t>immune mediators</w:t>
      </w:r>
      <w:r w:rsidR="0026763B">
        <w:rPr>
          <w:rFonts w:ascii="Times New Roman" w:hAnsi="Times New Roman" w:cs="Times New Roman"/>
          <w:sz w:val="22"/>
          <w:szCs w:val="22"/>
          <w:lang w:val="en-US"/>
        </w:rPr>
        <w:t>.</w:t>
      </w:r>
    </w:p>
    <w:p w14:paraId="0D3EA5F3" w14:textId="4A2B41DF" w:rsidR="00140D90" w:rsidRPr="00446D07" w:rsidRDefault="00140D90" w:rsidP="008D52D7">
      <w:pPr>
        <w:pStyle w:val="Heading2"/>
      </w:pPr>
      <w:r w:rsidRPr="00446D07">
        <w:t xml:space="preserve">3.4 </w:t>
      </w:r>
      <w:r w:rsidR="006A573D" w:rsidRPr="00F5155B">
        <w:t>Publication bias, s</w:t>
      </w:r>
      <w:r w:rsidRPr="00F5155B">
        <w:t>tudy quality</w:t>
      </w:r>
    </w:p>
    <w:p w14:paraId="753118D3" w14:textId="08A43E3F" w:rsidR="00924E03" w:rsidRDefault="00F37C9A" w:rsidP="005A0E80">
      <w:pPr>
        <w:spacing w:line="480" w:lineRule="auto"/>
        <w:jc w:val="both"/>
        <w:rPr>
          <w:rFonts w:ascii="Times New Roman" w:hAnsi="Times New Roman" w:cs="Times New Roman"/>
          <w:sz w:val="22"/>
          <w:szCs w:val="22"/>
          <w:lang w:val="en-US"/>
        </w:rPr>
      </w:pPr>
      <w:r>
        <w:rPr>
          <w:rFonts w:ascii="Times New Roman" w:hAnsi="Times New Roman" w:cs="Times New Roman"/>
          <w:sz w:val="22"/>
          <w:szCs w:val="22"/>
          <w:lang w:val="en-US"/>
        </w:rPr>
        <w:t>Publication bias</w:t>
      </w:r>
      <w:r w:rsidR="006A573D">
        <w:rPr>
          <w:rFonts w:ascii="Times New Roman" w:hAnsi="Times New Roman" w:cs="Times New Roman"/>
          <w:sz w:val="22"/>
          <w:szCs w:val="22"/>
          <w:lang w:val="en-US"/>
        </w:rPr>
        <w:t xml:space="preserve"> emerged from funnel plot visual inspection, </w:t>
      </w:r>
      <w:r w:rsidR="00924E03">
        <w:rPr>
          <w:rFonts w:ascii="Times New Roman" w:hAnsi="Times New Roman" w:cs="Times New Roman"/>
          <w:sz w:val="22"/>
          <w:szCs w:val="22"/>
          <w:lang w:val="en-US"/>
        </w:rPr>
        <w:t>and a sensitivity analysis was run without outliers (see above).</w:t>
      </w:r>
      <w:r w:rsidR="0043299D">
        <w:rPr>
          <w:rFonts w:ascii="Times New Roman" w:hAnsi="Times New Roman" w:cs="Times New Roman"/>
          <w:sz w:val="22"/>
          <w:szCs w:val="22"/>
          <w:lang w:val="en-US"/>
        </w:rPr>
        <w:t xml:space="preserve"> </w:t>
      </w:r>
      <w:r w:rsidR="00EE4018">
        <w:rPr>
          <w:rFonts w:ascii="Times New Roman" w:hAnsi="Times New Roman" w:cs="Times New Roman"/>
          <w:sz w:val="22"/>
          <w:szCs w:val="22"/>
          <w:lang w:val="en-US"/>
        </w:rPr>
        <w:t xml:space="preserve">Details on study quality </w:t>
      </w:r>
      <w:r w:rsidR="004F2C30">
        <w:rPr>
          <w:rFonts w:ascii="Times New Roman" w:hAnsi="Times New Roman" w:cs="Times New Roman"/>
          <w:sz w:val="22"/>
          <w:szCs w:val="22"/>
          <w:lang w:val="en-US"/>
        </w:rPr>
        <w:t xml:space="preserve">are </w:t>
      </w:r>
      <w:r w:rsidR="00EE4018">
        <w:rPr>
          <w:rFonts w:ascii="Times New Roman" w:hAnsi="Times New Roman" w:cs="Times New Roman"/>
          <w:sz w:val="22"/>
          <w:szCs w:val="22"/>
          <w:lang w:val="en-US"/>
        </w:rPr>
        <w:t xml:space="preserve">reported in eTable </w:t>
      </w:r>
      <w:r w:rsidR="00874969">
        <w:rPr>
          <w:rFonts w:ascii="Times New Roman" w:hAnsi="Times New Roman" w:cs="Times New Roman"/>
          <w:sz w:val="22"/>
          <w:szCs w:val="22"/>
          <w:lang w:val="en-US"/>
        </w:rPr>
        <w:t>5</w:t>
      </w:r>
      <w:r w:rsidR="00EE4018">
        <w:rPr>
          <w:rFonts w:ascii="Times New Roman" w:hAnsi="Times New Roman" w:cs="Times New Roman"/>
          <w:sz w:val="22"/>
          <w:szCs w:val="22"/>
          <w:lang w:val="en-US"/>
        </w:rPr>
        <w:t>, Supplementary</w:t>
      </w:r>
      <w:r w:rsidR="00A74C8D">
        <w:rPr>
          <w:rFonts w:ascii="Times New Roman" w:hAnsi="Times New Roman" w:cs="Times New Roman"/>
          <w:sz w:val="22"/>
          <w:szCs w:val="22"/>
          <w:lang w:val="en-US"/>
        </w:rPr>
        <w:t xml:space="preserve"> online</w:t>
      </w:r>
      <w:r w:rsidR="00EE4018">
        <w:rPr>
          <w:rFonts w:ascii="Times New Roman" w:hAnsi="Times New Roman" w:cs="Times New Roman"/>
          <w:sz w:val="22"/>
          <w:szCs w:val="22"/>
          <w:lang w:val="en-US"/>
        </w:rPr>
        <w:t xml:space="preserve"> material. </w:t>
      </w:r>
      <w:r w:rsidR="004F2C30">
        <w:rPr>
          <w:rFonts w:ascii="Times New Roman" w:hAnsi="Times New Roman" w:cs="Times New Roman"/>
          <w:sz w:val="22"/>
          <w:szCs w:val="22"/>
          <w:lang w:val="en-US"/>
        </w:rPr>
        <w:t xml:space="preserve">The median </w:t>
      </w:r>
      <w:r w:rsidR="00863E11">
        <w:rPr>
          <w:rFonts w:ascii="Times New Roman" w:hAnsi="Times New Roman" w:cs="Times New Roman"/>
          <w:sz w:val="22"/>
          <w:szCs w:val="22"/>
          <w:lang w:val="en-US"/>
        </w:rPr>
        <w:t>s</w:t>
      </w:r>
      <w:r w:rsidR="00924E03">
        <w:rPr>
          <w:rFonts w:ascii="Times New Roman" w:hAnsi="Times New Roman" w:cs="Times New Roman"/>
          <w:sz w:val="22"/>
          <w:szCs w:val="22"/>
          <w:lang w:val="en-US"/>
        </w:rPr>
        <w:t xml:space="preserve">tudy quality </w:t>
      </w:r>
      <w:r w:rsidR="00863E11">
        <w:rPr>
          <w:rFonts w:ascii="Times New Roman" w:hAnsi="Times New Roman" w:cs="Times New Roman"/>
          <w:sz w:val="22"/>
          <w:szCs w:val="22"/>
          <w:lang w:val="en-US"/>
        </w:rPr>
        <w:t xml:space="preserve">was </w:t>
      </w:r>
      <w:r w:rsidR="00ED6DFB">
        <w:rPr>
          <w:rFonts w:ascii="Times New Roman" w:hAnsi="Times New Roman" w:cs="Times New Roman"/>
          <w:sz w:val="22"/>
          <w:szCs w:val="22"/>
          <w:lang w:val="en-US"/>
        </w:rPr>
        <w:t>7</w:t>
      </w:r>
      <w:r w:rsidR="00863E11">
        <w:rPr>
          <w:rFonts w:ascii="Times New Roman" w:hAnsi="Times New Roman" w:cs="Times New Roman"/>
          <w:sz w:val="22"/>
          <w:szCs w:val="22"/>
          <w:lang w:val="en-US"/>
        </w:rPr>
        <w:t xml:space="preserve"> (</w:t>
      </w:r>
      <w:r w:rsidR="00ED6DFB">
        <w:rPr>
          <w:rFonts w:ascii="Times New Roman" w:hAnsi="Times New Roman" w:cs="Times New Roman"/>
          <w:sz w:val="22"/>
          <w:szCs w:val="22"/>
          <w:lang w:val="en-US"/>
        </w:rPr>
        <w:t>IQR 6-9</w:t>
      </w:r>
      <w:r w:rsidR="00863E11">
        <w:rPr>
          <w:rFonts w:ascii="Times New Roman" w:hAnsi="Times New Roman" w:cs="Times New Roman"/>
          <w:sz w:val="22"/>
          <w:szCs w:val="22"/>
          <w:lang w:val="en-US"/>
        </w:rPr>
        <w:t xml:space="preserve">). </w:t>
      </w:r>
      <w:r w:rsidR="00EE4018">
        <w:rPr>
          <w:rFonts w:ascii="Times New Roman" w:hAnsi="Times New Roman" w:cs="Times New Roman"/>
          <w:sz w:val="22"/>
          <w:szCs w:val="22"/>
          <w:lang w:val="en-US"/>
        </w:rPr>
        <w:t>Low quality emerged most frequently on</w:t>
      </w:r>
      <w:r w:rsidR="009E3FFB">
        <w:rPr>
          <w:rFonts w:ascii="Times New Roman" w:hAnsi="Times New Roman" w:cs="Times New Roman"/>
          <w:sz w:val="22"/>
          <w:szCs w:val="22"/>
          <w:lang w:val="en-US"/>
        </w:rPr>
        <w:t xml:space="preserve"> </w:t>
      </w:r>
      <w:r w:rsidR="00ED6DFB">
        <w:rPr>
          <w:rFonts w:ascii="Times New Roman" w:hAnsi="Times New Roman" w:cs="Times New Roman"/>
          <w:sz w:val="22"/>
          <w:szCs w:val="22"/>
          <w:lang w:val="en-US"/>
        </w:rPr>
        <w:t>item 5 (“</w:t>
      </w:r>
      <w:r w:rsidR="00ED6DFB" w:rsidRPr="00ED6DFB">
        <w:rPr>
          <w:rFonts w:ascii="Times New Roman" w:hAnsi="Times New Roman" w:cs="Times New Roman"/>
          <w:sz w:val="22"/>
          <w:szCs w:val="22"/>
          <w:lang w:val="en-US"/>
        </w:rPr>
        <w:t>Was a sample size justification, power description, or variance and effect estimates provided?</w:t>
      </w:r>
      <w:r w:rsidR="00ED6DFB">
        <w:rPr>
          <w:rFonts w:ascii="Times New Roman" w:hAnsi="Times New Roman" w:cs="Times New Roman"/>
          <w:sz w:val="22"/>
          <w:szCs w:val="22"/>
          <w:lang w:val="en-US"/>
        </w:rPr>
        <w:t>”</w:t>
      </w:r>
      <w:r w:rsidR="0028795C">
        <w:rPr>
          <w:rFonts w:ascii="Times New Roman" w:hAnsi="Times New Roman" w:cs="Times New Roman"/>
          <w:sz w:val="22"/>
          <w:szCs w:val="22"/>
          <w:lang w:val="en-US"/>
        </w:rPr>
        <w:t>)</w:t>
      </w:r>
      <w:r w:rsidR="00ED6DFB">
        <w:rPr>
          <w:rFonts w:ascii="Times New Roman" w:hAnsi="Times New Roman" w:cs="Times New Roman"/>
          <w:sz w:val="22"/>
          <w:szCs w:val="22"/>
          <w:lang w:val="en-US"/>
        </w:rPr>
        <w:t xml:space="preserve">, </w:t>
      </w:r>
      <w:r w:rsidR="0028795C">
        <w:rPr>
          <w:rFonts w:ascii="Times New Roman" w:hAnsi="Times New Roman" w:cs="Times New Roman"/>
          <w:sz w:val="22"/>
          <w:szCs w:val="22"/>
          <w:lang w:val="en-US"/>
        </w:rPr>
        <w:t xml:space="preserve">with </w:t>
      </w:r>
      <w:r w:rsidR="00314302">
        <w:rPr>
          <w:rFonts w:ascii="Times New Roman" w:hAnsi="Times New Roman" w:cs="Times New Roman"/>
          <w:sz w:val="22"/>
          <w:szCs w:val="22"/>
          <w:lang w:val="en-US"/>
        </w:rPr>
        <w:t xml:space="preserve">only </w:t>
      </w:r>
      <w:r w:rsidR="007B1DEE">
        <w:rPr>
          <w:rFonts w:ascii="Times New Roman" w:hAnsi="Times New Roman" w:cs="Times New Roman"/>
          <w:sz w:val="22"/>
          <w:szCs w:val="22"/>
          <w:lang w:val="en-US"/>
        </w:rPr>
        <w:t>two</w:t>
      </w:r>
      <w:r w:rsidR="00ED6DFB">
        <w:rPr>
          <w:rFonts w:ascii="Times New Roman" w:hAnsi="Times New Roman" w:cs="Times New Roman"/>
          <w:sz w:val="22"/>
          <w:szCs w:val="22"/>
          <w:lang w:val="en-US"/>
        </w:rPr>
        <w:t xml:space="preserve"> studies</w:t>
      </w:r>
      <w:r w:rsidR="00314302">
        <w:rPr>
          <w:rFonts w:ascii="Times New Roman" w:hAnsi="Times New Roman" w:cs="Times New Roman"/>
          <w:sz w:val="22"/>
          <w:szCs w:val="22"/>
          <w:lang w:val="en-US"/>
        </w:rPr>
        <w:t xml:space="preserve"> meeting this criterion</w:t>
      </w:r>
      <w:r w:rsidR="005A0E80">
        <w:rPr>
          <w:rFonts w:ascii="Times New Roman" w:hAnsi="Times New Roman" w:cs="Times New Roman"/>
          <w:sz w:val="22"/>
          <w:szCs w:val="22"/>
          <w:lang w:val="en-US"/>
        </w:rPr>
        <w:t xml:space="preserve"> </w:t>
      </w:r>
      <w:r w:rsidR="009D450B">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{"citationItems":[{"id":"ITEM-1","itemData":{"DOI":"10.1016/j.jad.2016.03.040","ISSN":"15732517","PMID":"26994434","abstract":"Background Peripheral blood brain-derived neurotrophic factor (BDNF) and inflammatory markers may reflect key pathophysiological mechanisms in bipolar disorder in relation to disease activity and neuroprogression. Aims To investigate whether neutrophins and inflammatory marker vary with mood states and are increased in patients with bipolar disorder type I during euthymia as well as in all affective states as a group, compared to levels in healthy control subjects. Methods In a prospective 6-12 months follow-up study, we investigated state specific, intra-individual alterations in levels of BDNF, hsCRP, IL-1β, IL-6, IL-8, IL-18 and TNF-α in 60 patients with bipolar I disorder with an acute severe manic index episode and in subsequent euthymic and depressive and manic states and compared with repeated measurements in healthy control subjects. Data were analysed with linear mixed effects model and with adjustment for gender, age, BMI, alcohol intake and smoking. Results From inclusion to end of the 6-12 months follow-up, samples of blood were drawn from the 60 patients during a total of 180 affective states, comprising 57 manic, 11 mixed, 23 depressive and 89 states of euthymia. Further, 69 blood samples were drawn from 35 healthy control subjects with three months apart. In unadjusted mixed-model analysis, levels of IL-6 and IL-8 were increased 64% (b=1.64, 95% CI: 1.31-2.05, p=&lt;0.0001) and 24% (b=1.24, 95% CI: 1.05-1.47, p=0.013), respectively in patients with bipolar disorder overall compared with healthy control subjects. However, in adjusted models, no statistically significant differences were found in any measure between patients and control individuals. Levels of hsCRP in depressive states were decreased with 40% (95% CI: 5-62%, p=0.029) compared with euthymia and with 48% (95% CI: 17-66%, p=0.006) when compared with hypomanic/manic states after adjustment. BDNF and the other inflammatory markers did not vary according to affective state in adjusted mixed models. Limitations Patients were all medicated, specifically with high doses of atypical antipsychotics during the manic index episodes. Conclusions In a sample recruited during hospitalization for acute mania, levels of hsCRP varied according to affective state with higher levels during manic states compared with depressive states.","author":[{"dropping-particle":"","family":"Jacoby","given":"Anne Sophie","non-dropping-particle":"","parse-names":false,"suffix":""},{"dropping-particle":"","family":"Munkholm","given":"Klaus","non-dropping-particle":"","parse-names":false,"suffix":""},{"dropping-particle":"","family":"Vinberg","given":"Maj","non-dropping-particle":"","parse-names":false,"suffix":""},{"dropping-particle":"","family":"Pedersen","given":"Bente Klarlund","non-dropping-particle":"","parse-names":false,"suffix":""},{"dropping-particle":"","family":"Kessing","given":"Lars Vedel","non-dropping-particle":"","parse-names":false,"suffix":""}],"container-title":"Journal of Affective Disorders","id":"ITEM-1","issued":{"date-parts":[["2016","6","1"]]},"page":"167-174","publisher":"Elsevier B.V.","title":"Cytokines, brain-derived neurotrophic factor and C-reactive protein in bipolar i disorder - Results from a prospective study","type":"article-journal","volume":"197"},"uris":["http://www.mendeley.com/documents/?uuid=d3884ba5-68f0-32f8-b305-11443a8b47fb"]},{"id":"ITEM-2","itemData":{"DOI":"10.1016/j.schres.2016.04.047","ISSN":"15732509","PMID":"27185483","abstract":"Objective The concept of resilience is relevant in understanding the heterogeneous outcomes noted in schizophrenia and bipolar disorder. However, clinical and biological correlates of resilience in these populations have rarely been investigated. We aimed to identify key correlates of subjective resilience in such patients using comprehensive assessments and to explore associations between resilience levels and peripheral biomarkers. Method 180 subjects with DSM-IV schizophrenia, bipolar disorder, and healthy controls (60 per group) were included. Demographic and clinical variables were assessed by means of interview and various psychometric scales. Furthermore, blood and saliva samples were obtained for the assessment of brain-derived neurotrophic factor, adrenocorticotropic hormone, cortisol, high sensitivity C-reactive protein, and alpha-amylase levels. Cross-sectional associations with resilience, as assessed by the 25-item Resilience Scale were sought. Results Resilience Scale total scores were significantly higher in healthy individuals (130.1, 95% confidence intervals (CI): 124.8–135.4) compared to subjects with schizophrenia (109.9, 95% CI: 104.6–115.2, p &lt; 0.001) and bipolar disorder (119.0, 95% CI: 113.8–124.3, p = 0.012), while the difference between patient groups was non-significant (p = 0.055). Self-esteem, spirituality, quality of life, and hopelessness were correlated with resilience in all three groups. In addition, internalized stigma and depression were relevant factors in the schizophrenia and bipolar disorder group, respectively. Correlations between resilience levels and peripheral biomarkers did not reach significance. Conclusion Although causal relationships must be confirmed in prospective studies, our results have implications in developing psychological interventions to enhance resilience in patients with schizophrenia and bipolar disorder. The biological correlates of resilience in these populations warrant further investigations.","author":[{"dropping-particle":"","family":"Mizuno","given":"Yuya","non-dropping-particle":"","parse-names":false,"suffix":""},{"dropping-particle":"","family":"Hofer","given":"Alex","non-dropping-particle":"","parse-names":false,"suffix":""},{"dropping-particle":"","family":"Suzuki","given":"Takefumi","non-dropping-particle":"","parse-names":false,"suffix":""},{"dropping-particle":"","family":"Frajo-Apor","given":"Beatrice","non-dropping-particle":"","parse-names":false,"suffix":""},{"dropping-particle":"","family":"Wartelsteiner","given":"Fabienne","non-dropping-particle":"","parse-names":false,"suffix":""},{"dropping-particle":"","family":"Kemmler","given":"Georg","non-dropping-particle":"","parse-names":false,"suffix":""},{"dropping-particle":"","family":"Saruta","given":"Juri","non-dropping-particle":"","parse-names":false,"suffix":""},{"dropping-particle":"","family":"Tsukinoki","given":"Keiichi","non-dropping-particle":"","parse-names":false,"suffix":""},{"dropping-particle":"","family":"Mimura","given":"Masaru","non-dropping-particle":"","parse-names":false,"suffix":""},{"dropping-particle":"","family":"Fleischhacker","given":"W. Wolfgang","non-dropping-particle":"","parse-names":false,"suffix":""},{"dropping-particle":"","family":"Uchida","given":"Hiroyuki","non-dropping-particle":"","parse-names":false,"suffix":""}],"container-title":"Schizophrenia Research","id":"ITEM-2","issue":"1-3","issued":{"date-parts":[["2016","8","1"]]},"page":"148-153","publisher":"Elsevier B.V.","title":"Clinical and biological correlates of resilience in patients with schizophrenia and bipolar disorder: A cross-sectional study","type":"article-journal","volume":"175"},"uris":["http://www.mendeley.com/documents/?uuid=271d8541-d30b-3ba9-a238-3a861af9bb20"]}],"mendeley":{"formattedCitation":"(Jacoby et al., 2016; Mizuno et al., 2016)","plainTextFormattedCitation":"(Jacoby et al., 2016; Mizuno et al., 2016)","previouslyFormattedCitation":"(Jacoby et al., 2016; Mizuno et al., 2016)"},"properties":{"noteIndex":0},"schema":"https://github.com/citation-style-language/schema/raw/master/csl-citation.json"}</w:instrText>
      </w:r>
      <w:r w:rsidR="009D450B">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(Jacoby et al., 2016; Mizuno et al., 2016)</w:t>
      </w:r>
      <w:r w:rsidR="009D450B">
        <w:rPr>
          <w:rFonts w:ascii="Times New Roman" w:hAnsi="Times New Roman" w:cs="Times New Roman"/>
          <w:sz w:val="22"/>
          <w:szCs w:val="22"/>
          <w:lang w:val="en-US"/>
        </w:rPr>
        <w:fldChar w:fldCharType="end"/>
      </w:r>
      <w:r w:rsidR="00970474">
        <w:rPr>
          <w:rFonts w:ascii="Times New Roman" w:hAnsi="Times New Roman" w:cs="Times New Roman"/>
          <w:sz w:val="22"/>
          <w:szCs w:val="22"/>
          <w:lang w:val="en-US"/>
        </w:rPr>
        <w:t>.</w:t>
      </w:r>
    </w:p>
    <w:p w14:paraId="08430901" w14:textId="4FDBC840" w:rsidR="00CE5C34" w:rsidRPr="00137500" w:rsidRDefault="00264CBE" w:rsidP="008D52D7">
      <w:pPr>
        <w:pStyle w:val="Heading1"/>
        <w:numPr>
          <w:ilvl w:val="0"/>
          <w:numId w:val="22"/>
        </w:numPr>
      </w:pPr>
      <w:r w:rsidRPr="00137500">
        <w:t>Discussion</w:t>
      </w:r>
    </w:p>
    <w:p w14:paraId="09AE32A6" w14:textId="77777777" w:rsidR="00A74C8D" w:rsidRDefault="00A74C8D" w:rsidP="005E3194">
      <w:pPr>
        <w:spacing w:line="480" w:lineRule="auto"/>
        <w:jc w:val="both"/>
        <w:rPr>
          <w:rFonts w:ascii="Times New Roman" w:hAnsi="Times New Roman" w:cs="Times New Roman"/>
          <w:sz w:val="22"/>
          <w:szCs w:val="22"/>
          <w:lang w:val="en-US"/>
        </w:rPr>
      </w:pPr>
    </w:p>
    <w:p w14:paraId="252DEF6C" w14:textId="1FF4B41B" w:rsidR="00987C22" w:rsidRDefault="008B02A7" w:rsidP="005E3194">
      <w:pPr>
        <w:spacing w:line="480" w:lineRule="auto"/>
        <w:jc w:val="both"/>
        <w:rPr>
          <w:rFonts w:ascii="Times New Roman" w:hAnsi="Times New Roman" w:cs="Times New Roman"/>
          <w:sz w:val="22"/>
          <w:szCs w:val="22"/>
          <w:lang w:val="en-US"/>
        </w:rPr>
      </w:pPr>
      <w:r>
        <w:rPr>
          <w:rFonts w:ascii="Times New Roman" w:hAnsi="Times New Roman" w:cs="Times New Roman"/>
          <w:sz w:val="22"/>
          <w:szCs w:val="22"/>
          <w:lang w:val="en-US"/>
        </w:rPr>
        <w:t>To our knowledge</w:t>
      </w:r>
      <w:r w:rsidR="004F2C30">
        <w:rPr>
          <w:rFonts w:ascii="Times New Roman" w:hAnsi="Times New Roman" w:cs="Times New Roman"/>
          <w:sz w:val="22"/>
          <w:szCs w:val="22"/>
          <w:lang w:val="en-US"/>
        </w:rPr>
        <w:t>,</w:t>
      </w:r>
      <w:r>
        <w:rPr>
          <w:rFonts w:ascii="Times New Roman" w:hAnsi="Times New Roman" w:cs="Times New Roman"/>
          <w:sz w:val="22"/>
          <w:szCs w:val="22"/>
          <w:lang w:val="en-US"/>
        </w:rPr>
        <w:t xml:space="preserve"> this is the largest systematic review and meta-analysis conducted to date </w:t>
      </w:r>
      <w:r w:rsidR="00C82762">
        <w:rPr>
          <w:rFonts w:ascii="Times New Roman" w:hAnsi="Times New Roman" w:cs="Times New Roman"/>
          <w:sz w:val="22"/>
          <w:szCs w:val="22"/>
          <w:lang w:val="en-US"/>
        </w:rPr>
        <w:t xml:space="preserve">assessing </w:t>
      </w:r>
      <w:r w:rsidR="0089377F">
        <w:rPr>
          <w:rFonts w:ascii="Times New Roman" w:hAnsi="Times New Roman" w:cs="Times New Roman"/>
          <w:sz w:val="22"/>
          <w:szCs w:val="22"/>
          <w:lang w:val="en-US"/>
        </w:rPr>
        <w:t>inflammatory mediators</w:t>
      </w:r>
      <w:r w:rsidR="00C82762">
        <w:rPr>
          <w:rFonts w:ascii="Times New Roman" w:hAnsi="Times New Roman" w:cs="Times New Roman"/>
          <w:sz w:val="22"/>
          <w:szCs w:val="22"/>
          <w:lang w:val="en-US"/>
        </w:rPr>
        <w:t xml:space="preserve"> in participants with BD relative to controls. </w:t>
      </w:r>
      <w:r w:rsidR="00B04130">
        <w:rPr>
          <w:rFonts w:ascii="Times New Roman" w:hAnsi="Times New Roman" w:cs="Times New Roman"/>
          <w:sz w:val="22"/>
          <w:szCs w:val="22"/>
          <w:lang w:val="en-US"/>
        </w:rPr>
        <w:t>For instance</w:t>
      </w:r>
      <w:r w:rsidR="008C0D7A">
        <w:rPr>
          <w:rFonts w:ascii="Times New Roman" w:hAnsi="Times New Roman" w:cs="Times New Roman"/>
          <w:sz w:val="22"/>
          <w:szCs w:val="22"/>
          <w:lang w:val="en-US"/>
        </w:rPr>
        <w:t>,</w:t>
      </w:r>
      <w:r w:rsidR="00B04130">
        <w:rPr>
          <w:rFonts w:ascii="Times New Roman" w:hAnsi="Times New Roman" w:cs="Times New Roman"/>
          <w:sz w:val="22"/>
          <w:szCs w:val="22"/>
          <w:lang w:val="en-US"/>
        </w:rPr>
        <w:t xml:space="preserve"> the current meta-analytic review include</w:t>
      </w:r>
      <w:r w:rsidR="00001B8B">
        <w:rPr>
          <w:rFonts w:ascii="Times New Roman" w:hAnsi="Times New Roman" w:cs="Times New Roman"/>
          <w:sz w:val="22"/>
          <w:szCs w:val="22"/>
          <w:lang w:val="en-US"/>
        </w:rPr>
        <w:t xml:space="preserve">d 1.83 more studies than the previous largest </w:t>
      </w:r>
      <w:r w:rsidR="005E3194">
        <w:rPr>
          <w:rFonts w:ascii="Times New Roman" w:hAnsi="Times New Roman" w:cs="Times New Roman"/>
          <w:sz w:val="22"/>
          <w:szCs w:val="22"/>
          <w:lang w:val="en-US"/>
        </w:rPr>
        <w:t xml:space="preserve">meta-analysis </w:t>
      </w:r>
      <w:r w:rsidR="006D5B3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10.1016/j.biopsych.2013.01.007","ISSN":"0006-3223","author":[{"dropping-particle":"","family":"Modabbernia","given":"Amirhossein","non-dropping-particle":"","parse-names":false,"suffix":""},{"dropping-particle":"","family":"Taslimi","given":"Shervin","non-dropping-particle":"","parse-names":false,"suffix":""},{"dropping-particle":"","family":"Brietzke","given":"Elisa","non-dropping-particle":"","parse-names":false,"suffix":""},{"dropping-particle":"","family":"Ashrafi","given":"Mandana","non-dropping-particle":"","parse-names":false,"suffix":""}],"container-title":"Biological Psychiatry","id":"ITEM-1","issue":"1","issued":{"date-parts":[["2013","7","1"]]},"note":"doi: 10.1016/j.biopsych.2013.01.007","page":"15-25","publisher":"Elsevier","title":"Cytokine Alterations in Bipolar Disorder: A Meta-Analysis of 30 Studies","type":"article-journal","volume":"74"},"uris":["http://www.mendeley.com/documents/?uuid=55baed3b-8007-46f5-9780-2a1e827d0eb3","http://www.mendeley.com/documents/?uuid=6bc84bb5-ec1c-48c8-9004-70974a8b1150"]}],"mendeley":{"formattedCitation":"(Modabbernia et al., 2013)","plainTextFormattedCitation":"(Modabbernia et al., 2013)","previouslyFormattedCitation":"(Modabbernia et al., 2013)"},"properties":{"noteIndex":0},"schema":"https://github.com/citation-style-language/schema/raw/master/csl-citation.json"}</w:instrText>
      </w:r>
      <w:r w:rsidR="006D5B3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(Modabbernia et al., 2013)</w:t>
      </w:r>
      <w:r w:rsidR="006D5B3E">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A379A5">
        <w:rPr>
          <w:rFonts w:ascii="Times New Roman" w:hAnsi="Times New Roman" w:cs="Times New Roman"/>
          <w:sz w:val="22"/>
          <w:szCs w:val="22"/>
          <w:lang w:val="en-US"/>
        </w:rPr>
        <w:t xml:space="preserve"> </w:t>
      </w:r>
      <w:r w:rsidR="006F1998">
        <w:rPr>
          <w:rFonts w:ascii="Times New Roman" w:hAnsi="Times New Roman" w:cs="Times New Roman"/>
          <w:sz w:val="22"/>
          <w:szCs w:val="22"/>
          <w:lang w:val="en-US"/>
        </w:rPr>
        <w:t>Our findi</w:t>
      </w:r>
      <w:r w:rsidR="008157C8">
        <w:rPr>
          <w:rFonts w:ascii="Times New Roman" w:hAnsi="Times New Roman" w:cs="Times New Roman"/>
          <w:sz w:val="22"/>
          <w:szCs w:val="22"/>
          <w:lang w:val="en-US"/>
        </w:rPr>
        <w:t xml:space="preserve">ngs point to an elevation of </w:t>
      </w:r>
      <w:r w:rsidR="0028795C">
        <w:rPr>
          <w:rFonts w:ascii="Times New Roman" w:hAnsi="Times New Roman" w:cs="Times New Roman"/>
          <w:sz w:val="22"/>
          <w:szCs w:val="22"/>
          <w:lang w:val="en-US"/>
        </w:rPr>
        <w:t>pro-</w:t>
      </w:r>
      <w:r w:rsidR="008157C8">
        <w:rPr>
          <w:rFonts w:ascii="Times New Roman" w:hAnsi="Times New Roman" w:cs="Times New Roman"/>
          <w:sz w:val="22"/>
          <w:szCs w:val="22"/>
          <w:lang w:val="en-US"/>
        </w:rPr>
        <w:t>inflammatory immune</w:t>
      </w:r>
      <w:r w:rsidR="007C609C">
        <w:rPr>
          <w:rFonts w:ascii="Times New Roman" w:hAnsi="Times New Roman" w:cs="Times New Roman"/>
          <w:sz w:val="22"/>
          <w:szCs w:val="22"/>
          <w:lang w:val="en-US"/>
        </w:rPr>
        <w:t xml:space="preserve"> biomarkers</w:t>
      </w:r>
      <w:r w:rsidR="0028795C">
        <w:rPr>
          <w:rFonts w:ascii="Times New Roman" w:hAnsi="Times New Roman" w:cs="Times New Roman"/>
          <w:sz w:val="22"/>
          <w:szCs w:val="22"/>
          <w:lang w:val="en-US"/>
        </w:rPr>
        <w:t>,</w:t>
      </w:r>
      <w:r w:rsidR="008157C8">
        <w:rPr>
          <w:rFonts w:ascii="Times New Roman" w:hAnsi="Times New Roman" w:cs="Times New Roman"/>
          <w:sz w:val="22"/>
          <w:szCs w:val="22"/>
          <w:lang w:val="en-US"/>
        </w:rPr>
        <w:t xml:space="preserve"> </w:t>
      </w:r>
      <w:r w:rsidR="007C609C">
        <w:rPr>
          <w:rFonts w:ascii="Times New Roman" w:hAnsi="Times New Roman" w:cs="Times New Roman"/>
          <w:sz w:val="22"/>
          <w:szCs w:val="22"/>
          <w:lang w:val="en-US"/>
        </w:rPr>
        <w:t>namely CRP, IL-6, TNF-α among participants with BD relative to controls</w:t>
      </w:r>
      <w:r w:rsidR="008C0D7A">
        <w:rPr>
          <w:rFonts w:ascii="Times New Roman" w:hAnsi="Times New Roman" w:cs="Times New Roman"/>
          <w:sz w:val="22"/>
          <w:szCs w:val="22"/>
          <w:lang w:val="en-US"/>
        </w:rPr>
        <w:t xml:space="preserve">, providing evidence that peripheral inflammation </w:t>
      </w:r>
      <w:r w:rsidR="00B317F8">
        <w:rPr>
          <w:rFonts w:ascii="Times New Roman" w:hAnsi="Times New Roman" w:cs="Times New Roman"/>
          <w:sz w:val="22"/>
          <w:szCs w:val="22"/>
          <w:lang w:val="en-US"/>
        </w:rPr>
        <w:t xml:space="preserve">is part of the pathophysiology </w:t>
      </w:r>
      <w:r w:rsidR="008C0D7A">
        <w:rPr>
          <w:rFonts w:ascii="Times New Roman" w:hAnsi="Times New Roman" w:cs="Times New Roman"/>
          <w:sz w:val="22"/>
          <w:szCs w:val="22"/>
          <w:lang w:val="en-US"/>
        </w:rPr>
        <w:t>in BD.</w:t>
      </w:r>
    </w:p>
    <w:p w14:paraId="2D2109A3" w14:textId="33BD90A1" w:rsidR="009B2020" w:rsidRPr="00B46560" w:rsidRDefault="00987C22" w:rsidP="005E3194">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When acute phases of the illness were considered, </w:t>
      </w:r>
      <w:r w:rsidR="00E978B0">
        <w:rPr>
          <w:rFonts w:ascii="Times New Roman" w:hAnsi="Times New Roman" w:cs="Times New Roman"/>
          <w:sz w:val="22"/>
          <w:szCs w:val="22"/>
          <w:lang w:val="en-US"/>
        </w:rPr>
        <w:t>elevations in CRP, IL-6</w:t>
      </w:r>
      <w:r w:rsidR="00897C51">
        <w:rPr>
          <w:rFonts w:ascii="Times New Roman" w:hAnsi="Times New Roman" w:cs="Times New Roman"/>
          <w:sz w:val="22"/>
          <w:szCs w:val="22"/>
          <w:lang w:val="en-US"/>
        </w:rPr>
        <w:t>, and TNF-α were observed in major depressive episodes, manic episodes</w:t>
      </w:r>
      <w:r w:rsidR="004F2C30">
        <w:rPr>
          <w:rFonts w:ascii="Times New Roman" w:hAnsi="Times New Roman" w:cs="Times New Roman"/>
          <w:sz w:val="22"/>
          <w:szCs w:val="22"/>
          <w:lang w:val="en-US"/>
        </w:rPr>
        <w:t>,</w:t>
      </w:r>
      <w:r w:rsidR="00897C51">
        <w:rPr>
          <w:rFonts w:ascii="Times New Roman" w:hAnsi="Times New Roman" w:cs="Times New Roman"/>
          <w:sz w:val="22"/>
          <w:szCs w:val="22"/>
          <w:lang w:val="en-US"/>
        </w:rPr>
        <w:t xml:space="preserve"> and in mixed states among participants with BD </w:t>
      </w:r>
      <w:r w:rsidR="00AF1AAB">
        <w:rPr>
          <w:rFonts w:ascii="Times New Roman" w:hAnsi="Times New Roman" w:cs="Times New Roman"/>
          <w:sz w:val="22"/>
          <w:szCs w:val="22"/>
          <w:lang w:val="en-US"/>
        </w:rPr>
        <w:t xml:space="preserve">compared to controls. However, only IL-6 remained elevated in euthymia. </w:t>
      </w:r>
      <w:r w:rsidR="004F2C30">
        <w:rPr>
          <w:rFonts w:ascii="Times New Roman" w:hAnsi="Times New Roman" w:cs="Times New Roman"/>
          <w:sz w:val="22"/>
          <w:szCs w:val="22"/>
          <w:lang w:val="en-US"/>
        </w:rPr>
        <w:t xml:space="preserve">These </w:t>
      </w:r>
      <w:r w:rsidR="00AF1AAB">
        <w:rPr>
          <w:rFonts w:ascii="Times New Roman" w:hAnsi="Times New Roman" w:cs="Times New Roman"/>
          <w:sz w:val="22"/>
          <w:szCs w:val="22"/>
          <w:lang w:val="en-US"/>
        </w:rPr>
        <w:t xml:space="preserve">novel findings </w:t>
      </w:r>
      <w:r w:rsidR="0009033A">
        <w:rPr>
          <w:rFonts w:ascii="Times New Roman" w:hAnsi="Times New Roman" w:cs="Times New Roman"/>
          <w:sz w:val="22"/>
          <w:szCs w:val="22"/>
          <w:lang w:val="en-US"/>
        </w:rPr>
        <w:t xml:space="preserve">indicate that while CRP and TNF-α </w:t>
      </w:r>
      <w:r w:rsidR="0028795C">
        <w:rPr>
          <w:rFonts w:ascii="Times New Roman" w:hAnsi="Times New Roman" w:cs="Times New Roman"/>
          <w:sz w:val="22"/>
          <w:szCs w:val="22"/>
          <w:lang w:val="en-US"/>
        </w:rPr>
        <w:t xml:space="preserve">might be regarded as </w:t>
      </w:r>
      <w:r w:rsidR="00AE77E1">
        <w:rPr>
          <w:rFonts w:ascii="Times New Roman" w:hAnsi="Times New Roman" w:cs="Times New Roman"/>
          <w:sz w:val="22"/>
          <w:szCs w:val="22"/>
          <w:lang w:val="en-US"/>
        </w:rPr>
        <w:t>“mood episode”</w:t>
      </w:r>
      <w:r w:rsidR="000A5E6C">
        <w:rPr>
          <w:rFonts w:ascii="Times New Roman" w:hAnsi="Times New Roman" w:cs="Times New Roman"/>
          <w:sz w:val="22"/>
          <w:szCs w:val="22"/>
          <w:lang w:val="en-US"/>
        </w:rPr>
        <w:t xml:space="preserve"> markers of BD, IL-6 </w:t>
      </w:r>
      <w:r w:rsidR="0028795C">
        <w:rPr>
          <w:rFonts w:ascii="Times New Roman" w:hAnsi="Times New Roman" w:cs="Times New Roman"/>
          <w:sz w:val="22"/>
          <w:szCs w:val="22"/>
          <w:lang w:val="en-US"/>
        </w:rPr>
        <w:t>might</w:t>
      </w:r>
      <w:r w:rsidR="000A5E6C">
        <w:rPr>
          <w:rFonts w:ascii="Times New Roman" w:hAnsi="Times New Roman" w:cs="Times New Roman"/>
          <w:sz w:val="22"/>
          <w:szCs w:val="22"/>
          <w:lang w:val="en-US"/>
        </w:rPr>
        <w:t xml:space="preserve"> be a trait marker of this illness. It is </w:t>
      </w:r>
      <w:r w:rsidR="007F7A13">
        <w:rPr>
          <w:rFonts w:ascii="Times New Roman" w:hAnsi="Times New Roman" w:cs="Times New Roman"/>
          <w:sz w:val="22"/>
          <w:szCs w:val="22"/>
          <w:lang w:val="en-US"/>
        </w:rPr>
        <w:t>note</w:t>
      </w:r>
      <w:r w:rsidR="005E3194">
        <w:rPr>
          <w:rFonts w:ascii="Times New Roman" w:hAnsi="Times New Roman" w:cs="Times New Roman"/>
          <w:sz w:val="22"/>
          <w:szCs w:val="22"/>
          <w:lang w:val="en-US"/>
        </w:rPr>
        <w:t xml:space="preserve">worthy </w:t>
      </w:r>
      <w:r w:rsidR="000A5E6C">
        <w:rPr>
          <w:rFonts w:ascii="Times New Roman" w:hAnsi="Times New Roman" w:cs="Times New Roman"/>
          <w:sz w:val="22"/>
          <w:szCs w:val="22"/>
          <w:lang w:val="en-US"/>
        </w:rPr>
        <w:t xml:space="preserve">that </w:t>
      </w:r>
      <w:r w:rsidR="00CD66CB">
        <w:rPr>
          <w:rFonts w:ascii="Times New Roman" w:hAnsi="Times New Roman" w:cs="Times New Roman"/>
          <w:sz w:val="22"/>
          <w:szCs w:val="22"/>
          <w:lang w:val="en-US"/>
        </w:rPr>
        <w:t xml:space="preserve">subjects </w:t>
      </w:r>
      <w:r w:rsidR="00CB71D8">
        <w:rPr>
          <w:rFonts w:ascii="Times New Roman" w:hAnsi="Times New Roman" w:cs="Times New Roman"/>
          <w:sz w:val="22"/>
          <w:szCs w:val="22"/>
          <w:lang w:val="en-US"/>
        </w:rPr>
        <w:t>with BD have a higher rate of medical comorbidities (e.g., obesity) and addictive disorders (</w:t>
      </w:r>
      <w:r w:rsidR="00464834">
        <w:rPr>
          <w:rFonts w:ascii="Times New Roman" w:hAnsi="Times New Roman" w:cs="Times New Roman"/>
          <w:sz w:val="22"/>
          <w:szCs w:val="22"/>
          <w:lang w:val="en-US"/>
        </w:rPr>
        <w:t>e.g.</w:t>
      </w:r>
      <w:r w:rsidR="00E1056E">
        <w:rPr>
          <w:rFonts w:ascii="Times New Roman" w:hAnsi="Times New Roman" w:cs="Times New Roman"/>
          <w:sz w:val="22"/>
          <w:szCs w:val="22"/>
          <w:lang w:val="en-US"/>
        </w:rPr>
        <w:t>,</w:t>
      </w:r>
      <w:r w:rsidR="00464834">
        <w:rPr>
          <w:rFonts w:ascii="Times New Roman" w:hAnsi="Times New Roman" w:cs="Times New Roman"/>
          <w:sz w:val="22"/>
          <w:szCs w:val="22"/>
          <w:lang w:val="en-US"/>
        </w:rPr>
        <w:t xml:space="preserve"> tobacco smoking) com</w:t>
      </w:r>
      <w:r w:rsidR="005E3194">
        <w:rPr>
          <w:rFonts w:ascii="Times New Roman" w:hAnsi="Times New Roman" w:cs="Times New Roman"/>
          <w:sz w:val="22"/>
          <w:szCs w:val="22"/>
          <w:lang w:val="en-US"/>
        </w:rPr>
        <w:t xml:space="preserve">pared to the general population </w:t>
      </w:r>
      <w:r w:rsidR="006D5B3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{"citationItems":[{"id":"ITEM-1","itemData":{"DOI":"10.1056/NEJMoa1915784","ISSN":"0028-4793","author":[{"dropping-particle":"","family":"Momen","given":"Natalie C","non-dropping-particle":"","parse-names":false,"suffix":""},{"dropping-particle":"","family":"Plana-Ripoll","given":"Oleguer","non-dropping-particle":"","parse-names":false,"suffix":""},{"dropping-particle":"","family":"Agerbo","given":"Esben","non-dropping-particle":"","parse-names":false,"suffix":""},{"dropping-particle":"","family":"Benros","given":"Michael E","non-dropping-particle":"","parse-names":false,"suffix":""},{"dropping-particle":"","family":"Børglum","given":"Anders D","non-dropping-particle":"","parse-names":false,"suffix":""},{"dropping-particle":"","family":"Christensen","given":"Maria K","non-dropping-particle":"","parse-names":false,"suffix":""},{"dropping-particle":"","family":"Dalsgaard","given":"Søren","non-dropping-particle":"","parse-names":false,"suffix":""},{"dropping-particle":"","family":"Degenhardt","given":"Louisa","non-dropping-particle":"","parse-names":false,"suffix":""},{"dropping-particle":"","family":"Jonge","given":"Peter","non-dropping-particle":"de","parse-names":false,"suffix":""},{"dropping-particle":"","family":"Debost","given":"Jean-Christophe P G","non-dropping-particle":"","parse-names":false,"suffix":""},{"dropping-particle":"","family":"Fenger-Grøn","given":"Morten","non-dropping-particle":"","parse-names":false,"suffix":""},{"dropping-particle":"","family":"Gunn","given":"Jane M","non-dropping-particle":"","parse-names":false,"suffix":""},{"dropping-particle":"","family":"Iburg","given":"Kim M","non-dropping-particle":"","parse-names":false,"suffix":""},{"dropping-particle":"V","family":"Kessing","given":"Lars","non-dropping-particle":"","parse-names":false,"suffix":""},{"dropping-particle":"","family":"Kessler","given":"Ronald C","non-dropping-particle":"","parse-names":false,"suffix":""},{"dropping-particle":"","family":"Laursen","given":"Thomas M","non-dropping-particle":"","parse-names":false,"suffix":""},{"dropping-particle":"","family":"Lim","given":"Carmen C W","non-dropping-particle":"","parse-names":false,"suffix":""},{"dropping-particle":"","family":"Mors","given":"Ole","non-dropping-particle":"","parse-names":false,"suffix":""},{"dropping-particle":"","family":"Mortensen","given":"Preben B","non-dropping-particle":"","parse-names":false,"suffix":""},{"dropping-particle":"","family":"Musliner","given":"Katherine L","non-dropping-particle":"","parse-names":false,"suffix":""},{"dropping-particle":"","family":"Nordentoft","given":"Merete","non-dropping-particle":"","parse-names":false,"suffix":""},{"dropping-particle":"","family":"Pedersen","given":"Carsten B","non-dropping-particle":"","parse-names":false,"suffix":""},{"dropping-particle":"V","family":"Petersen","given":"Liselotte","non-dropping-particle":"","parse-names":false,"suffix":""},{"dropping-particle":"","family":"Ribe","given":"Anette R","non-dropping-particle":"","parse-names":false,"suffix":""},{"dropping-particle":"","family":"Roest","given":"Annelieke M","non-dropping-particle":"","parse-names":false,"suffix":""},{"dropping-particle":"","family":"Saha","given":"Sukanta","non-dropping-particle":"","parse-names":false,"suffix":""},{"dropping-particle":"","family":"Schork","given":"Andrew J","non-dropping-particle":"","parse-names":false,"suffix":""},{"dropping-particle":"","family":"Scott","given":"Kate M","non-dropping-particle":"","parse-names":false,"suffix":""},{"dropping-particle":"","family":"Sievert","given":"Carson","non-dropping-particle":"","parse-names":false,"suffix":""},{"dropping-particle":"","family":"Sørensen","given":"Holger J","non-dropping-particle":"","parse-names":false,"suffix":""},{"dropping-particle":"","family":"Stedman","given":"Terry J","non-dropping-particle":"","parse-names":false,"suffix":""},{"dropping-particle":"","family":"Vestergaard","given":"Mogens","non-dropping-particle":"","parse-names":false,"suffix":""},{"dropping-particle":"","family":"Vilhjalmsson","given":"Bjarni","non-dropping-particle":"","parse-names":false,"suffix":""},{"dropping-particle":"","family":"Werge","given":"Thomas","non-dropping-particle":"","parse-names":false,"suffix":""},{"dropping-particle":"","family":"Weye","given":"Nanna","non-dropping-particle":"","parse-names":false,"suffix":""},{"dropping-particle":"","family":"Whiteford","given":"Harvey A","non-dropping-particle":"","parse-names":false,"suffix":""},{"dropping-particle":"","family":"Prior","given":"Anders","non-dropping-particle":"","parse-names":false,"suffix":""},{"dropping-particle":"","family":"McGrath","given":"John J","non-dropping-particle":"","parse-names":false,"suffix":""}],"container-title":"New England Journal of Medicine","id":"ITEM-1","issue":"18","issued":{"date-parts":[["2020","4","29"]]},"note":"doi: 10.1056/NEJMoa1915784","page":"1721-1731","publisher":"Massachusetts Medical Society","title":"Association between Mental Disorders and Subsequent Medical Conditions","type":"article-journal","volume":"382"},"uris":["http://www.mendeley.com/documents/?uuid=ea638419-fa29-4a0c-96b9-fdaa8810ce36","http://www.mendeley.com/documents/?uuid=3e02e5e9-c649-472f-bf14-2179ba463575"]},{"id":"ITEM-2","itemData":{"DOI":"10.1016/S2215-0366(19)30132-4","ISSN":"22150374","PMID":"31324560","author":[{"dropping-particle":"","family":"Firth","given":"Joseph","non-dropping-particle":"","parse-names":false,"suffix":""},{"dropping-particle":"","family":"Siddiqi","given":"Najma","non-dropping-particle":"","parse-names":false,"suffix":""},{"dropping-particle":"","family":"Koyanagi","given":"Ai","non-dropping-particle":"","parse-names":false,"suffix":""},{"dropping-particle":"","family":"Siskind","given":"Dan","non-dropping-particle":"","parse-names":false,"suffix":""},{"dropping-particle":"","family":"Rosenbaum","given":"Simon","non-dropping-particle":"","parse-names":false,"suffix":""},{"dropping-particle":"","family":"Galletly","given":"Cherrie","non-dropping-particle":"","parse-names":false,"suffix":""},{"dropping-particle":"","family":"Allan","given":"Stephanie","non-dropping-particle":"","parse-names":false,"suffix":""},{"dropping-particle":"","family":"Caneo","given":"Constanza","non-dropping-particle":"","parse-names":false,"suffix":""},{"dropping-particle":"","family":"Carney","given":"Rebekah","non-dropping-particle":"","parse-names":false,"suffix":""},{"dropping-particle":"","family":"Carvalho","given":"Andre F.","non-dropping-particle":"","parse-names":false,"suffix":""},{"dropping-particle":"Lou","family":"Chatterton","given":"Mary","non-dropping-particle":"","parse-names":false,"suffix":""},{"dropping-particle":"","family":"Correll","given":"Christoph U.","non-dropping-particle":"","parse-names":false,"suffix":""},{"dropping-particle":"","family":"Curtis","given":"Jackie","non-dropping-particle":"","parse-names":false,"suffix":""},{"dropping-particle":"","family":"Gaughran","given":"Fiona","non-dropping-particle":"","parse-names":false,"suffix":""},{"dropping-particle":"","family":"Heald","given":"Adrian","non-dropping-particle":"","parse-names":false,"suffix":""},{"dropping-particle":"","family":"Hoare","given":"Erin","non-dropping-particle":"","parse-names":false,"suffix":""},{"dropping-particle":"","family":"Jackson","given":"Sarah E.","non-dropping-particle":"","parse-names":false,"suffix":""},{"dropping-particle":"","family":"Kisely","given":"Steve","non-dropping-particle":"","parse-names":false,"suffix":""},{"dropping-particle":"","family":"Lovell","given":"Karina","non-dropping-particle":"","parse-names":false,"suffix":""},{"dropping-particle":"","family":"Maj","given":"Mario","non-dropping-particle":"","parse-names":false,"suffix":""},{"dropping-particle":"","family":"McGorry","given":"Patrick D.","non-dropping-particle":"","parse-names":false,"suffix":""},{"dropping-particle":"","family":"Mihalopoulos","given":"Cathrine","non-dropping-particle":"","parse-names":false,"suffix":""},{"dropping-particle":"","family":"Myles","given":"Hannah","non-dropping-particle":"","parse-names":false,"suffix":""},{"dropping-particle":"","family":"O'Donoghue","given":"Brian","non-dropping-particle":"","parse-names":false,"suffix":""},{"dropping-particle":"","family":"Pillinger","given":"Toby","non-dropping-particle":"","parse-names":false,"suffix":""},{"dropping-particle":"","family":"Sarris","given":"Jerome","non-dropping-particle":"","parse-names":false,"suffix":""},{"dropping-particle":"","family":"Schuch","given":"Felipe B.","non-dropping-particle":"","parse-names":false,"suffix":""},{"dropping-particle":"","family":"Shiers","given":"David","non-dropping-particle":"","parse-names":false,"suffix":""},{"dropping-particle":"","family":"Smith","given":"Lee","non-dropping-particle":"","parse-names":false,"suffix":""},{"dropping-particle":"","family":"Solmi","given":"Marco","non-dropping-particle":"","parse-names":false,"suffix":""},{"dropping-particle":"","family":"Suetani","given":"Shuichi","non-dropping-particle":"","parse-names":false,"suffix":""},{"dropping-particle":"","family":"Taylor","given":"Johanna","non-dropping-particle":"","parse-names":false,"suffix":""},{"dropping-particle":"","family":"Teasdale","given":"Scott B.","non-dropping-particle":"","parse-names":false,"suffix":""},{"dropping-particle":"","family":"Thornicroft","given":"Graham","non-dropping-particle":"","parse-names":false,"suffix":""},{"dropping-particle":"","family":"Torous","given":"John","non-dropping-particle":"","parse-names":false,"suffix":""},{"dropping-particle":"","family":"Usherwood","given":"Tim","non-dropping-particle":"","parse-names":false,"suffix":""},{"dropping-particle":"","family":"Vancampfort","given":"Davy","non-dropping-particle":"","parse-names":false,"suffix":""},{"dropping-particle":"","family":"Veronese","given":"Nicola","non-dropping-particle":"","parse-names":false,"suffix":""},{"dropping-particle":"","family":"Ward","given":"Philip B.","non-dropping-particle":"","parse-names":false,"suffix":""},{"dropping-particle":"","family":"Yung","given":"Alison R.","non-dropping-particle":"","parse-names":false,"suffix":""},{"dropping-particle":"","family":"Killackey","given":"Eoin","non-dropping-particle":"","parse-names":false,"suffix":""},{"dropping-particle":"","family":"Stubbs","given":"Brendon","non-dropping-particle":"","parse-names":false,"suffix":""}],"container-title":"The Lancet Psychiatry","id":"ITEM-2","issued":{"date-parts":[["2019"]]},"title":"The Lancet Psychiatry Commission: a blueprint for protecting physical health in people with mental illness","type":"article"},"uris":["http://www.mendeley.com/documents/?uuid=ff07e82f-9971-4e70-bdf6-05da4b6f3238","http://www.mendeley.com/documents/?uuid=36c85376-b948-4d8d-a74e-9cd8a8b8ef5b"]}],"mendeley":{"formattedCitation":"(Firth et al., 2019; Momen et al., 2020)","plainTextFormattedCitation":"(Firth et al., 2019; Momen et al., 2020)","previouslyFormattedCitation":"(Firth et al., 2019; Momen et al., 2020)"},"properties":{"noteIndex":0},"schema":"https://github.com/citation-style-language/schema/raw/master/csl-citation.json"}</w:instrText>
      </w:r>
      <w:r w:rsidR="006D5B3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(Firth et al., 2019; Momen et al., 2020)</w:t>
      </w:r>
      <w:r w:rsidR="006D5B3E">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2727A4">
        <w:rPr>
          <w:rFonts w:ascii="Times New Roman" w:hAnsi="Times New Roman" w:cs="Times New Roman"/>
          <w:sz w:val="22"/>
          <w:szCs w:val="22"/>
          <w:lang w:val="en-US"/>
        </w:rPr>
        <w:t xml:space="preserve"> Sensitivity analyses including </w:t>
      </w:r>
      <w:r w:rsidR="00224B4C">
        <w:rPr>
          <w:rFonts w:ascii="Times New Roman" w:hAnsi="Times New Roman" w:cs="Times New Roman"/>
          <w:sz w:val="22"/>
          <w:szCs w:val="22"/>
          <w:lang w:val="en-US"/>
        </w:rPr>
        <w:t>only studies that matched for body mass index and smoking status confirmed our main findings</w:t>
      </w:r>
      <w:r w:rsidR="001B40D5">
        <w:rPr>
          <w:rFonts w:ascii="Times New Roman" w:hAnsi="Times New Roman" w:cs="Times New Roman"/>
          <w:sz w:val="22"/>
          <w:szCs w:val="22"/>
          <w:lang w:val="en-US"/>
        </w:rPr>
        <w:t xml:space="preserve"> thereby adding robustness to our</w:t>
      </w:r>
      <w:r w:rsidR="00CB05C8">
        <w:rPr>
          <w:rFonts w:ascii="Times New Roman" w:hAnsi="Times New Roman" w:cs="Times New Roman"/>
          <w:sz w:val="22"/>
          <w:szCs w:val="22"/>
          <w:lang w:val="en-US"/>
        </w:rPr>
        <w:t xml:space="preserve"> results</w:t>
      </w:r>
      <w:r w:rsidR="001B40D5">
        <w:rPr>
          <w:rFonts w:ascii="Times New Roman" w:hAnsi="Times New Roman" w:cs="Times New Roman"/>
          <w:sz w:val="22"/>
          <w:szCs w:val="22"/>
          <w:lang w:val="en-US"/>
        </w:rPr>
        <w:t>.</w:t>
      </w:r>
      <w:r w:rsidR="00F44B45">
        <w:rPr>
          <w:rFonts w:ascii="Times New Roman" w:hAnsi="Times New Roman" w:cs="Times New Roman"/>
          <w:sz w:val="22"/>
          <w:szCs w:val="22"/>
          <w:lang w:val="en-US"/>
        </w:rPr>
        <w:t xml:space="preserve"> Furthermore, a subset of </w:t>
      </w:r>
      <w:r w:rsidR="00CD66CB">
        <w:rPr>
          <w:rFonts w:ascii="Times New Roman" w:hAnsi="Times New Roman" w:cs="Times New Roman"/>
          <w:sz w:val="22"/>
          <w:szCs w:val="22"/>
          <w:lang w:val="en-US"/>
        </w:rPr>
        <w:t xml:space="preserve">subjects </w:t>
      </w:r>
      <w:r w:rsidR="00F44B45">
        <w:rPr>
          <w:rFonts w:ascii="Times New Roman" w:hAnsi="Times New Roman" w:cs="Times New Roman"/>
          <w:sz w:val="22"/>
          <w:szCs w:val="22"/>
          <w:lang w:val="en-US"/>
        </w:rPr>
        <w:t xml:space="preserve">with BD exhibit neuroprogression </w:t>
      </w:r>
      <w:r w:rsidR="00C517B9">
        <w:rPr>
          <w:rFonts w:ascii="Times New Roman" w:hAnsi="Times New Roman" w:cs="Times New Roman"/>
          <w:sz w:val="22"/>
          <w:szCs w:val="22"/>
          <w:lang w:val="en-US"/>
        </w:rPr>
        <w:t>reflected as an increase in functional impairment, treatment refractoriness</w:t>
      </w:r>
      <w:r w:rsidR="004F2C30">
        <w:rPr>
          <w:rFonts w:ascii="Times New Roman" w:hAnsi="Times New Roman" w:cs="Times New Roman"/>
          <w:sz w:val="22"/>
          <w:szCs w:val="22"/>
          <w:lang w:val="en-US"/>
        </w:rPr>
        <w:t>,</w:t>
      </w:r>
      <w:r w:rsidR="00C517B9">
        <w:rPr>
          <w:rFonts w:ascii="Times New Roman" w:hAnsi="Times New Roman" w:cs="Times New Roman"/>
          <w:sz w:val="22"/>
          <w:szCs w:val="22"/>
          <w:lang w:val="en-US"/>
        </w:rPr>
        <w:t xml:space="preserve"> and </w:t>
      </w:r>
      <w:r w:rsidR="00491FC5">
        <w:rPr>
          <w:rFonts w:ascii="Times New Roman" w:hAnsi="Times New Roman" w:cs="Times New Roman"/>
          <w:sz w:val="22"/>
          <w:szCs w:val="22"/>
          <w:lang w:val="en-US"/>
        </w:rPr>
        <w:t>cognitive dysfunction with recurring affective episodes of BD</w:t>
      </w:r>
      <w:r w:rsidR="005E3194">
        <w:rPr>
          <w:rFonts w:ascii="Times New Roman" w:hAnsi="Times New Roman" w:cs="Times New Roman"/>
          <w:sz w:val="22"/>
          <w:szCs w:val="22"/>
          <w:lang w:val="en-US"/>
        </w:rPr>
        <w:t xml:space="preserve"> </w:t>
      </w:r>
      <w:r w:rsidR="006D5B3E" w:rsidRPr="00B46560">
        <w:rPr>
          <w:rFonts w:ascii="Times New Roman" w:hAnsi="Times New Roman" w:cs="Times New Roman"/>
          <w:sz w:val="22"/>
          <w:szCs w:val="22"/>
          <w:lang w:val="en-US"/>
        </w:rPr>
        <w:fldChar w:fldCharType="begin" w:fldLock="1"/>
      </w:r>
      <w:r w:rsidR="00CC5EA9" w:rsidRPr="00B46560">
        <w:rPr>
          <w:rFonts w:ascii="Times New Roman" w:hAnsi="Times New Roman" w:cs="Times New Roman"/>
          <w:sz w:val="22"/>
          <w:szCs w:val="22"/>
          <w:lang w:val="en-US"/>
        </w:rPr>
        <w:instrText>ADDIN CSL_CITATION {"citationItems":[{"id":"ITEM-1","itemData":{"DOI":"https://doi.org/10.1016/j.neubiorev.2010.10.001","ISSN":"0149-7634","abstract":"There is now strong evidence of progressive neuropathological processes in bipolar disorder (BD). On this basis, the current understanding of the neurobiology of BD has shifted from an initial focus on monoamines, subsequently including evidence of changes in intracellular second messenger systems and more recently to, incorporating changes in inflammatory cytokines, corticosteroids, neurotrophins, mitochondrial energy generation, oxidative stress and neurogenesis into a more comprehensive model capable of explaining some of the clinical features of BD. These features include progressive shortening of the inter-episode interval with each recurrence, occurring in consort with reduced probability of treatment response as the illness progresses. To this end, emerging data shows that these biomarkers may differ between early and late stages of BD in parallel with stage-related structural and neurocognitive alterations. This understanding facilitates identification of rational therapeutic targets, and the development of novel treatment classes. Additionally, these pathways provide a cogent explanation for the efficacy of seemingly diverse therapies used in BD, that appear to share common effects on oxidative, inflammatory and neurotrophic pathways.","author":[{"dropping-particle":"","family":"Berk","given":"M","non-dropping-particle":"","parse-names":false,"suffix":""},{"dropping-particle":"","family":"Kapczinski","given":"F","non-dropping-particle":"","parse-names":false,"suffix":""},{"dropping-particle":"","family":"Andreazza","given":"A C","non-dropping-particle":"","parse-names":false,"suffix":""},{"dropping-particle":"","family":"Dean","given":"O M","non-dropping-particle":"","parse-names":false,"suffix":""},{"dropping-particle":"","family":"Giorlando","given":"F","non-dropping-particle":"","parse-names":false,"suffix":""},{"dropping-particle":"","family":"Maes","given":"M","non-dropping-particle":"","parse-names":false,"suffix":""},{"dropping-particle":"","family":"Yücel","given":"M","non-dropping-particle":"","parse-names":false,"suffix":""},{"dropping-particle":"","family":"Gama","given":"C S","non-dropping-particle":"","parse-names":false,"suffix":""},{"dropping-particle":"","family":"Dodd","given":"S","non-dropping-particle":"","parse-names":false,"suffix":""},{"dropping-particle":"","family":"Dean","given":"B","non-dropping-particle":"","parse-names":false,"suffix":""},{"dropping-particle":"","family":"Magalhães","given":"P V S","non-dropping-particle":"","parse-names":false,"suffix":""},{"dropping-particle":"","family":"Amminger","given":"P","non-dropping-particle":"","parse-names":false,"suffix":""},{"dropping-particle":"","family":"McGorry","given":"P","non-dropping-particle":"","parse-names":false,"suffix":""},{"dropping-particle":"","family":"Malhi","given":"G S","non-dropping-particle":"","parse-names":false,"suffix":""}],"container-title":"Neuroscience &amp; Biobehavioral Reviews","id":"ITEM-1","issue":"3","issued":{"date-parts":[["2011"]]},"page":"804-817","title":"Pathways underlying neuroprogression in bipolar disorder: Focus on inflammation, oxidative stress and neurotrophic factors","type":"article-journal","volume":"35"},"uris":["http://www.mendeley.com/documents/?uuid=6a8c07b7-b8e1-4ab1-810a-d11bd14bf584","http://www.mendeley.com/documents/?uuid=7e935b8e-2b16-4508-8a04-661436ef69f5"]},{"id":"ITEM-2","itemData":{"DOI":"10.1056/NEJMra1906193","ISSN":"0028-4793","author":[{"dropping-particle":"","family":"Carvalho","given":"Andre F","non-dropping-particle":"","parse-names":false,"suffix":""},{"dropping-particle":"","family":"Firth","given":"Joseph","non-dropping-particle":"","parse-names":false,"suffix":""},{"dropping-particle":"","family":"Vieta","given":"Eduard","non-dropping-particle":"","parse-names":false,"suffix":""}],"container-title":"New England Journal of Medicine","id":"ITEM-2","issue":"1","issued":{"date-parts":[["2020","7","1"]]},"note":"doi: 10.1056/NEJMra1906193","page":"58-66","publisher":"Massachusetts Medical Society","title":"Bipolar Disorder","type":"article-journal","volume":"383"},"uris":["http://www.mendeley.com/documents/?uuid=a4de1df1-8551-46e7-a5ea-a5341e56b6ae"]}],"mendeley":{"formattedCitation":"(Berk et al., 2011; Andre F Carvalho et al., 2020)","plainTextFormattedCitation":"(Berk et al., 2011; Andre F Carvalho et al., 2020)","previouslyFormattedCitation":"(Berk et al., 2011; Andre F Carvalho et al., 2020)"},"properties":{"noteIndex":0},"schema":"https://github.com/citation-style-language/schema/raw/master/csl-citation.json"}</w:instrText>
      </w:r>
      <w:r w:rsidR="006D5B3E" w:rsidRPr="00B46560">
        <w:rPr>
          <w:rFonts w:ascii="Times New Roman" w:hAnsi="Times New Roman" w:cs="Times New Roman"/>
          <w:sz w:val="22"/>
          <w:szCs w:val="22"/>
          <w:lang w:val="en-US"/>
        </w:rPr>
        <w:fldChar w:fldCharType="separate"/>
      </w:r>
      <w:r w:rsidR="008F0511" w:rsidRPr="00B46560">
        <w:rPr>
          <w:rFonts w:ascii="Times New Roman" w:hAnsi="Times New Roman" w:cs="Times New Roman"/>
          <w:noProof/>
          <w:sz w:val="22"/>
          <w:szCs w:val="22"/>
          <w:lang w:val="en-US"/>
        </w:rPr>
        <w:t>(Berk et al., 2011; Carvalho et al., 2020)</w:t>
      </w:r>
      <w:r w:rsidR="006D5B3E" w:rsidRPr="00B46560">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1449E2" w:rsidRPr="00B46560">
        <w:rPr>
          <w:rFonts w:ascii="Times New Roman" w:hAnsi="Times New Roman" w:cs="Times New Roman"/>
          <w:sz w:val="22"/>
          <w:szCs w:val="22"/>
          <w:lang w:val="en-US"/>
        </w:rPr>
        <w:t xml:space="preserve"> Peripheral immune activation is thought to </w:t>
      </w:r>
      <w:r w:rsidR="007803AB" w:rsidRPr="00B46560">
        <w:rPr>
          <w:rFonts w:ascii="Times New Roman" w:hAnsi="Times New Roman" w:cs="Times New Roman"/>
          <w:sz w:val="22"/>
          <w:szCs w:val="22"/>
          <w:lang w:val="en-US"/>
        </w:rPr>
        <w:t>contribute to neuroprogression in BD</w:t>
      </w:r>
      <w:r w:rsidR="005E3194">
        <w:rPr>
          <w:rFonts w:ascii="Times New Roman" w:hAnsi="Times New Roman" w:cs="Times New Roman"/>
          <w:sz w:val="22"/>
          <w:szCs w:val="22"/>
          <w:lang w:val="en-US"/>
        </w:rPr>
        <w:t xml:space="preserve"> </w:t>
      </w:r>
      <w:r w:rsidR="00C94627" w:rsidRPr="00B46560">
        <w:rPr>
          <w:rFonts w:ascii="Times New Roman" w:hAnsi="Times New Roman" w:cs="Times New Roman"/>
          <w:sz w:val="22"/>
          <w:szCs w:val="22"/>
          <w:lang w:val="en-US"/>
        </w:rPr>
        <w:fldChar w:fldCharType="begin" w:fldLock="1"/>
      </w:r>
      <w:r w:rsidR="008F0511" w:rsidRPr="00B46560">
        <w:rPr>
          <w:rFonts w:ascii="Times New Roman" w:hAnsi="Times New Roman" w:cs="Times New Roman"/>
          <w:sz w:val="22"/>
          <w:szCs w:val="22"/>
          <w:lang w:val="en-US"/>
        </w:rPr>
        <w:instrText>ADDIN CSL_CITATION {"citationItems":[{"id":"ITEM-1","itemData":{"author":[{"dropping-particle":"","family":"Quevedo","given":"J.","non-dropping-particle":"","parse-names":false,"suffix":""},{"dropping-particle":"","family":"Carvalho","given":"AF.","non-dropping-particle":"","parse-names":false,"suffix":""},{"dropping-particle":"","family":"Vieta","given":"E","non-dropping-particle":"","parse-names":false,"suffix":""}],"edition":"Academic P","id":"ITEM-1","issued":{"date-parts":[["2021"]]},"publisher-place":"London","title":"Neurobiology of bipolar disorder. Road to novel therapeutics.","type":"book"},"uris":["http://www.mendeley.com/documents/?uuid=d8820f3c-e332-41b5-aad7-94ad37aa423f","http://www.mendeley.com/documents/?uuid=9b490187-3ff9-4bb5-9410-7254a0c3b8df"]}],"mendeley":{"formattedCitation":"(Quevedo et al., 2021)","plainTextFormattedCitation":"(Quevedo et al., 2021)","previouslyFormattedCitation":"(Quevedo et al., 2021)"},"properties":{"noteIndex":0},"schema":"https://github.com/citation-style-language/schema/raw/master/csl-citation.json"}</w:instrText>
      </w:r>
      <w:r w:rsidR="00C94627" w:rsidRPr="00B46560">
        <w:rPr>
          <w:rFonts w:ascii="Times New Roman" w:hAnsi="Times New Roman" w:cs="Times New Roman"/>
          <w:sz w:val="22"/>
          <w:szCs w:val="22"/>
          <w:lang w:val="en-US"/>
        </w:rPr>
        <w:fldChar w:fldCharType="separate"/>
      </w:r>
      <w:r w:rsidR="008F0511" w:rsidRPr="00B46560">
        <w:rPr>
          <w:rFonts w:ascii="Times New Roman" w:hAnsi="Times New Roman" w:cs="Times New Roman"/>
          <w:noProof/>
          <w:sz w:val="22"/>
          <w:szCs w:val="22"/>
          <w:lang w:val="en-US"/>
        </w:rPr>
        <w:t>(Quevedo et al., 2021)</w:t>
      </w:r>
      <w:r w:rsidR="00C94627" w:rsidRPr="00B46560">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A318B7" w:rsidRPr="00B46560">
        <w:rPr>
          <w:rFonts w:ascii="Times New Roman" w:hAnsi="Times New Roman" w:cs="Times New Roman"/>
          <w:sz w:val="22"/>
          <w:szCs w:val="22"/>
          <w:lang w:val="en-US"/>
        </w:rPr>
        <w:t xml:space="preserve"> Inflammation </w:t>
      </w:r>
      <w:r w:rsidR="00A318B7" w:rsidRPr="00B46560">
        <w:rPr>
          <w:rFonts w:ascii="Times New Roman" w:hAnsi="Times New Roman" w:cs="Times New Roman"/>
          <w:sz w:val="22"/>
          <w:szCs w:val="22"/>
          <w:lang w:val="en-US"/>
        </w:rPr>
        <w:lastRenderedPageBreak/>
        <w:t>likely also drives the parallel process of somatoprogr</w:t>
      </w:r>
      <w:r w:rsidR="005E3194">
        <w:rPr>
          <w:rFonts w:ascii="Times New Roman" w:hAnsi="Times New Roman" w:cs="Times New Roman"/>
          <w:sz w:val="22"/>
          <w:szCs w:val="22"/>
          <w:lang w:val="en-US"/>
        </w:rPr>
        <w:t xml:space="preserve">ession and physical comorbidity </w:t>
      </w:r>
      <w:r w:rsidR="009C6000" w:rsidRPr="00B46560">
        <w:rPr>
          <w:rFonts w:ascii="Times New Roman" w:hAnsi="Times New Roman" w:cs="Times New Roman"/>
          <w:sz w:val="22"/>
          <w:szCs w:val="22"/>
          <w:lang w:val="en-US"/>
        </w:rPr>
        <w:fldChar w:fldCharType="begin" w:fldLock="1"/>
      </w:r>
      <w:r w:rsidR="008F0511" w:rsidRPr="00B46560">
        <w:rPr>
          <w:rFonts w:ascii="Times New Roman" w:hAnsi="Times New Roman" w:cs="Times New Roman"/>
          <w:sz w:val="22"/>
          <w:szCs w:val="22"/>
          <w:lang w:val="en-US"/>
        </w:rPr>
        <w:instrText>ADDIN CSL_CITATION {"citationItems":[{"id":"ITEM-1","itemData":{"DOI":"https://doi.org/10.1016/j.neubiorev.2019.09.025","ISSN":"0149-7634","abstract":"Activated immune-inflammatory, oxidative and nitrosative stress (IO&amp;NS) pathways and consequent mitochondrial aberrations are involved in the pathophysiology of psychiatric disorders including major depression, bipolar disorder and schizophrenia. They offer independent and shared contributions to pathways underpinning medical comorbidities including insulin resistance, metabolic syndrome, obesity and cardiovascular disease - herein conceptualized as somatoprogression. This narrative review of human studies aims to summarize relationships between IO&amp;NS pathways, neuroprogression and somatoprogression. Activated IO&amp;NS pathways, implicated in the neuroprogression of psychiatric disorders, affect the pathogenesis of comorbidities including insulin resistance, dyslipidaemia, obesity and hypertension, and by inference, metabolic syndrome. These conditions activate IO&amp;NS pathways, exacerbating neuroprogression in psychiatric disorders. The processes whereby proinflammatory cytokines, nitrosative and endoplasmic reticulum stress, NADPH oxidase isoforms, PPARγ inactivation, SIRT1 deficiency and intracellular signalling pathways impact lipid metabolism and storage are considered. Through associations between body mass index, chronic neuroinflammation and FTO expression, activation of IO&amp;NS pathways arising from somatoprogression may contribute to neuroprogression. Early evidence highlights the potential of adjuvants targeting IO&amp;NS pathways for treating somatoprogression and neuroprogression.","author":[{"dropping-particle":"","family":"Morris","given":"Gerwyn","non-dropping-particle":"","parse-names":false,"suffix":""},{"dropping-particle":"","family":"Puri","given":"Basant K","non-dropping-particle":"","parse-names":false,"suffix":""},{"dropping-particle":"","family":"Walker","given":"Adam J","non-dropping-particle":"","parse-names":false,"suffix":""},{"dropping-particle":"","family":"Maes","given":"Michael","non-dropping-particle":"","parse-names":false,"suffix":""},{"dropping-particle":"","family":"Carvalho","given":"Andre F","non-dropping-particle":"","parse-names":false,"suffix":""},{"dropping-particle":"","family":"Bortolasci","given":"Chiara C","non-dropping-particle":"","parse-names":false,"suffix":""},{"dropping-particle":"","family":"Walder","given":"Ken","non-dropping-particle":"","parse-names":false,"suffix":""},{"dropping-particle":"","family":"Berk","given":"Michael","non-dropping-particle":"","parse-names":false,"suffix":""}],"container-title":"Neuroscience &amp; Biobehavioral Reviews","id":"ITEM-1","issued":{"date-parts":[["2019"]]},"page":"862-882","title":"Shared pathways for neuroprogression and somatoprogression in neuropsychiatric disorders","type":"article-journal","volume":"107"},"uris":["http://www.mendeley.com/documents/?uuid=d20e7064-e994-4d3c-af91-c6ce41f38f9c","http://www.mendeley.com/documents/?uuid=7c74c45e-0d71-4ceb-ac6c-486ec80a9196"]}],"mendeley":{"formattedCitation":"(Morris et al., 2019)","plainTextFormattedCitation":"(Morris et al., 2019)","previouslyFormattedCitation":"(Morris et al., 2019)"},"properties":{"noteIndex":0},"schema":"https://github.com/citation-style-language/schema/raw/master/csl-citation.json"}</w:instrText>
      </w:r>
      <w:r w:rsidR="009C6000" w:rsidRPr="00B46560">
        <w:rPr>
          <w:rFonts w:ascii="Times New Roman" w:hAnsi="Times New Roman" w:cs="Times New Roman"/>
          <w:sz w:val="22"/>
          <w:szCs w:val="22"/>
          <w:lang w:val="en-US"/>
        </w:rPr>
        <w:fldChar w:fldCharType="separate"/>
      </w:r>
      <w:r w:rsidR="008F0511" w:rsidRPr="00B46560">
        <w:rPr>
          <w:rFonts w:ascii="Times New Roman" w:hAnsi="Times New Roman" w:cs="Times New Roman"/>
          <w:noProof/>
          <w:sz w:val="22"/>
          <w:szCs w:val="22"/>
          <w:lang w:val="en-US"/>
        </w:rPr>
        <w:t>(Morris et al., 2019)</w:t>
      </w:r>
      <w:r w:rsidR="009C6000" w:rsidRPr="00B46560">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A318B7" w:rsidRPr="00B46560">
        <w:rPr>
          <w:rFonts w:ascii="Times New Roman" w:hAnsi="Times New Roman" w:cs="Times New Roman"/>
          <w:sz w:val="22"/>
          <w:szCs w:val="22"/>
          <w:lang w:val="en-US"/>
        </w:rPr>
        <w:t xml:space="preserve"> </w:t>
      </w:r>
      <w:r w:rsidR="007803AB" w:rsidRPr="00B46560">
        <w:rPr>
          <w:rFonts w:ascii="Times New Roman" w:hAnsi="Times New Roman" w:cs="Times New Roman"/>
          <w:sz w:val="22"/>
          <w:szCs w:val="22"/>
          <w:lang w:val="en-US"/>
        </w:rPr>
        <w:t>In our meta-regression analysis</w:t>
      </w:r>
      <w:r w:rsidR="005E3194">
        <w:rPr>
          <w:rFonts w:ascii="Times New Roman" w:hAnsi="Times New Roman" w:cs="Times New Roman"/>
          <w:sz w:val="22"/>
          <w:szCs w:val="22"/>
          <w:lang w:val="en-US"/>
        </w:rPr>
        <w:t>,</w:t>
      </w:r>
      <w:r w:rsidR="00BF20EC" w:rsidRPr="00B46560">
        <w:rPr>
          <w:rFonts w:ascii="Times New Roman" w:hAnsi="Times New Roman" w:cs="Times New Roman"/>
          <w:sz w:val="22"/>
          <w:szCs w:val="22"/>
          <w:lang w:val="en-US"/>
        </w:rPr>
        <w:t xml:space="preserve"> however</w:t>
      </w:r>
      <w:r w:rsidR="004F2C30" w:rsidRPr="00B46560">
        <w:rPr>
          <w:rFonts w:ascii="Times New Roman" w:hAnsi="Times New Roman" w:cs="Times New Roman"/>
          <w:sz w:val="22"/>
          <w:szCs w:val="22"/>
          <w:lang w:val="en-US"/>
        </w:rPr>
        <w:t>,</w:t>
      </w:r>
      <w:r w:rsidR="007803AB" w:rsidRPr="00B46560">
        <w:rPr>
          <w:rFonts w:ascii="Times New Roman" w:hAnsi="Times New Roman" w:cs="Times New Roman"/>
          <w:sz w:val="22"/>
          <w:szCs w:val="22"/>
          <w:lang w:val="en-US"/>
        </w:rPr>
        <w:t xml:space="preserve"> we </w:t>
      </w:r>
      <w:r w:rsidR="00BF20EC" w:rsidRPr="00B46560">
        <w:rPr>
          <w:rFonts w:ascii="Times New Roman" w:hAnsi="Times New Roman" w:cs="Times New Roman"/>
          <w:sz w:val="22"/>
          <w:szCs w:val="22"/>
          <w:lang w:val="en-US"/>
        </w:rPr>
        <w:t xml:space="preserve">only </w:t>
      </w:r>
      <w:r w:rsidR="007803AB" w:rsidRPr="00B46560">
        <w:rPr>
          <w:rFonts w:ascii="Times New Roman" w:hAnsi="Times New Roman" w:cs="Times New Roman"/>
          <w:sz w:val="22"/>
          <w:szCs w:val="22"/>
          <w:lang w:val="en-US"/>
        </w:rPr>
        <w:t xml:space="preserve">observed </w:t>
      </w:r>
      <w:r w:rsidR="00BF20EC" w:rsidRPr="00B46560">
        <w:rPr>
          <w:rFonts w:ascii="Times New Roman" w:hAnsi="Times New Roman" w:cs="Times New Roman"/>
          <w:sz w:val="22"/>
          <w:szCs w:val="22"/>
          <w:lang w:val="en-US"/>
        </w:rPr>
        <w:t xml:space="preserve">a marginally significant </w:t>
      </w:r>
      <w:r w:rsidR="00B46560" w:rsidRPr="00B46560">
        <w:rPr>
          <w:rFonts w:ascii="Times New Roman" w:hAnsi="Times New Roman" w:cs="Times New Roman"/>
          <w:sz w:val="22"/>
          <w:szCs w:val="22"/>
          <w:lang w:val="en-US"/>
        </w:rPr>
        <w:t xml:space="preserve">inverse and negligible association between </w:t>
      </w:r>
      <w:r w:rsidR="007803AB" w:rsidRPr="00B46560">
        <w:rPr>
          <w:rFonts w:ascii="Times New Roman" w:hAnsi="Times New Roman" w:cs="Times New Roman"/>
          <w:sz w:val="22"/>
          <w:szCs w:val="22"/>
          <w:lang w:val="en-US"/>
        </w:rPr>
        <w:t xml:space="preserve">that CRP levels </w:t>
      </w:r>
      <w:r w:rsidR="00B46560" w:rsidRPr="00B46560">
        <w:rPr>
          <w:rFonts w:ascii="Times New Roman" w:hAnsi="Times New Roman" w:cs="Times New Roman"/>
          <w:sz w:val="22"/>
          <w:szCs w:val="22"/>
          <w:lang w:val="en-US"/>
        </w:rPr>
        <w:t xml:space="preserve">and duration of </w:t>
      </w:r>
      <w:r w:rsidR="007803AB" w:rsidRPr="00B46560">
        <w:rPr>
          <w:rFonts w:ascii="Times New Roman" w:hAnsi="Times New Roman" w:cs="Times New Roman"/>
          <w:sz w:val="22"/>
          <w:szCs w:val="22"/>
          <w:lang w:val="en-US"/>
        </w:rPr>
        <w:t>BD.</w:t>
      </w:r>
      <w:r w:rsidR="00713BF3" w:rsidRPr="00B46560">
        <w:rPr>
          <w:rFonts w:ascii="Times New Roman" w:hAnsi="Times New Roman" w:cs="Times New Roman"/>
          <w:sz w:val="22"/>
          <w:szCs w:val="22"/>
          <w:lang w:val="en-US"/>
        </w:rPr>
        <w:t xml:space="preserve"> </w:t>
      </w:r>
    </w:p>
    <w:p w14:paraId="64B5DB54" w14:textId="0A623E7E" w:rsidR="000A5E6C" w:rsidRDefault="009B2020" w:rsidP="005E3194">
      <w:pPr>
        <w:spacing w:line="480" w:lineRule="auto"/>
        <w:ind w:firstLine="720"/>
        <w:jc w:val="both"/>
        <w:rPr>
          <w:rFonts w:ascii="Times New Roman" w:hAnsi="Times New Roman" w:cs="Times New Roman"/>
          <w:sz w:val="22"/>
          <w:szCs w:val="22"/>
          <w:lang w:val="en-US"/>
        </w:rPr>
      </w:pPr>
      <w:r w:rsidRPr="00B46560">
        <w:rPr>
          <w:rFonts w:ascii="Times New Roman" w:hAnsi="Times New Roman" w:cs="Times New Roman"/>
          <w:sz w:val="22"/>
          <w:szCs w:val="22"/>
          <w:lang w:val="en-US"/>
        </w:rPr>
        <w:t>Interestingly we did not observe an increase in IL-1</w:t>
      </w:r>
      <w:r w:rsidR="005E3194">
        <w:rPr>
          <w:rFonts w:ascii="Times New Roman" w:hAnsi="Times New Roman" w:cs="Times New Roman"/>
          <w:sz w:val="22"/>
          <w:szCs w:val="22"/>
          <w:lang w:val="en-US"/>
        </w:rPr>
        <w:t>β</w:t>
      </w:r>
      <w:r w:rsidRPr="00B46560">
        <w:rPr>
          <w:rFonts w:ascii="Times New Roman" w:hAnsi="Times New Roman" w:cs="Times New Roman"/>
          <w:sz w:val="22"/>
          <w:szCs w:val="22"/>
          <w:lang w:val="en-US"/>
        </w:rPr>
        <w:t xml:space="preserve"> levels in participants with BD compared</w:t>
      </w:r>
      <w:r>
        <w:rPr>
          <w:rFonts w:ascii="Times New Roman" w:hAnsi="Times New Roman" w:cs="Times New Roman"/>
          <w:sz w:val="22"/>
          <w:szCs w:val="22"/>
          <w:lang w:val="en-US"/>
        </w:rPr>
        <w:t xml:space="preserve"> to controls</w:t>
      </w:r>
      <w:r w:rsidR="00603167">
        <w:rPr>
          <w:rFonts w:ascii="Times New Roman" w:hAnsi="Times New Roman" w:cs="Times New Roman"/>
          <w:sz w:val="22"/>
          <w:szCs w:val="22"/>
          <w:lang w:val="en-US"/>
        </w:rPr>
        <w:fldChar w:fldCharType="begin" w:fldLock="1"/>
      </w:r>
      <w:r w:rsidR="007F41B2">
        <w:rPr>
          <w:rFonts w:ascii="Times New Roman" w:hAnsi="Times New Roman" w:cs="Times New Roman"/>
          <w:sz w:val="22"/>
          <w:szCs w:val="22"/>
          <w:lang w:val="en-US"/>
        </w:rPr>
        <w:instrText>ADDIN CSL_CITATION {"citationItems":[{"id":"ITEM-1","itemData":{"DOI":"10.1038/mp.2016.3","ISSN":"14765578","PMID":"26903267","abstract":"Schizophrenia, bipolar disorder and major depressive disorder (MDD) have all been associated with aberrant blood cytokine levels; however, neither the pattern of cytokine alterations nor the impact of clinical status have been compared across disorders. We performed a meta-analysis of blood cytokines in acutely and chronically ill patients with these major psychiatric disorders. Articles were identified by searching the PubMed, PsycInfo and Web of Science, and the reference lists of these studies. Sixty-eight studies met the inclusion criteria (40 schizophrenia, 10 bipolar disorder and 18 MDD) for acutely ill patients. Forty-six studies met the inclusion criteria (18 schizophrenia, 16 bipolar disorder and 12 MDD) for chronically ill patients. Levels of two cytokines (interleukin-6 (IL-6), tumor necrosis factor-α; (TNF-α)), one soluble cytokine receptor (sIL-2R), and one cytokine receptor antagonist (IL-1RA) were significantly increased in acutely ill patients with schizophrenia, bipolar mania and MDD compared with controls (P&lt;0.01). Following treatment of the acute illness, IL-6 levels significantly decreased in both schizophrenia and MDD (P&lt;0.01); sIL-2R levels increased in schizophrenia; and IL-1RA levels in bipolar mania decreased. In chronically ill patients, the levels of IL-6 were significantly increased in schizophrenia, euthymic (but not depressed) bipolar disorder and MDD compared with controls (P&lt;0.01). The levels of IL-1β and sIL-2R were significantly increased in both chronic schizophrenia and euthymic bipolar disorder. Overall, there were similarities in the pattern of cytokine alterations in schizophrenia, bipolar disorder and MDD during acute and chronic phases of illness, raising the possibility of common underlying pathways for immune dysfunction. Effects of treatment on cytokines were more robust for schizophrenia and MDD, but were more frequently studied than for acute mania. These findings have important implications for our understanding of the pathophysiology and treatment of major psychiatric disorders.","author":[{"dropping-particle":"","family":"Goldsmith","given":"D. R.","non-dropping-particle":"","parse-names":false,"suffix":""},{"dropping-particle":"","family":"Rapaport","given":"M. H.","non-dropping-particle":"","parse-names":false,"suffix":""},{"dropping-particle":"","family":"Miller","given":"B. J.","non-dropping-particle":"","parse-names":false,"suffix":""}],"container-title":"Molecular Psychiatry","id":"ITEM-1","issue":"12","issued":{"date-parts":[["2016","12","1"]]},"page":"1696-1709","publisher":"Nature Publishing Group","title":"A meta-analysis of blood cytokine network alterations in psychiatric patients: Comparisons between schizophrenia, bipolar disorder and depression","type":"paper-conference","volume":"21"},"uris":["http://www.mendeley.com/documents/?uuid=e0ae677d-71f7-3c62-9b03-8475b2a2d563"]}],"mendeley":{"formattedCitation":"(Goldsmith et al., 2016)","plainTextFormattedCitation":"(Goldsmith et al., 2016)","previouslyFormattedCitation":"(Goldsmith et al., 2016)"},"properties":{"noteIndex":0},"schema":"https://github.com/citation-style-language/schema/raw/master/csl-citation.json"}</w:instrText>
      </w:r>
      <w:r w:rsidR="00603167">
        <w:rPr>
          <w:rFonts w:ascii="Times New Roman" w:hAnsi="Times New Roman" w:cs="Times New Roman"/>
          <w:sz w:val="22"/>
          <w:szCs w:val="22"/>
          <w:lang w:val="en-US"/>
        </w:rPr>
        <w:fldChar w:fldCharType="separate"/>
      </w:r>
      <w:r w:rsidR="00603167" w:rsidRPr="00603167">
        <w:rPr>
          <w:rFonts w:ascii="Times New Roman" w:hAnsi="Times New Roman" w:cs="Times New Roman"/>
          <w:noProof/>
          <w:sz w:val="22"/>
          <w:szCs w:val="22"/>
          <w:lang w:val="en-US"/>
        </w:rPr>
        <w:t>(Goldsmith et al., 2016)</w:t>
      </w:r>
      <w:r w:rsidR="00603167">
        <w:rPr>
          <w:rFonts w:ascii="Times New Roman" w:hAnsi="Times New Roman" w:cs="Times New Roman"/>
          <w:sz w:val="22"/>
          <w:szCs w:val="22"/>
          <w:lang w:val="en-US"/>
        </w:rPr>
        <w:fldChar w:fldCharType="end"/>
      </w:r>
      <w:r>
        <w:rPr>
          <w:rFonts w:ascii="Times New Roman" w:hAnsi="Times New Roman" w:cs="Times New Roman"/>
          <w:sz w:val="22"/>
          <w:szCs w:val="22"/>
          <w:lang w:val="en-US"/>
        </w:rPr>
        <w:t xml:space="preserve">. This was an unexpected finding since both </w:t>
      </w:r>
      <w:r w:rsidR="00C906A8">
        <w:rPr>
          <w:rFonts w:ascii="Times New Roman" w:hAnsi="Times New Roman" w:cs="Times New Roman"/>
          <w:sz w:val="22"/>
          <w:szCs w:val="22"/>
          <w:lang w:val="en-US"/>
        </w:rPr>
        <w:t>TNF-α and IL-1</w:t>
      </w:r>
      <w:r w:rsidR="005E3194">
        <w:rPr>
          <w:rFonts w:ascii="Times New Roman" w:hAnsi="Times New Roman" w:cs="Times New Roman"/>
          <w:sz w:val="22"/>
          <w:szCs w:val="22"/>
          <w:lang w:val="en-US"/>
        </w:rPr>
        <w:t>β</w:t>
      </w:r>
      <w:r w:rsidR="00C906A8">
        <w:rPr>
          <w:rFonts w:ascii="Times New Roman" w:hAnsi="Times New Roman" w:cs="Times New Roman"/>
          <w:sz w:val="22"/>
          <w:szCs w:val="22"/>
          <w:lang w:val="en-US"/>
        </w:rPr>
        <w:t xml:space="preserve"> are predominantly secreted by macrophages</w:t>
      </w:r>
      <w:r>
        <w:rPr>
          <w:rFonts w:ascii="Times New Roman" w:hAnsi="Times New Roman" w:cs="Times New Roman"/>
          <w:sz w:val="22"/>
          <w:szCs w:val="22"/>
          <w:lang w:val="en-US"/>
        </w:rPr>
        <w:t xml:space="preserve"> </w:t>
      </w:r>
      <w:r w:rsidR="006D5B3E">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{"citationItems":[{"id":"ITEM-1","itemData":{"DOI":"10.1007/s12035-018-1016-x","ISSN":"1559-1182","abstract":"Here, we review a novel concept namely the compensatory immune-regulatory reflex system (CIRS) as applied to the pathophysiology of major depressive disorder (MDD) and bipolar disorder (BD). There is evidence that a substantial subset of individuals with MDD and BD exhibit an activation of the immune-inflammatory response system (IRS), as indicated by an increased production of macrophagic M1 and T helper (Th)-1 pro-inflammatory cytokines, interleukin (IL)-6 trans-signaling, positive acute phase proteins (APPs), and complement factors. These immune aberrations appear to be evident during the course of major affective episodes of either depressive or (hypo) manic polarity. Here, we review (a) the current state of the art of CIRS functions in both mood disorders and (b) the possible role of CIRS-related biomarkers for the understanding of affective disorders within the framework of precision psychiatry that could also provide novel drug targets for both MDD and BD. CIRS-related abnormalities in mood disorders include elevated Th-2 and T regulatory (Treg) activities with increased IL-4 and IL-10 production, classical IL-6 signaling, increased levels of sIL-1R antagonist (sIL-1RA), soluble IL-2 (sIL-2R) and tumor necrosis factor–α- receptors, and positive APPs, including haptoglobin, hemopexin, α1-acid glycoprotein, α1-antitrypsin, and ceruloplasmin. It is concluded that CIRS is involved in MDD and BD by regulating the primary immune-inflammatory response, thereby contributing to spontaneous and antidepressant-promoted recovery from the acute phase of illness. Signs of activated IRS and CIRS pathways are observed in the remitted phases of both disorders indicating that there is no return to the original homeostasis after an acute episode, while later episodes of mood disorders are characterized by sensitized IRS and CIRS responses. New z-unit weighted composite biomarker scores are proposed, which reflect different aspects of IRS versus CIRS activation and may be used to estimate different IRS/CIRS activity ratios in mood and other neuroimmune disorders.","author":[{"dropping-particle":"","family":"Maes","given":"Michael","non-dropping-particle":"","parse-names":false,"suffix":""},{"dropping-particle":"","family":"Carvalho","given":"Andre F","non-dropping-particle":"","parse-names":false,"suffix":""}],"container-title":"Molecular Neurobiology","id":"ITEM-1","issue":"12","issued":{"date-parts":[["2018"]]},"page":"8885-8903","title":"The Compensatory Immune-Regulatory Reflex System (CIRS) in Depression and Bipolar Disorder","type":"article-journal","volume":"55"},"uris":["http://www.mendeley.com/documents/?uuid=bb05c81c-f9d4-4fc8-8796-e4ad7e637982","http://www.mendeley.com/documents/?uuid=524425d2-a2b1-4e81-8695-33e28023e433"]}],"mendeley":{"formattedCitation":"(Maes and Carvalho, 2018)","plainTextFormattedCitation":"(Maes and Carvalho, 2018)","previouslyFormattedCitation":"(Maes and Carvalho, 2018)"},"properties":{"noteIndex":0},"schema":"https://github.com/citation-style-language/schema/raw/master/csl-citation.json"}</w:instrText>
      </w:r>
      <w:r w:rsidR="006D5B3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(Maes and Carvalho, 2018)</w:t>
      </w:r>
      <w:r w:rsidR="006D5B3E">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Pr>
          <w:rFonts w:ascii="Times New Roman" w:hAnsi="Times New Roman" w:cs="Times New Roman"/>
          <w:sz w:val="22"/>
          <w:szCs w:val="22"/>
          <w:lang w:val="en-US"/>
        </w:rPr>
        <w:t xml:space="preserve"> </w:t>
      </w:r>
      <w:r w:rsidR="00E1056E">
        <w:rPr>
          <w:rFonts w:ascii="Times New Roman" w:hAnsi="Times New Roman" w:cs="Times New Roman"/>
          <w:sz w:val="22"/>
          <w:szCs w:val="22"/>
          <w:lang w:val="en-US"/>
        </w:rPr>
        <w:t xml:space="preserve">However, </w:t>
      </w:r>
      <w:r w:rsidR="00F0626A">
        <w:rPr>
          <w:rFonts w:ascii="Times New Roman" w:hAnsi="Times New Roman" w:cs="Times New Roman"/>
          <w:sz w:val="22"/>
          <w:szCs w:val="22"/>
          <w:lang w:val="en-US"/>
        </w:rPr>
        <w:t>few studies (k=4) assayed IL-1</w:t>
      </w:r>
      <w:r w:rsidR="005E3194">
        <w:rPr>
          <w:rFonts w:ascii="Times New Roman" w:hAnsi="Times New Roman" w:cs="Times New Roman"/>
          <w:sz w:val="22"/>
          <w:szCs w:val="22"/>
          <w:lang w:val="en-US"/>
        </w:rPr>
        <w:t>β</w:t>
      </w:r>
      <w:r w:rsidR="00F0626A">
        <w:rPr>
          <w:rFonts w:ascii="Times New Roman" w:hAnsi="Times New Roman" w:cs="Times New Roman"/>
          <w:sz w:val="22"/>
          <w:szCs w:val="22"/>
          <w:lang w:val="en-US"/>
        </w:rPr>
        <w:t xml:space="preserve"> in the periphery and there was </w:t>
      </w:r>
      <w:r w:rsidR="00BE285B">
        <w:rPr>
          <w:rFonts w:ascii="Times New Roman" w:hAnsi="Times New Roman" w:cs="Times New Roman"/>
          <w:sz w:val="22"/>
          <w:szCs w:val="22"/>
          <w:lang w:val="en-US"/>
        </w:rPr>
        <w:t xml:space="preserve">a </w:t>
      </w:r>
      <w:r w:rsidR="00F0626A">
        <w:rPr>
          <w:rFonts w:ascii="Times New Roman" w:hAnsi="Times New Roman" w:cs="Times New Roman"/>
          <w:sz w:val="22"/>
          <w:szCs w:val="22"/>
          <w:lang w:val="en-US"/>
        </w:rPr>
        <w:t>lar</w:t>
      </w:r>
      <w:r w:rsidR="005E3194">
        <w:rPr>
          <w:rFonts w:ascii="Times New Roman" w:hAnsi="Times New Roman" w:cs="Times New Roman"/>
          <w:sz w:val="22"/>
          <w:szCs w:val="22"/>
          <w:lang w:val="en-US"/>
        </w:rPr>
        <w:t xml:space="preserve">ge heterogeneity across studies </w:t>
      </w:r>
      <w:r w:rsidR="006D5B3E">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{"citationItems":[{"id":"ITEM-1","itemData":{"DOI":"10.1038/s41398-020-0835-5","ISSN":"2158-3188 (Electronic)","PMID":"32424116","abstract":"The literature on non-genetic peripheral biomarkers for major mental disorders is  broad, with conflicting results. An umbrella review of meta-analyses of non-genetic peripheral biomarkers for Alzheimer's disease, autism spectrum disorder, bipolar disorder (BD), major depressive disorder, and schizophrenia, including first-episode psychosis. We included meta-analyses that compared alterations in peripheral biomarkers between participants with mental disorders to controls (i.e., between-group meta-analyses) and that assessed biomarkers after treatment (i.e., within-group meta-analyses). Evidence for association was hierarchically graded using a priori defined criteria against several biases. The Assessment of Multiple Systematic Reviews (AMSTAR) instrument was used to investigate study quality. 1161 references were screened. 110 met inclusion criteria, relating to 359 meta-analytic estimates and 733,316 measurements, on 162 different biomarkers. Only two estimates met a priori defined criteria for convincing evidence (elevated awakening cortisol levels in euthymic BD participants relative to controls and decreased pyridoxal levels in participants with schizophrenia relative to controls). Of 42 estimates which met criteria for highly suggestive evidence only five biomarker aberrations occurred in more than one disorder. Only 15 meta-analyses had a power &gt;0.8 to detect a small effect size, and most (81.9%) meta-analyses had high heterogeneity. Although some associations met criteria for either convincing or highly suggestive evidence, overall the vast literature of peripheral biomarkers for major mental disorders is affected by bias and is underpowered. No convincing evidence supported the existence of a trans-diagnostic biomarker. Adequately powered and methodologically sound future large collaborative studies are warranted.","author":[{"dropping-particle":"","family":"Carvalho","given":"André F","non-dropping-particle":"","parse-names":false,"suffix":""},{"dropping-particle":"","family":"Solmi","given":"Marco","non-dropping-particle":"","parse-names":false,"suffix":""},{"dropping-particle":"","family":"Sanches","given":"Marcos","non-dropping-particle":"","parse-names":false,"suffix":""},{"dropping-particle":"","family":"Machado","given":"Myrela O","non-dropping-particle":"","parse-names":false,"suffix":""},{"dropping-particle":"","family":"Stubbs","given":"Brendon","non-dropping-particle":"","parse-names":false,"suffix":""},{"dropping-particle":"","family":"Ajnakina","given":"Olesya","non-dropping-particle":"","parse-names":false,"suffix":""},{"dropping-particle":"","family":"Sherman","given":"Chelsea","non-dropping-particle":"","parse-names":false,"suffix":""},{"dropping-particle":"","family":"Sun","given":"Yue Ran","non-dropping-particle":"","parse-names":false,"suffix":""},{"dropping-particle":"","family":"Liu","given":"Celina S","non-dropping-particle":"","parse-names":false,"suffix":""},{"dropping-particle":"","family":"Brunoni","given":"Andre R","non-dropping-particle":"","parse-names":false,"suffix":""},{"dropping-particle":"","family":"Pigato","given":"Giorgio","non-dropping-particle":"","parse-names":false,"suffix":""},{"dropping-particle":"","family":"Fernandes","given":"Brisa S","non-dropping-particle":"","parse-names":false,"suffix":""},{"dropping-particle":"","family":"Bortolato","given":"Beatrice","non-dropping-particle":"","parse-names":false,"suffix":""},{"dropping-particle":"","family":"Husain","given":"Muhammad I","non-dropping-particle":"","parse-names":false,"suffix":""},{"dropping-particle":"","family":"Dragioti","given":"Elena","non-dropping-particle":"","parse-names":false,"suffix":""},{"dropping-particle":"","family":"Firth","given":"Joseph","non-dropping-particle":"","parse-names":false,"suffix":""},{"dropping-particle":"","family":"Cosco","given":"Theodore D","non-dropping-particle":"","parse-names":false,"suffix":""},{"dropping-particle":"","family":"Maes","given":"Michael","non-dropping-particle":"","parse-names":false,"suffix":""},{"dropping-particle":"","family":"Berk","given":"Michael","non-dropping-particle":"","parse-names":false,"suffix":""},{"dropping-particle":"","family":"Lanctôt","given":"Krista L","non-dropping-particle":"","parse-names":false,"suffix":""},{"dropping-particle":"","family":"Vieta","given":"Eduard","non-dropping-particle":"","parse-names":false,"suffix":""},{"dropping-particle":"","family":"Pizzagalli","given":"Diego A","non-dropping-particle":"","parse-names":false,"suffix":""},{"dropping-particle":"","family":"Smith","given":"Lee","non-dropping-particle":"","parse-names":false,"suffix":""},{"dropping-particle":"","family":"Fusar-Poli","given":"Paolo","non-dropping-particle":"","parse-names":false,"suffix":""},{"dropping-particle":"","family":"Kurdyak","given":"Paul A","non-dropping-particle":"","parse-names":false,"suffix":""},{"dropping-particle":"","family":"Fornaro","given":"Michele","non-dropping-particle":"","parse-names":false,"suffix":""},{"dropping-particle":"","family":"Rehm","given":"Jürgen","non-dropping-particle":"","parse-names":false,"suffix":""},{"dropping-particle":"","family":"Herrmann","given":"Nathan","non-dropping-particle":"","parse-names":false,"suffix":""}],"container-title":"Translational psychiatry","id":"ITEM-1","issue":"1","issued":{"date-parts":[["2020","5"]]},"language":"eng","page":"152","title":"Evidence-based umbrella review of 162 peripheral biomarkers for major mental  disorders.","type":"article-journal","volume":"10"},"uris":["http://www.mendeley.com/documents/?uuid=667413b3-baed-4988-815e-0cfe732d18ef","http://www.mendeley.com/documents/?uuid=cd4ba44a-aae1-47d9-91a2-34faf0554496"]}],"mendeley":{"formattedCitation":"(André F Carvalho et al., 2020)","plainTextFormattedCitation":"(André F Carvalho et al., 2020)","previouslyFormattedCitation":"(André F Carvalho et al., 2020)"},"properties":{"noteIndex":0},"schema":"https://github.com/citation-style-language/schema/raw/master/csl-citation.json"}</w:instrText>
      </w:r>
      <w:r w:rsidR="006D5B3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 Carvalho et al., 2020)</w:t>
      </w:r>
      <w:r w:rsidR="006D5B3E">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7803AB">
        <w:rPr>
          <w:rFonts w:ascii="Times New Roman" w:hAnsi="Times New Roman" w:cs="Times New Roman"/>
          <w:sz w:val="22"/>
          <w:szCs w:val="22"/>
          <w:lang w:val="en-US"/>
        </w:rPr>
        <w:t xml:space="preserve"> </w:t>
      </w:r>
    </w:p>
    <w:p w14:paraId="2D758F25" w14:textId="76041E9E" w:rsidR="00F0626A" w:rsidRDefault="00E5073E" w:rsidP="005E3194">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Notwithstanding our findings </w:t>
      </w:r>
      <w:r w:rsidR="0028795C">
        <w:rPr>
          <w:rFonts w:ascii="Times New Roman" w:hAnsi="Times New Roman" w:cs="Times New Roman"/>
          <w:sz w:val="22"/>
          <w:szCs w:val="22"/>
          <w:lang w:val="en-US"/>
        </w:rPr>
        <w:t xml:space="preserve">support the view </w:t>
      </w:r>
      <w:r>
        <w:rPr>
          <w:rFonts w:ascii="Times New Roman" w:hAnsi="Times New Roman" w:cs="Times New Roman"/>
          <w:sz w:val="22"/>
          <w:szCs w:val="22"/>
          <w:lang w:val="en-US"/>
        </w:rPr>
        <w:t xml:space="preserve">that IL-6 </w:t>
      </w:r>
      <w:r w:rsidR="0028795C">
        <w:rPr>
          <w:rFonts w:ascii="Times New Roman" w:hAnsi="Times New Roman" w:cs="Times New Roman"/>
          <w:sz w:val="22"/>
          <w:szCs w:val="22"/>
          <w:lang w:val="en-US"/>
        </w:rPr>
        <w:t xml:space="preserve">might be considered </w:t>
      </w:r>
      <w:r>
        <w:rPr>
          <w:rFonts w:ascii="Times New Roman" w:hAnsi="Times New Roman" w:cs="Times New Roman"/>
          <w:sz w:val="22"/>
          <w:szCs w:val="22"/>
          <w:lang w:val="en-US"/>
        </w:rPr>
        <w:t>a trait marker for BD</w:t>
      </w:r>
      <w:r w:rsidR="00BF6B87">
        <w:rPr>
          <w:rFonts w:ascii="Times New Roman" w:hAnsi="Times New Roman" w:cs="Times New Roman"/>
          <w:sz w:val="22"/>
          <w:szCs w:val="22"/>
          <w:lang w:val="en-US"/>
        </w:rPr>
        <w:t>, this per se does not provide conclusive evidence that the illness is characterized by peripheral inflammation.</w:t>
      </w:r>
      <w:r w:rsidR="00153AC9">
        <w:rPr>
          <w:rFonts w:ascii="Times New Roman" w:hAnsi="Times New Roman" w:cs="Times New Roman"/>
          <w:sz w:val="22"/>
          <w:szCs w:val="22"/>
          <w:lang w:val="en-US"/>
        </w:rPr>
        <w:t xml:space="preserve"> </w:t>
      </w:r>
      <w:r w:rsidR="004F2C30">
        <w:rPr>
          <w:rFonts w:ascii="Times New Roman" w:hAnsi="Times New Roman" w:cs="Times New Roman"/>
          <w:sz w:val="22"/>
          <w:szCs w:val="22"/>
          <w:lang w:val="en-US"/>
        </w:rPr>
        <w:t>L</w:t>
      </w:r>
      <w:r w:rsidR="00532946">
        <w:rPr>
          <w:rFonts w:ascii="Times New Roman" w:hAnsi="Times New Roman" w:cs="Times New Roman"/>
          <w:sz w:val="22"/>
          <w:szCs w:val="22"/>
          <w:lang w:val="en-US"/>
        </w:rPr>
        <w:t xml:space="preserve">eucocytes, </w:t>
      </w:r>
      <w:r w:rsidR="0084668F">
        <w:rPr>
          <w:rFonts w:ascii="Times New Roman" w:hAnsi="Times New Roman" w:cs="Times New Roman"/>
          <w:sz w:val="22"/>
          <w:szCs w:val="22"/>
          <w:lang w:val="en-US"/>
        </w:rPr>
        <w:t>hepatocytes</w:t>
      </w:r>
      <w:r w:rsidR="004F2C30">
        <w:rPr>
          <w:rFonts w:ascii="Times New Roman" w:hAnsi="Times New Roman" w:cs="Times New Roman"/>
          <w:sz w:val="22"/>
          <w:szCs w:val="22"/>
          <w:lang w:val="en-US"/>
        </w:rPr>
        <w:t>,</w:t>
      </w:r>
      <w:r w:rsidR="0084668F">
        <w:rPr>
          <w:rFonts w:ascii="Times New Roman" w:hAnsi="Times New Roman" w:cs="Times New Roman"/>
          <w:sz w:val="22"/>
          <w:szCs w:val="22"/>
          <w:lang w:val="en-US"/>
        </w:rPr>
        <w:t xml:space="preserve"> and </w:t>
      </w:r>
      <w:r w:rsidR="004F2C30">
        <w:rPr>
          <w:rFonts w:ascii="Times New Roman" w:hAnsi="Times New Roman" w:cs="Times New Roman"/>
          <w:sz w:val="22"/>
          <w:szCs w:val="22"/>
          <w:lang w:val="en-US"/>
        </w:rPr>
        <w:t xml:space="preserve">megakaryocytes </w:t>
      </w:r>
      <w:r w:rsidR="0084668F">
        <w:rPr>
          <w:rFonts w:ascii="Times New Roman" w:hAnsi="Times New Roman" w:cs="Times New Roman"/>
          <w:sz w:val="22"/>
          <w:szCs w:val="22"/>
          <w:lang w:val="en-US"/>
        </w:rPr>
        <w:t xml:space="preserve">express IL-6 receptors </w:t>
      </w:r>
      <w:r w:rsidR="008462FE">
        <w:rPr>
          <w:rFonts w:ascii="Times New Roman" w:hAnsi="Times New Roman" w:cs="Times New Roman"/>
          <w:sz w:val="22"/>
          <w:szCs w:val="22"/>
          <w:lang w:val="en-US"/>
        </w:rPr>
        <w:t xml:space="preserve">with two functional </w:t>
      </w:r>
      <w:r w:rsidR="00044AE7">
        <w:rPr>
          <w:rFonts w:ascii="Times New Roman" w:hAnsi="Times New Roman" w:cs="Times New Roman"/>
          <w:sz w:val="22"/>
          <w:szCs w:val="22"/>
          <w:lang w:val="en-US"/>
        </w:rPr>
        <w:t>membrane receptors namely the IL-6</w:t>
      </w:r>
      <w:r w:rsidR="00DB1683">
        <w:rPr>
          <w:rFonts w:ascii="Times New Roman" w:hAnsi="Times New Roman" w:cs="Times New Roman"/>
          <w:sz w:val="22"/>
          <w:szCs w:val="22"/>
          <w:lang w:val="en-US"/>
        </w:rPr>
        <w:t xml:space="preserve">-binding IL-6R (CD126) and glycoprotein </w:t>
      </w:r>
      <w:r w:rsidR="00CB05C8">
        <w:rPr>
          <w:rFonts w:ascii="Times New Roman" w:hAnsi="Times New Roman" w:cs="Times New Roman"/>
          <w:sz w:val="22"/>
          <w:szCs w:val="22"/>
          <w:lang w:val="en-US"/>
        </w:rPr>
        <w:t xml:space="preserve">130 (gp130, CD130), which is highly expressed in most cells. </w:t>
      </w:r>
      <w:r w:rsidR="00CC0467">
        <w:rPr>
          <w:rFonts w:ascii="Times New Roman" w:hAnsi="Times New Roman" w:cs="Times New Roman"/>
          <w:sz w:val="22"/>
          <w:szCs w:val="22"/>
          <w:lang w:val="en-US"/>
        </w:rPr>
        <w:t>Wh</w:t>
      </w:r>
      <w:r w:rsidR="00306C98">
        <w:rPr>
          <w:rFonts w:ascii="Times New Roman" w:hAnsi="Times New Roman" w:cs="Times New Roman"/>
          <w:sz w:val="22"/>
          <w:szCs w:val="22"/>
          <w:lang w:val="en-US"/>
        </w:rPr>
        <w:t xml:space="preserve">ile the classic IL-6 signaling pathway is confined to cells that express </w:t>
      </w:r>
      <w:r w:rsidR="00415128">
        <w:rPr>
          <w:rFonts w:ascii="Times New Roman" w:hAnsi="Times New Roman" w:cs="Times New Roman"/>
          <w:sz w:val="22"/>
          <w:szCs w:val="22"/>
          <w:lang w:val="en-US"/>
        </w:rPr>
        <w:t>the IL-6R</w:t>
      </w:r>
      <w:r w:rsidR="00096B92">
        <w:rPr>
          <w:rFonts w:ascii="Times New Roman" w:hAnsi="Times New Roman" w:cs="Times New Roman"/>
          <w:sz w:val="22"/>
          <w:szCs w:val="22"/>
          <w:lang w:val="en-US"/>
        </w:rPr>
        <w:t>, the IL-6</w:t>
      </w:r>
      <w:r w:rsidR="003119E7">
        <w:rPr>
          <w:rFonts w:ascii="Times New Roman" w:hAnsi="Times New Roman" w:cs="Times New Roman"/>
          <w:sz w:val="22"/>
          <w:szCs w:val="22"/>
          <w:lang w:val="en-US"/>
        </w:rPr>
        <w:t>-IL-6R complex induces IL-6 trans-signaling in most cell types</w:t>
      </w:r>
      <w:r w:rsidR="005E3194">
        <w:rPr>
          <w:rFonts w:ascii="Times New Roman" w:hAnsi="Times New Roman" w:cs="Times New Roman"/>
          <w:sz w:val="22"/>
          <w:szCs w:val="22"/>
          <w:lang w:val="en-US"/>
        </w:rPr>
        <w:t xml:space="preserve"> </w:t>
      </w:r>
      <w:r w:rsidR="00006F9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10.1517/14728222.2014.888417","ISSN":"1472-8222","author":[{"dropping-particle":"","family":"Maes","given":"Michael","non-dropping-particle":"","parse-names":false,"suffix":""},{"dropping-particle":"","family":"Anderson","given":"George","non-dropping-particle":"","parse-names":false,"suffix":""},{"dropping-particle":"","family":"Kubera","given":"Marta","non-dropping-particle":"","parse-names":false,"suffix":""},{"dropping-particle":"","family":"Berk","given":"Michael","non-dropping-particle":"","parse-names":false,"suffix":""}],"container-title":"Expert Opinion on Therapeutic Targets","id":"ITEM-1","issue":"5","issued":{"date-parts":[["2014","5","1"]]},"note":"doi: 10.1517/14728222.2014.888417","page":"495-512","publisher":"Taylor &amp; Francis","title":"Targeting classical IL-6 signalling or IL-6 trans-signalling in depression?","type":"article-journal","volume":"18"},"uris":["http://www.mendeley.com/documents/?uuid=469c5a94-5162-4122-af4c-e6b8b090c9ea","http://www.mendeley.com/documents/?uuid=f6af31a7-082c-4c9e-bd14-f8103099657b"]}],"mendeley":{"formattedCitation":"(Maes et al., 2014)","plainTextFormattedCitation":"(Maes et al., 2014)","previouslyFormattedCitation":"(Maes et al., 2014)"},"properties":{"noteIndex":0},"schema":"https://github.com/citation-style-language/schema/raw/master/csl-citation.json"}</w:instrText>
      </w:r>
      <w:r w:rsidR="00006F9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(Maes et al., 2014)</w:t>
      </w:r>
      <w:r w:rsidR="00006F9E">
        <w:rPr>
          <w:rFonts w:ascii="Times New Roman" w:hAnsi="Times New Roman" w:cs="Times New Roman"/>
          <w:sz w:val="22"/>
          <w:szCs w:val="22"/>
          <w:lang w:val="en-US"/>
        </w:rPr>
        <w:fldChar w:fldCharType="end"/>
      </w:r>
      <w:r w:rsidR="003119E7">
        <w:rPr>
          <w:rFonts w:ascii="Times New Roman" w:hAnsi="Times New Roman" w:cs="Times New Roman"/>
          <w:sz w:val="22"/>
          <w:szCs w:val="22"/>
          <w:lang w:val="en-US"/>
        </w:rPr>
        <w:t xml:space="preserve">. </w:t>
      </w:r>
      <w:r w:rsidR="00D34BA0">
        <w:rPr>
          <w:rFonts w:ascii="Times New Roman" w:hAnsi="Times New Roman" w:cs="Times New Roman"/>
          <w:sz w:val="22"/>
          <w:szCs w:val="22"/>
          <w:lang w:val="en-US"/>
        </w:rPr>
        <w:t>The classical IL-6 signaling pathway is predominantly inflammatory, whilst the trans-signaling pathway is predominantly anti-infl</w:t>
      </w:r>
      <w:r w:rsidR="00FE3481">
        <w:rPr>
          <w:rFonts w:ascii="Times New Roman" w:hAnsi="Times New Roman" w:cs="Times New Roman"/>
          <w:sz w:val="22"/>
          <w:szCs w:val="22"/>
          <w:lang w:val="en-US"/>
        </w:rPr>
        <w:t>ammatory and regenerative</w:t>
      </w:r>
      <w:r w:rsidR="007F41B2">
        <w:rPr>
          <w:rFonts w:ascii="Times New Roman" w:hAnsi="Times New Roman" w:cs="Times New Roman"/>
          <w:sz w:val="22"/>
          <w:szCs w:val="22"/>
          <w:lang w:val="en-US"/>
        </w:rPr>
        <w:fldChar w:fldCharType="begin" w:fldLock="1"/>
      </w:r>
      <w:r w:rsidR="00DC7ADB">
        <w:rPr>
          <w:rFonts w:ascii="Times New Roman" w:hAnsi="Times New Roman" w:cs="Times New Roman"/>
          <w:sz w:val="22"/>
          <w:szCs w:val="22"/>
          <w:lang w:val="en-US"/>
        </w:rPr>
        <w:instrText>ADDIN CSL_CITATION {"citationItems":[{"id":"ITEM-1","itemData":{"DOI":"10.1517/13543784.2014.998334","ISSN":"17447658","PMID":"25585966","abstract":"Introduction: Elevated levels of IL-6 have been implicated in the pathophysiology and treatment of major depressive disorder (MDD). Convergent evidence suggests that IL-6 primarily mediates proinflammatory functions via the soluble IL-6 receptor/trans-signaling, and anti-inflammatory functions via a transmembrane receptor (IL-6R). A targeted approach to selectively inhibit IL-6 trans-signaling may offer putative antidepressant effects.Areas covered: This review addresses three primary domains. The first focuses on the biological role of IL-6 within inflammation and its signal transduction pathways. The second addresses the potential contributions of IL-6 to the pathophysiology of MDD, and the mechanisms that may mediate these effects. Finally, the article outlines the therapeutic benefits of incorporating anti-inflammatory properties into the pharmacological treatment of MDD, and proposes inhibition of IL-6 signaling as a viable treatment strategy.Expert opinion: To improve drug development for the treatment of MDD, there is a critical need to identify promising targets. Target identification will require guidance from a strategic framework such as The Research Domain Criteria, and convincing evidence relating known targets to brain function under both physiological and pathological conditions. Although current evidence provides rationale for administering anti-IL-6 treatments in MDD, further studies confirming safety, target affinity and therapeutic benefits are warranted.","author":[{"dropping-particle":"","family":"Fonseka","given":"Trehani M.","non-dropping-particle":"","parse-names":false,"suffix":""},{"dropping-particle":"","family":"McIntyre","given":"Roger S.","non-dropping-particle":"","parse-names":false,"suffix":""},{"dropping-particle":"","family":"Soczynska","given":"Joanna K.","non-dropping-particle":"","parse-names":false,"suffix":""},{"dropping-particle":"","family":"Kennedy","given":"Sidney H.","non-dropping-particle":"","parse-names":false,"suffix":""}],"container-title":"Expert Opinion on Investigational Drugs","id":"ITEM-1","issue":"4","issued":{"date-parts":[["2015","4","1"]]},"page":"459-475","publisher":"Informa Healthcare","title":"Novel investigational drugs targeting IL-6 signaling for the treatment of depression","type":"article","volume":"24"},"uris":["http://www.mendeley.com/documents/?uuid=7e8bbad1-be2a-3e0c-ba01-7def1c215812"]}],"mendeley":{"formattedCitation":"(Fonseka et al., 2015)","plainTextFormattedCitation":"(Fonseka et al., 2015)","previouslyFormattedCitation":"(Fonseka et al., 2015)"},"properties":{"noteIndex":0},"schema":"https://github.com/citation-style-language/schema/raw/master/csl-citation.json"}</w:instrText>
      </w:r>
      <w:r w:rsidR="007F41B2">
        <w:rPr>
          <w:rFonts w:ascii="Times New Roman" w:hAnsi="Times New Roman" w:cs="Times New Roman"/>
          <w:sz w:val="22"/>
          <w:szCs w:val="22"/>
          <w:lang w:val="en-US"/>
        </w:rPr>
        <w:fldChar w:fldCharType="separate"/>
      </w:r>
      <w:r w:rsidR="007F41B2" w:rsidRPr="007F41B2">
        <w:rPr>
          <w:rFonts w:ascii="Times New Roman" w:hAnsi="Times New Roman" w:cs="Times New Roman"/>
          <w:noProof/>
          <w:sz w:val="22"/>
          <w:szCs w:val="22"/>
          <w:lang w:val="en-US"/>
        </w:rPr>
        <w:t>(Fonseka et al., 2015)</w:t>
      </w:r>
      <w:r w:rsidR="007F41B2">
        <w:rPr>
          <w:rFonts w:ascii="Times New Roman" w:hAnsi="Times New Roman" w:cs="Times New Roman"/>
          <w:sz w:val="22"/>
          <w:szCs w:val="22"/>
          <w:lang w:val="en-US"/>
        </w:rPr>
        <w:fldChar w:fldCharType="end"/>
      </w:r>
      <w:r w:rsidR="00FE3481">
        <w:rPr>
          <w:rFonts w:ascii="Times New Roman" w:hAnsi="Times New Roman" w:cs="Times New Roman"/>
          <w:sz w:val="22"/>
          <w:szCs w:val="22"/>
          <w:lang w:val="en-US"/>
        </w:rPr>
        <w:t xml:space="preserve">. The relative balance of </w:t>
      </w:r>
      <w:r w:rsidR="00D661D6">
        <w:rPr>
          <w:rFonts w:ascii="Times New Roman" w:hAnsi="Times New Roman" w:cs="Times New Roman"/>
          <w:sz w:val="22"/>
          <w:szCs w:val="22"/>
          <w:lang w:val="en-US"/>
        </w:rPr>
        <w:t>activation of the trans-signaling pathway versus the classical pathway within the context of BD remains relatively unexplored</w:t>
      </w:r>
      <w:r w:rsidR="001762D0">
        <w:rPr>
          <w:rFonts w:ascii="Times New Roman" w:hAnsi="Times New Roman" w:cs="Times New Roman"/>
          <w:sz w:val="22"/>
          <w:szCs w:val="22"/>
          <w:lang w:val="en-US"/>
        </w:rPr>
        <w:t xml:space="preserve"> and could thus be a promising area of investigation.</w:t>
      </w:r>
      <w:r w:rsidR="00C2479A">
        <w:rPr>
          <w:rFonts w:ascii="Times New Roman" w:hAnsi="Times New Roman" w:cs="Times New Roman"/>
          <w:sz w:val="22"/>
          <w:szCs w:val="22"/>
          <w:lang w:val="en-US"/>
        </w:rPr>
        <w:t xml:space="preserve"> Moreover, the action of IL-6 and other inflammatory mediators acts via their interaction with receptors, wh</w:t>
      </w:r>
      <w:r w:rsidR="002013B7">
        <w:rPr>
          <w:rFonts w:ascii="Times New Roman" w:hAnsi="Times New Roman" w:cs="Times New Roman"/>
          <w:sz w:val="22"/>
          <w:szCs w:val="22"/>
          <w:lang w:val="en-US"/>
        </w:rPr>
        <w:t>ose expression is altered in BD</w:t>
      </w:r>
      <w:r w:rsidR="00D3150A">
        <w:rPr>
          <w:rFonts w:ascii="Times New Roman" w:hAnsi="Times New Roman" w:cs="Times New Roman"/>
          <w:sz w:val="22"/>
          <w:szCs w:val="22"/>
          <w:lang w:val="en-US"/>
        </w:rPr>
        <w:t xml:space="preserve"> </w:t>
      </w:r>
      <w:r w:rsidR="00DC7ADB">
        <w:rPr>
          <w:rFonts w:ascii="Times New Roman" w:hAnsi="Times New Roman" w:cs="Times New Roman"/>
          <w:sz w:val="22"/>
          <w:szCs w:val="22"/>
          <w:lang w:val="en-US"/>
        </w:rPr>
        <w:fldChar w:fldCharType="begin" w:fldLock="1"/>
      </w:r>
      <w:r w:rsidR="00DC7ADB">
        <w:rPr>
          <w:rFonts w:ascii="Times New Roman" w:hAnsi="Times New Roman" w:cs="Times New Roman"/>
          <w:sz w:val="22"/>
          <w:szCs w:val="22"/>
          <w:lang w:val="en-US"/>
        </w:rPr>
        <w:instrText>ADDIN CSL_CITATION {"citationItems":[{"id":"ITEM-1","itemData":{"DOI":"10.1111/bdi.12320","ISSN":"13995618","PMID":"26257203","abstract":"Objectives: Abnormalities of protein levels of proinflammatory cytokines and their soluble receptors have been reported in plasma of patients with bipolar disorder (BP). In this study, we tested the hypothesis that the mRNA expression of membrane-bound receptors for proinflammatory cytokines will be altered in the lymphocytes of patients with BP. Methods: We determined protein and mRNA expression of proinflammatory cytokines, and mRNA expression of their receptors in the lymphocytes from 29 drug-free, hospitalized patients with BP and 30 drug-free normal control subjects. The subjects were diagnosed according to DSM-IV criteria. Plasma protein levels of cytokines were determined by enzyme-linked immunosorbent assay (ELISA); mRNA levels in lymphocytes were determined by the quantitative polymerase chain reaction (qPCR) method. Results: We found that mean mRNA levels of the proinflammatory cytokines interleukin (IL)-1β, IL-6 and tumor necrosis factor (TNF)-α, and their receptors TNFR1, IL-1R1, and the antagonist IL-1RA were significantly higher in the lymphocytes of patients with BP compared with normal controls. Conclusions: This study suggests that the observed abnormalities of membrane-bound cytokine receptors may alter the functional response of cytokines in BP and that the mRNA levels of these receptors could be a potential biomarker.","author":[{"dropping-particle":"","family":"Pandey","given":"Ghanshyam N.","non-dropping-particle":"","parse-names":false,"suffix":""},{"dropping-particle":"","family":"Ren","given":"Xinguo","non-dropping-particle":"","parse-names":false,"suffix":""},{"dropping-particle":"","family":"Rizavi","given":"Hooriyah S.","non-dropping-particle":"","parse-names":false,"suffix":""},{"dropping-particle":"","family":"Zhang","given":"Hui","non-dropping-particle":"","parse-names":false,"suffix":""}],"container-title":"Bipolar Disorders","id":"ITEM-1","issue":"6","issued":{"date-parts":[["2015","9","1"]]},"page":"636-644","publisher":"Blackwell Publishing Inc.","title":"Abnormal gene expression of proinflammatory cytokines and their receptors in the lymphocytes of patients with bipolar disorder","type":"article-journal","volume":"17"},"uris":["http://www.mendeley.com/documents/?uuid=28c61f19-9ca5-3257-ab6e-f67f8210ad12"]}],"mendeley":{"formattedCitation":"(Pandey et al., 2015)","plainTextFormattedCitation":"(Pandey et al., 2015)"},"properties":{"noteIndex":0},"schema":"https://github.com/citation-style-language/schema/raw/master/csl-citation.json"}</w:instrText>
      </w:r>
      <w:r w:rsidR="00DC7ADB">
        <w:rPr>
          <w:rFonts w:ascii="Times New Roman" w:hAnsi="Times New Roman" w:cs="Times New Roman"/>
          <w:sz w:val="22"/>
          <w:szCs w:val="22"/>
          <w:lang w:val="en-US"/>
        </w:rPr>
        <w:fldChar w:fldCharType="separate"/>
      </w:r>
      <w:r w:rsidR="00DC7ADB" w:rsidRPr="00DC7ADB">
        <w:rPr>
          <w:rFonts w:ascii="Times New Roman" w:hAnsi="Times New Roman" w:cs="Times New Roman"/>
          <w:noProof/>
          <w:sz w:val="22"/>
          <w:szCs w:val="22"/>
          <w:lang w:val="en-US"/>
        </w:rPr>
        <w:t>(Pandey et al., 2015)</w:t>
      </w:r>
      <w:r w:rsidR="00DC7ADB">
        <w:rPr>
          <w:rFonts w:ascii="Times New Roman" w:hAnsi="Times New Roman" w:cs="Times New Roman"/>
          <w:sz w:val="22"/>
          <w:szCs w:val="22"/>
          <w:lang w:val="en-US"/>
        </w:rPr>
        <w:fldChar w:fldCharType="end"/>
      </w:r>
      <w:r w:rsidR="002013B7">
        <w:rPr>
          <w:rFonts w:ascii="Times New Roman" w:hAnsi="Times New Roman" w:cs="Times New Roman"/>
          <w:sz w:val="22"/>
          <w:szCs w:val="22"/>
          <w:lang w:val="en-US"/>
        </w:rPr>
        <w:t>, and whose role could not be assessed within this evidence synthesis effort.</w:t>
      </w:r>
    </w:p>
    <w:p w14:paraId="733AB114" w14:textId="66599549" w:rsidR="001762D0" w:rsidRPr="00F5155B" w:rsidRDefault="001762D0" w:rsidP="000F0E48">
      <w:pPr>
        <w:pStyle w:val="Heading2"/>
      </w:pPr>
      <w:r>
        <w:t xml:space="preserve">4.1. </w:t>
      </w:r>
      <w:r w:rsidRPr="00F5155B">
        <w:t>Meta-analysis of variability</w:t>
      </w:r>
    </w:p>
    <w:p w14:paraId="7263EE77" w14:textId="2D6F7282" w:rsidR="002D3EEF" w:rsidRDefault="00F46D2D" w:rsidP="005E3194">
      <w:pPr>
        <w:spacing w:line="480" w:lineRule="auto"/>
        <w:jc w:val="both"/>
        <w:rPr>
          <w:rFonts w:ascii="Times New Roman" w:hAnsi="Times New Roman" w:cs="Times New Roman"/>
          <w:sz w:val="22"/>
          <w:szCs w:val="22"/>
          <w:lang w:val="en-US"/>
        </w:rPr>
      </w:pPr>
      <w:r>
        <w:rPr>
          <w:rFonts w:ascii="Times New Roman" w:hAnsi="Times New Roman" w:cs="Times New Roman"/>
          <w:sz w:val="22"/>
          <w:szCs w:val="22"/>
          <w:lang w:val="en-US"/>
        </w:rPr>
        <w:t>Across all eligible studies</w:t>
      </w:r>
      <w:r w:rsidR="004F2C30">
        <w:rPr>
          <w:rFonts w:ascii="Times New Roman" w:hAnsi="Times New Roman" w:cs="Times New Roman"/>
          <w:sz w:val="22"/>
          <w:szCs w:val="22"/>
          <w:lang w:val="en-US"/>
        </w:rPr>
        <w:t>,</w:t>
      </w:r>
      <w:r>
        <w:rPr>
          <w:rFonts w:ascii="Times New Roman" w:hAnsi="Times New Roman" w:cs="Times New Roman"/>
          <w:sz w:val="22"/>
          <w:szCs w:val="22"/>
          <w:lang w:val="en-US"/>
        </w:rPr>
        <w:t xml:space="preserve"> there were no statistically significant differences in </w:t>
      </w:r>
      <w:r w:rsidR="004F2C30">
        <w:rPr>
          <w:rFonts w:ascii="Times New Roman" w:hAnsi="Times New Roman" w:cs="Times New Roman"/>
          <w:sz w:val="22"/>
          <w:szCs w:val="22"/>
          <w:lang w:val="en-US"/>
        </w:rPr>
        <w:t xml:space="preserve">the </w:t>
      </w:r>
      <w:r>
        <w:rPr>
          <w:rFonts w:ascii="Times New Roman" w:hAnsi="Times New Roman" w:cs="Times New Roman"/>
          <w:sz w:val="22"/>
          <w:szCs w:val="22"/>
          <w:lang w:val="en-US"/>
        </w:rPr>
        <w:t xml:space="preserve">log of </w:t>
      </w:r>
      <w:r w:rsidR="004F2C30">
        <w:rPr>
          <w:rFonts w:ascii="Times New Roman" w:hAnsi="Times New Roman" w:cs="Times New Roman"/>
          <w:sz w:val="22"/>
          <w:szCs w:val="22"/>
          <w:lang w:val="en-US"/>
        </w:rPr>
        <w:t xml:space="preserve">the </w:t>
      </w:r>
      <w:r w:rsidR="009E5720">
        <w:rPr>
          <w:rFonts w:ascii="Times New Roman" w:hAnsi="Times New Roman" w:cs="Times New Roman"/>
          <w:sz w:val="22"/>
          <w:szCs w:val="22"/>
          <w:lang w:val="en-US"/>
        </w:rPr>
        <w:t>coefficient of variation ratios</w:t>
      </w:r>
      <w:r w:rsidR="00E67055">
        <w:rPr>
          <w:rFonts w:ascii="Times New Roman" w:hAnsi="Times New Roman" w:cs="Times New Roman"/>
          <w:sz w:val="22"/>
          <w:szCs w:val="22"/>
          <w:lang w:val="en-US"/>
        </w:rPr>
        <w:t xml:space="preserve"> (CVRs)</w:t>
      </w:r>
      <w:r w:rsidR="009E5720">
        <w:rPr>
          <w:rFonts w:ascii="Times New Roman" w:hAnsi="Times New Roman" w:cs="Times New Roman"/>
          <w:sz w:val="22"/>
          <w:szCs w:val="22"/>
          <w:lang w:val="en-US"/>
        </w:rPr>
        <w:t xml:space="preserve"> </w:t>
      </w:r>
      <w:r w:rsidR="00981804">
        <w:rPr>
          <w:rFonts w:ascii="Times New Roman" w:hAnsi="Times New Roman" w:cs="Times New Roman"/>
          <w:sz w:val="22"/>
          <w:szCs w:val="22"/>
          <w:lang w:val="en-US"/>
        </w:rPr>
        <w:t xml:space="preserve">for any of the immune biomarkers assessed. </w:t>
      </w:r>
      <w:r w:rsidR="00D57F1C">
        <w:rPr>
          <w:rFonts w:ascii="Times New Roman" w:hAnsi="Times New Roman" w:cs="Times New Roman"/>
          <w:sz w:val="22"/>
          <w:szCs w:val="22"/>
          <w:lang w:val="en-US"/>
        </w:rPr>
        <w:t>This indicates</w:t>
      </w:r>
      <w:r w:rsidR="0028795C">
        <w:rPr>
          <w:rFonts w:ascii="Times New Roman" w:hAnsi="Times New Roman" w:cs="Times New Roman"/>
          <w:sz w:val="22"/>
          <w:szCs w:val="22"/>
          <w:lang w:val="en-US"/>
        </w:rPr>
        <w:t xml:space="preserve"> either</w:t>
      </w:r>
      <w:r w:rsidR="00D57F1C">
        <w:rPr>
          <w:rFonts w:ascii="Times New Roman" w:hAnsi="Times New Roman" w:cs="Times New Roman"/>
          <w:sz w:val="22"/>
          <w:szCs w:val="22"/>
          <w:lang w:val="en-US"/>
        </w:rPr>
        <w:t xml:space="preserve"> a homogeneous increase in those biomarkers (</w:t>
      </w:r>
      <w:r w:rsidR="004F2C30">
        <w:rPr>
          <w:rFonts w:ascii="Times New Roman" w:hAnsi="Times New Roman" w:cs="Times New Roman"/>
          <w:sz w:val="22"/>
          <w:szCs w:val="22"/>
          <w:lang w:val="en-US"/>
        </w:rPr>
        <w:t>except</w:t>
      </w:r>
      <w:r w:rsidR="00D57F1C">
        <w:rPr>
          <w:rFonts w:ascii="Times New Roman" w:hAnsi="Times New Roman" w:cs="Times New Roman"/>
          <w:sz w:val="22"/>
          <w:szCs w:val="22"/>
          <w:lang w:val="en-US"/>
        </w:rPr>
        <w:t xml:space="preserve"> IL-1) in BD</w:t>
      </w:r>
      <w:r w:rsidR="0028795C">
        <w:rPr>
          <w:rFonts w:ascii="Times New Roman" w:hAnsi="Times New Roman" w:cs="Times New Roman"/>
          <w:sz w:val="22"/>
          <w:szCs w:val="22"/>
          <w:lang w:val="en-US"/>
        </w:rPr>
        <w:t>, or a type 2 error</w:t>
      </w:r>
      <w:r w:rsidR="00D57F1C">
        <w:rPr>
          <w:rFonts w:ascii="Times New Roman" w:hAnsi="Times New Roman" w:cs="Times New Roman"/>
          <w:sz w:val="22"/>
          <w:szCs w:val="22"/>
          <w:lang w:val="en-US"/>
        </w:rPr>
        <w:t xml:space="preserve">. However, </w:t>
      </w:r>
      <w:r w:rsidR="00AB4482">
        <w:rPr>
          <w:rFonts w:ascii="Times New Roman" w:hAnsi="Times New Roman" w:cs="Times New Roman"/>
          <w:sz w:val="22"/>
          <w:szCs w:val="22"/>
          <w:lang w:val="en-US"/>
        </w:rPr>
        <w:t>statistically significant differences in</w:t>
      </w:r>
      <w:r w:rsidR="00E67055">
        <w:rPr>
          <w:rFonts w:ascii="Times New Roman" w:hAnsi="Times New Roman" w:cs="Times New Roman"/>
          <w:sz w:val="22"/>
          <w:szCs w:val="22"/>
          <w:lang w:val="en-US"/>
        </w:rPr>
        <w:t xml:space="preserve"> CVRs were observed during acute phases of the illness</w:t>
      </w:r>
      <w:r w:rsidR="00993C7A">
        <w:rPr>
          <w:rFonts w:ascii="Times New Roman" w:hAnsi="Times New Roman" w:cs="Times New Roman"/>
          <w:sz w:val="22"/>
          <w:szCs w:val="22"/>
          <w:lang w:val="en-US"/>
        </w:rPr>
        <w:t xml:space="preserve"> as well as in euthymia</w:t>
      </w:r>
      <w:r w:rsidR="00E67055">
        <w:rPr>
          <w:rFonts w:ascii="Times New Roman" w:hAnsi="Times New Roman" w:cs="Times New Roman"/>
          <w:sz w:val="22"/>
          <w:szCs w:val="22"/>
          <w:lang w:val="en-US"/>
        </w:rPr>
        <w:t xml:space="preserve">. </w:t>
      </w:r>
      <w:r w:rsidR="0028795C">
        <w:rPr>
          <w:rFonts w:ascii="Times New Roman" w:hAnsi="Times New Roman" w:cs="Times New Roman"/>
          <w:sz w:val="22"/>
          <w:szCs w:val="22"/>
          <w:lang w:val="en-US"/>
        </w:rPr>
        <w:t>More specifically</w:t>
      </w:r>
      <w:r w:rsidR="00E67055">
        <w:rPr>
          <w:rFonts w:ascii="Times New Roman" w:hAnsi="Times New Roman" w:cs="Times New Roman"/>
          <w:sz w:val="22"/>
          <w:szCs w:val="22"/>
          <w:lang w:val="en-US"/>
        </w:rPr>
        <w:t>, in participants with an acute depressive episode</w:t>
      </w:r>
      <w:r w:rsidR="004F2C30">
        <w:rPr>
          <w:rFonts w:ascii="Times New Roman" w:hAnsi="Times New Roman" w:cs="Times New Roman"/>
          <w:sz w:val="22"/>
          <w:szCs w:val="22"/>
          <w:lang w:val="en-US"/>
        </w:rPr>
        <w:t>,</w:t>
      </w:r>
      <w:r w:rsidR="00E67055">
        <w:rPr>
          <w:rFonts w:ascii="Times New Roman" w:hAnsi="Times New Roman" w:cs="Times New Roman"/>
          <w:sz w:val="22"/>
          <w:szCs w:val="22"/>
          <w:lang w:val="en-US"/>
        </w:rPr>
        <w:t xml:space="preserve"> the </w:t>
      </w:r>
      <w:r w:rsidR="001A7D4E">
        <w:rPr>
          <w:rFonts w:ascii="Times New Roman" w:hAnsi="Times New Roman" w:cs="Times New Roman"/>
          <w:sz w:val="22"/>
          <w:szCs w:val="22"/>
          <w:lang w:val="en-US"/>
        </w:rPr>
        <w:t xml:space="preserve">variability of data distribution for CRP was higher for </w:t>
      </w:r>
      <w:r w:rsidR="00993C7A">
        <w:rPr>
          <w:rFonts w:ascii="Times New Roman" w:hAnsi="Times New Roman" w:cs="Times New Roman"/>
          <w:sz w:val="22"/>
          <w:szCs w:val="22"/>
          <w:lang w:val="en-US"/>
        </w:rPr>
        <w:t xml:space="preserve">participants with BD than for controls. This is of relevance since </w:t>
      </w:r>
      <w:r w:rsidR="00677592">
        <w:rPr>
          <w:rFonts w:ascii="Times New Roman" w:hAnsi="Times New Roman" w:cs="Times New Roman"/>
          <w:sz w:val="22"/>
          <w:szCs w:val="22"/>
          <w:lang w:val="en-US"/>
        </w:rPr>
        <w:t xml:space="preserve">CRP has been </w:t>
      </w:r>
      <w:r w:rsidR="00677592">
        <w:rPr>
          <w:rFonts w:ascii="Times New Roman" w:hAnsi="Times New Roman" w:cs="Times New Roman"/>
          <w:sz w:val="22"/>
          <w:szCs w:val="22"/>
          <w:lang w:val="en-US"/>
        </w:rPr>
        <w:lastRenderedPageBreak/>
        <w:t xml:space="preserve">used to stratify </w:t>
      </w:r>
      <w:r w:rsidR="00663498">
        <w:rPr>
          <w:rFonts w:ascii="Times New Roman" w:hAnsi="Times New Roman" w:cs="Times New Roman"/>
          <w:sz w:val="22"/>
          <w:szCs w:val="22"/>
          <w:lang w:val="en-US"/>
        </w:rPr>
        <w:t xml:space="preserve">subjects </w:t>
      </w:r>
      <w:r w:rsidR="00677592">
        <w:rPr>
          <w:rFonts w:ascii="Times New Roman" w:hAnsi="Times New Roman" w:cs="Times New Roman"/>
          <w:sz w:val="22"/>
          <w:szCs w:val="22"/>
          <w:lang w:val="en-US"/>
        </w:rPr>
        <w:t>with bipolar depression who could benefit from treatment with anti-inflammatory agents</w:t>
      </w:r>
      <w:r w:rsidR="005E3194">
        <w:rPr>
          <w:rFonts w:ascii="Times New Roman" w:hAnsi="Times New Roman" w:cs="Times New Roman"/>
          <w:sz w:val="22"/>
          <w:szCs w:val="22"/>
          <w:lang w:val="en-US"/>
        </w:rPr>
        <w:t xml:space="preserve"> </w:t>
      </w:r>
      <w:r w:rsidR="00006F9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{"citationItems":[{"id":"ITEM-1","itemData":{"DOI":"10.1001/jamapsychiatry.2019.0779","ISSN":"2168-6238","abstract":"IMPORTANCE: To our knowledge, no study has previously evaluated whether individuals with bipolar depression enriched a priori on the basis of biochemical and/or phenotypic immuno-inflammatory activation would differentially respond to an anti-inflammatory agent for the treatment of depressive symptoms. OBJECTIVE: To assess the antidepressant efficacy of adjunctive infliximab, a monoclonal antibody targeting tumor necrosis factor, in adults with bipolar I and bipolar II depression and inflammatory conditions. DESIGN, SETTING, AND PARTICIPANTS: This 12-week, randomized, double-blind, placebo-controlled, parallel-group trial of 60 participants was conducted at 2 outpatient tertiary care sites in Canada and the United States. Eligible adults (aged 18-65 years) met DSM-5-defined criteria for bipolar I or bipolar II depression and exhibited pretreatment biochemical and/or phenotypic evidence of inflammatory activation. Participants were enrolled between October 1, 2015, and April 30, 2018. Data analysis was performed from May 1 through July 31, 2018, using modified intent-to-treat analysis. INTERVENTIONS: Patients were randomized to receive 3 intravenous infusions of infliximab therapy or placebo at baseline and at weeks 2 and 6 of the 12-week study. MAIN OUTCOMES AND MEASURES: The primary efficacy outcome was baseline-to-end point (ie, week-12) change in Montgomery-Asberg Depression Rating Scale (MADRS) total score. History of childhood maltreatment, as assessed by the Childhood Trauma Questionnaire, was used for exploratory analyses as 1 of several secondary outcomes. RESULTS: A total of 60 participants were randomized to infliximab (n = 29 [48%]; mean [SD] age, 45.0 [11.7] years; 20 of 28 female [71%]) or to placebo (n = 31 [52%]; mean [SD] age, 46.8 [10.2] years; 26 of 30 female [87%]) across study sites. Overall baseline-to-end point change in MADRS total score was observed across treatment × time interaction (χ2 = 10.33; P = .04); reduction in symptom severity was not significant at week 12 (relative risk, 1.09; 95% CI, 0.80-1.50; df = 1; P = .60). As part of a secondary analysis, a significant treatment × time × childhood maltreatment interaction was observed in which infliximab-treated individuals with childhood history of physical abuse exhibited greater reductions in MADRS total score (χ2 = 12.20; P = .02) and higher response rates (≥50% reduction in MADRS total score) (χ2 = 4.05; P = .04). CONCLUSIONS AND RELEVANCE: Infliximab did not significantly…","author":[{"dropping-particle":"","family":"McIntyre","given":"Roger S","non-dropping-particle":"","parse-names":false,"suffix":""},{"dropping-particle":"","family":"Subramaniapillai","given":"Mehala","non-dropping-particle":"","parse-names":false,"suffix":""},{"dropping-particle":"","family":"Lee","given":"Yena","non-dropping-particle":"","parse-names":false,"suffix":""},{"dropping-particle":"","family":"Pan","given":"Zihang","non-dropping-particle":"","parse-names":false,"suffix":""},{"dropping-particle":"","family":"Carmona","given":"Nicole E","non-dropping-particle":"","parse-names":false,"suffix":""},{"dropping-particle":"","family":"Shekotikhina","given":"Margarita","non-dropping-particle":"","parse-names":false,"suffix":""},{"dropping-particle":"","family":"Rosenblat","given":"Joshua D","non-dropping-particle":"","parse-names":false,"suffix":""},{"dropping-particle":"","family":"Brietzke","given":"Elisa","non-dropping-particle":"","parse-names":false,"suffix":""},{"dropping-particle":"","family":"Soczynska","given":"Joanna K","non-dropping-particle":"","parse-names":false,"suffix":""},{"dropping-particle":"","family":"Cosgrove","given":"Victoria E","non-dropping-particle":"","parse-names":false,"suffix":""},{"dropping-particle":"","family":"Miller","given":"Shefali","non-dropping-particle":"","parse-names":false,"suffix":""},{"dropping-particle":"","family":"Fischer","given":"Eileen Grace","non-dropping-particle":"","parse-names":false,"suffix":""},{"dropping-particle":"","family":"Kramer","given":"Nicole E","non-dropping-particle":"","parse-names":false,"suffix":""},{"dropping-particle":"","family":"Dunlap","given":"Kiley","non-dropping-particle":"","parse-names":false,"suffix":""},{"dropping-particle":"","family":"Suppes","given":"Trisha","non-dropping-particle":"","parse-names":false,"suffix":""},{"dropping-particle":"","family":"Mansur","given":"Rodrigo B","non-dropping-particle":"","parse-names":false,"suffix":""}],"container-title":"JAMA psychiatry","id":"ITEM-1","issue":"8","issued":{"date-parts":[["2019","8","1"]]},"language":"eng","page":"783-790","publisher":"American Medical Association","title":"Efficacy of Adjunctive Infliximab vs Placebo in the Treatment of Adults With Bipolar I/II Depression: A Randomized Clinical Trial","type":"article-journal","volume":"76"},"uris":["http://www.mendeley.com/documents/?uuid=311050bc-351e-47cf-aef7-48f4586c7c64","http://www.mendeley.com/documents/?uuid=7459f7e0-6031-4f7f-a14d-057418a72b5d"]},{"id":"ITEM-2","itemData":{"DOI":"10.1016/S2215-0366(20)30138-3","ISSN":"2215-0366","author":[{"dropping-particle":"","family":"Husain","given":"Muhammad Ishrat","non-dropping-particle":"","parse-names":false,"suffix":""},{"dropping-particle":"","family":"Chaudhry","given":"Imran B","non-dropping-particle":"","parse-names":false,"suffix":""},{"dropping-particle":"","family":"Khoso","given":"Ameer B","non-dropping-particle":"","parse-names":false,"suffix":""},{"dropping-particle":"","family":"Husain","given":"Muhammad Omair","non-dropping-particle":"","parse-names":false,"suffix":""},{"dropping-particle":"","family":"Hodsoll","given":"John","non-dropping-particle":"","parse-names":false,"suffix":""},{"dropping-particle":"","family":"Ansari","given":"Moin A","non-dropping-particle":"","parse-names":false,"suffix":""},{"dropping-particle":"","family":"Naqvi","given":"Haider A","non-dropping-particle":"","parse-names":false,"suffix":""},{"dropping-particle":"","family":"Minhas","given":"Fareed A","non-dropping-particle":"","parse-names":false,"suffix":""},{"dropping-particle":"","family":"Carvalho","given":"Andre F","non-dropping-particle":"","parse-names":false,"suffix":""},{"dropping-particle":"","family":"Meyer","given":"Jeffrey H","non-dropping-particle":"","parse-names":false,"suffix":""},{"dropping-particle":"","family":"Deakin","given":"Bill","non-dropping-particle":"","parse-names":false,"suffix":""},{"dropping-particle":"","family":"Mulsant","given":"Benoit H","non-dropping-particle":"","parse-names":false,"suffix":""},{"dropping-particle":"","family":"Husain","given":"Nusrat","non-dropping-particle":"","parse-names":false,"suffix":""},{"dropping-particle":"","family":"Young","given":"Allan H","non-dropping-particle":"","parse-names":false,"suffix":""}],"container-title":"The Lancet Psychiatry","id":"ITEM-2","issue":"6","issued":{"date-parts":[["2020","6","1"]]},"note":"doi: 10.1016/S2215-0366(20)30138-3","page":"515-527","publisher":"Elsevier","title":"Minocycline and celecoxib as adjunctive treatments for bipolar depression: a multicentre, factorial design randomised controlled trial","type":"article-journal","volume":"7"},"uris":["http://www.mendeley.com/documents/?uuid=9a560ebe-e43b-47e3-8543-7ab9cf6de332"]}],"mendeley":{"formattedCitation":"(Husain et al., 2020; McIntyre et al., 2019)","plainTextFormattedCitation":"(Husain et al., 2020; McIntyre et al., 2019)","previouslyFormattedCitation":"(Husain et al., 2020; McIntyre et al., 2019)"},"properties":{"noteIndex":0},"schema":"https://github.com/citation-style-language/schema/raw/master/csl-citation.json"}</w:instrText>
      </w:r>
      <w:r w:rsidR="00006F9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(Husain et al., 2020; McIntyre et al., 2019)</w:t>
      </w:r>
      <w:r w:rsidR="00006F9E">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006F9E">
        <w:rPr>
          <w:rFonts w:ascii="Times New Roman" w:hAnsi="Times New Roman" w:cs="Times New Roman"/>
          <w:sz w:val="22"/>
          <w:szCs w:val="22"/>
          <w:lang w:val="en-US"/>
        </w:rPr>
        <w:t xml:space="preserve"> </w:t>
      </w:r>
      <w:r w:rsidR="00677592">
        <w:rPr>
          <w:rFonts w:ascii="Times New Roman" w:hAnsi="Times New Roman" w:cs="Times New Roman"/>
          <w:sz w:val="22"/>
          <w:szCs w:val="22"/>
          <w:lang w:val="en-US"/>
        </w:rPr>
        <w:t xml:space="preserve"> </w:t>
      </w:r>
      <w:r w:rsidR="00792CAA">
        <w:rPr>
          <w:rFonts w:ascii="Times New Roman" w:hAnsi="Times New Roman" w:cs="Times New Roman"/>
          <w:sz w:val="22"/>
          <w:szCs w:val="22"/>
          <w:lang w:val="en-US"/>
        </w:rPr>
        <w:t xml:space="preserve">However, at least two large trials have provided </w:t>
      </w:r>
      <w:r w:rsidR="003C1079">
        <w:rPr>
          <w:rFonts w:ascii="Times New Roman" w:hAnsi="Times New Roman" w:cs="Times New Roman"/>
          <w:sz w:val="22"/>
          <w:szCs w:val="22"/>
          <w:lang w:val="en-US"/>
        </w:rPr>
        <w:t xml:space="preserve">disappointingly </w:t>
      </w:r>
      <w:r w:rsidR="00792CAA">
        <w:rPr>
          <w:rFonts w:ascii="Times New Roman" w:hAnsi="Times New Roman" w:cs="Times New Roman"/>
          <w:sz w:val="22"/>
          <w:szCs w:val="22"/>
          <w:lang w:val="en-US"/>
        </w:rPr>
        <w:t>negati</w:t>
      </w:r>
      <w:r w:rsidR="005E3194">
        <w:rPr>
          <w:rFonts w:ascii="Times New Roman" w:hAnsi="Times New Roman" w:cs="Times New Roman"/>
          <w:sz w:val="22"/>
          <w:szCs w:val="22"/>
          <w:lang w:val="en-US"/>
        </w:rPr>
        <w:t xml:space="preserve">ve results after stratification </w:t>
      </w:r>
      <w:r w:rsidR="00006F9E">
        <w:rPr>
          <w:rFonts w:ascii="Times New Roman" w:hAnsi="Times New Roman" w:cs="Times New Roman"/>
          <w:sz w:val="22"/>
          <w:szCs w:val="22"/>
          <w:lang w:val="en-US"/>
        </w:rPr>
        <w:fldChar w:fldCharType="begin" w:fldLock="1"/>
      </w:r>
      <w:r w:rsidR="00CC5EA9">
        <w:rPr>
          <w:rFonts w:ascii="Times New Roman" w:hAnsi="Times New Roman" w:cs="Times New Roman"/>
          <w:sz w:val="22"/>
          <w:szCs w:val="22"/>
          <w:lang w:val="en-US"/>
        </w:rPr>
        <w:instrText>ADDIN CSL_CITATION {"citationItems":[{"id":"ITEM-1","itemData":{"DOI":"10.1001/jamapsychiatry.2019.0779","ISSN":"2168-6238","abstract":"IMPORTANCE: To our knowledge, no study has previously evaluated whether individuals with bipolar depression enriched a priori on the basis of biochemical and/or phenotypic immuno-inflammatory activation would differentially respond to an anti-inflammatory agent for the treatment of depressive symptoms. OBJECTIVE: To assess the antidepressant efficacy of adjunctive infliximab, a monoclonal antibody targeting tumor necrosis factor, in adults with bipolar I and bipolar II depression and inflammatory conditions. DESIGN, SETTING, AND PARTICIPANTS: This 12-week, randomized, double-blind, placebo-controlled, parallel-group trial of 60 participants was conducted at 2 outpatient tertiary care sites in Canada and the United States. Eligible adults (aged 18-65 years) met DSM-5-defined criteria for bipolar I or bipolar II depression and exhibited pretreatment biochemical and/or phenotypic evidence of inflammatory activation. Participants were enrolled between October 1, 2015, and April 30, 2018. Data analysis was performed from May 1 through July 31, 2018, using modified intent-to-treat analysis. INTERVENTIONS: Patients were randomized to receive 3 intravenous infusions of infliximab therapy or placebo at baseline and at weeks 2 and 6 of the 12-week study. MAIN OUTCOMES AND MEASURES: The primary efficacy outcome was baseline-to-end point (ie, week-12) change in Montgomery-Asberg Depression Rating Scale (MADRS) total score. History of childhood maltreatment, as assessed by the Childhood Trauma Questionnaire, was used for exploratory analyses as 1 of several secondary outcomes. RESULTS: A total of 60 participants were randomized to infliximab (n = 29 [48%]; mean [SD] age, 45.0 [11.7] years; 20 of 28 female [71%]) or to placebo (n = 31 [52%]; mean [SD] age, 46.8 [10.2] years; 26 of 30 female [87%]) across study sites. Overall baseline-to-end point change in MADRS total score was observed across treatment × time interaction (χ2 = 10.33; P = .04); reduction in symptom severity was not significant at week 12 (relative risk, 1.09; 95% CI, 0.80-1.50; df = 1; P = .60). As part of a secondary analysis, a significant treatment × time × childhood maltreatment interaction was observed in which infliximab-treated individuals with childhood history of physical abuse exhibited greater reductions in MADRS total score (χ2 = 12.20; P = .02) and higher response rates (≥50% reduction in MADRS total score) (χ2 = 4.05; P = .04). CONCLUSIONS AND RELEVANCE: Infliximab did not significantly…","author":[{"dropping-particle":"","family":"McIntyre","given":"Roger S","non-dropping-particle":"","parse-names":false,"suffix":""},{"dropping-particle":"","family":"Subramaniapillai","given":"Mehala","non-dropping-particle":"","parse-names":false,"suffix":""},{"dropping-particle":"","family":"Lee","given":"Yena","non-dropping-particle":"","parse-names":false,"suffix":""},{"dropping-particle":"","family":"Pan","given":"Zihang","non-dropping-particle":"","parse-names":false,"suffix":""},{"dropping-particle":"","family":"Carmona","given":"Nicole E","non-dropping-particle":"","parse-names":false,"suffix":""},{"dropping-particle":"","family":"Shekotikhina","given":"Margarita","non-dropping-particle":"","parse-names":false,"suffix":""},{"dropping-particle":"","family":"Rosenblat","given":"Joshua D","non-dropping-particle":"","parse-names":false,"suffix":""},{"dropping-particle":"","family":"Brietzke","given":"Elisa","non-dropping-particle":"","parse-names":false,"suffix":""},{"dropping-particle":"","family":"Soczynska","given":"Joanna K","non-dropping-particle":"","parse-names":false,"suffix":""},{"dropping-particle":"","family":"Cosgrove","given":"Victoria E","non-dropping-particle":"","parse-names":false,"suffix":""},{"dropping-particle":"","family":"Miller","given":"Shefali","non-dropping-particle":"","parse-names":false,"suffix":""},{"dropping-particle":"","family":"Fischer","given":"Eileen Grace","non-dropping-particle":"","parse-names":false,"suffix":""},{"dropping-particle":"","family":"Kramer","given":"Nicole E","non-dropping-particle":"","parse-names":false,"suffix":""},{"dropping-particle":"","family":"Dunlap","given":"Kiley","non-dropping-particle":"","parse-names":false,"suffix":""},{"dropping-particle":"","family":"Suppes","given":"Trisha","non-dropping-particle":"","parse-names":false,"suffix":""},{"dropping-particle":"","family":"Mansur","given":"Rodrigo B","non-dropping-particle":"","parse-names":false,"suffix":""}],"container-title":"JAMA psychiatry","id":"ITEM-1","issue":"8","issued":{"date-parts":[["2019","8","1"]]},"language":"eng","page":"783-790","publisher":"American Medical Association","title":"Efficacy of Adjunctive Infliximab vs Placebo in the Treatment of Adults With Bipolar I/II Depression: A Randomized Clinical Trial","type":"article-journal","volume":"76"},"uris":["http://www.mendeley.com/documents/?uuid=311050bc-351e-47cf-aef7-48f4586c7c64","http://www.mendeley.com/documents/?uuid=7459f7e0-6031-4f7f-a14d-057418a72b5d"]},{"id":"ITEM-2","itemData":{"DOI":"10.1016/S2215-0366(20)30138-3","ISSN":"2215-0366","author":[{"dropping-particle":"","family":"Husain","given":"Muhammad Ishrat","non-dropping-particle":"","parse-names":false,"suffix":""},{"dropping-particle":"","family":"Chaudhry","given":"Imran B","non-dropping-particle":"","parse-names":false,"suffix":""},{"dropping-particle":"","family":"Khoso","given":"Ameer B","non-dropping-particle":"","parse-names":false,"suffix":""},{"dropping-particle":"","family":"Husain","given":"Muhammad Omair","non-dropping-particle":"","parse-names":false,"suffix":""},{"dropping-particle":"","family":"Hodsoll","given":"John","non-dropping-particle":"","parse-names":false,"suffix":""},{"dropping-particle":"","family":"Ansari","given":"Moin A","non-dropping-particle":"","parse-names":false,"suffix":""},{"dropping-particle":"","family":"Naqvi","given":"Haider A","non-dropping-particle":"","parse-names":false,"suffix":""},{"dropping-particle":"","family":"Minhas","given":"Fareed A","non-dropping-particle":"","parse-names":false,"suffix":""},{"dropping-particle":"","family":"Carvalho","given":"Andre F","non-dropping-particle":"","parse-names":false,"suffix":""},{"dropping-particle":"","family":"Meyer","given":"Jeffrey H","non-dropping-particle":"","parse-names":false,"suffix":""},{"dropping-particle":"","family":"Deakin","given":"Bill","non-dropping-particle":"","parse-names":false,"suffix":""},{"dropping-particle":"","family":"Mulsant","given":"Benoit H","non-dropping-particle":"","parse-names":false,"suffix":""},{"dropping-particle":"","family":"Husain","given":"Nusrat","non-dropping-particle":"","parse-names":false,"suffix":""},{"dropping-particle":"","family":"Young","given":"Allan H","non-dropping-particle":"","parse-names":false,"suffix":""}],"container-title":"The Lancet Psychiatry","id":"ITEM-2","issue":"6","issued":{"date-parts":[["2020","6","1"]]},"note":"doi: 10.1016/S2215-0366(20)30138-3","page":"515-527","publisher":"Elsevier","title":"Minocycline and celecoxib as adjunctive treatments for bipolar depression: a multicentre, factorial design randomised controlled trial","type":"article-journal","volume":"7"},"uris":["http://www.mendeley.com/documents/?uuid=9a560ebe-e43b-47e3-8543-7ab9cf6de332"]}],"mendeley":{"formattedCitation":"(Husain et al., 2020; McIntyre et al., 2019)","plainTextFormattedCitation":"(Husain et al., 2020; McIntyre et al., 2019)","previouslyFormattedCitation":"(Husain et al., 2020; McIntyre et al., 2019)"},"properties":{"noteIndex":0},"schema":"https://github.com/citation-style-language/schema/raw/master/csl-citation.json"}</w:instrText>
      </w:r>
      <w:r w:rsidR="00006F9E">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(Husain et al., 2020; McIntyre et al., 2019)</w:t>
      </w:r>
      <w:r w:rsidR="00006F9E">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006F9E">
        <w:rPr>
          <w:rFonts w:ascii="Times New Roman" w:hAnsi="Times New Roman" w:cs="Times New Roman"/>
          <w:sz w:val="22"/>
          <w:szCs w:val="22"/>
          <w:lang w:val="en-US"/>
        </w:rPr>
        <w:t xml:space="preserve"> </w:t>
      </w:r>
      <w:r w:rsidR="00516A74">
        <w:rPr>
          <w:rFonts w:ascii="Times New Roman" w:hAnsi="Times New Roman" w:cs="Times New Roman"/>
          <w:sz w:val="22"/>
          <w:szCs w:val="22"/>
          <w:lang w:val="en-US"/>
        </w:rPr>
        <w:t xml:space="preserve">Thus, an individual participant-level </w:t>
      </w:r>
      <w:r w:rsidR="00B2072D">
        <w:rPr>
          <w:rFonts w:ascii="Times New Roman" w:hAnsi="Times New Roman" w:cs="Times New Roman"/>
          <w:sz w:val="22"/>
          <w:szCs w:val="22"/>
          <w:lang w:val="en-US"/>
        </w:rPr>
        <w:t xml:space="preserve">data </w:t>
      </w:r>
      <w:r w:rsidR="00516A74">
        <w:rPr>
          <w:rFonts w:ascii="Times New Roman" w:hAnsi="Times New Roman" w:cs="Times New Roman"/>
          <w:sz w:val="22"/>
          <w:szCs w:val="22"/>
          <w:lang w:val="en-US"/>
        </w:rPr>
        <w:t>meta-analysis</w:t>
      </w:r>
      <w:r w:rsidR="00B2072D">
        <w:rPr>
          <w:rFonts w:ascii="Times New Roman" w:hAnsi="Times New Roman" w:cs="Times New Roman"/>
          <w:sz w:val="22"/>
          <w:szCs w:val="22"/>
          <w:lang w:val="en-US"/>
        </w:rPr>
        <w:t xml:space="preserve"> (IPD-MA)</w:t>
      </w:r>
      <w:r w:rsidR="00516A74">
        <w:rPr>
          <w:rFonts w:ascii="Times New Roman" w:hAnsi="Times New Roman" w:cs="Times New Roman"/>
          <w:sz w:val="22"/>
          <w:szCs w:val="22"/>
          <w:lang w:val="en-US"/>
        </w:rPr>
        <w:t xml:space="preserve"> could shed more light on this </w:t>
      </w:r>
      <w:r w:rsidR="003E760D">
        <w:rPr>
          <w:rFonts w:ascii="Times New Roman" w:hAnsi="Times New Roman" w:cs="Times New Roman"/>
          <w:sz w:val="22"/>
          <w:szCs w:val="22"/>
          <w:lang w:val="en-US"/>
        </w:rPr>
        <w:t xml:space="preserve">question (i.e., whether a subgroup of </w:t>
      </w:r>
      <w:r w:rsidR="00663498">
        <w:rPr>
          <w:rFonts w:ascii="Times New Roman" w:hAnsi="Times New Roman" w:cs="Times New Roman"/>
          <w:sz w:val="22"/>
          <w:szCs w:val="22"/>
          <w:lang w:val="en-US"/>
        </w:rPr>
        <w:t xml:space="preserve">subjects </w:t>
      </w:r>
      <w:r w:rsidR="003E760D">
        <w:rPr>
          <w:rFonts w:ascii="Times New Roman" w:hAnsi="Times New Roman" w:cs="Times New Roman"/>
          <w:sz w:val="22"/>
          <w:szCs w:val="22"/>
          <w:lang w:val="en-US"/>
        </w:rPr>
        <w:t>with elevated CRP levels in bipolar depression could exist</w:t>
      </w:r>
      <w:r w:rsidR="00EB46F0">
        <w:rPr>
          <w:rFonts w:ascii="Times New Roman" w:hAnsi="Times New Roman" w:cs="Times New Roman"/>
          <w:sz w:val="22"/>
          <w:szCs w:val="22"/>
          <w:lang w:val="en-US"/>
        </w:rPr>
        <w:t xml:space="preserve">). In manic episodes, CVRs for </w:t>
      </w:r>
      <w:r w:rsidR="00476AFC">
        <w:rPr>
          <w:rFonts w:ascii="Times New Roman" w:hAnsi="Times New Roman" w:cs="Times New Roman"/>
          <w:sz w:val="22"/>
          <w:szCs w:val="22"/>
          <w:lang w:val="en-US"/>
        </w:rPr>
        <w:t>CRP and IL-6 were statistically significant and &gt; 1</w:t>
      </w:r>
      <w:r w:rsidR="00A93B12">
        <w:rPr>
          <w:rFonts w:ascii="Times New Roman" w:hAnsi="Times New Roman" w:cs="Times New Roman"/>
          <w:sz w:val="22"/>
          <w:szCs w:val="22"/>
          <w:lang w:val="en-US"/>
        </w:rPr>
        <w:t>,</w:t>
      </w:r>
      <w:r w:rsidR="00476AFC">
        <w:rPr>
          <w:rFonts w:ascii="Times New Roman" w:hAnsi="Times New Roman" w:cs="Times New Roman"/>
          <w:sz w:val="22"/>
          <w:szCs w:val="22"/>
          <w:lang w:val="en-US"/>
        </w:rPr>
        <w:t xml:space="preserve"> </w:t>
      </w:r>
      <w:r w:rsidR="00277DC6">
        <w:rPr>
          <w:rFonts w:ascii="Times New Roman" w:hAnsi="Times New Roman" w:cs="Times New Roman"/>
          <w:sz w:val="22"/>
          <w:szCs w:val="22"/>
          <w:lang w:val="en-US"/>
        </w:rPr>
        <w:t xml:space="preserve">indicating that the variability of distribution was higher for participants with BD than for controls. </w:t>
      </w:r>
      <w:r w:rsidR="00B2072D">
        <w:rPr>
          <w:rFonts w:ascii="Times New Roman" w:hAnsi="Times New Roman" w:cs="Times New Roman"/>
          <w:sz w:val="22"/>
          <w:szCs w:val="22"/>
          <w:lang w:val="en-US"/>
        </w:rPr>
        <w:t xml:space="preserve">If a subgroup of </w:t>
      </w:r>
      <w:r w:rsidR="00663498">
        <w:rPr>
          <w:rFonts w:ascii="Times New Roman" w:hAnsi="Times New Roman" w:cs="Times New Roman"/>
          <w:sz w:val="22"/>
          <w:szCs w:val="22"/>
          <w:lang w:val="en-US"/>
        </w:rPr>
        <w:t xml:space="preserve">subjects </w:t>
      </w:r>
      <w:r w:rsidR="00B2072D">
        <w:rPr>
          <w:rFonts w:ascii="Times New Roman" w:hAnsi="Times New Roman" w:cs="Times New Roman"/>
          <w:sz w:val="22"/>
          <w:szCs w:val="22"/>
          <w:lang w:val="en-US"/>
        </w:rPr>
        <w:t xml:space="preserve">with “inflamed mania” is confirmed by an IPD-MA, this could provide a rationale to use </w:t>
      </w:r>
      <w:r w:rsidR="00ED4F60">
        <w:rPr>
          <w:rFonts w:ascii="Times New Roman" w:hAnsi="Times New Roman" w:cs="Times New Roman"/>
          <w:sz w:val="22"/>
          <w:szCs w:val="22"/>
          <w:lang w:val="en-US"/>
        </w:rPr>
        <w:t xml:space="preserve">those biomarkers to stratify </w:t>
      </w:r>
      <w:r w:rsidR="00663498">
        <w:rPr>
          <w:rFonts w:ascii="Times New Roman" w:hAnsi="Times New Roman" w:cs="Times New Roman"/>
          <w:sz w:val="22"/>
          <w:szCs w:val="22"/>
          <w:lang w:val="en-US"/>
        </w:rPr>
        <w:t xml:space="preserve">subjects </w:t>
      </w:r>
      <w:r w:rsidR="00C00DBB">
        <w:rPr>
          <w:rFonts w:ascii="Times New Roman" w:hAnsi="Times New Roman" w:cs="Times New Roman"/>
          <w:sz w:val="22"/>
          <w:szCs w:val="22"/>
          <w:lang w:val="en-US"/>
        </w:rPr>
        <w:t xml:space="preserve">with mania </w:t>
      </w:r>
      <w:r w:rsidR="00FB25B7">
        <w:rPr>
          <w:rFonts w:ascii="Times New Roman" w:hAnsi="Times New Roman" w:cs="Times New Roman"/>
          <w:sz w:val="22"/>
          <w:szCs w:val="22"/>
          <w:lang w:val="en-US"/>
        </w:rPr>
        <w:t xml:space="preserve"> </w:t>
      </w:r>
      <w:r w:rsidR="00ED4F60">
        <w:rPr>
          <w:rFonts w:ascii="Times New Roman" w:hAnsi="Times New Roman" w:cs="Times New Roman"/>
          <w:sz w:val="22"/>
          <w:szCs w:val="22"/>
          <w:lang w:val="en-US"/>
        </w:rPr>
        <w:t xml:space="preserve">who could be more likely to benefit from </w:t>
      </w:r>
      <w:r w:rsidR="009A1DBD">
        <w:rPr>
          <w:rFonts w:ascii="Times New Roman" w:hAnsi="Times New Roman" w:cs="Times New Roman"/>
          <w:sz w:val="22"/>
          <w:szCs w:val="22"/>
          <w:lang w:val="en-US"/>
        </w:rPr>
        <w:t xml:space="preserve">immune modulators and anti-inflammatory agents. In euthymia, the CVR </w:t>
      </w:r>
      <w:r w:rsidR="00EB10C5">
        <w:rPr>
          <w:rFonts w:ascii="Times New Roman" w:hAnsi="Times New Roman" w:cs="Times New Roman"/>
          <w:sz w:val="22"/>
          <w:szCs w:val="22"/>
          <w:lang w:val="en-US"/>
        </w:rPr>
        <w:t xml:space="preserve">for IL-6 was statistically significant </w:t>
      </w:r>
      <w:r w:rsidR="006659A6">
        <w:rPr>
          <w:rFonts w:ascii="Times New Roman" w:hAnsi="Times New Roman" w:cs="Times New Roman"/>
          <w:sz w:val="22"/>
          <w:szCs w:val="22"/>
          <w:lang w:val="en-US"/>
        </w:rPr>
        <w:t>and &lt; 1</w:t>
      </w:r>
      <w:r w:rsidR="00A93B12">
        <w:rPr>
          <w:rFonts w:ascii="Times New Roman" w:hAnsi="Times New Roman" w:cs="Times New Roman"/>
          <w:sz w:val="22"/>
          <w:szCs w:val="22"/>
          <w:lang w:val="en-US"/>
        </w:rPr>
        <w:t>,</w:t>
      </w:r>
      <w:r w:rsidR="006659A6">
        <w:rPr>
          <w:rFonts w:ascii="Times New Roman" w:hAnsi="Times New Roman" w:cs="Times New Roman"/>
          <w:sz w:val="22"/>
          <w:szCs w:val="22"/>
          <w:lang w:val="en-US"/>
        </w:rPr>
        <w:t xml:space="preserve"> indicating that </w:t>
      </w:r>
      <w:r w:rsidR="002D3EEF">
        <w:rPr>
          <w:rFonts w:ascii="Times New Roman" w:hAnsi="Times New Roman" w:cs="Times New Roman"/>
          <w:sz w:val="22"/>
          <w:szCs w:val="22"/>
          <w:lang w:val="en-US"/>
        </w:rPr>
        <w:t>the distribution of</w:t>
      </w:r>
      <w:r w:rsidR="006659A6">
        <w:rPr>
          <w:rFonts w:ascii="Times New Roman" w:hAnsi="Times New Roman" w:cs="Times New Roman"/>
          <w:sz w:val="22"/>
          <w:szCs w:val="22"/>
          <w:lang w:val="en-US"/>
        </w:rPr>
        <w:t xml:space="preserve"> IL-6 was </w:t>
      </w:r>
      <w:r w:rsidR="00C61934">
        <w:rPr>
          <w:rFonts w:ascii="Times New Roman" w:hAnsi="Times New Roman" w:cs="Times New Roman"/>
          <w:sz w:val="22"/>
          <w:szCs w:val="22"/>
          <w:lang w:val="en-US"/>
        </w:rPr>
        <w:t xml:space="preserve">more homogeneous for </w:t>
      </w:r>
      <w:r w:rsidR="002D3EEF">
        <w:rPr>
          <w:rFonts w:ascii="Times New Roman" w:hAnsi="Times New Roman" w:cs="Times New Roman"/>
          <w:sz w:val="22"/>
          <w:szCs w:val="22"/>
          <w:lang w:val="en-US"/>
        </w:rPr>
        <w:t>euthymic participants with BD than for controls.</w:t>
      </w:r>
    </w:p>
    <w:p w14:paraId="41629ED2" w14:textId="77777777" w:rsidR="008804E0" w:rsidRDefault="008804E0" w:rsidP="000F0E48">
      <w:pPr>
        <w:pStyle w:val="Heading2"/>
      </w:pPr>
      <w:r>
        <w:t xml:space="preserve">4.2. </w:t>
      </w:r>
      <w:r w:rsidRPr="00F5155B">
        <w:t>Strengths and limitations</w:t>
      </w:r>
    </w:p>
    <w:p w14:paraId="002A7750" w14:textId="68E8BF9E" w:rsidR="0043617F" w:rsidRDefault="008804E0" w:rsidP="005E3194">
      <w:pPr>
        <w:spacing w:line="480" w:lineRule="auto"/>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The main strength of </w:t>
      </w:r>
      <w:r w:rsidR="00F51074">
        <w:rPr>
          <w:rFonts w:ascii="Times New Roman" w:hAnsi="Times New Roman" w:cs="Times New Roman"/>
          <w:sz w:val="22"/>
          <w:szCs w:val="22"/>
          <w:lang w:val="en-US"/>
        </w:rPr>
        <w:t xml:space="preserve">this work is the </w:t>
      </w:r>
      <w:r w:rsidR="00FD26AB">
        <w:rPr>
          <w:rFonts w:ascii="Times New Roman" w:hAnsi="Times New Roman" w:cs="Times New Roman"/>
          <w:sz w:val="22"/>
          <w:szCs w:val="22"/>
          <w:lang w:val="en-US"/>
        </w:rPr>
        <w:t xml:space="preserve">use of the largest sample of studies assessing inflammatory mediators in BD conducted to date. </w:t>
      </w:r>
      <w:r w:rsidR="00A34978">
        <w:rPr>
          <w:rFonts w:ascii="Times New Roman" w:hAnsi="Times New Roman" w:cs="Times New Roman"/>
          <w:sz w:val="22"/>
          <w:szCs w:val="22"/>
          <w:lang w:val="en-US"/>
        </w:rPr>
        <w:t xml:space="preserve">In addition, </w:t>
      </w:r>
      <w:r w:rsidR="008B5AA4">
        <w:rPr>
          <w:rFonts w:ascii="Times New Roman" w:hAnsi="Times New Roman" w:cs="Times New Roman"/>
          <w:sz w:val="22"/>
          <w:szCs w:val="22"/>
          <w:lang w:val="en-US"/>
        </w:rPr>
        <w:t xml:space="preserve">potential confounders were systematically </w:t>
      </w:r>
      <w:r w:rsidR="00A93B12">
        <w:rPr>
          <w:rFonts w:ascii="Times New Roman" w:hAnsi="Times New Roman" w:cs="Times New Roman"/>
          <w:sz w:val="22"/>
          <w:szCs w:val="22"/>
          <w:lang w:val="en-US"/>
        </w:rPr>
        <w:t>addressed in</w:t>
      </w:r>
      <w:r w:rsidR="00CB3AD3">
        <w:rPr>
          <w:rFonts w:ascii="Times New Roman" w:hAnsi="Times New Roman" w:cs="Times New Roman"/>
          <w:sz w:val="22"/>
          <w:szCs w:val="22"/>
          <w:lang w:val="en-US"/>
        </w:rPr>
        <w:t xml:space="preserve"> </w:t>
      </w:r>
      <w:r w:rsidR="008B5AA4">
        <w:rPr>
          <w:rFonts w:ascii="Times New Roman" w:hAnsi="Times New Roman" w:cs="Times New Roman"/>
          <w:sz w:val="22"/>
          <w:szCs w:val="22"/>
          <w:lang w:val="en-US"/>
        </w:rPr>
        <w:t>sensitivity analys</w:t>
      </w:r>
      <w:r w:rsidR="00CB3AD3">
        <w:rPr>
          <w:rFonts w:ascii="Times New Roman" w:hAnsi="Times New Roman" w:cs="Times New Roman"/>
          <w:sz w:val="22"/>
          <w:szCs w:val="22"/>
          <w:lang w:val="en-US"/>
        </w:rPr>
        <w:t>e</w:t>
      </w:r>
      <w:r w:rsidR="008B5AA4">
        <w:rPr>
          <w:rFonts w:ascii="Times New Roman" w:hAnsi="Times New Roman" w:cs="Times New Roman"/>
          <w:sz w:val="22"/>
          <w:szCs w:val="22"/>
          <w:lang w:val="en-US"/>
        </w:rPr>
        <w:t xml:space="preserve">s. Furthermore, </w:t>
      </w:r>
      <w:r w:rsidR="006F6B87">
        <w:rPr>
          <w:rFonts w:ascii="Times New Roman" w:hAnsi="Times New Roman" w:cs="Times New Roman"/>
          <w:sz w:val="22"/>
          <w:szCs w:val="22"/>
          <w:lang w:val="en-US"/>
        </w:rPr>
        <w:t xml:space="preserve">even </w:t>
      </w:r>
      <w:r w:rsidR="00DB6E64">
        <w:rPr>
          <w:rFonts w:ascii="Times New Roman" w:hAnsi="Times New Roman" w:cs="Times New Roman"/>
          <w:sz w:val="22"/>
          <w:szCs w:val="22"/>
          <w:lang w:val="en-US"/>
        </w:rPr>
        <w:t xml:space="preserve">if we could not make </w:t>
      </w:r>
      <w:r w:rsidR="007A6D7C">
        <w:rPr>
          <w:rFonts w:ascii="Times New Roman" w:hAnsi="Times New Roman" w:cs="Times New Roman"/>
          <w:sz w:val="22"/>
          <w:szCs w:val="22"/>
          <w:lang w:val="en-US"/>
        </w:rPr>
        <w:t xml:space="preserve">any assumption </w:t>
      </w:r>
      <w:r w:rsidR="00DB6E64">
        <w:rPr>
          <w:rFonts w:ascii="Times New Roman" w:hAnsi="Times New Roman" w:cs="Times New Roman"/>
          <w:sz w:val="22"/>
          <w:szCs w:val="22"/>
          <w:lang w:val="en-US"/>
        </w:rPr>
        <w:t xml:space="preserve">on the shape of </w:t>
      </w:r>
      <w:r w:rsidR="000D6CBF">
        <w:rPr>
          <w:rFonts w:ascii="Times New Roman" w:hAnsi="Times New Roman" w:cs="Times New Roman"/>
          <w:sz w:val="22"/>
          <w:szCs w:val="22"/>
          <w:lang w:val="en-US"/>
        </w:rPr>
        <w:t xml:space="preserve">the </w:t>
      </w:r>
      <w:r w:rsidR="00DB6E64">
        <w:rPr>
          <w:rFonts w:ascii="Times New Roman" w:hAnsi="Times New Roman" w:cs="Times New Roman"/>
          <w:sz w:val="22"/>
          <w:szCs w:val="22"/>
          <w:lang w:val="en-US"/>
        </w:rPr>
        <w:t>distribution of the data, such as modality,</w:t>
      </w:r>
      <w:r w:rsidR="004650DB">
        <w:rPr>
          <w:rFonts w:ascii="Times New Roman" w:hAnsi="Times New Roman" w:cs="Times New Roman"/>
          <w:sz w:val="22"/>
          <w:szCs w:val="22"/>
          <w:lang w:val="en-US"/>
        </w:rPr>
        <w:t xml:space="preserve"> as this would require an IPD-MA,</w:t>
      </w:r>
      <w:r w:rsidR="00DB6E64">
        <w:rPr>
          <w:rFonts w:ascii="Times New Roman" w:hAnsi="Times New Roman" w:cs="Times New Roman"/>
          <w:sz w:val="22"/>
          <w:szCs w:val="22"/>
          <w:lang w:val="en-US"/>
        </w:rPr>
        <w:t xml:space="preserve"> </w:t>
      </w:r>
      <w:r w:rsidR="00D574BB">
        <w:rPr>
          <w:rFonts w:ascii="Times New Roman" w:hAnsi="Times New Roman" w:cs="Times New Roman"/>
          <w:sz w:val="22"/>
          <w:szCs w:val="22"/>
          <w:lang w:val="en-US"/>
        </w:rPr>
        <w:t xml:space="preserve">we were able to obtain interesting albeit </w:t>
      </w:r>
      <w:r w:rsidR="004650DB">
        <w:rPr>
          <w:rFonts w:ascii="Times New Roman" w:hAnsi="Times New Roman" w:cs="Times New Roman"/>
          <w:sz w:val="22"/>
          <w:szCs w:val="22"/>
          <w:lang w:val="en-US"/>
        </w:rPr>
        <w:t>preliminary findings in</w:t>
      </w:r>
      <w:r w:rsidR="005F5F99">
        <w:rPr>
          <w:rFonts w:ascii="Times New Roman" w:hAnsi="Times New Roman" w:cs="Times New Roman"/>
          <w:sz w:val="22"/>
          <w:szCs w:val="22"/>
          <w:lang w:val="en-US"/>
        </w:rPr>
        <w:t xml:space="preserve"> our meta-analysis of variability. </w:t>
      </w:r>
    </w:p>
    <w:p w14:paraId="73416D50" w14:textId="4958B781" w:rsidR="00161FCA" w:rsidRDefault="002256C5" w:rsidP="005E3194">
      <w:pPr>
        <w:spacing w:line="480" w:lineRule="auto"/>
        <w:ind w:firstLine="720"/>
        <w:jc w:val="both"/>
        <w:rPr>
          <w:rFonts w:ascii="Times New Roman" w:hAnsi="Times New Roman" w:cs="Times New Roman"/>
          <w:sz w:val="22"/>
          <w:szCs w:val="22"/>
          <w:lang w:val="en-US"/>
        </w:rPr>
      </w:pPr>
      <w:r>
        <w:rPr>
          <w:rFonts w:ascii="Times New Roman" w:hAnsi="Times New Roman" w:cs="Times New Roman"/>
          <w:sz w:val="22"/>
          <w:szCs w:val="22"/>
          <w:lang w:val="en-US"/>
        </w:rPr>
        <w:t xml:space="preserve">Our findings, however, should be interpreted considering some limitations. First, we included studies in which a diagnosis of BD was established through different methods (e.g., DSM, ICD). Second, </w:t>
      </w:r>
      <w:r w:rsidR="00282D58">
        <w:rPr>
          <w:rFonts w:ascii="Times New Roman" w:hAnsi="Times New Roman" w:cs="Times New Roman"/>
          <w:sz w:val="22"/>
          <w:szCs w:val="22"/>
          <w:lang w:val="en-US"/>
        </w:rPr>
        <w:t xml:space="preserve">other potential confounders (e.g., assay sensitivity and more subtle medical and psychiatric comorbidities) could not be controlled for. </w:t>
      </w:r>
      <w:r w:rsidR="00161FCA">
        <w:rPr>
          <w:rFonts w:ascii="Times New Roman" w:hAnsi="Times New Roman" w:cs="Times New Roman"/>
          <w:sz w:val="22"/>
          <w:szCs w:val="22"/>
          <w:lang w:val="en-US"/>
        </w:rPr>
        <w:t>Third, we selected</w:t>
      </w:r>
      <w:r w:rsidR="005E3194">
        <w:rPr>
          <w:rFonts w:ascii="Times New Roman" w:hAnsi="Times New Roman" w:cs="Times New Roman"/>
          <w:sz w:val="22"/>
          <w:szCs w:val="22"/>
          <w:lang w:val="en-US"/>
        </w:rPr>
        <w:t xml:space="preserve"> an</w:t>
      </w:r>
      <w:r w:rsidR="00161FCA">
        <w:rPr>
          <w:rFonts w:ascii="Times New Roman" w:hAnsi="Times New Roman" w:cs="Times New Roman"/>
          <w:sz w:val="22"/>
          <w:szCs w:val="22"/>
          <w:lang w:val="en-US"/>
        </w:rPr>
        <w:t xml:space="preserve"> a</w:t>
      </w:r>
      <w:r w:rsidR="00F02CFD">
        <w:rPr>
          <w:rFonts w:ascii="Times New Roman" w:hAnsi="Times New Roman" w:cs="Times New Roman"/>
          <w:sz w:val="22"/>
          <w:szCs w:val="22"/>
          <w:lang w:val="en-US"/>
        </w:rPr>
        <w:t>-</w:t>
      </w:r>
      <w:r w:rsidR="00161FCA">
        <w:rPr>
          <w:rFonts w:ascii="Times New Roman" w:hAnsi="Times New Roman" w:cs="Times New Roman"/>
          <w:sz w:val="22"/>
          <w:szCs w:val="22"/>
          <w:lang w:val="en-US"/>
        </w:rPr>
        <w:t xml:space="preserve">priori a panel of immune biomarkers which was not exhaustive. </w:t>
      </w:r>
      <w:r w:rsidR="00F02CFD">
        <w:rPr>
          <w:rFonts w:ascii="Times New Roman" w:hAnsi="Times New Roman" w:cs="Times New Roman"/>
          <w:sz w:val="22"/>
          <w:szCs w:val="22"/>
          <w:lang w:val="en-US"/>
        </w:rPr>
        <w:t>Fourth, h</w:t>
      </w:r>
      <w:r w:rsidR="00A93B12">
        <w:rPr>
          <w:rFonts w:ascii="Times New Roman" w:hAnsi="Times New Roman" w:cs="Times New Roman"/>
          <w:sz w:val="22"/>
          <w:szCs w:val="22"/>
          <w:lang w:val="en-US"/>
        </w:rPr>
        <w:t>igh heterogeneity</w:t>
      </w:r>
      <w:r w:rsidR="00F02CFD">
        <w:rPr>
          <w:rFonts w:ascii="Times New Roman" w:hAnsi="Times New Roman" w:cs="Times New Roman"/>
          <w:sz w:val="22"/>
          <w:szCs w:val="22"/>
          <w:lang w:val="en-US"/>
        </w:rPr>
        <w:t xml:space="preserve"> affected results</w:t>
      </w:r>
      <w:r w:rsidR="00A93B12">
        <w:rPr>
          <w:rFonts w:ascii="Times New Roman" w:hAnsi="Times New Roman" w:cs="Times New Roman"/>
          <w:sz w:val="22"/>
          <w:szCs w:val="22"/>
          <w:lang w:val="en-US"/>
        </w:rPr>
        <w:t xml:space="preserve">. </w:t>
      </w:r>
      <w:r w:rsidR="00F02CFD">
        <w:rPr>
          <w:rFonts w:ascii="Times New Roman" w:hAnsi="Times New Roman" w:cs="Times New Roman"/>
          <w:sz w:val="22"/>
          <w:szCs w:val="22"/>
          <w:lang w:val="en-US"/>
        </w:rPr>
        <w:t>Fifth, s</w:t>
      </w:r>
      <w:r w:rsidR="00A93B12">
        <w:rPr>
          <w:rFonts w:ascii="Times New Roman" w:hAnsi="Times New Roman" w:cs="Times New Roman"/>
          <w:sz w:val="22"/>
          <w:szCs w:val="22"/>
          <w:lang w:val="en-US"/>
        </w:rPr>
        <w:t xml:space="preserve">ensitivity analyses had much smaller sample size than main analyses, and if negative might represent type 2 errors. </w:t>
      </w:r>
      <w:r w:rsidR="00F02CFD">
        <w:rPr>
          <w:rFonts w:ascii="Times New Roman" w:hAnsi="Times New Roman" w:cs="Times New Roman"/>
          <w:sz w:val="22"/>
          <w:szCs w:val="22"/>
          <w:lang w:val="en-US"/>
        </w:rPr>
        <w:t xml:space="preserve">Sixth, </w:t>
      </w:r>
      <w:r w:rsidR="00A93B12">
        <w:rPr>
          <w:rFonts w:ascii="Times New Roman" w:hAnsi="Times New Roman" w:cs="Times New Roman"/>
          <w:sz w:val="22"/>
          <w:szCs w:val="22"/>
          <w:lang w:val="en-US"/>
        </w:rPr>
        <w:t>cross</w:t>
      </w:r>
      <w:r w:rsidR="00F02CFD">
        <w:rPr>
          <w:rFonts w:ascii="Times New Roman" w:hAnsi="Times New Roman" w:cs="Times New Roman"/>
          <w:sz w:val="22"/>
          <w:szCs w:val="22"/>
          <w:lang w:val="en-US"/>
        </w:rPr>
        <w:t>-</w:t>
      </w:r>
      <w:r w:rsidR="00A93B12">
        <w:rPr>
          <w:rFonts w:ascii="Times New Roman" w:hAnsi="Times New Roman" w:cs="Times New Roman"/>
          <w:sz w:val="22"/>
          <w:szCs w:val="22"/>
          <w:lang w:val="en-US"/>
        </w:rPr>
        <w:t xml:space="preserve">sectional studies </w:t>
      </w:r>
      <w:r w:rsidR="00F02CFD">
        <w:rPr>
          <w:rFonts w:ascii="Times New Roman" w:hAnsi="Times New Roman" w:cs="Times New Roman"/>
          <w:sz w:val="22"/>
          <w:szCs w:val="22"/>
          <w:lang w:val="en-US"/>
        </w:rPr>
        <w:t>were included</w:t>
      </w:r>
      <w:r w:rsidR="00A93B12">
        <w:rPr>
          <w:rFonts w:ascii="Times New Roman" w:hAnsi="Times New Roman" w:cs="Times New Roman"/>
          <w:sz w:val="22"/>
          <w:szCs w:val="22"/>
          <w:lang w:val="en-US"/>
        </w:rPr>
        <w:t>, including one-time sampling</w:t>
      </w:r>
      <w:r w:rsidR="00F02CFD">
        <w:rPr>
          <w:rFonts w:ascii="Times New Roman" w:hAnsi="Times New Roman" w:cs="Times New Roman"/>
          <w:sz w:val="22"/>
          <w:szCs w:val="22"/>
          <w:lang w:val="en-US"/>
        </w:rPr>
        <w:t xml:space="preserve">, limiting </w:t>
      </w:r>
      <w:r w:rsidR="005E3194">
        <w:rPr>
          <w:rFonts w:ascii="Times New Roman" w:hAnsi="Times New Roman" w:cs="Times New Roman"/>
          <w:sz w:val="22"/>
          <w:szCs w:val="22"/>
          <w:lang w:val="en-US"/>
        </w:rPr>
        <w:t>causal</w:t>
      </w:r>
      <w:r w:rsidR="00F02CFD">
        <w:rPr>
          <w:rFonts w:ascii="Times New Roman" w:hAnsi="Times New Roman" w:cs="Times New Roman"/>
          <w:sz w:val="22"/>
          <w:szCs w:val="22"/>
          <w:lang w:val="en-US"/>
        </w:rPr>
        <w:t xml:space="preserve"> inference</w:t>
      </w:r>
      <w:r w:rsidR="005E3194">
        <w:rPr>
          <w:rFonts w:ascii="Times New Roman" w:hAnsi="Times New Roman" w:cs="Times New Roman"/>
          <w:sz w:val="22"/>
          <w:szCs w:val="22"/>
          <w:lang w:val="en-US"/>
        </w:rPr>
        <w:t>s</w:t>
      </w:r>
      <w:r w:rsidR="00F02CFD">
        <w:rPr>
          <w:rFonts w:ascii="Times New Roman" w:hAnsi="Times New Roman" w:cs="Times New Roman"/>
          <w:sz w:val="22"/>
          <w:szCs w:val="22"/>
          <w:lang w:val="en-US"/>
        </w:rPr>
        <w:t xml:space="preserve">. </w:t>
      </w:r>
      <w:r w:rsidR="003500D6">
        <w:rPr>
          <w:rFonts w:ascii="Times New Roman" w:hAnsi="Times New Roman" w:cs="Times New Roman"/>
          <w:sz w:val="22"/>
          <w:szCs w:val="22"/>
          <w:lang w:val="en-US"/>
        </w:rPr>
        <w:t>Seventh, i</w:t>
      </w:r>
      <w:r w:rsidR="00A93B12" w:rsidRPr="00A93B12">
        <w:rPr>
          <w:rFonts w:ascii="Times New Roman" w:hAnsi="Times New Roman" w:cs="Times New Roman"/>
          <w:sz w:val="22"/>
          <w:szCs w:val="22"/>
          <w:lang w:val="en-US"/>
        </w:rPr>
        <w:t>t was not possible to exclude all co-morbidit</w:t>
      </w:r>
      <w:r w:rsidR="003500D6">
        <w:rPr>
          <w:rFonts w:ascii="Times New Roman" w:hAnsi="Times New Roman" w:cs="Times New Roman"/>
          <w:sz w:val="22"/>
          <w:szCs w:val="22"/>
          <w:lang w:val="en-US"/>
        </w:rPr>
        <w:t>ies</w:t>
      </w:r>
      <w:r w:rsidR="00A93B12" w:rsidRPr="00A93B12">
        <w:rPr>
          <w:rFonts w:ascii="Times New Roman" w:hAnsi="Times New Roman" w:cs="Times New Roman"/>
          <w:sz w:val="22"/>
          <w:szCs w:val="22"/>
          <w:lang w:val="en-US"/>
        </w:rPr>
        <w:t xml:space="preserve"> due to original data quality</w:t>
      </w:r>
      <w:r w:rsidR="00A93B12">
        <w:rPr>
          <w:rFonts w:ascii="Times New Roman" w:hAnsi="Times New Roman" w:cs="Times New Roman"/>
          <w:sz w:val="22"/>
          <w:szCs w:val="22"/>
          <w:lang w:val="en-US"/>
        </w:rPr>
        <w:t xml:space="preserve">. </w:t>
      </w:r>
      <w:r w:rsidR="00D74C2C">
        <w:rPr>
          <w:rFonts w:ascii="Times New Roman" w:hAnsi="Times New Roman" w:cs="Times New Roman"/>
          <w:sz w:val="22"/>
          <w:szCs w:val="22"/>
          <w:lang w:val="en-US"/>
        </w:rPr>
        <w:t xml:space="preserve">Finally, the finding on persistent elevation of inflammatory mediators in “remission” phase should be interpreted with caution, as the duration of remission ranged from two weeks to six months, </w:t>
      </w:r>
      <w:r w:rsidR="00D74C2C" w:rsidRPr="00293DE8">
        <w:rPr>
          <w:rFonts w:ascii="Times New Roman" w:hAnsi="Times New Roman" w:cs="Times New Roman"/>
          <w:sz w:val="22"/>
          <w:szCs w:val="22"/>
        </w:rPr>
        <w:t xml:space="preserve">suggesting that the elevated levels </w:t>
      </w:r>
      <w:r w:rsidR="00D74C2C" w:rsidRPr="00293DE8">
        <w:rPr>
          <w:rFonts w:ascii="Times New Roman" w:hAnsi="Times New Roman" w:cs="Times New Roman"/>
          <w:sz w:val="22"/>
          <w:szCs w:val="22"/>
        </w:rPr>
        <w:lastRenderedPageBreak/>
        <w:t xml:space="preserve">of IL-6 </w:t>
      </w:r>
      <w:r w:rsidR="00D74C2C">
        <w:rPr>
          <w:rFonts w:ascii="Times New Roman" w:hAnsi="Times New Roman" w:cs="Times New Roman"/>
          <w:sz w:val="22"/>
          <w:szCs w:val="22"/>
        </w:rPr>
        <w:t xml:space="preserve">may be due </w:t>
      </w:r>
      <w:r w:rsidR="00D74C2C" w:rsidRPr="00293DE8">
        <w:rPr>
          <w:rFonts w:ascii="Times New Roman" w:hAnsi="Times New Roman" w:cs="Times New Roman"/>
          <w:sz w:val="22"/>
          <w:szCs w:val="22"/>
        </w:rPr>
        <w:t>to a possibly slower decrease after an acute episode</w:t>
      </w:r>
      <w:r w:rsidR="00D74C2C">
        <w:rPr>
          <w:rFonts w:ascii="Times New Roman" w:hAnsi="Times New Roman" w:cs="Times New Roman"/>
          <w:sz w:val="22"/>
          <w:szCs w:val="22"/>
        </w:rPr>
        <w:t xml:space="preserve"> in some studies (with shorter duration of remission)</w:t>
      </w:r>
      <w:r w:rsidR="00D74C2C">
        <w:rPr>
          <w:rFonts w:ascii="Times New Roman" w:hAnsi="Times New Roman" w:cs="Times New Roman"/>
          <w:sz w:val="22"/>
          <w:szCs w:val="22"/>
          <w:lang w:val="en-US"/>
        </w:rPr>
        <w:t>.</w:t>
      </w:r>
    </w:p>
    <w:p w14:paraId="4A4881B7" w14:textId="77777777" w:rsidR="00161FCA" w:rsidRDefault="00161FCA" w:rsidP="000F0E48">
      <w:pPr>
        <w:pStyle w:val="Heading2"/>
      </w:pPr>
      <w:r>
        <w:t xml:space="preserve">4.3. </w:t>
      </w:r>
      <w:r w:rsidRPr="00F5155B">
        <w:t>Conclusion and future research directions</w:t>
      </w:r>
    </w:p>
    <w:p w14:paraId="15C0EE22" w14:textId="2788BB79" w:rsidR="001762D0" w:rsidRPr="00446D07" w:rsidRDefault="00EC3A79" w:rsidP="005E3194">
      <w:pPr>
        <w:spacing w:line="480" w:lineRule="auto"/>
        <w:jc w:val="both"/>
        <w:rPr>
          <w:rFonts w:ascii="Times New Roman" w:hAnsi="Times New Roman" w:cs="Times New Roman"/>
          <w:sz w:val="22"/>
          <w:szCs w:val="22"/>
          <w:lang w:val="en-US"/>
        </w:rPr>
      </w:pPr>
      <w:r>
        <w:rPr>
          <w:rFonts w:ascii="Times New Roman" w:hAnsi="Times New Roman" w:cs="Times New Roman"/>
          <w:sz w:val="22"/>
          <w:szCs w:val="22"/>
          <w:lang w:val="en-US"/>
        </w:rPr>
        <w:t>In this largest meta-analytic review conducted to date</w:t>
      </w:r>
      <w:r w:rsidR="000D6CBF">
        <w:rPr>
          <w:rFonts w:ascii="Times New Roman" w:hAnsi="Times New Roman" w:cs="Times New Roman"/>
          <w:sz w:val="22"/>
          <w:szCs w:val="22"/>
          <w:lang w:val="en-US"/>
        </w:rPr>
        <w:t>,</w:t>
      </w:r>
      <w:r>
        <w:rPr>
          <w:rFonts w:ascii="Times New Roman" w:hAnsi="Times New Roman" w:cs="Times New Roman"/>
          <w:sz w:val="22"/>
          <w:szCs w:val="22"/>
          <w:lang w:val="en-US"/>
        </w:rPr>
        <w:t xml:space="preserve"> we found evidence that </w:t>
      </w:r>
      <w:r w:rsidR="00DF25AE">
        <w:rPr>
          <w:rFonts w:ascii="Times New Roman" w:hAnsi="Times New Roman" w:cs="Times New Roman"/>
          <w:sz w:val="22"/>
          <w:szCs w:val="22"/>
          <w:lang w:val="en-US"/>
        </w:rPr>
        <w:t xml:space="preserve">key </w:t>
      </w:r>
      <w:r w:rsidR="00D96CBE">
        <w:rPr>
          <w:rFonts w:ascii="Times New Roman" w:hAnsi="Times New Roman" w:cs="Times New Roman"/>
          <w:sz w:val="22"/>
          <w:szCs w:val="22"/>
          <w:lang w:val="en-US"/>
        </w:rPr>
        <w:t xml:space="preserve">inflammatory biomarkers </w:t>
      </w:r>
      <w:r w:rsidR="00D74C2C">
        <w:rPr>
          <w:rFonts w:ascii="Times New Roman" w:hAnsi="Times New Roman" w:cs="Times New Roman"/>
          <w:sz w:val="22"/>
          <w:szCs w:val="22"/>
          <w:lang w:val="en-US"/>
        </w:rPr>
        <w:t>were elevated in BD vs health</w:t>
      </w:r>
      <w:r w:rsidR="003500D6">
        <w:rPr>
          <w:rFonts w:ascii="Times New Roman" w:hAnsi="Times New Roman" w:cs="Times New Roman"/>
          <w:sz w:val="22"/>
          <w:szCs w:val="22"/>
          <w:lang w:val="en-US"/>
        </w:rPr>
        <w:t>y</w:t>
      </w:r>
      <w:r w:rsidR="00D74C2C">
        <w:rPr>
          <w:rFonts w:ascii="Times New Roman" w:hAnsi="Times New Roman" w:cs="Times New Roman"/>
          <w:sz w:val="22"/>
          <w:szCs w:val="22"/>
          <w:lang w:val="en-US"/>
        </w:rPr>
        <w:t xml:space="preserve"> controls, and they </w:t>
      </w:r>
      <w:r w:rsidR="00D96CBE">
        <w:rPr>
          <w:rFonts w:ascii="Times New Roman" w:hAnsi="Times New Roman" w:cs="Times New Roman"/>
          <w:sz w:val="22"/>
          <w:szCs w:val="22"/>
          <w:lang w:val="en-US"/>
        </w:rPr>
        <w:t xml:space="preserve">displayed higher variability in acute episodes of BD compared to controls. </w:t>
      </w:r>
      <w:r w:rsidR="003970AB">
        <w:rPr>
          <w:rFonts w:ascii="Times New Roman" w:hAnsi="Times New Roman" w:cs="Times New Roman"/>
          <w:sz w:val="22"/>
          <w:szCs w:val="22"/>
          <w:lang w:val="en-US"/>
        </w:rPr>
        <w:t xml:space="preserve">The robustness of our findings was confirmed by a series of sensitivity analyses. </w:t>
      </w:r>
      <w:r w:rsidR="00474A52">
        <w:rPr>
          <w:rFonts w:ascii="Times New Roman" w:hAnsi="Times New Roman" w:cs="Times New Roman"/>
          <w:sz w:val="22"/>
          <w:szCs w:val="22"/>
          <w:lang w:val="en-US"/>
        </w:rPr>
        <w:t xml:space="preserve">This provides </w:t>
      </w:r>
      <w:r w:rsidR="0067553B">
        <w:rPr>
          <w:rFonts w:ascii="Times New Roman" w:hAnsi="Times New Roman" w:cs="Times New Roman"/>
          <w:sz w:val="22"/>
          <w:szCs w:val="22"/>
          <w:lang w:val="en-US"/>
        </w:rPr>
        <w:t>preliminary</w:t>
      </w:r>
      <w:r w:rsidR="00474A52">
        <w:rPr>
          <w:rFonts w:ascii="Times New Roman" w:hAnsi="Times New Roman" w:cs="Times New Roman"/>
          <w:sz w:val="22"/>
          <w:szCs w:val="22"/>
          <w:lang w:val="en-US"/>
        </w:rPr>
        <w:t xml:space="preserve"> evidence that deserve</w:t>
      </w:r>
      <w:r w:rsidR="000D6CBF">
        <w:rPr>
          <w:rFonts w:ascii="Times New Roman" w:hAnsi="Times New Roman" w:cs="Times New Roman"/>
          <w:sz w:val="22"/>
          <w:szCs w:val="22"/>
          <w:lang w:val="en-US"/>
        </w:rPr>
        <w:t>s</w:t>
      </w:r>
      <w:r w:rsidR="00474A52">
        <w:rPr>
          <w:rFonts w:ascii="Times New Roman" w:hAnsi="Times New Roman" w:cs="Times New Roman"/>
          <w:sz w:val="22"/>
          <w:szCs w:val="22"/>
          <w:lang w:val="en-US"/>
        </w:rPr>
        <w:t xml:space="preserve"> confirmation in an IPD-MA of </w:t>
      </w:r>
      <w:r w:rsidR="00510AE2">
        <w:rPr>
          <w:rFonts w:ascii="Times New Roman" w:hAnsi="Times New Roman" w:cs="Times New Roman"/>
          <w:sz w:val="22"/>
          <w:szCs w:val="22"/>
          <w:lang w:val="en-US"/>
        </w:rPr>
        <w:t>the existence of possible “inflamed depression” or “inflamed manic”</w:t>
      </w:r>
      <w:r w:rsidR="0067553B">
        <w:rPr>
          <w:rFonts w:ascii="Times New Roman" w:hAnsi="Times New Roman" w:cs="Times New Roman"/>
          <w:sz w:val="22"/>
          <w:szCs w:val="22"/>
          <w:lang w:val="en-US"/>
        </w:rPr>
        <w:t xml:space="preserve"> subgroups</w:t>
      </w:r>
      <w:r w:rsidR="00510AE2">
        <w:rPr>
          <w:rFonts w:ascii="Times New Roman" w:hAnsi="Times New Roman" w:cs="Times New Roman"/>
          <w:sz w:val="22"/>
          <w:szCs w:val="22"/>
          <w:lang w:val="en-US"/>
        </w:rPr>
        <w:t xml:space="preserve"> within the context of BD.</w:t>
      </w:r>
      <w:r w:rsidR="0067553B">
        <w:rPr>
          <w:rFonts w:ascii="Times New Roman" w:hAnsi="Times New Roman" w:cs="Times New Roman"/>
          <w:sz w:val="22"/>
          <w:szCs w:val="22"/>
          <w:lang w:val="en-US"/>
        </w:rPr>
        <w:t xml:space="preserve"> This is an are</w:t>
      </w:r>
      <w:r w:rsidR="0046709E">
        <w:rPr>
          <w:rFonts w:ascii="Times New Roman" w:hAnsi="Times New Roman" w:cs="Times New Roman"/>
          <w:sz w:val="22"/>
          <w:szCs w:val="22"/>
          <w:lang w:val="en-US"/>
        </w:rPr>
        <w:t>a</w:t>
      </w:r>
      <w:r w:rsidR="0067553B">
        <w:rPr>
          <w:rFonts w:ascii="Times New Roman" w:hAnsi="Times New Roman" w:cs="Times New Roman"/>
          <w:sz w:val="22"/>
          <w:szCs w:val="22"/>
          <w:lang w:val="en-US"/>
        </w:rPr>
        <w:t xml:space="preserve"> of acute interest since </w:t>
      </w:r>
      <w:r w:rsidR="00C5568D">
        <w:rPr>
          <w:rFonts w:ascii="Times New Roman" w:hAnsi="Times New Roman" w:cs="Times New Roman"/>
          <w:sz w:val="22"/>
          <w:szCs w:val="22"/>
          <w:lang w:val="en-US"/>
        </w:rPr>
        <w:t xml:space="preserve">this could provide the basis to stratify </w:t>
      </w:r>
      <w:r w:rsidR="00663498">
        <w:rPr>
          <w:rFonts w:ascii="Times New Roman" w:hAnsi="Times New Roman" w:cs="Times New Roman"/>
          <w:sz w:val="22"/>
          <w:szCs w:val="22"/>
          <w:lang w:val="en-US"/>
        </w:rPr>
        <w:t xml:space="preserve">subjects </w:t>
      </w:r>
      <w:r w:rsidR="00C5568D">
        <w:rPr>
          <w:rFonts w:ascii="Times New Roman" w:hAnsi="Times New Roman" w:cs="Times New Roman"/>
          <w:sz w:val="22"/>
          <w:szCs w:val="22"/>
          <w:lang w:val="en-US"/>
        </w:rPr>
        <w:t xml:space="preserve">based on those specific biomarkers </w:t>
      </w:r>
      <w:r w:rsidR="004E13CA">
        <w:rPr>
          <w:rFonts w:ascii="Times New Roman" w:hAnsi="Times New Roman" w:cs="Times New Roman"/>
          <w:sz w:val="22"/>
          <w:szCs w:val="22"/>
          <w:lang w:val="en-US"/>
        </w:rPr>
        <w:t>who could benefit from adjunctive anti-inflammatory therapies within the emerging framework of precision psychiatry</w:t>
      </w:r>
      <w:r w:rsidR="005E3194">
        <w:rPr>
          <w:rFonts w:ascii="Times New Roman" w:hAnsi="Times New Roman" w:cs="Times New Roman"/>
          <w:sz w:val="22"/>
          <w:szCs w:val="22"/>
          <w:lang w:val="en-US"/>
        </w:rPr>
        <w:t xml:space="preserve"> </w:t>
      </w:r>
      <w:r w:rsidR="00C84018">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{"citationItems":[{"id":"ITEM-1","itemData":{"DOI":"10.1016/j.rpsmen.2015.03.007","ISSN":"21735050","author":[{"dropping-particle":"","family":"Vieta","given":"Eduard","non-dropping-particle":"","parse-names":false,"suffix":""}],"container-title":"Revista de Psiquiatría y Salud Mental  (English Edition)","id":"ITEM-1","issue":"3","issued":{"date-parts":[["2015"]]},"page":"117-118","title":"Personalized medicine applied to mental health: Precision psychiatry","type":"article-journal","volume":"8"},"uris":["http://www.mendeley.com/documents/?uuid=bcd30682-5dc5-4334-956e-9e38c05ce166","http://www.mendeley.com/documents/?uuid=a2d5fd43-0530-4026-af97-7c11d70f302f"]}],"mendeley":{"formattedCitation":"(Vieta, 2015)","plainTextFormattedCitation":"(Vieta, 2015)","previouslyFormattedCitation":"(Vieta, 2015)"},"properties":{"noteIndex":0},"schema":"https://github.com/citation-style-language/schema/raw/master/csl-citation.json"}</w:instrText>
      </w:r>
      <w:r w:rsidR="00C84018">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(Vieta, 2015)</w:t>
      </w:r>
      <w:r w:rsidR="00C84018">
        <w:rPr>
          <w:rFonts w:ascii="Times New Roman" w:hAnsi="Times New Roman" w:cs="Times New Roman"/>
          <w:sz w:val="22"/>
          <w:szCs w:val="22"/>
          <w:lang w:val="en-US"/>
        </w:rPr>
        <w:fldChar w:fldCharType="end"/>
      </w:r>
      <w:r w:rsidR="0046709E">
        <w:rPr>
          <w:rFonts w:ascii="Times New Roman" w:hAnsi="Times New Roman" w:cs="Times New Roman"/>
          <w:sz w:val="22"/>
          <w:szCs w:val="22"/>
          <w:lang w:val="en-US"/>
        </w:rPr>
        <w:t xml:space="preserve"> and subsequent developments that are being put in place through global collaborative research</w:t>
      </w:r>
      <w:r w:rsidR="005E3194">
        <w:rPr>
          <w:rFonts w:ascii="Times New Roman" w:hAnsi="Times New Roman" w:cs="Times New Roman"/>
          <w:sz w:val="22"/>
          <w:szCs w:val="22"/>
          <w:lang w:val="en-US"/>
        </w:rPr>
        <w:t xml:space="preserve"> </w:t>
      </w:r>
      <w:r w:rsidR="00024D3D">
        <w:rPr>
          <w:rFonts w:ascii="Times New Roman" w:hAnsi="Times New Roman" w:cs="Times New Roman"/>
          <w:sz w:val="22"/>
          <w:szCs w:val="22"/>
          <w:lang w:val="en-US"/>
        </w:rPr>
        <w:fldChar w:fldCharType="begin" w:fldLock="1"/>
      </w:r>
      <w:r w:rsidR="008F0511">
        <w:rPr>
          <w:rFonts w:ascii="Times New Roman" w:hAnsi="Times New Roman" w:cs="Times New Roman"/>
          <w:sz w:val="22"/>
          <w:szCs w:val="22"/>
          <w:lang w:val="en-US"/>
        </w:rPr>
        <w:instrText>ADDIN CSL_CITATION {"citationItems":[{"id":"ITEM-1","itemData":{"DOI":"https://doi.org/10.1016/j.euroneuro.2020.05.006","ISSN":"0924-977X","abstract":"Bipolar disorder (BD) is a major healthcare and socio-economic challenge. Despite its substantial burden on society, the research activity in BD is much smaller than its economic impact appears to demand. There is a consensus that the accurate identification of the underlying pathophysiology for BD is fundamental to realize major health benefits through better treatment and preventive regimens. However, to achieve these goals requires coordinated action and innovative approaches to boost the discovery of the neurobiological underpinnings of BD, and rapid translation of research findings into development and testing of better and more specific treatments. To this end, we here propose that only a large-scale coordinated action can be successful in integrating international big-data approaches with real-world clinical interventions. This could be achieved through the creation of a Global Bipolar Disorder Foundation, which could bring government, industry and philanthropy together in common cause. A global initiative for BD research would come at a highly opportune time given the seminal advances promised for our understanding of the genetic and brain basis of the disease and the obvious areas of unmet clinical need. Such an endeavour would embrace the principles of open science and see the strong involvement of user groups and integration of dissemination and public involvement with the research programs. We believe the time is right for a step change in our approach to understanding, treating and even preventing BD effectively.","author":[{"dropping-particle":"","family":"Manchia","given":"Mirko","non-dropping-particle":"","parse-names":false,"suffix":""},{"dropping-particle":"","family":"Vieta","given":"Eduard","non-dropping-particle":"","parse-names":false,"suffix":""},{"dropping-particle":"","family":"Smeland","given":"Olav B","non-dropping-particle":"","parse-names":false,"suffix":""},{"dropping-particle":"","family":"Altimus","given":"Cara","non-dropping-particle":"","parse-names":false,"suffix":""},{"dropping-particle":"","family":"Bechdolf","given":"Andreas","non-dropping-particle":"","parse-names":false,"suffix":""},{"dropping-particle":"","family":"Bellivier","given":"Frank","non-dropping-particle":"","parse-names":false,"suffix":""},{"dropping-particle":"","family":"Bergink","given":"Veerle","non-dropping-particle":"","parse-names":false,"suffix":""},{"dropping-particle":"","family":"Fagiolini","given":"Andrea","non-dropping-particle":"","parse-names":false,"suffix":""},{"dropping-particle":"","family":"Geddes","given":"John R","non-dropping-particle":"","parse-names":false,"suffix":""},{"dropping-particle":"","family":"Hajek","given":"Tomas","non-dropping-particle":"","parse-names":false,"suffix":""},{"dropping-particle":"","family":"Henry","given":"Chantal","non-dropping-particle":"","parse-names":false,"suffix":""},{"dropping-particle":"","family":"Kupka","given":"Ralph","non-dropping-particle":"","parse-names":false,"suffix":""},{"dropping-particle":"V","family":"Lagerberg","given":"Trine","non-dropping-particle":"","parse-names":false,"suffix":""},{"dropping-particle":"","family":"Licht","given":"Rasmus W","non-dropping-particle":"","parse-names":false,"suffix":""},{"dropping-particle":"","family":"Martinez-Cengotitabengoa","given":"Monica","non-dropping-particle":"","parse-names":false,"suffix":""},{"dropping-particle":"","family":"Morken","given":"Gunnar","non-dropping-particle":"","parse-names":false,"suffix":""},{"dropping-particle":"","family":"Nielsen","given":"René E","non-dropping-particle":"","parse-names":false,"suffix":""},{"dropping-particle":"","family":"Pinto","given":"Ana Gonzalez","non-dropping-particle":"","parse-names":false,"suffix":""},{"dropping-particle":"","family":"Reif","given":"Andreas","non-dropping-particle":"","parse-names":false,"suffix":""},{"dropping-particle":"","family":"Rietschel","given":"Marcella","non-dropping-particle":"","parse-names":false,"suffix":""},{"dropping-particle":"","family":"Ritter","given":"Phillip","non-dropping-particle":"","parse-names":false,"suffix":""},{"dropping-particle":"","family":"Schulze","given":"Thomas G","non-dropping-particle":"","parse-names":false,"suffix":""},{"dropping-particle":"","family":"Scott","given":"Jan","non-dropping-particle":"","parse-names":false,"suffix":""},{"dropping-particle":"","family":"Severus","given":"Emanuel","non-dropping-particle":"","parse-names":false,"suffix":""},{"dropping-particle":"","family":"Yildiz","given":"Aysegul","non-dropping-particle":"","parse-names":false,"suffix":""},{"dropping-particle":"","family":"Kessing","given":"Lars Vedel","non-dropping-particle":"","parse-names":false,"suffix":""},{"dropping-particle":"","family":"Bauer","given":"Michael","non-dropping-particle":"","parse-names":false,"suffix":""},{"dropping-particle":"","family":"Goodwin","given":"Guy M","non-dropping-particle":"","parse-names":false,"suffix":""},{"dropping-particle":"","family":"Andreassen","given":"Ole A","non-dropping-particle":"","parse-names":false,"suffix":""}],"container-title":"European Neuropsychopharmacology","id":"ITEM-1","issued":{"date-parts":[["2020"]]},"page":"121-136","title":"Translating big data to better treatment in bipolar disorder - a manifesto for coordinated action","type":"article-journal","volume":"36"},"uris":["http://www.mendeley.com/documents/?uuid=d15c73af-3e33-494a-a609-31ea3fc1bb82","http://www.mendeley.com/documents/?uuid=c0c60a37-054e-4c78-9d57-235601a2c9a2"]},{"id":"ITEM-2","itemData":{"DOI":"10.1186/s12916-017-0849-x","ISSN":"1741-7015","abstract":"Precision medicine is a new and important topic in psychiatry. Psychiatry has not yet benefited from the advanced diagnostic and therapeutic technologies that form an integral part of other clinical specialties. Thus, the vision of precision medicine as applied to psychiatry – ‘precision psychiatry’ – promises to be even more transformative than in other fields of medicine, which have already lessened the translational gap.","author":[{"dropping-particle":"","family":"Fernandes","given":"Brisa S","non-dropping-particle":"","parse-names":false,"suffix":""},{"dropping-particle":"","family":"Williams","given":"Leanne M","non-dropping-particle":"","parse-names":false,"suffix":""},{"dropping-particle":"","family":"Steiner","given":"Johann","non-dropping-particle":"","parse-names":false,"suffix":""},{"dropping-particle":"","family":"Leboyer","given":"Marion","non-dropping-particle":"","parse-names":false,"suffix":""},{"dropping-particle":"","family":"Carvalho","given":"André F","non-dropping-particle":"","parse-names":false,"suffix":""},{"dropping-particle":"","family":"Berk","given":"Michael","non-dropping-particle":"","parse-names":false,"suffix":""}],"container-title":"BMC Medicine","id":"ITEM-2","issue":"1","issued":{"date-parts":[["2017"]]},"page":"80","title":"The new field of ‘precision psychiatry’","type":"article-journal","volume":"15"},"uris":["http://www.mendeley.com/documents/?uuid=3f28bc64-3909-490b-bb64-506c318ebb62","http://www.mendeley.com/documents/?uuid=bbf44a63-9ad4-440f-84f3-e8682eab559a"]},{"id":"ITEM-3","itemData":{"DOI":"10.3389/fpsyt.2020.00112","ISSN":"1664-0640","author":[{"dropping-particle":"","family":"Fernandes","given":"Brisa S","non-dropping-particle":"","parse-names":false,"suffix":""},{"dropping-particle":"","family":"Borgwardt","given":"Stefan","non-dropping-particle":"","parse-names":false,"suffix":""},{"dropping-particle":"","family":"Carvalho","given":"André F","non-dropping-particle":"","parse-names":false,"suffix":""},{"dropping-particle":"","family":"Steiner","given":"Johann","non-dropping-particle":"","parse-names":false,"suffix":""}],"container-title":"Frontiers in Psychiatry","id":"ITEM-3","issued":{"date-parts":[["2020"]]},"page":"112","title":"Editorial: Back to the Future: On the Road Towards Precision Psychiatry","type":"article-journal","volume":"11"},"uris":["http://www.mendeley.com/documents/?uuid=80f63ef8-046a-4145-9a48-7328570f990a","http://www.mendeley.com/documents/?uuid=443b982c-1dc4-40d9-bdbb-149ed44e3f4a"]}],"mendeley":{"formattedCitation":"(Fernandes et al., 2020, 2017; Manchia et al., 2020)","plainTextFormattedCitation":"(Fernandes et al., 2020, 2017; Manchia et al., 2020)","previouslyFormattedCitation":"(Fernandes et al., 2020, 2017; Manchia et al., 2020)"},"properties":{"noteIndex":0},"schema":"https://github.com/citation-style-language/schema/raw/master/csl-citation.json"}</w:instrText>
      </w:r>
      <w:r w:rsidR="00024D3D">
        <w:rPr>
          <w:rFonts w:ascii="Times New Roman" w:hAnsi="Times New Roman" w:cs="Times New Roman"/>
          <w:sz w:val="22"/>
          <w:szCs w:val="22"/>
          <w:lang w:val="en-US"/>
        </w:rPr>
        <w:fldChar w:fldCharType="separate"/>
      </w:r>
      <w:r w:rsidR="008F0511" w:rsidRPr="008F0511">
        <w:rPr>
          <w:rFonts w:ascii="Times New Roman" w:hAnsi="Times New Roman" w:cs="Times New Roman"/>
          <w:noProof/>
          <w:sz w:val="22"/>
          <w:szCs w:val="22"/>
          <w:lang w:val="en-US"/>
        </w:rPr>
        <w:t>(Fernandes et al., 2020, 2017; Manchia et al., 2020)</w:t>
      </w:r>
      <w:r w:rsidR="00024D3D">
        <w:rPr>
          <w:rFonts w:ascii="Times New Roman" w:hAnsi="Times New Roman" w:cs="Times New Roman"/>
          <w:sz w:val="22"/>
          <w:szCs w:val="22"/>
          <w:lang w:val="en-US"/>
        </w:rPr>
        <w:fldChar w:fldCharType="end"/>
      </w:r>
      <w:r w:rsidR="005E3194">
        <w:rPr>
          <w:rFonts w:ascii="Times New Roman" w:hAnsi="Times New Roman" w:cs="Times New Roman"/>
          <w:sz w:val="22"/>
          <w:szCs w:val="22"/>
          <w:lang w:val="en-US"/>
        </w:rPr>
        <w:t>.</w:t>
      </w:r>
      <w:r w:rsidR="004650DB">
        <w:rPr>
          <w:rFonts w:ascii="Times New Roman" w:hAnsi="Times New Roman" w:cs="Times New Roman"/>
          <w:sz w:val="22"/>
          <w:szCs w:val="22"/>
          <w:lang w:val="en-US"/>
        </w:rPr>
        <w:t xml:space="preserve"> </w:t>
      </w:r>
      <w:r w:rsidR="008B0290">
        <w:rPr>
          <w:rFonts w:ascii="Times New Roman" w:hAnsi="Times New Roman" w:cs="Times New Roman"/>
          <w:sz w:val="22"/>
          <w:szCs w:val="22"/>
          <w:lang w:val="en-US"/>
        </w:rPr>
        <w:t xml:space="preserve">Finally, our </w:t>
      </w:r>
      <w:r w:rsidR="000D6CBF">
        <w:rPr>
          <w:rFonts w:ascii="Times New Roman" w:hAnsi="Times New Roman" w:cs="Times New Roman"/>
          <w:sz w:val="22"/>
          <w:szCs w:val="22"/>
          <w:lang w:val="en-US"/>
        </w:rPr>
        <w:t xml:space="preserve">data </w:t>
      </w:r>
      <w:r w:rsidR="008B0290">
        <w:rPr>
          <w:rFonts w:ascii="Times New Roman" w:hAnsi="Times New Roman" w:cs="Times New Roman"/>
          <w:sz w:val="22"/>
          <w:szCs w:val="22"/>
          <w:lang w:val="en-US"/>
        </w:rPr>
        <w:t xml:space="preserve">confirm that across the mood spectrum BD is an illness </w:t>
      </w:r>
      <w:r w:rsidR="00AF0C69">
        <w:rPr>
          <w:rFonts w:ascii="Times New Roman" w:hAnsi="Times New Roman" w:cs="Times New Roman"/>
          <w:sz w:val="22"/>
          <w:szCs w:val="22"/>
          <w:lang w:val="en-US"/>
        </w:rPr>
        <w:t xml:space="preserve">characterized by peripheral immune activation. </w:t>
      </w:r>
    </w:p>
    <w:p w14:paraId="0BFDA1E1" w14:textId="77777777" w:rsidR="00D34E0B" w:rsidRDefault="00D34E0B">
      <w:pPr>
        <w:rPr>
          <w:rFonts w:ascii="Times New Roman" w:hAnsi="Times New Roman" w:cs="Times New Roman"/>
          <w:b/>
          <w:bCs/>
          <w:sz w:val="22"/>
          <w:szCs w:val="22"/>
          <w:lang w:val="en-CA"/>
        </w:rPr>
      </w:pPr>
    </w:p>
    <w:p w14:paraId="549AD095" w14:textId="583F35BE" w:rsidR="00B807EC" w:rsidRDefault="00B807EC" w:rsidP="000F0E48">
      <w:pPr>
        <w:pStyle w:val="Heading1"/>
      </w:pPr>
      <w:r w:rsidRPr="00137500">
        <w:t>Conflict of interest disclosure</w:t>
      </w:r>
    </w:p>
    <w:p w14:paraId="57EB8F2A" w14:textId="77777777" w:rsidR="00846F08" w:rsidRPr="00326FAC" w:rsidRDefault="00846F08" w:rsidP="005E3194">
      <w:pPr>
        <w:spacing w:line="480" w:lineRule="auto"/>
        <w:jc w:val="both"/>
        <w:rPr>
          <w:rFonts w:ascii="Times New Roman" w:hAnsi="Times New Roman" w:cs="Times New Roman"/>
          <w:sz w:val="22"/>
          <w:szCs w:val="22"/>
          <w:lang w:val="en-US"/>
        </w:rPr>
      </w:pPr>
      <w:r w:rsidRPr="00326FAC">
        <w:rPr>
          <w:rFonts w:ascii="Times New Roman" w:hAnsi="Times New Roman" w:cs="Times New Roman"/>
          <w:sz w:val="22"/>
          <w:szCs w:val="22"/>
          <w:lang w:val="en-US"/>
        </w:rPr>
        <w:t>PFP received research support from Lundbeck and honoraria from Lundbeck, Angelini, Menarini,</w:t>
      </w:r>
    </w:p>
    <w:p w14:paraId="0784B168" w14:textId="31A1508C" w:rsidR="00137500" w:rsidRPr="00326FAC" w:rsidRDefault="00846F08" w:rsidP="005E3194">
      <w:pPr>
        <w:spacing w:line="480" w:lineRule="auto"/>
        <w:jc w:val="both"/>
        <w:rPr>
          <w:rFonts w:ascii="Times New Roman" w:hAnsi="Times New Roman" w:cs="Times New Roman"/>
          <w:sz w:val="22"/>
          <w:szCs w:val="22"/>
          <w:lang w:val="en-US"/>
        </w:rPr>
      </w:pPr>
      <w:r w:rsidRPr="00326FAC">
        <w:rPr>
          <w:rFonts w:ascii="Times New Roman" w:hAnsi="Times New Roman" w:cs="Times New Roman"/>
          <w:sz w:val="22"/>
          <w:szCs w:val="22"/>
          <w:lang w:val="en-US"/>
        </w:rPr>
        <w:t xml:space="preserve">Boheringer-Ingelheim, outside the current work. </w:t>
      </w:r>
      <w:r w:rsidR="00137500" w:rsidRPr="00326FAC">
        <w:rPr>
          <w:rFonts w:ascii="Times New Roman" w:hAnsi="Times New Roman" w:cs="Times New Roman"/>
          <w:sz w:val="22"/>
          <w:szCs w:val="22"/>
          <w:lang w:val="en-US"/>
        </w:rPr>
        <w:t>MS received honoraria/has been a consultant for Angelini, Lundbeck.</w:t>
      </w:r>
      <w:r w:rsidR="000D6CBF" w:rsidRPr="00326FAC">
        <w:rPr>
          <w:rFonts w:ascii="Times New Roman" w:hAnsi="Times New Roman" w:cs="Times New Roman"/>
          <w:sz w:val="22"/>
          <w:szCs w:val="22"/>
          <w:lang w:val="en-US"/>
        </w:rPr>
        <w:t xml:space="preserve"> MF received honoraria/has been a consultant for Angelini, Shire.</w:t>
      </w:r>
    </w:p>
    <w:p w14:paraId="1F848BF1" w14:textId="7D68E277" w:rsidR="00D34E0B" w:rsidRPr="00326FAC" w:rsidRDefault="00D34E0B" w:rsidP="005E3194">
      <w:pPr>
        <w:spacing w:line="480" w:lineRule="auto"/>
        <w:jc w:val="both"/>
        <w:rPr>
          <w:rFonts w:ascii="Times New Roman" w:hAnsi="Times New Roman" w:cs="Times New Roman"/>
          <w:sz w:val="22"/>
          <w:szCs w:val="22"/>
          <w:lang w:val="en-US"/>
        </w:rPr>
      </w:pPr>
      <w:r w:rsidRPr="00326FAC">
        <w:rPr>
          <w:rFonts w:ascii="Times New Roman" w:hAnsi="Times New Roman" w:cs="Times New Roman"/>
          <w:sz w:val="22"/>
          <w:szCs w:val="22"/>
          <w:lang w:val="en-US"/>
        </w:rPr>
        <w:t>EV has received grants and served as consultant, advisor or CME speaker for the following entities: AB-Biotics, Abbott, AbbVie, Angelini, Boehringer-Ingelheim, Dainippon Sumitomo Pharma, Ferrer, Gedeon Richter, GH Research, Janssen, Lundbeck, Novartis, Otsuka, Sage, Sanofi-Aventis, Sunovion, and Takeda, outside the submitted work.</w:t>
      </w:r>
    </w:p>
    <w:p w14:paraId="4C88EBA9" w14:textId="44E61A89" w:rsidR="00137500" w:rsidRPr="00326FAC" w:rsidRDefault="00490B50" w:rsidP="005E3194">
      <w:pPr>
        <w:spacing w:line="480" w:lineRule="auto"/>
        <w:jc w:val="both"/>
        <w:rPr>
          <w:rFonts w:ascii="Times New Roman" w:hAnsi="Times New Roman" w:cs="Times New Roman"/>
          <w:sz w:val="22"/>
          <w:szCs w:val="22"/>
          <w:lang w:val="en-US"/>
        </w:rPr>
      </w:pPr>
      <w:r w:rsidRPr="00326FAC">
        <w:rPr>
          <w:rFonts w:ascii="Times New Roman" w:hAnsi="Times New Roman" w:cs="Times New Roman"/>
          <w:sz w:val="22"/>
          <w:szCs w:val="22"/>
          <w:lang w:val="en-US"/>
        </w:rPr>
        <w:t xml:space="preserve">MB has received Grant/Research Support from the NIH, Cooperative Research Centre, Simons Autism Foundation, Cancer Council of Victoria, Stanley Medical Research Foundation, Medical Benefits Fund, National Health and Medical Research Council, Medical Research Futures Fund, Beyond Blue, Rotary Health, A2 milk company, Meat and Livestock Board, Woolworths, Avant and the Harry Windsor Foundation, has been a speaker for Abbot, Astra Zeneca, Janssen and Janssen, Lundbeck and Merck and served as a consultant to Allergan, Astra Zeneca, Bioadvantex, Bionomics, Collaborative Medicinal </w:t>
      </w:r>
      <w:r w:rsidRPr="00326FAC">
        <w:rPr>
          <w:rFonts w:ascii="Times New Roman" w:hAnsi="Times New Roman" w:cs="Times New Roman"/>
          <w:sz w:val="22"/>
          <w:szCs w:val="22"/>
          <w:lang w:val="en-US"/>
        </w:rPr>
        <w:lastRenderedPageBreak/>
        <w:t>Development, Janssen and Janssen, Lundbeck Merck, Pfizer  and Servier – all unrelated to this work.</w:t>
      </w:r>
      <w:r w:rsidR="005E3194">
        <w:rPr>
          <w:rFonts w:ascii="Times New Roman" w:hAnsi="Times New Roman" w:cs="Times New Roman"/>
          <w:sz w:val="22"/>
          <w:szCs w:val="22"/>
          <w:lang w:val="en-US"/>
        </w:rPr>
        <w:t xml:space="preserve"> </w:t>
      </w:r>
      <w:r w:rsidR="00137500" w:rsidRPr="00326FAC">
        <w:rPr>
          <w:rFonts w:ascii="Times New Roman" w:hAnsi="Times New Roman" w:cs="Times New Roman"/>
          <w:sz w:val="22"/>
          <w:szCs w:val="22"/>
          <w:lang w:val="en-US"/>
        </w:rPr>
        <w:t>Other authors report no conflict of interest.</w:t>
      </w:r>
    </w:p>
    <w:p w14:paraId="1AAA6EEA" w14:textId="77777777" w:rsidR="00B807EC" w:rsidRPr="00137500" w:rsidRDefault="00B807EC">
      <w:pPr>
        <w:rPr>
          <w:rFonts w:ascii="Times New Roman" w:hAnsi="Times New Roman" w:cs="Times New Roman"/>
          <w:b/>
          <w:bCs/>
          <w:sz w:val="22"/>
          <w:szCs w:val="22"/>
          <w:lang w:val="en-CA"/>
        </w:rPr>
      </w:pPr>
    </w:p>
    <w:p w14:paraId="5D10217B" w14:textId="149BD903" w:rsidR="00693832" w:rsidRPr="00137500" w:rsidRDefault="00B807EC" w:rsidP="000F0E48">
      <w:pPr>
        <w:pStyle w:val="Heading1"/>
      </w:pPr>
      <w:r w:rsidRPr="00137500">
        <w:t>Acknowledgments</w:t>
      </w:r>
      <w:r w:rsidR="00693832" w:rsidRPr="00137500">
        <w:t xml:space="preserve"> and funding</w:t>
      </w:r>
    </w:p>
    <w:p w14:paraId="0B2C2BBB" w14:textId="7073160C" w:rsidR="000974D3" w:rsidRDefault="000974D3" w:rsidP="00816487">
      <w:pPr>
        <w:spacing w:line="480" w:lineRule="auto"/>
        <w:jc w:val="both"/>
        <w:rPr>
          <w:rFonts w:ascii="Times New Roman" w:hAnsi="Times New Roman" w:cs="Times New Roman"/>
          <w:sz w:val="22"/>
          <w:szCs w:val="22"/>
          <w:lang w:val="en-US"/>
        </w:rPr>
      </w:pPr>
      <w:r w:rsidRPr="00AF5E1D">
        <w:rPr>
          <w:rFonts w:ascii="Times New Roman" w:hAnsi="Times New Roman" w:cs="Times New Roman"/>
          <w:sz w:val="22"/>
          <w:szCs w:val="22"/>
          <w:lang w:val="en-US"/>
        </w:rPr>
        <w:t xml:space="preserve">MB is supported by a NHMRC Senior Principal Research Fellowship (1156072). </w:t>
      </w:r>
    </w:p>
    <w:p w14:paraId="367E8ECF" w14:textId="0A09A185" w:rsidR="00CB126B" w:rsidRDefault="00CB126B" w:rsidP="000F0E48">
      <w:pPr>
        <w:pStyle w:val="Heading1"/>
        <w:jc w:val="center"/>
      </w:pPr>
      <w:r w:rsidRPr="00CB126B">
        <w:t>FIGURE LEGENDS</w:t>
      </w:r>
    </w:p>
    <w:p w14:paraId="2E8622EA" w14:textId="6E43DCB7" w:rsidR="00CB126B" w:rsidRDefault="00CB126B" w:rsidP="00CB126B">
      <w:pPr>
        <w:spacing w:line="480" w:lineRule="auto"/>
        <w:jc w:val="both"/>
        <w:rPr>
          <w:rFonts w:ascii="Times New Roman" w:hAnsi="Times New Roman" w:cs="Times New Roman"/>
          <w:sz w:val="22"/>
          <w:szCs w:val="22"/>
        </w:rPr>
      </w:pPr>
      <w:r>
        <w:rPr>
          <w:rFonts w:ascii="Times New Roman" w:hAnsi="Times New Roman" w:cs="Times New Roman"/>
          <w:b/>
          <w:bCs/>
          <w:sz w:val="22"/>
          <w:szCs w:val="22"/>
          <w:lang w:val="en-US"/>
        </w:rPr>
        <w:t xml:space="preserve">Fig 1. </w:t>
      </w:r>
      <w:r w:rsidR="00E83D56" w:rsidRPr="00A76AC2">
        <w:rPr>
          <w:rFonts w:ascii="Times New Roman" w:hAnsi="Times New Roman" w:cs="Times New Roman"/>
          <w:sz w:val="22"/>
          <w:szCs w:val="22"/>
        </w:rPr>
        <w:t>Meta-analysis of levels of inflammatory markers in bipolar</w:t>
      </w:r>
      <w:r w:rsidR="009075DD">
        <w:rPr>
          <w:rFonts w:ascii="Times New Roman" w:hAnsi="Times New Roman" w:cs="Times New Roman"/>
          <w:sz w:val="22"/>
          <w:szCs w:val="22"/>
        </w:rPr>
        <w:t xml:space="preserve"> affective</w:t>
      </w:r>
      <w:r w:rsidR="00E83D56" w:rsidRPr="00A76AC2">
        <w:rPr>
          <w:rFonts w:ascii="Times New Roman" w:hAnsi="Times New Roman" w:cs="Times New Roman"/>
          <w:sz w:val="22"/>
          <w:szCs w:val="22"/>
        </w:rPr>
        <w:t xml:space="preserve"> disorder</w:t>
      </w:r>
      <w:r w:rsidR="009075DD">
        <w:rPr>
          <w:rFonts w:ascii="Times New Roman" w:hAnsi="Times New Roman" w:cs="Times New Roman"/>
          <w:sz w:val="22"/>
          <w:szCs w:val="22"/>
        </w:rPr>
        <w:t xml:space="preserve"> (BAD)</w:t>
      </w:r>
      <w:r w:rsidR="00E83D56" w:rsidRPr="00A76AC2">
        <w:rPr>
          <w:rFonts w:ascii="Times New Roman" w:hAnsi="Times New Roman" w:cs="Times New Roman"/>
          <w:sz w:val="22"/>
          <w:szCs w:val="22"/>
        </w:rPr>
        <w:t xml:space="preserve"> vs healthy controls</w:t>
      </w:r>
      <w:r w:rsidR="009F3737">
        <w:rPr>
          <w:rFonts w:ascii="Times New Roman" w:hAnsi="Times New Roman" w:cs="Times New Roman"/>
          <w:sz w:val="22"/>
          <w:szCs w:val="22"/>
        </w:rPr>
        <w:t xml:space="preserve"> (Ctr)</w:t>
      </w:r>
      <w:r w:rsidR="00E83D56" w:rsidRPr="00A76AC2">
        <w:rPr>
          <w:rFonts w:ascii="Times New Roman" w:hAnsi="Times New Roman" w:cs="Times New Roman"/>
          <w:sz w:val="22"/>
          <w:szCs w:val="22"/>
        </w:rPr>
        <w:t>.</w:t>
      </w:r>
    </w:p>
    <w:p w14:paraId="4D46CBF3" w14:textId="213E6510" w:rsidR="00B844A9" w:rsidRDefault="00B844A9" w:rsidP="00CB126B">
      <w:pPr>
        <w:spacing w:line="480" w:lineRule="auto"/>
        <w:jc w:val="both"/>
        <w:rPr>
          <w:rFonts w:ascii="Times New Roman" w:hAnsi="Times New Roman" w:cs="Times New Roman"/>
          <w:sz w:val="22"/>
          <w:szCs w:val="22"/>
        </w:rPr>
      </w:pPr>
      <w:r w:rsidRPr="00B844A9">
        <w:rPr>
          <w:rFonts w:ascii="Times New Roman" w:hAnsi="Times New Roman" w:cs="Times New Roman"/>
          <w:b/>
          <w:bCs/>
          <w:sz w:val="22"/>
          <w:szCs w:val="22"/>
        </w:rPr>
        <w:t xml:space="preserve">Fig. 2. </w:t>
      </w:r>
      <w:r w:rsidRPr="00B844A9">
        <w:rPr>
          <w:rFonts w:ascii="Times New Roman" w:hAnsi="Times New Roman" w:cs="Times New Roman"/>
          <w:sz w:val="22"/>
          <w:szCs w:val="22"/>
        </w:rPr>
        <w:t>Sensitivity analysis of levels of inflammatory markers across disease state.</w:t>
      </w:r>
    </w:p>
    <w:p w14:paraId="1A8C92EF" w14:textId="12867090" w:rsidR="00B844A9" w:rsidRDefault="00C4033C" w:rsidP="00CB126B">
      <w:pPr>
        <w:spacing w:line="480" w:lineRule="auto"/>
        <w:jc w:val="both"/>
        <w:rPr>
          <w:rFonts w:ascii="Times New Roman" w:hAnsi="Times New Roman" w:cs="Times New Roman"/>
          <w:sz w:val="22"/>
          <w:szCs w:val="22"/>
        </w:rPr>
      </w:pPr>
      <w:r w:rsidRPr="00C4033C">
        <w:rPr>
          <w:rFonts w:ascii="Times New Roman" w:hAnsi="Times New Roman" w:cs="Times New Roman"/>
          <w:b/>
          <w:bCs/>
          <w:sz w:val="22"/>
          <w:szCs w:val="22"/>
        </w:rPr>
        <w:t xml:space="preserve">Fig. 3. </w:t>
      </w:r>
      <w:r w:rsidR="009F3737" w:rsidRPr="009F3737">
        <w:rPr>
          <w:rFonts w:ascii="Times New Roman" w:hAnsi="Times New Roman" w:cs="Times New Roman"/>
          <w:sz w:val="22"/>
          <w:szCs w:val="22"/>
        </w:rPr>
        <w:t>Meta-analysis of log coefficient of variation ratios of inflammatory markers in bipolar</w:t>
      </w:r>
      <w:r w:rsidR="009F3737">
        <w:rPr>
          <w:rFonts w:ascii="Times New Roman" w:hAnsi="Times New Roman" w:cs="Times New Roman"/>
          <w:sz w:val="22"/>
          <w:szCs w:val="22"/>
        </w:rPr>
        <w:t xml:space="preserve"> affective</w:t>
      </w:r>
      <w:r w:rsidR="009F3737" w:rsidRPr="009F3737">
        <w:rPr>
          <w:rFonts w:ascii="Times New Roman" w:hAnsi="Times New Roman" w:cs="Times New Roman"/>
          <w:sz w:val="22"/>
          <w:szCs w:val="22"/>
        </w:rPr>
        <w:t xml:space="preserve"> disorder</w:t>
      </w:r>
      <w:r w:rsidR="009F3737">
        <w:rPr>
          <w:rFonts w:ascii="Times New Roman" w:hAnsi="Times New Roman" w:cs="Times New Roman"/>
          <w:sz w:val="22"/>
          <w:szCs w:val="22"/>
        </w:rPr>
        <w:t xml:space="preserve"> (BAD)</w:t>
      </w:r>
      <w:r w:rsidR="009F3737" w:rsidRPr="009F3737">
        <w:rPr>
          <w:rFonts w:ascii="Times New Roman" w:hAnsi="Times New Roman" w:cs="Times New Roman"/>
          <w:sz w:val="22"/>
          <w:szCs w:val="22"/>
        </w:rPr>
        <w:t xml:space="preserve"> vs healthy controls</w:t>
      </w:r>
      <w:r w:rsidR="009F3737">
        <w:rPr>
          <w:rFonts w:ascii="Times New Roman" w:hAnsi="Times New Roman" w:cs="Times New Roman"/>
          <w:sz w:val="22"/>
          <w:szCs w:val="22"/>
        </w:rPr>
        <w:t xml:space="preserve"> (Ctr).</w:t>
      </w:r>
    </w:p>
    <w:p w14:paraId="4A9907AC" w14:textId="6C4F793B" w:rsidR="0016266A" w:rsidRPr="0016266A" w:rsidRDefault="0016266A" w:rsidP="00CB126B">
      <w:pPr>
        <w:spacing w:line="480" w:lineRule="auto"/>
        <w:jc w:val="both"/>
        <w:rPr>
          <w:rFonts w:ascii="Times New Roman" w:hAnsi="Times New Roman" w:cs="Times New Roman"/>
          <w:b/>
          <w:bCs/>
          <w:sz w:val="22"/>
          <w:szCs w:val="22"/>
        </w:rPr>
      </w:pPr>
      <w:r w:rsidRPr="0016266A">
        <w:rPr>
          <w:rFonts w:ascii="Times New Roman" w:hAnsi="Times New Roman" w:cs="Times New Roman"/>
          <w:b/>
          <w:bCs/>
          <w:sz w:val="22"/>
          <w:szCs w:val="22"/>
        </w:rPr>
        <w:t>Fig. 4.</w:t>
      </w:r>
      <w:r>
        <w:rPr>
          <w:rFonts w:ascii="Times New Roman" w:hAnsi="Times New Roman" w:cs="Times New Roman"/>
          <w:b/>
          <w:bCs/>
          <w:sz w:val="22"/>
          <w:szCs w:val="22"/>
        </w:rPr>
        <w:t xml:space="preserve"> </w:t>
      </w:r>
      <w:r w:rsidR="00683C94" w:rsidRPr="00683C94">
        <w:rPr>
          <w:rFonts w:ascii="Times New Roman" w:hAnsi="Times New Roman" w:cs="Times New Roman"/>
          <w:sz w:val="22"/>
          <w:szCs w:val="22"/>
        </w:rPr>
        <w:t>Meta-analysis of log coefficient of variation ratio of inflammatory markers in bipolar</w:t>
      </w:r>
      <w:r w:rsidR="00AD44E2">
        <w:rPr>
          <w:rFonts w:ascii="Times New Roman" w:hAnsi="Times New Roman" w:cs="Times New Roman"/>
          <w:sz w:val="22"/>
          <w:szCs w:val="22"/>
        </w:rPr>
        <w:t xml:space="preserve"> affective</w:t>
      </w:r>
      <w:r w:rsidR="00683C94" w:rsidRPr="00683C94">
        <w:rPr>
          <w:rFonts w:ascii="Times New Roman" w:hAnsi="Times New Roman" w:cs="Times New Roman"/>
          <w:sz w:val="22"/>
          <w:szCs w:val="22"/>
        </w:rPr>
        <w:t xml:space="preserve"> disorder</w:t>
      </w:r>
      <w:r w:rsidR="00AD44E2">
        <w:rPr>
          <w:rFonts w:ascii="Times New Roman" w:hAnsi="Times New Roman" w:cs="Times New Roman"/>
          <w:sz w:val="22"/>
          <w:szCs w:val="22"/>
        </w:rPr>
        <w:t xml:space="preserve"> (BAD)</w:t>
      </w:r>
      <w:r w:rsidR="00683C94" w:rsidRPr="00683C94">
        <w:rPr>
          <w:rFonts w:ascii="Times New Roman" w:hAnsi="Times New Roman" w:cs="Times New Roman"/>
          <w:sz w:val="22"/>
          <w:szCs w:val="22"/>
        </w:rPr>
        <w:t xml:space="preserve"> vs healthy controls across disease state</w:t>
      </w:r>
      <w:r w:rsidR="00AD44E2">
        <w:rPr>
          <w:rFonts w:ascii="Times New Roman" w:hAnsi="Times New Roman" w:cs="Times New Roman"/>
          <w:sz w:val="22"/>
          <w:szCs w:val="22"/>
        </w:rPr>
        <w:t>.</w:t>
      </w:r>
    </w:p>
    <w:p w14:paraId="545A9034" w14:textId="77777777" w:rsidR="009F3737" w:rsidRPr="00C4033C" w:rsidRDefault="009F3737" w:rsidP="00CB126B">
      <w:pPr>
        <w:spacing w:line="480" w:lineRule="auto"/>
        <w:jc w:val="both"/>
        <w:rPr>
          <w:rFonts w:ascii="Times New Roman" w:hAnsi="Times New Roman" w:cs="Times New Roman"/>
          <w:b/>
          <w:bCs/>
          <w:sz w:val="22"/>
          <w:szCs w:val="22"/>
        </w:rPr>
      </w:pPr>
    </w:p>
    <w:p w14:paraId="279D6A86" w14:textId="77777777" w:rsidR="00E83D56" w:rsidRPr="00CB126B" w:rsidRDefault="00E83D56" w:rsidP="00CB126B">
      <w:pPr>
        <w:spacing w:line="480" w:lineRule="auto"/>
        <w:jc w:val="both"/>
        <w:rPr>
          <w:rFonts w:ascii="Times New Roman" w:hAnsi="Times New Roman" w:cs="Times New Roman"/>
          <w:b/>
          <w:bCs/>
          <w:sz w:val="22"/>
          <w:szCs w:val="22"/>
          <w:lang w:val="en-US"/>
        </w:rPr>
      </w:pPr>
    </w:p>
    <w:p w14:paraId="224329C7" w14:textId="3F43B5FF" w:rsidR="006A5045" w:rsidRDefault="00264CBE" w:rsidP="006B2E15">
      <w:pPr>
        <w:spacing w:line="480" w:lineRule="auto"/>
        <w:jc w:val="center"/>
        <w:rPr>
          <w:rFonts w:ascii="Times New Roman" w:hAnsi="Times New Roman" w:cs="Times New Roman"/>
          <w:sz w:val="22"/>
          <w:szCs w:val="22"/>
        </w:rPr>
      </w:pPr>
      <w:r w:rsidRPr="00AF5E1D">
        <w:rPr>
          <w:rFonts w:ascii="Times New Roman" w:hAnsi="Times New Roman" w:cs="Times New Roman"/>
          <w:sz w:val="22"/>
          <w:szCs w:val="22"/>
          <w:lang w:val="en-US"/>
        </w:rPr>
        <w:br w:type="page"/>
      </w:r>
    </w:p>
    <w:p w14:paraId="52CAA1D1" w14:textId="79498F28" w:rsidR="005533C0" w:rsidRPr="00AF5E1D" w:rsidRDefault="00264CBE" w:rsidP="008D52D7">
      <w:pPr>
        <w:pStyle w:val="Heading1"/>
      </w:pPr>
      <w:r w:rsidRPr="00AF5E1D">
        <w:lastRenderedPageBreak/>
        <w:t>R</w:t>
      </w:r>
      <w:r w:rsidR="005533C0" w:rsidRPr="00AF5E1D">
        <w:t>eferences</w:t>
      </w:r>
    </w:p>
    <w:p w14:paraId="448DA11B" w14:textId="29F141D9" w:rsidR="00DC7ADB" w:rsidRPr="00DC7ADB" w:rsidRDefault="0059262C" w:rsidP="00DC7ADB">
      <w:pPr>
        <w:widowControl w:val="0"/>
        <w:autoSpaceDE w:val="0"/>
        <w:autoSpaceDN w:val="0"/>
        <w:adjustRightInd w:val="0"/>
        <w:spacing w:line="360" w:lineRule="auto"/>
        <w:ind w:left="480" w:hanging="480"/>
        <w:rPr>
          <w:rFonts w:ascii="Times New Roman" w:hAnsi="Times New Roman" w:cs="Times New Roman"/>
          <w:noProof/>
          <w:sz w:val="22"/>
        </w:rPr>
      </w:pPr>
      <w:r>
        <w:rPr>
          <w:rFonts w:ascii="Times New Roman" w:hAnsi="Times New Roman" w:cs="Times New Roman"/>
          <w:sz w:val="22"/>
          <w:szCs w:val="22"/>
          <w:lang w:val="pt-BR"/>
        </w:rPr>
        <w:fldChar w:fldCharType="begin" w:fldLock="1"/>
      </w:r>
      <w:r w:rsidRPr="00AF5E1D">
        <w:rPr>
          <w:rFonts w:ascii="Times New Roman" w:hAnsi="Times New Roman" w:cs="Times New Roman"/>
          <w:sz w:val="22"/>
          <w:szCs w:val="22"/>
          <w:lang w:val="en-US"/>
        </w:rPr>
        <w:instrText xml:space="preserve">ADDIN Mendeley Bibliography CSL_BIBLIOGRAPHY </w:instrText>
      </w:r>
      <w:r>
        <w:rPr>
          <w:rFonts w:ascii="Times New Roman" w:hAnsi="Times New Roman" w:cs="Times New Roman"/>
          <w:sz w:val="22"/>
          <w:szCs w:val="22"/>
          <w:lang w:val="pt-BR"/>
        </w:rPr>
        <w:fldChar w:fldCharType="separate"/>
      </w:r>
      <w:r w:rsidR="00DC7ADB" w:rsidRPr="00DC7ADB">
        <w:rPr>
          <w:rFonts w:ascii="Times New Roman" w:hAnsi="Times New Roman" w:cs="Times New Roman"/>
          <w:noProof/>
          <w:sz w:val="22"/>
        </w:rPr>
        <w:t>Aas, M., Dieset, I., Hope, S., Hoseth, E., Mørch, R., Reponen, E., Steen, N.E., Laskemoen, J.F., Ueland, T., Aukrust, P., Agartz, I., Andreassen, O.A., Melle, I., 2017. Childhood maltreatment severity is associated with elevated C-reactive protein and body mass index in adults with schizophrenia and bipolar diagnoses. Brain. Behav. Immun. 65, 342–349. https://doi.org/https://doi.org/10.1016/j.bbi.2017.06.005</w:t>
      </w:r>
    </w:p>
    <w:p w14:paraId="086A5E7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American Psychiatric Association, 2013. Diagnostic and Statistical Manual of Mental Disorders, 5th edition (DSM-V). American Psychiatric Association, Washington.</w:t>
      </w:r>
    </w:p>
    <w:p w14:paraId="73B65337"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Bai, Y.-M., Su, T.-P., Li, C.-T., Tsai, S.-J., Chen, M.-H., Tu, P.-C., Chiou, W.-F., 2015. Comparison of pro-inflammatory cytokines among patients with bipolar disorder and unipolar depression and normal controls. Bipolar Disord. 17, 269–277. https://doi.org/https://doi.org/10.1111/bdi.12259</w:t>
      </w:r>
    </w:p>
    <w:p w14:paraId="34A3655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Barbosa, I.G., Huguet, R.B., Mendonça, V.A., Sousa, L.P., Neves, F.S., Bauer, M.E., Teixeira, A.L., 2011. Increased plasma levels of soluble TNF receptor i in patients with bipolar disorder. Eur. Arch. Psychiatry Clin. Neurosci. 261, 139–143. https://doi.org/10.1007/s00406-010-0116-z</w:t>
      </w:r>
    </w:p>
    <w:p w14:paraId="7B734D8F"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Barbosa, I.G., Nogueira, C.R.C., Rocha, N.P., Queiroz, A.L.L., Vago, J.P., Tavares, L.P., Assis, F., Fagundes, C.T., Huguet, R.B., Bauer, M.E., Teixeira, A.L., de Sousa, L.P., 2013. Altered intracellular signaling cascades in peripheral blood mononuclear cells from BD patients. J. Psychiatr. Res. 47, 1949–1954. https://doi.org/https://doi.org/10.1016/j.jpsychires.2013.08.019</w:t>
      </w:r>
    </w:p>
    <w:p w14:paraId="1173656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Barbosa, I.G., Rocha, N.P., Huguet, R.B., Ferreira, R.A., Salgado, J.V., Carvalho, L.A., Pariante, C.M., Teixeira, A.L., 2012a. </w:t>
      </w:r>
      <w:r w:rsidRPr="00DC7ADB">
        <w:rPr>
          <w:rFonts w:ascii="Times New Roman" w:hAnsi="Times New Roman" w:cs="Times New Roman"/>
          <w:noProof/>
          <w:sz w:val="22"/>
        </w:rPr>
        <w:t>Executive dysfunction in euthymic bipolar disorder patients and its association with plasma biomarkers. J. Affect. Disord. 137, 151–155. https://doi.org/10.1016/j.jad.2011.12.034</w:t>
      </w:r>
    </w:p>
    <w:p w14:paraId="1306F7D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Barbosa, I.G., Rocha, N.P., Miranda, A.S. de, Magalhães, P.V. da S., Huguet, R.B., Souza, L.P. de, Kapczinski, F., Teixeira, A.L., 2012b. Increased levels of adipokines in bipolar disorder. J. Psychiatr. Res. 46, 389–393. https://doi.org/https://doi.org/10.1016/j.jpsychires.2011.11.010</w:t>
      </w:r>
    </w:p>
    <w:p w14:paraId="0D5DD20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Barbosa, I.G., Vaz, G.N., Rocha, N.P., Machado-Vieira, R., Ventura, M.R.D., Huguet, R.B., Bauer, M.E., Berk, M., Teixeira, A.L., 2017. </w:t>
      </w:r>
      <w:r w:rsidRPr="00DC7ADB">
        <w:rPr>
          <w:rFonts w:ascii="Times New Roman" w:hAnsi="Times New Roman" w:cs="Times New Roman"/>
          <w:noProof/>
          <w:sz w:val="22"/>
        </w:rPr>
        <w:t>Plasma Levels of Tumor Necrosis Factor Superfamily Molecules Are Increased in Bipolar Disorder. Clin. Psychopharmacol. Neurosci. 15, 269–275. https://doi.org/10.9758/cpn.2017.15.3.269</w:t>
      </w:r>
    </w:p>
    <w:p w14:paraId="634E82B2"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Bender, R., Bunce, C., Clarke, M., Gates, S., Lange, S., Pace, N.L., Thorlund, K., 2008. Attention should be given to multiplicity issues in systematic reviews. J. Clin. Epidemiol. 61, 857–865. https://doi.org/https://doi.org/10.1016/j.jclinepi.2008.03.004</w:t>
      </w:r>
    </w:p>
    <w:p w14:paraId="55F8DD0D"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Berk, M., Kapczinski, F., Andreazza, A.C., Dean, O.M., Giorlando, F., Maes, M., Yücel, M., Gama, C.S., Dodd, S., Dean, B., Magalhães, P.V.S., Amminger, P., McGorry, P., Malhi, G.S., 2011. Pathways underlying neuroprogression in bipolar disorder: Focus on inflammation, oxidative stress and neurotrophic factors. Neurosci. Biobehav. Rev. 35, 804–817. https://doi.org/https://doi.org/10.1016/j.neubiorev.2010.10.001</w:t>
      </w:r>
    </w:p>
    <w:p w14:paraId="4745154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lastRenderedPageBreak/>
        <w:t>Berk, M., Vieta, E., Dean, O.M., 2020. Anti-inflammatory treatment of bipolar depression: promise and disappointment. The Lancet Psychiatry 7, 467–468. https://doi.org/10.1016/S2215-0366(20)30155-3</w:t>
      </w:r>
    </w:p>
    <w:p w14:paraId="404D8780"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Boufidou, F., Nikolaou, C., Alevizos, B., Liappas, I.A., Christodoulou, G.N., 2004. Cytokine production in bipolar affective disorder patients under lithium treatment. J. Affect. Disord. 82, 309–313. https://doi.org/https://doi.org/10.1016/j.jad.2004.01.007</w:t>
      </w:r>
    </w:p>
    <w:p w14:paraId="7954235F"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Brietzke, E., Stertz, L., Fernandes, B.S., Kauer-Sant’Anna, M., Mascarenhas, M., Escosteguy Vargas, A., Chies, J.A., Kapczinski, F., 2009. </w:t>
      </w:r>
      <w:r w:rsidRPr="00DC7ADB">
        <w:rPr>
          <w:rFonts w:ascii="Times New Roman" w:hAnsi="Times New Roman" w:cs="Times New Roman"/>
          <w:noProof/>
          <w:sz w:val="22"/>
        </w:rPr>
        <w:t>Comparison of cytokine levels in depressed, manic and euthymic patients with bipolar disorder. J. Affect. Disord. 116, 214–217. https://doi.org/https://doi.org/10.1016/j.jad.2008.12.001</w:t>
      </w:r>
    </w:p>
    <w:p w14:paraId="2BDDE69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Brugger, S.P., Howes, O.D., 2017. Heterogeneity and Homogeneity of Regional Brain Structure in Schizophrenia: A Meta-analysis. JAMA Psychiatry 74, 1104–1111. https://doi.org/10.1001/jamapsychiatry.2017.2663</w:t>
      </w:r>
    </w:p>
    <w:p w14:paraId="7AE47BC8"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Carvalho, Andre F, Firth, J., Vieta, E., 2020. Bipolar Disorder. N. Engl. J. Med. 383, 58–66. https://doi.org/10.1056/NEJMra1906193</w:t>
      </w:r>
    </w:p>
    <w:p w14:paraId="2A6D9FB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Carvalho, André F, Solmi, M., Sanches, M., Machado, M.O., Stubbs, B., Ajnakina, O., Sherman, C., Sun, Y.R., Liu, C.S., Brunoni, A.R., Pigato, G., Fernandes, B.S., Bortolato, B., Husain, M.I., Dragioti, E., Firth, J., Cosco, T.D., Maes, M., Berk, M., Lanctôt, K.L., Vieta, E., Pizzagalli, D.A., Smith, L., Fusar-Poli, P., Kurdyak, P.A., Fornaro, M., Rehm, J., Herrmann, N., 2020. Evidence-based umbrella review of 162 peripheral biomarkers for major mental  disorders. Transl. Psychiatry 10, 152. https://doi.org/10.1038/s41398-020-0835-5</w:t>
      </w:r>
    </w:p>
    <w:p w14:paraId="4A9422D7"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Chakrabarty, T., Torres, I.J., Bond, D.J., Yatham, L.N., 2019. Inflammatory cytokines and cognitive functioning in early-stage bipolar I disorder. J. Affect. Disord. 245, 679–685. https://doi.org/https://doi.org/10.1016/j.jad.2018.11.018</w:t>
      </w:r>
    </w:p>
    <w:p w14:paraId="30096E4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Chang, H.H., Wang, T.-Y., Lee, I.H., Lee, S.-Y., Chen, K.C., Huang, S.-Y., Yang, Y.K., Lu, R.-B., Chen, P.S., 2017. C-reactive protein: A differential biomarker for major depressive disorder and bipolar II disorder. World J. Biol. Psychiatry 18, 63–70. https://doi.org/10.3109/15622975.2016.1155746</w:t>
      </w:r>
    </w:p>
    <w:p w14:paraId="74D8109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Civil Arslan, F., Tiryaki, A., Özkorumak Karagüzel, E., Aral, G., Sarıoğlu, O.., İnce, İ., Çankaya, S., Alver, A., n.d. The Relationship of Interleukin-18 and Interleukin-6 Levels with Cognitive Functions in Bipolar Disorder. Turk Psikiyatr. Derg 28(2), 81–88.</w:t>
      </w:r>
    </w:p>
    <w:p w14:paraId="2000CA7F"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Correll, C.U., Solmi, M., Veronese, N., Bortolato, B., Rosson, S., Santonastaso, P., Thapa-Chhetri, N., Fornaro, M., Gallicchio, D., Collantoni, E., Pigato, G., Favaro, A., Monaco, F., Kohler, C., Vancampfort, D., Ward, P.B., Gaughran, F., Carvalho, A.F., Stubbs, B., 2017. Prevalence, incidence and mortality from cardiovascular disease in patients with pooled and specific severe mental illness: a large-scale meta-analysis of 3,211,768 patients and 113,383,368 controls. World Psychiatry 16. https://doi.org/10.1002/wps.20420</w:t>
      </w:r>
    </w:p>
    <w:p w14:paraId="59651D9C"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lastRenderedPageBreak/>
        <w:t>Crump, C., Sundquist, K., Winkleby, M.A., Sundquist, J., 2013. Comorbidities and mortality in bipolar disorder: A Swedish national cohort study. JAMA Psychiatry 70, 931–939. https://doi.org/10.1001/jamapsychiatry.2013.1394</w:t>
      </w:r>
    </w:p>
    <w:p w14:paraId="172DE1B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Cunha, Â.B., Andreazza, A.C., Gomes, F.A., Frey, B.N., da Silveira, L.E., Gonçalves, C.A., Kapczinski, F., 2008. Investigation of serum high-sensitive C-reactive protein levels across all mood states in bipolar disorder. Eur. Arch. Psychiatry Clin. Neurosci. 258, 300–304. https://doi.org/10.1007/s00406-007-0797-0</w:t>
      </w:r>
    </w:p>
    <w:p w14:paraId="5638B624"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da Silva, E.G., Pfaffenseller, B., Walz, J., Stertz, L., Fries, G., Rosa, A.R., Magalhães, P. V, 2017. Peripheral insulin-like growth factor 1 in bipolar disorder. Psychiatry Res. 250, 30–34. https://doi.org/https://doi.org/10.1016/j.psychres.2017.01.061</w:t>
      </w:r>
    </w:p>
    <w:p w14:paraId="58B077AA" w14:textId="77777777" w:rsidR="00DC7ADB" w:rsidRPr="00AF5E1D" w:rsidRDefault="00DC7ADB" w:rsidP="00DC7ADB">
      <w:pPr>
        <w:widowControl w:val="0"/>
        <w:autoSpaceDE w:val="0"/>
        <w:autoSpaceDN w:val="0"/>
        <w:adjustRightInd w:val="0"/>
        <w:spacing w:line="360" w:lineRule="auto"/>
        <w:ind w:left="480" w:hanging="480"/>
        <w:rPr>
          <w:rFonts w:ascii="Times New Roman" w:hAnsi="Times New Roman" w:cs="Times New Roman"/>
          <w:noProof/>
          <w:sz w:val="22"/>
          <w:lang w:val="pt-BR"/>
        </w:rPr>
      </w:pPr>
      <w:r w:rsidRPr="00DC7ADB">
        <w:rPr>
          <w:rFonts w:ascii="Times New Roman" w:hAnsi="Times New Roman" w:cs="Times New Roman"/>
          <w:noProof/>
          <w:sz w:val="22"/>
        </w:rPr>
        <w:t xml:space="preserve">Dargél, A.A., Godin, O., Kapczinski, F., Kupfer, D.J., Leboyer, M., 2015. C-reactive protein alterations in bipolar disorder: A meta-analysis. </w:t>
      </w:r>
      <w:r w:rsidRPr="00AF5E1D">
        <w:rPr>
          <w:rFonts w:ascii="Times New Roman" w:hAnsi="Times New Roman" w:cs="Times New Roman"/>
          <w:noProof/>
          <w:sz w:val="22"/>
          <w:lang w:val="pt-BR"/>
        </w:rPr>
        <w:t>J. Clin. Psychiatry 76, 142–150. https://doi.org/10.4088/JCP.14r09007</w:t>
      </w:r>
    </w:p>
    <w:p w14:paraId="04EBA6E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De Berardis, D., Conti, C.M., Campanella, D., Carano, A., Scali, M., Valchera, A., Serroni, N., Pizzorno, A.M., D’Albenzio, A., Fulcheri, M., Gambi, F., La Rovere, R., Cotellessa, C., Salerno, R.M., Ferro, F.M., 2008. </w:t>
      </w:r>
      <w:r w:rsidRPr="00DC7ADB">
        <w:rPr>
          <w:rFonts w:ascii="Times New Roman" w:hAnsi="Times New Roman" w:cs="Times New Roman"/>
          <w:noProof/>
          <w:sz w:val="22"/>
        </w:rPr>
        <w:t>Evaluation of C-reactive protein and total serum cholesterol in adult patients with bipolar disorder. Int. J. Immunopathol. Pharmacol. 21, 319–324. https://doi.org/10.1177/039463200802100208</w:t>
      </w:r>
    </w:p>
    <w:p w14:paraId="5F6DAB5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Dickerson, F., Stallings, C., Origoni, A., Boronow, J., Yolken, R., 2007. Elevated serum levels of C-reactive protein are associated with mania symptoms in outpatients with bipolar disorder. Prog. Neuro-Psychopharmacology Biol. Psychiatry 31, 952–955. https://doi.org/10.1016/j.pnpbp.2007.02.018</w:t>
      </w:r>
    </w:p>
    <w:p w14:paraId="0D537C9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Doganavsargil-Baysal, O., Cinemre, B., Aksoy, U.M., Akbas, H., Metin, O., Fettahoglu, C., Gokmen, Z., Davran, F., 2013. Levels of TNF-α, soluble TNF receptors (sTNFR1, sTNFR2), and cognition in bipolar disorder. Hum. Psychopharmacol. Clin. Exp. 28, 160–167. https://doi.org/https://doi.org/10.1002/hup.2301</w:t>
      </w:r>
    </w:p>
    <w:p w14:paraId="56DF0E49"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Eisler, Z., Kertész, J., 2007. Fluctuation scaling in complex systems.</w:t>
      </w:r>
    </w:p>
    <w:p w14:paraId="4633DC2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Fernandes, B.S., Borgwardt, S., Carvalho, A.F., Steiner, J., 2020. </w:t>
      </w:r>
      <w:r w:rsidRPr="00DC7ADB">
        <w:rPr>
          <w:rFonts w:ascii="Times New Roman" w:hAnsi="Times New Roman" w:cs="Times New Roman"/>
          <w:noProof/>
          <w:sz w:val="22"/>
        </w:rPr>
        <w:t>Editorial: Back to the Future: On the Road Towards Precision Psychiatry. Front. Psychiatry 11, 112. https://doi.org/10.3389/fpsyt.2020.00112</w:t>
      </w:r>
    </w:p>
    <w:p w14:paraId="4E92025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Fernandes, B.S., Williams, L.M., Steiner, J., Leboyer, M., Carvalho, A.F., Berk, M., 2017. The new field of ‘precision psychiatry.’ BMC Med. 15, 80. https://doi.org/10.1186/s12916-017-0849-x</w:t>
      </w:r>
    </w:p>
    <w:p w14:paraId="5270773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 xml:space="preserve">Firth, J., Siddiqi, N., Koyanagi, A., Siskind, D., Rosenbaum, S., Galletly, C., Allan, S., Caneo, C., Carney, R., Carvalho, A.F., Chatterton, M. Lou, Correll, C.U., Curtis, J., Gaughran, F., Heald, A., Hoare, E., Jackson, S.E., Kisely, S., Lovell, K., Maj, M., McGorry, P.D., Mihalopoulos, C., Myles, H., O’Donoghue, B., Pillinger, T., Sarris, J., Schuch, F.B., Shiers, D., Smith, L., Solmi, M., Suetani, S., Taylor, J., Teasdale, S.B., Thornicroft, G., Torous, J., Usherwood, T., </w:t>
      </w:r>
      <w:r w:rsidRPr="00DC7ADB">
        <w:rPr>
          <w:rFonts w:ascii="Times New Roman" w:hAnsi="Times New Roman" w:cs="Times New Roman"/>
          <w:noProof/>
          <w:sz w:val="22"/>
        </w:rPr>
        <w:lastRenderedPageBreak/>
        <w:t>Vancampfort, D., Veronese, N., Ward, P.B., Yung, A.R., Killackey, E., Stubbs, B., 2019. The Lancet Psychiatry Commission: a blueprint for protecting physical health in people with mental illness. The Lancet Psychiatry. https://doi.org/10.1016/S2215-0366(19)30132-4</w:t>
      </w:r>
    </w:p>
    <w:p w14:paraId="3F9AF20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Fonseka, T.M., McIntyre, R.S., Soczynska, J.K., Kennedy, S.H., 2015. Novel investigational drugs targeting IL-6 signaling for the treatment of depression. Expert Opin. Investig. Drugs. https://doi.org/10.1517/13543784.2014.998334</w:t>
      </w:r>
    </w:p>
    <w:p w14:paraId="3644612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Fusar-Poli, P., De Micheli, A., Rocchetti, M., Cappucciati, M., Ramella-Cravaro, V., Rutigliano, G., Bonoldi, I., McGuire, P., Falkenberg, I., 2018. Semistructured Interview for Bipolar At Risk States (SIBARS). Psychiatry Res. 264, 302–309. https://doi.org/https://doi.org/10.1016/j.psychres.2018.03.074</w:t>
      </w:r>
    </w:p>
    <w:p w14:paraId="784F976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Glaus, J., von Känel, R., Lasserre, A.M., Strippoli, M.-P.F., Vandeleur, C.L., Castelao, E., Gholam-Rezaee, M., Marangoni, C., Wagner, E.-Y.N., Marques-Vidal, P., Waeber, G., Vollenweider, P., Preisig, M., Merikangas, K.R., 2018. Mood disorders and circulating levels of inflammatory markers in a longitudinal population-based study. Psychol. Med. 48, 961–973. https://doi.org/DOI: 10.1017/S0033291717002744</w:t>
      </w:r>
    </w:p>
    <w:p w14:paraId="2070A89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Goldsmith, D.R., Rapaport, M.H., Miller, B.J., 2016. A meta-analysis of blood cytokine network alterations in psychiatric patients: Comparisons between schizophrenia, bipolar disorder and depression, in: Molecular Psychiatry. Nature Publishing Group, pp. 1696–1709. https://doi.org/10.1038/mp.2016.3</w:t>
      </w:r>
    </w:p>
    <w:p w14:paraId="1D00255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Guloksuz, S., Aktas Cetin, E., Cetin, T., Deniz, G., Oral, E.T., Nutt, D.J., 2010. Cytokine levels in euthymic bipolar patients. J. Affect. Disord. 126, 458–462. https://doi.org/10.1016/j.jad.2010.04.027</w:t>
      </w:r>
    </w:p>
    <w:p w14:paraId="29A5197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He, H., Hu, C., Ren, Z., Bai, L., Gao, F., Lyu, J., 2020. Trends in the incidence and DALYs of bipolar disorder at global, regional, and national levels: Results from the global burden of Disease Study 2017. J. Psychiatr. Res. 125, 96–105. https://doi.org/https://doi.org/10.1016/j.jpsychires.2020.03.015</w:t>
      </w:r>
    </w:p>
    <w:p w14:paraId="3DCF30D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Higgins, J., Thomas, J., Chandler, J., Cumpston, M., Li, T., Page, M., Welch, V., 2020. Cochrane Handbook for Systematic Reviews of Interventions | Cochrane Training [WWW Document]. URL https://training.cochrane.org/cochrane-handbook-systematic-reviews-interventions#how-to-cite (accessed 10.29.20).</w:t>
      </w:r>
    </w:p>
    <w:p w14:paraId="50927C6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Higgins, J.P.T., White, I.R., Anzures-Cabrera, J., 2008. Meta-analysis of skewed data: combining results reported on log-transformed or raw scales. Stat. Med. 27, 6072–6092. https://doi.org/10.1002/sim.3427</w:t>
      </w:r>
    </w:p>
    <w:p w14:paraId="1EBC6240"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Hope, S., Dieset, I., Agartz, I., Steen, N.E., Ueland, T., Melle, I., Aukrust, P., Andreassen, O.A., 2011. Affective symptoms are associated with markers of inflammation and immune activation in bipolar disorders but not in schizophrenia. J. Psychiatr. Res. 45, 1608–1616. https://doi.org/https://doi.org/10.1016/j.jpsychires.2011.08.003</w:t>
      </w:r>
    </w:p>
    <w:p w14:paraId="3C12065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lastRenderedPageBreak/>
        <w:t>Hope, S., Hoseth, E., Dieset, I., Mørch, R.H., Aas, M., Aukrust, P., Djurovic, S., Melle, I., Ueland, Torill, Agartz, I., Ueland, Thor, Westlye, L.T., Andreassen, O.A., 2015. Inflammatory markers are associated with general cognitive abilities in schizophrenia and bipolar disorder patients and healthy controls. Schizophr. Res. 165, 188–194. https://doi.org/https://doi.org/10.1016/j.schres.2015.04.004</w:t>
      </w:r>
    </w:p>
    <w:p w14:paraId="1A8B2B2D"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Hope, S., Melle, I., Aukrust, P., Steen, N.E., Birkenaes, A.B., Lorentzen, S., Agartz, I., Ueland, T., Andreassen, O.A., 2009. Similar immune profile in bipolar disorder and schizophrenia: selective increase in soluble tumor necrosis factor receptor I and von Willebrand factor. Bipolar Disord. 11, 726–734. https://doi.org/https://doi.org/10.1111/j.1399-5618.2009.00757.x</w:t>
      </w:r>
    </w:p>
    <w:p w14:paraId="68042DD2"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Hornig, M., Goodman, D.B.P., Kamoun, M., Amsterdam, J.D., 1998. Positive and negative acute phase proteins in affective subtypes. J. Affect. Disord. 49, 9–18. https://doi.org/https://doi.org/10.1016/S0165-0327(97)00180-8</w:t>
      </w:r>
    </w:p>
    <w:p w14:paraId="035EAE47"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Huang, T.-L., Lin, F.-C., 2007. High-sensitivity C-reactive protein levels in patients with major depressive disorder and bipolar mania. Prog. Neuro-Psychopharmacology Biol. Psychiatry 31, 370–372. https://doi.org/https://doi.org/10.1016/j.pnpbp.2006.09.010</w:t>
      </w:r>
    </w:p>
    <w:p w14:paraId="62509D3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Hung, Y.-J., Hsieh, C.-H., Chen, Y.-J., Pei, D., Kuo, S.-W., Shen, D.-C., Sheu, W.H.-H., Chen, Y.-C., 2007. Insulin sensitivity, proinflammatory markers and adiponectin in young males with different subtypes of depressive disorder. Clin. Endocrinol. (Oxf). 67, 784–789. https://doi.org/https://doi.org/10.1111/j.1365-2265.2007.02963.x</w:t>
      </w:r>
    </w:p>
    <w:p w14:paraId="49ACA63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Husain, M.I., Chaudhry, I.B., Khoso, A.B., Husain, M.O., Hodsoll, J., Ansari, M.A., Naqvi, H.A., Minhas, F.A., Carvalho, A.F., Meyer, J.H., Deakin, B., Mulsant, B.H., Husain, N., Young, A.H., 2020. Minocycline and celecoxib as adjunctive treatments for bipolar depression: a multicentre, factorial design randomised controlled trial. The Lancet Psychiatry 7, 515–527. https://doi.org/10.1016/S2215-0366(20)30138-3</w:t>
      </w:r>
    </w:p>
    <w:p w14:paraId="7F7083C2"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Jacoby, A.S., Munkholm, K., Vinberg, M., Pedersen, B.K., Kessing, L.V., 2016. Cytokines, brain-derived neurotrophic factor and C-reactive protein in bipolar i disorder - Results from a prospective study. J. Affect. Disord. 197, 167–174. https://doi.org/10.1016/j.jad.2016.03.040</w:t>
      </w:r>
    </w:p>
    <w:p w14:paraId="1A7BA124"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Kapczinski, F., Dal-Pizzol, F., Teixeira, A.L., Magalhaes, P.V.S., Kauer-Sant’Anna, M., Klamt, F., Moreira, J.C.F., Augusto de Bittencourt Pasquali, M., Fries, G.R., Quevedo, J., Gama, C.S., Post, R., 2011. Peripheral biomarkers and illness activity in bipolar disorder. J. Psychiatr. Res. 45, 156–161. https://doi.org/https://doi.org/10.1016/j.jpsychires.2010.05.015</w:t>
      </w:r>
    </w:p>
    <w:p w14:paraId="13E198B4"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Karabulut, S., Tasdemir, I., Akcan, U., Kucukali, C., Tüzün, E., Cakir, S., 2019. Inflammation and Neurodegeneration in Patients with Early-Stage and Chronic Bipolar Disorder. Turkish J. Psychiatry 30. https://doi.org/10.5080/u18376</w:t>
      </w:r>
    </w:p>
    <w:p w14:paraId="50ABF4D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 xml:space="preserve">Kauer-Sant’Anna, M., Kapczinski, F., Andreazza, A., Bond, D., Lam, R., Young, L., Yatham, L., 2008. Brain-derived neurotrophic factor and inflammatory markers in patients with early- vs. late-stage bipolar disorder. Int. J. Neuropsychopharmacol. 12, 447–458. </w:t>
      </w:r>
      <w:r w:rsidRPr="00DC7ADB">
        <w:rPr>
          <w:rFonts w:ascii="Times New Roman" w:hAnsi="Times New Roman" w:cs="Times New Roman"/>
          <w:noProof/>
          <w:sz w:val="22"/>
        </w:rPr>
        <w:lastRenderedPageBreak/>
        <w:t>https://doi.org/10.1017/S1461145708009310</w:t>
      </w:r>
    </w:p>
    <w:p w14:paraId="6FDC2EC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Kessing, L.V., Vradi, E., McIntyre, R.S., Andersen, P.K., 2015. Causes of decreased life expectancy over the life span in bipolar disorder. J. Affect. Disord. https://doi.org/10.1016/j.jad.2015.03.027</w:t>
      </w:r>
    </w:p>
    <w:p w14:paraId="6CFB3FE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Kim, Y.-K., Jung, H.-G., Myint, A.-M., Kim, H., Park, S.-H., 2007. Imbalance between pro-inflammatory and anti-inflammatory cytokines in bipolar disorder. J. Affect. Disord. 104, 91–95. https://doi.org/https://doi.org/10.1016/j.jad.2007.02.018</w:t>
      </w:r>
    </w:p>
    <w:p w14:paraId="7DCEDF4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King, S., Jelen, L.A., Horne, C.M., Cleare, A., Pariante, C.M., Young, A.H., Stone, J.M., 2019. Inflammation, glutamate, and cognition in bipolar disorder type II: A proof of concept study. Front. Psychiatry 10. https://doi.org/10.3389/fpsyt.2019.00066</w:t>
      </w:r>
    </w:p>
    <w:p w14:paraId="04586B5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Koga, N., Ogura, J., Yoshida, F., Hattori, K., Hori, H., Aizawa, E., Ishida, I., Kunugi, H., 2019. Altered polyunsaturated fatty acid levels in relation to proinflammatory cytokines, fatty acid desaturase genotype, and diet in bipolar disorder. Transl. Psychiatry 9, 208. https://doi.org/10.1038/s41398-019-0536-0</w:t>
      </w:r>
    </w:p>
    <w:p w14:paraId="4F1B3D54"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Lesh, T.A., Careaga, M., Rose, D.R., McAllister, A.K., Van de Water, J., Carter, C.S., Ashwood, P., 2018. Cytokine alterations in first-episode schizophrenia and bipolar disorder: Relationships to brain structure and symptoms. J. Neuroinflammation 15. https://doi.org/10.1186/s12974-018-1197-2</w:t>
      </w:r>
    </w:p>
    <w:p w14:paraId="630C8CFD"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Maes, M., Anderson, G., Kubera, M., Berk, M., 2014. Targeting classical IL-6 signalling or IL-6 trans-signalling in depression? Expert Opin. Ther. Targets 18, 495–512. https://doi.org/10.1517/14728222.2014.888417</w:t>
      </w:r>
    </w:p>
    <w:p w14:paraId="7389BF1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Maes, M., Carvalho, A.F., 2018. The Compensatory Immune-Regulatory Reflex System (CIRS) in Depression and Bipolar Disorder. Mol. Neurobiol. 55, 8885–8903. https://doi.org/10.1007/s12035-018-1016-x</w:t>
      </w:r>
    </w:p>
    <w:p w14:paraId="0673E45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Manchia, M., Vieta, E., Smeland, O.B., Altimus, C., Bechdolf, A., Bellivier, F., Bergink, V., Fagiolini, A., Geddes, J.R., Hajek, T., Henry, C., Kupka, R., Lagerberg, T. V, Licht, R.W., Martinez-Cengotitabengoa, M., Morken, G., Nielsen, R.E., Pinto, A.G., Reif, A., Rietschel, M., Ritter, P., Schulze, T.G., Scott, J., Severus, E., Yildiz, A., Kessing, L.V., Bauer, M., Goodwin, G.M., Andreassen, O.A., 2020. Translating big data to better treatment in bipolar disorder - a manifesto for coordinated action. Eur. Neuropsychopharmacol. 36, 121–136. https://doi.org/https://doi.org/10.1016/j.euroneuro.2020.05.006</w:t>
      </w:r>
    </w:p>
    <w:p w14:paraId="270CA0EC"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Mao, R., Zhang, C., Chen, J., Zhao, G., Zhou, R., Wang, F., Xu, J., Yang, T., Su, Y., Huang, J., Wu, Z., Cao, L., Wang, Y., Hu, Y., Yuan, C., Yi, Z., Hong, W., Wang, Z., Peng, D., Fang, Y., 2018. Different levels of pro- and anti-inflammatory cytokines in patients with unipolar and bipolar depression. J. Affect. Disord. 237, 65–72. https://doi.org/10.1016/j.jad.2018.04.115</w:t>
      </w:r>
    </w:p>
    <w:p w14:paraId="2A864F1C"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 xml:space="preserve">McIntyre, R.S., Subramaniapillai, M., Lee, Y., Pan, Z., Carmona, N.E., Shekotikhina, M., Rosenblat, J.D., Brietzke, E., Soczynska, J.K., Cosgrove, V.E., Miller, S., Fischer, E.G., Kramer, N.E., Dunlap, K., Suppes, T., Mansur, R.B., 2019. Efficacy of Adjunctive Infliximab vs Placebo in the </w:t>
      </w:r>
      <w:r w:rsidRPr="00DC7ADB">
        <w:rPr>
          <w:rFonts w:ascii="Times New Roman" w:hAnsi="Times New Roman" w:cs="Times New Roman"/>
          <w:noProof/>
          <w:sz w:val="22"/>
        </w:rPr>
        <w:lastRenderedPageBreak/>
        <w:t>Treatment of Adults With Bipolar I/II Depression: A Randomized Clinical Trial. JAMA psychiatry 76, 783–790. https://doi.org/10.1001/jamapsychiatry.2019.0779</w:t>
      </w:r>
    </w:p>
    <w:p w14:paraId="7D95A2AF"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Merikangas, K.R., Jin, R., He, J.P., Kessler, R.C., Lee, S., Sampson, N.A., Viana, M.C., Andrade, L.H., Hu, C., Karam, E.G., Ladea, M., Medina-Mora, M.E., Ono, Y., Posada-Villa, J., Sagar, R., Wells, J.E., Zarkov, Z., 2011. Prevalence and correlates of bipolar spectrum disorder in the World Mental Health Survey Initiative. Arch. Gen. Psychiatry 68, 241–251. https://doi.org/10.1001/archgenpsychiatry.2011.12</w:t>
      </w:r>
    </w:p>
    <w:p w14:paraId="708F18A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Milaneschi, Y., Lamers, F., Berk, M., Penninx, B.W.J.H., 2020. Depression Heterogeneity and Its Biological Underpinnings: Toward Immunometabolic Depression. Biol. Psychiatry 88, 369–380. https://doi.org/10.1016/j.biopsych.2020.01.014</w:t>
      </w:r>
    </w:p>
    <w:p w14:paraId="3CB1628F"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Miller, A.H., Raison, C.L., 2016. The role of inflammation in depression: from evolutionary imperative to modern treatment target. Nat. Rev. Immunol. 16, 22–34. https://doi.org/10.1038/nri.2015.5</w:t>
      </w:r>
    </w:p>
    <w:p w14:paraId="7C1EE21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Mizuno, Y., Hofer, A., Suzuki, T., Frajo-Apor, B., Wartelsteiner, F., Kemmler, G., Saruta, J., Tsukinoki, K., Mimura, M., Fleischhacker, W.W., Uchida, H., 2016. Clinical and biological correlates of resilience in patients with schizophrenia and bipolar disorder: A cross-sectional study. Schizophr. Res. 175, 148–153. https://doi.org/10.1016/j.schres.2016.04.047</w:t>
      </w:r>
    </w:p>
    <w:p w14:paraId="47D4538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Modabbernia, A., Taslimi, S., Brietzke, E., Ashrafi, M., 2013. Cytokine Alterations in Bipolar Disorder: A Meta-Analysis of 30 Studies. Biol. Psychiatry 74, 15–25. https://doi.org/10.1016/j.biopsych.2013.01.007</w:t>
      </w:r>
    </w:p>
    <w:p w14:paraId="37959E30"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Moher, D., Liberati, A., Tetzlaff, J., Altman, D.G., 2009. Preferred reporting items for systematic reviews and meta-analyses: the PRISMA statement. J. Clin. Epidemiol. 62, 1006–1012. https://doi.org/10.1016/j.jclinepi.2009.06.005</w:t>
      </w:r>
    </w:p>
    <w:p w14:paraId="01E2751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Moher, D., Shamseer, L., Clarke, M., Ghersi, D., Liberatî, A., Petticrew, M., Shekelle, P., Stewart, L.A., Group, P.-P., 2015. Preferred reporting items for systematic review and meta-analysis protocols (PRISMA-P) 2015 statement. https://doi.org/10.1186/2046-4053-4-1</w:t>
      </w:r>
    </w:p>
    <w:p w14:paraId="67B31BD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Momen, N.C., Plana-Ripoll, O., Agerbo, E., Benros, M.E., Børglum, A.D., Christensen, M.K., Dalsgaard, S., Degenhardt, L., de Jonge, P., Debost, J.-C.P.G., Fenger-Grøn, M., Gunn, J.M., Iburg, K.M., Kessing, L. V, Kessler, R.C., Laursen, T.M., Lim, C.C.W., Mors, O., Mortensen, P.B., Musliner, K.L., Nordentoft, M., Pedersen, C.B., Petersen, L. V, Ribe, A.R., Roest, A.M., Saha, S., Schork, A.J., Scott, K.M., Sievert, C., Sørensen, H.J., Stedman, T.J., Vestergaard, M., Vilhjalmsson, B., Werge, T., Weye, N., Whiteford, H.A., Prior, A., McGrath, J.J., 2020. Association between Mental Disorders and Subsequent Medical Conditions. N. Engl. J. Med. 382, 1721–1731. https://doi.org/10.1056/NEJMoa1915784</w:t>
      </w:r>
    </w:p>
    <w:p w14:paraId="5D41010B" w14:textId="77777777" w:rsidR="00DC7ADB" w:rsidRPr="00AF5E1D" w:rsidRDefault="00DC7ADB" w:rsidP="00DC7ADB">
      <w:pPr>
        <w:widowControl w:val="0"/>
        <w:autoSpaceDE w:val="0"/>
        <w:autoSpaceDN w:val="0"/>
        <w:adjustRightInd w:val="0"/>
        <w:spacing w:line="360" w:lineRule="auto"/>
        <w:ind w:left="480" w:hanging="480"/>
        <w:rPr>
          <w:rFonts w:ascii="Times New Roman" w:hAnsi="Times New Roman" w:cs="Times New Roman"/>
          <w:noProof/>
          <w:sz w:val="22"/>
          <w:lang w:val="pt-BR"/>
        </w:rPr>
      </w:pPr>
      <w:r w:rsidRPr="00AF5E1D">
        <w:rPr>
          <w:rFonts w:ascii="Times New Roman" w:hAnsi="Times New Roman" w:cs="Times New Roman"/>
          <w:noProof/>
          <w:sz w:val="22"/>
          <w:lang w:val="pt-BR"/>
        </w:rPr>
        <w:t xml:space="preserve">Mondin, T.C., de Azevedo Cardoso, T., Moreira, F.P., Wiener, C., Oses, J.P., de Mattos Souza, L.D., Jansen, K., da Silva Magalhães, P.V., Kapczinski, F., da Silva, R.A., 2016. </w:t>
      </w:r>
      <w:r w:rsidRPr="00DC7ADB">
        <w:rPr>
          <w:rFonts w:ascii="Times New Roman" w:hAnsi="Times New Roman" w:cs="Times New Roman"/>
          <w:noProof/>
          <w:sz w:val="22"/>
        </w:rPr>
        <w:t xml:space="preserve">Circadian preferences, oxidative stress and inflammatory cytokines in bipolar disorder: A community </w:t>
      </w:r>
      <w:r w:rsidRPr="00DC7ADB">
        <w:rPr>
          <w:rFonts w:ascii="Times New Roman" w:hAnsi="Times New Roman" w:cs="Times New Roman"/>
          <w:noProof/>
          <w:sz w:val="22"/>
        </w:rPr>
        <w:lastRenderedPageBreak/>
        <w:t xml:space="preserve">study. </w:t>
      </w:r>
      <w:r w:rsidRPr="00AF5E1D">
        <w:rPr>
          <w:rFonts w:ascii="Times New Roman" w:hAnsi="Times New Roman" w:cs="Times New Roman"/>
          <w:noProof/>
          <w:sz w:val="22"/>
          <w:lang w:val="pt-BR"/>
        </w:rPr>
        <w:t>J. Neuroimmunol. 301, 23–29. https://doi.org/10.1016/j.jneuroim.2016.10.012</w:t>
      </w:r>
    </w:p>
    <w:p w14:paraId="21D1FB5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Mora, E., Portella, M.J., Piñol-Ripoll, G., López, R., Cuadras, D., Forcada, I., Teres, M., Vieta, E., Mur, M., 2019. </w:t>
      </w:r>
      <w:r w:rsidRPr="00DC7ADB">
        <w:rPr>
          <w:rFonts w:ascii="Times New Roman" w:hAnsi="Times New Roman" w:cs="Times New Roman"/>
          <w:noProof/>
          <w:sz w:val="22"/>
        </w:rPr>
        <w:t>High BDNF serum levels are associated to good cognitive functioning in bipolar disorder. Eur. Psychiatry 60, 97–107. https://doi.org/10.1016/j.eurpsy.2019.02.006</w:t>
      </w:r>
    </w:p>
    <w:p w14:paraId="0FA3BAC8"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Morris, G., Puri, B.K., Walker, A.J., Maes, M., Carvalho, A.F., Bortolasci, C.C., Walder, K., Berk, M., 2019. Shared pathways for neuroprogression and somatoprogression in neuropsychiatric disorders. Neurosci. Biobehav. Rev. 107, 862–882. https://doi.org/https://doi.org/10.1016/j.neubiorev.2019.09.025</w:t>
      </w:r>
    </w:p>
    <w:p w14:paraId="1741486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Munkholm, K., Braüner, J.V., Kessing, L.V., Vinberg, M., 2013. Cytokines in bipolar disorder vs. healthy control subjects: A systematic review and meta-analysis. J. Psychiatr. Res. 47, 1119–1133. https://doi.org/10.1016/j.jpsychires.2013.05.018</w:t>
      </w:r>
    </w:p>
    <w:p w14:paraId="3E833E4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Munkholm, K., Weikop, P., Kessing, L.V., Vinberg, M., 2015. Elevated levels of IL-6 and IL-18 in manic and hypomanic states in rapid cycling bipolar disorder patients. Brain. Behav. Immun. 43, 205–213. https://doi.org/10.1016/j.bbi.2014.09.021</w:t>
      </w:r>
    </w:p>
    <w:p w14:paraId="4BFA1A97" w14:textId="77777777" w:rsidR="00DC7ADB" w:rsidRPr="00AF5E1D" w:rsidRDefault="00DC7ADB" w:rsidP="00DC7ADB">
      <w:pPr>
        <w:widowControl w:val="0"/>
        <w:autoSpaceDE w:val="0"/>
        <w:autoSpaceDN w:val="0"/>
        <w:adjustRightInd w:val="0"/>
        <w:spacing w:line="360" w:lineRule="auto"/>
        <w:ind w:left="480" w:hanging="480"/>
        <w:rPr>
          <w:rFonts w:ascii="Times New Roman" w:hAnsi="Times New Roman" w:cs="Times New Roman"/>
          <w:noProof/>
          <w:sz w:val="22"/>
          <w:lang w:val="pt-BR"/>
        </w:rPr>
      </w:pPr>
      <w:r w:rsidRPr="00DC7ADB">
        <w:rPr>
          <w:rFonts w:ascii="Times New Roman" w:hAnsi="Times New Roman" w:cs="Times New Roman"/>
          <w:noProof/>
          <w:sz w:val="22"/>
        </w:rPr>
        <w:t xml:space="preserve">Nielsen, R.E., Banner, J., Jensen, S.E., 2020. Cardiovascular disease in patients with severe mental illness. </w:t>
      </w:r>
      <w:r w:rsidRPr="00AF5E1D">
        <w:rPr>
          <w:rFonts w:ascii="Times New Roman" w:hAnsi="Times New Roman" w:cs="Times New Roman"/>
          <w:noProof/>
          <w:sz w:val="22"/>
          <w:lang w:val="pt-BR"/>
        </w:rPr>
        <w:t>Nat. Rev. Cardiol. https://doi.org/10.1038/s41569-020-00463-7</w:t>
      </w:r>
    </w:p>
    <w:p w14:paraId="54DAEE0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Ortiz-Domínguez, A., Hernández, M.E., Berlanga, C., Gutiérrez-Mora, D., Moreno, J., Heinze, G., Pavón, L., 2007. </w:t>
      </w:r>
      <w:r w:rsidRPr="00DC7ADB">
        <w:rPr>
          <w:rFonts w:ascii="Times New Roman" w:hAnsi="Times New Roman" w:cs="Times New Roman"/>
          <w:noProof/>
          <w:sz w:val="22"/>
        </w:rPr>
        <w:t>Immune variations in bipolar disorder: phasic differences. Bipolar Disord. 9, 596–602. https://doi.org/https://doi.org/10.1111/j.1399-5618.2007.00493.x</w:t>
      </w:r>
    </w:p>
    <w:p w14:paraId="6DEAF80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t xml:space="preserve">Osimo, E.F., Pillinger, T., Rodriguez, I.M., Khandaker, G.M., Pariante, C.M., Howes, O.D., 2020. </w:t>
      </w:r>
      <w:r w:rsidRPr="00DC7ADB">
        <w:rPr>
          <w:rFonts w:ascii="Times New Roman" w:hAnsi="Times New Roman" w:cs="Times New Roman"/>
          <w:noProof/>
          <w:sz w:val="22"/>
        </w:rPr>
        <w:t>Inflammatory markers in depression: A meta-analysis of mean differences and variability in 5,166 patients and 5,083 controls. Brain. Behav. Immun. 87, 901–909. https://doi.org/10.1016/j.bbi.2020.02.010</w:t>
      </w:r>
    </w:p>
    <w:p w14:paraId="6A3940A9"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Pan, Y.J., Yeh, L.L., Chan, H.Y., Chang, C.K., 2020. Excess mortality and shortened life expectancy in people with major mental illnesses in Taiwan. Epidemiol. Psychiatr. Sci. 29, e156. https://doi.org/10.1017/S2045796020000694</w:t>
      </w:r>
    </w:p>
    <w:p w14:paraId="31728ECD"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Pandey, G.N., Ren, X., Rizavi, H.S., Zhang, H., 2015. Abnormal gene expression of proinflammatory cytokines and their receptors in the lymphocytes of patients with bipolar disorder. Bipolar Disord. 17, 636–644. https://doi.org/10.1111/bdi.12320</w:t>
      </w:r>
    </w:p>
    <w:p w14:paraId="12DD2E89"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Pantović-Stefanović, M., Petronijević, N., Dunjić-Kostić, B., Velimirović, M., Nikolić, T., Jurišić, V., Lačković, M., Damjanović, A., Totić-Poznanović, S., Jovanović, A.A., Ivković, M., 2018. sVCAM-1, sICAM-1, TNF-α and IL-6 levels in bipolar disorder type I: Acute, longitudinal and therapeutic implications. World J. Biol. Psychiatry 19, S41–S51. https://doi.org/10.1080/15622975.2016.1259498</w:t>
      </w:r>
    </w:p>
    <w:p w14:paraId="4A4EEC00"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Quevedo, J., Carvalho, A., Vieta, E., 2021. Neurobiology of bipolar disorder. Road to novel therapeutics., Academic P. ed. London.</w:t>
      </w:r>
    </w:p>
    <w:p w14:paraId="50C0989C"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 xml:space="preserve">Quidé, Y., Bortolasci, C.C., Spolding, B., Kidnapillai, S., Watkeys, O.J., Cohen-Woods, S., Berk, M., </w:t>
      </w:r>
      <w:r w:rsidRPr="00DC7ADB">
        <w:rPr>
          <w:rFonts w:ascii="Times New Roman" w:hAnsi="Times New Roman" w:cs="Times New Roman"/>
          <w:noProof/>
          <w:sz w:val="22"/>
        </w:rPr>
        <w:lastRenderedPageBreak/>
        <w:t>Carr, V.J., Walder, K., Green, M.J., 2019. Association between childhood trauma exposure and pro-inflammatory cytokines in schizophrenia and bipolar-I disorder. Psychol. Med. 49, 2736–2744. https://doi.org/10.1017/S0033291718003690</w:t>
      </w:r>
    </w:p>
    <w:p w14:paraId="07AB85FF"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Remlinger-Molenda, A., Wójciak, P., Michalak, M., Rybakowski, J., 2012. [Activity of selected cytokines in bipolar patients during manic and depressive  episodes]. Psychiatr. Pol. 46, 599–611.</w:t>
      </w:r>
    </w:p>
    <w:p w14:paraId="5A403BA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Rohatgi, A., 2020. WebPlotDigitizer.</w:t>
      </w:r>
    </w:p>
    <w:p w14:paraId="6D3CB84D"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Rosenblat, J.D., Kakar, R., Berk, M., Kessing, L. V, Vinberg, M., Baune, B.T., Mansur, R.B., Brietzke, E., Goldstein, B.I., McIntyre, R.S., 2016. Anti-inflammatory agents in the treatment of bipolar depression: a systematic review and meta-analysis. Bipolar Disord. 18, 89–101. https://doi.org/https://doi.org/10.1111/bdi.12373</w:t>
      </w:r>
    </w:p>
    <w:p w14:paraId="4D7744E1"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Sanjay, T.N., Shivakumar, V., Subbanna, M., Biradar, S.U., Muralidharan, K., Venkatasubramanian, G., 2017. Plasma interleukin-6 in remitted early bipolar I disorder and subjects at high-risk for bipolar disorder. Asian J. Psychiatr. https://doi.org/10.1016/j.ajp.2017.03.014</w:t>
      </w:r>
    </w:p>
    <w:p w14:paraId="739A3C9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Sayana, P., Colpo, G.D., Simões, L.R., Giridharan, V.V., Teixeira, A.L., Quevedo, J., Barichello, T., 2017. A systematic review of evidence for the role of inflammatory biomarkers in bipolar patients. J. Psychiatr. Res. 92, 160–182. https://doi.org/https://doi.org/10.1016/j.jpsychires.2017.03.018</w:t>
      </w:r>
    </w:p>
    <w:p w14:paraId="7F131FF4"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Scola, G., McNamara, R.K., Croarkin, P.E., Leffler, J.M., Cullen, K.R., Geske, J.R., Biernacka, J.M., Frye, M.A., Delbello, M.P., Andreazza, A.C., 2016. Lipid peroxidation biomarkers in adolescents with or at high-risk for bipolar disorder. J. Affect. Disord. 192, 176–183. https://doi.org/10.1016/j.jad.2015.12.020</w:t>
      </w:r>
    </w:p>
    <w:p w14:paraId="1BBDCF5A"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Stroup DF, Berlin JA, Morton SC, Olkin I, Williamson GD, R.D., 2000. MOOSE Guidelines for Meta-Analyses and Systematic Reviews of Observational Studies. Jama.</w:t>
      </w:r>
    </w:p>
    <w:p w14:paraId="5BC85EF9"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Suleiman, M., Khatib, R., Agmon, Y., Mahamid, R., Boulos, M., Kapeliovich, M., Levy, Y., Beyar, R., Markiewicz, W., Hammerman, H., Aronson, D., 2006. Early inflammation and risk of long-term development of heart failure and mortality in survivors of acute myocardial infarction: Predictive role of C-reactive protein. J. Am. Coll. Cardiol. 47, 962–968. https://doi.org/10.1016/j.jacc.2005.10.055</w:t>
      </w:r>
    </w:p>
    <w:p w14:paraId="30F067E6"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Tsai, S.Y., Chung, K.H., Wu, J.Y., Kuo, C.J., Lee, H.C., Huang, S.H., 2012. Inflammatory markers and their relationships with leptin and insulin from acute mania to full remission in bipolar disorder. J. Affect. Disord. 136, 110–116. https://doi.org/10.1016/j.jad.2011.08.022</w:t>
      </w:r>
    </w:p>
    <w:p w14:paraId="11CEBC8C"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Tunç, S., Atagün, M.İ., Başbuğ, H.S., Erel, Ö., 2019. Serum ceruloplasmin-ferroxidase activity in bipolar disorder is elevated compared to major depressive disorder and schizophrenia: a controlled study. Psychiatry Clin. Psychopharmacol. 29, 307–314. https://doi.org/10.1080/24750573.2019.1584489</w:t>
      </w:r>
    </w:p>
    <w:p w14:paraId="4324001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 xml:space="preserve">van den Ameele, S., Fuchs, D., Coppens, V., de Boer, P., Timmers, M., Sabbe, B., Morrens, M., 2018. </w:t>
      </w:r>
      <w:r w:rsidRPr="00DC7ADB">
        <w:rPr>
          <w:rFonts w:ascii="Times New Roman" w:hAnsi="Times New Roman" w:cs="Times New Roman"/>
          <w:noProof/>
          <w:sz w:val="22"/>
        </w:rPr>
        <w:lastRenderedPageBreak/>
        <w:t>Markers of inflammation and monoamine metabolism indicate accelerated aging in bipolar disorder. Front. Psychiatry 9. https://doi.org/10.3389/fpsyt.2018.00250</w:t>
      </w:r>
    </w:p>
    <w:p w14:paraId="5724DCF4"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Vancampfort, D., Correll, C.U., Galling, B., Probst, M., De Hert, M., Ward, P.B., Rosenbaum, S., Gaughran, F., Lally, J., Stubbs, B., 2016. Diabetes mellitus in people with schizophrenia, bipolar disorder and major depressive disorder: A systematic review and large scale meta-analysis. World Psychiatry 15, 166–174. https://doi.org/10.1002/wps.20309</w:t>
      </w:r>
    </w:p>
    <w:p w14:paraId="3C3D71F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Vancampfort, D., Stubbs, B., Mitchell, A.J., De Hert, M., Wampers, M., Ward, P.B., Rosenbaum, S., Correll, C.U., 2015. Risk of metabolic syndrome and its components in people with schizophrenia and related psychotic disorders, bipolar disorder and major depressive disorder: a systematic review and meta-analysis. World Psychiatry 14, 339–347. https://doi.org/10.1002/wps.20252</w:t>
      </w:r>
    </w:p>
    <w:p w14:paraId="1C4A6EE5"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Vasconcelos-Moreno, M.P., Fries, G.R., Gubert, C., Dos Santos, B.T.M.Q., Fijtman, A., Sartori, J., Ferrari, P., Grun, L.K., Parisi, M.M., Guma, F.T.C.R., Barbé-Tuana, F.M., Kapczinski, F., Rosa, A.R., Yatham, L.N., Kauer-Sant’Anna, M., 2017. Telomere Length, Oxidative Stress, Inflammation and BDNF Levels in Siblings of Patients with Bipolar Disorder: Implications for Accelerated Cellular Aging. Int. J. Neuropsychopharmacol. 20, 445–454. https://doi.org/10.1093/ijnp/pyx001</w:t>
      </w:r>
    </w:p>
    <w:p w14:paraId="6E8D1052"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Vieta, E., 2015. Personalized medicine applied to mental health: Precision psychiatry. Rev. Psiquiatr. y Salud Ment.  (English Ed. 8, 117–118. https://doi.org/10.1016/j.rpsmen.2015.03.007</w:t>
      </w:r>
    </w:p>
    <w:p w14:paraId="34B7FE6B"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Wadee, A.A., Kuschke, R.H., Wood, L.A., Berk, M., Ichim, L., Maes, M., 2002. Serological observations in patients suffering from acute manic episodes. Hum. Psychopharmacol. 17, 175–179. https://doi.org/10.1002/hup.390</w:t>
      </w:r>
    </w:p>
    <w:p w14:paraId="11A8269E"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Wang, T.Y., Lee, S.Y., Chen, S.L., Chung, Y.L., Li, C.L., Chang, Y.H., Wang, L.J., Chen, P.S., Chen, S.H., Chu, C.H., Huang, S.Y., Tzeng, N.S., Hsieh, T.H., Chiu, Y.C., Lee, I.H., Chen, K.C., Yang, Y.K., Hong, J.S., Lu, R.B., 2016. The differential levels of inflammatory cytokines and bdnf among bipolar spectrum disorders. Int. J. Neuropsychopharmacol. 19, 1–8. https://doi.org/10.1093/ijnp/pyw012</w:t>
      </w:r>
    </w:p>
    <w:p w14:paraId="7ADE2368" w14:textId="77777777" w:rsidR="00DC7ADB" w:rsidRPr="00AF5E1D" w:rsidRDefault="00DC7ADB" w:rsidP="00DC7ADB">
      <w:pPr>
        <w:widowControl w:val="0"/>
        <w:autoSpaceDE w:val="0"/>
        <w:autoSpaceDN w:val="0"/>
        <w:adjustRightInd w:val="0"/>
        <w:spacing w:line="360" w:lineRule="auto"/>
        <w:ind w:left="480" w:hanging="480"/>
        <w:rPr>
          <w:rFonts w:ascii="Times New Roman" w:hAnsi="Times New Roman" w:cs="Times New Roman"/>
          <w:noProof/>
          <w:sz w:val="22"/>
          <w:lang w:val="pt-BR"/>
        </w:rPr>
      </w:pPr>
      <w:r w:rsidRPr="00DC7ADB">
        <w:rPr>
          <w:rFonts w:ascii="Times New Roman" w:hAnsi="Times New Roman" w:cs="Times New Roman"/>
          <w:noProof/>
          <w:sz w:val="22"/>
        </w:rPr>
        <w:t xml:space="preserve">WHO, n.d. International Classification of Diseases - 10 (ICD-10). </w:t>
      </w:r>
      <w:r w:rsidRPr="00AF5E1D">
        <w:rPr>
          <w:rFonts w:ascii="Times New Roman" w:hAnsi="Times New Roman" w:cs="Times New Roman"/>
          <w:noProof/>
          <w:sz w:val="22"/>
          <w:lang w:val="pt-BR"/>
        </w:rPr>
        <w:t>Version: 2019., World Health Organization.</w:t>
      </w:r>
    </w:p>
    <w:p w14:paraId="37014CD6" w14:textId="77777777" w:rsidR="00DC7ADB" w:rsidRPr="00AF5E1D" w:rsidRDefault="00DC7ADB" w:rsidP="00DC7ADB">
      <w:pPr>
        <w:widowControl w:val="0"/>
        <w:autoSpaceDE w:val="0"/>
        <w:autoSpaceDN w:val="0"/>
        <w:adjustRightInd w:val="0"/>
        <w:spacing w:line="360" w:lineRule="auto"/>
        <w:ind w:left="480" w:hanging="480"/>
        <w:rPr>
          <w:rFonts w:ascii="Times New Roman" w:hAnsi="Times New Roman" w:cs="Times New Roman"/>
          <w:noProof/>
          <w:sz w:val="22"/>
          <w:lang w:val="pt-BR"/>
        </w:rPr>
      </w:pPr>
      <w:r w:rsidRPr="00AF5E1D">
        <w:rPr>
          <w:rFonts w:ascii="Times New Roman" w:hAnsi="Times New Roman" w:cs="Times New Roman"/>
          <w:noProof/>
          <w:sz w:val="22"/>
          <w:lang w:val="pt-BR"/>
        </w:rPr>
        <w:t xml:space="preserve">Wieck, A., Grassi-Oliveira, R., do Prado, C.H., Rizzo, L.B., de Oliveira, A.S., Kommers-Molina, J., Viola, T.W., Marciano Vieira, É.L., Teixeira, A.Ô.L., Bauer, M.E., 2014. </w:t>
      </w:r>
      <w:r w:rsidRPr="00DC7ADB">
        <w:rPr>
          <w:rFonts w:ascii="Times New Roman" w:hAnsi="Times New Roman" w:cs="Times New Roman"/>
          <w:noProof/>
          <w:sz w:val="22"/>
        </w:rPr>
        <w:t xml:space="preserve">Pro-inflammatory cytokines and soluble receptors in response to acute psychosocial stress: Differential reactivity in bipolar disorder. </w:t>
      </w:r>
      <w:r w:rsidRPr="00AF5E1D">
        <w:rPr>
          <w:rFonts w:ascii="Times New Roman" w:hAnsi="Times New Roman" w:cs="Times New Roman"/>
          <w:noProof/>
          <w:sz w:val="22"/>
          <w:lang w:val="pt-BR"/>
        </w:rPr>
        <w:t>Neurosci. Lett. https://doi.org/10.1016/j.neulet.2014.07.040</w:t>
      </w:r>
    </w:p>
    <w:p w14:paraId="47ED718D" w14:textId="77777777" w:rsidR="00DC7ADB" w:rsidRPr="00AF5E1D" w:rsidRDefault="00DC7ADB" w:rsidP="00DC7ADB">
      <w:pPr>
        <w:widowControl w:val="0"/>
        <w:autoSpaceDE w:val="0"/>
        <w:autoSpaceDN w:val="0"/>
        <w:adjustRightInd w:val="0"/>
        <w:spacing w:line="360" w:lineRule="auto"/>
        <w:ind w:left="480" w:hanging="480"/>
        <w:rPr>
          <w:rFonts w:ascii="Times New Roman" w:hAnsi="Times New Roman" w:cs="Times New Roman"/>
          <w:noProof/>
          <w:sz w:val="22"/>
          <w:lang w:val="pt-BR"/>
        </w:rPr>
      </w:pPr>
      <w:r w:rsidRPr="00AF5E1D">
        <w:rPr>
          <w:rFonts w:ascii="Times New Roman" w:hAnsi="Times New Roman" w:cs="Times New Roman"/>
          <w:noProof/>
          <w:sz w:val="22"/>
          <w:lang w:val="pt-BR"/>
        </w:rPr>
        <w:t xml:space="preserve">Wiener, C.D., Moreira, F.P., Cardoso, T.A., Mondin, T.C., da Silva Magalhães, P.V., Kapczinski, F., de Mattos Souza, L.D., da Silva, R.A., Oses, J.P., Jansen, K., 2017. </w:t>
      </w:r>
      <w:r w:rsidRPr="00DC7ADB">
        <w:rPr>
          <w:rFonts w:ascii="Times New Roman" w:hAnsi="Times New Roman" w:cs="Times New Roman"/>
          <w:noProof/>
          <w:sz w:val="22"/>
        </w:rPr>
        <w:t xml:space="preserve">Inflammatory cytokines and functional impairment in drug-free subjects with mood disorder. </w:t>
      </w:r>
      <w:r w:rsidRPr="00AF5E1D">
        <w:rPr>
          <w:rFonts w:ascii="Times New Roman" w:hAnsi="Times New Roman" w:cs="Times New Roman"/>
          <w:noProof/>
          <w:sz w:val="22"/>
          <w:lang w:val="pt-BR"/>
        </w:rPr>
        <w:t>J. Neuroimmunol. 307, 33–36. https://doi.org/10.1016/j.jneuroim.2017.03.003</w:t>
      </w:r>
    </w:p>
    <w:p w14:paraId="7B2A16D2"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AF5E1D">
        <w:rPr>
          <w:rFonts w:ascii="Times New Roman" w:hAnsi="Times New Roman" w:cs="Times New Roman"/>
          <w:noProof/>
          <w:sz w:val="22"/>
          <w:lang w:val="pt-BR"/>
        </w:rPr>
        <w:lastRenderedPageBreak/>
        <w:t xml:space="preserve">Wiener, C.D., Moreira, F.P., Portela, L.V., Strogulski, N.R., Lara, D.R., da Silva, R.A., Souza, L.D. de M., Jansen, K., Oses, J.P., 2019. </w:t>
      </w:r>
      <w:r w:rsidRPr="00DC7ADB">
        <w:rPr>
          <w:rFonts w:ascii="Times New Roman" w:hAnsi="Times New Roman" w:cs="Times New Roman"/>
          <w:noProof/>
          <w:sz w:val="22"/>
        </w:rPr>
        <w:t>Interleukin-6 and Interleukin-10 in mood disorders: A population-based study. Psychiatry Res. 273, 685–689. https://doi.org/10.1016/j.psychres.2019.01.100</w:t>
      </w:r>
    </w:p>
    <w:p w14:paraId="18BA6603" w14:textId="77777777" w:rsidR="00DC7ADB" w:rsidRPr="00DC7ADB" w:rsidRDefault="00DC7ADB" w:rsidP="00DC7ADB">
      <w:pPr>
        <w:widowControl w:val="0"/>
        <w:autoSpaceDE w:val="0"/>
        <w:autoSpaceDN w:val="0"/>
        <w:adjustRightInd w:val="0"/>
        <w:spacing w:line="360" w:lineRule="auto"/>
        <w:ind w:left="480" w:hanging="480"/>
        <w:rPr>
          <w:rFonts w:ascii="Times New Roman" w:hAnsi="Times New Roman" w:cs="Times New Roman"/>
          <w:noProof/>
          <w:sz w:val="22"/>
        </w:rPr>
      </w:pPr>
      <w:r w:rsidRPr="00DC7ADB">
        <w:rPr>
          <w:rFonts w:ascii="Times New Roman" w:hAnsi="Times New Roman" w:cs="Times New Roman"/>
          <w:noProof/>
          <w:sz w:val="22"/>
        </w:rPr>
        <w:t>Wu, W., Zheng, Y.L., Tian, L.P., Lai, J.B., Hu, C.C., Zhang, P., Chen, J.K., Hu, J.B., Huang, M.L., Wei, N., Xu, W.J., Zhou, W.H., Lu, S.J., Lu, J., Qi, H.L., Wang, D.D., Zhou, X.Y., Duan, J.F., Xu, Y., Hu, S.H., 2017. Circulating T lymphocyte subsets, cytokines, and immune checkpoint inhibitors in patients with bipolar II or major depression: A preliminary study. Sci. Rep. 7. https://doi.org/10.1038/srep40530</w:t>
      </w:r>
    </w:p>
    <w:p w14:paraId="6A625F98" w14:textId="77777777" w:rsidR="005533C0" w:rsidRPr="00D82E1B" w:rsidRDefault="0059262C" w:rsidP="00446D07">
      <w:pPr>
        <w:spacing w:line="360" w:lineRule="auto"/>
        <w:rPr>
          <w:rFonts w:ascii="Times New Roman" w:hAnsi="Times New Roman" w:cs="Times New Roman"/>
          <w:sz w:val="22"/>
          <w:szCs w:val="22"/>
          <w:lang w:val="en-US"/>
        </w:rPr>
      </w:pPr>
      <w:r>
        <w:rPr>
          <w:rFonts w:ascii="Times New Roman" w:hAnsi="Times New Roman" w:cs="Times New Roman"/>
          <w:sz w:val="22"/>
          <w:szCs w:val="22"/>
          <w:lang w:val="pt-BR"/>
        </w:rPr>
        <w:fldChar w:fldCharType="end"/>
      </w:r>
    </w:p>
    <w:p w14:paraId="3A5A14D9" w14:textId="77777777" w:rsidR="00884683" w:rsidRPr="004846E4" w:rsidRDefault="00884683" w:rsidP="004846E4">
      <w:pPr>
        <w:rPr>
          <w:rFonts w:ascii="Times New Roman" w:hAnsi="Times New Roman" w:cs="Times New Roman"/>
          <w:sz w:val="22"/>
          <w:szCs w:val="22"/>
        </w:rPr>
      </w:pPr>
    </w:p>
    <w:p w14:paraId="707E7B69" w14:textId="77777777" w:rsidR="00884683" w:rsidRPr="004846E4" w:rsidRDefault="00884683" w:rsidP="004846E4">
      <w:pPr>
        <w:rPr>
          <w:rFonts w:ascii="Times New Roman" w:hAnsi="Times New Roman" w:cs="Times New Roman"/>
          <w:sz w:val="22"/>
          <w:szCs w:val="22"/>
        </w:rPr>
      </w:pPr>
    </w:p>
    <w:p w14:paraId="2D48D86E" w14:textId="77777777" w:rsidR="00884683" w:rsidRPr="004846E4" w:rsidRDefault="00884683" w:rsidP="004846E4">
      <w:pPr>
        <w:rPr>
          <w:rFonts w:ascii="Times New Roman" w:hAnsi="Times New Roman" w:cs="Times New Roman"/>
          <w:sz w:val="22"/>
          <w:szCs w:val="22"/>
        </w:rPr>
      </w:pPr>
    </w:p>
    <w:p w14:paraId="48F652DE" w14:textId="77777777" w:rsidR="00884683" w:rsidRPr="004846E4" w:rsidRDefault="00884683" w:rsidP="004846E4">
      <w:pPr>
        <w:rPr>
          <w:rFonts w:ascii="Times New Roman" w:hAnsi="Times New Roman" w:cs="Times New Roman"/>
          <w:sz w:val="22"/>
          <w:szCs w:val="22"/>
        </w:rPr>
      </w:pPr>
    </w:p>
    <w:p w14:paraId="214A626E" w14:textId="77777777" w:rsidR="00A96272" w:rsidRDefault="00A96272" w:rsidP="004846E4">
      <w:pPr>
        <w:rPr>
          <w:rFonts w:ascii="Times New Roman" w:hAnsi="Times New Roman" w:cs="Times New Roman"/>
          <w:sz w:val="22"/>
          <w:szCs w:val="22"/>
        </w:rPr>
        <w:sectPr w:rsidR="00A96272" w:rsidSect="00531444">
          <w:footerReference w:type="default" r:id="rId9"/>
          <w:pgSz w:w="11900" w:h="16840"/>
          <w:pgMar w:top="1440" w:right="1440" w:bottom="1440" w:left="1440" w:header="708" w:footer="708" w:gutter="0"/>
          <w:cols w:space="708"/>
          <w:docGrid w:linePitch="360"/>
        </w:sectPr>
      </w:pPr>
      <w:r>
        <w:rPr>
          <w:rFonts w:ascii="Times New Roman" w:hAnsi="Times New Roman" w:cs="Times New Roman"/>
          <w:sz w:val="22"/>
          <w:szCs w:val="22"/>
        </w:rPr>
        <w:br w:type="page"/>
      </w:r>
    </w:p>
    <w:p w14:paraId="6A57054A" w14:textId="6771B098" w:rsidR="006F7CF4" w:rsidRDefault="006F7CF4" w:rsidP="006F1C5E">
      <w:pPr>
        <w:pStyle w:val="Heading1"/>
      </w:pPr>
      <w:r>
        <w:lastRenderedPageBreak/>
        <w:t xml:space="preserve">Table 1. Characteristics of included studies </w:t>
      </w:r>
    </w:p>
    <w:tbl>
      <w:tblPr>
        <w:tblW w:w="0" w:type="auto"/>
        <w:jc w:val="right"/>
        <w:shd w:val="clear" w:color="auto" w:fill="FFFFFF" w:themeFill="background1"/>
        <w:tblCellMar>
          <w:left w:w="70" w:type="dxa"/>
          <w:right w:w="70" w:type="dxa"/>
        </w:tblCellMar>
        <w:tblLook w:val="04A0" w:firstRow="1" w:lastRow="0" w:firstColumn="1" w:lastColumn="0" w:noHBand="0" w:noVBand="1"/>
      </w:tblPr>
      <w:tblGrid>
        <w:gridCol w:w="3196"/>
        <w:gridCol w:w="379"/>
        <w:gridCol w:w="518"/>
        <w:gridCol w:w="954"/>
        <w:gridCol w:w="628"/>
        <w:gridCol w:w="469"/>
        <w:gridCol w:w="469"/>
        <w:gridCol w:w="451"/>
        <w:gridCol w:w="451"/>
        <w:gridCol w:w="902"/>
        <w:gridCol w:w="881"/>
        <w:gridCol w:w="707"/>
        <w:gridCol w:w="451"/>
      </w:tblGrid>
      <w:tr w:rsidR="00B77545" w:rsidRPr="009F0DFF" w14:paraId="1CAA5E3A" w14:textId="77777777" w:rsidTr="00AF5E1D">
        <w:trPr>
          <w:trHeight w:val="113"/>
          <w:tblHeader/>
          <w:jc w:val="right"/>
        </w:trPr>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772D282" w14:textId="77777777" w:rsidR="006F7CF4" w:rsidRPr="009F0DFF" w:rsidRDefault="006F7CF4" w:rsidP="00B77545">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Author and year</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B028AE8" w14:textId="77777777" w:rsidR="006F7CF4" w:rsidRPr="009F0DFF" w:rsidRDefault="006F7CF4" w:rsidP="00B77545">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N cases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B97E3A3" w14:textId="77777777" w:rsidR="006F7CF4" w:rsidRPr="009F0DFF" w:rsidRDefault="006F7CF4" w:rsidP="00B964B0">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N controls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D04B9B4" w14:textId="77777777" w:rsidR="006F7CF4" w:rsidRPr="009F0DFF" w:rsidRDefault="006F7CF4" w:rsidP="00B964B0">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Cytokine</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9553842" w14:textId="77777777" w:rsidR="006F7CF4" w:rsidRPr="009F0DFF" w:rsidRDefault="006F7CF4" w:rsidP="00B964B0">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BD states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55C1E36" w14:textId="77777777" w:rsidR="006F7CF4" w:rsidRPr="009F0DFF" w:rsidRDefault="006F7CF4" w:rsidP="003B2C53">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Age case (mean)</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09FFB61E" w14:textId="77777777" w:rsidR="006F7CF4" w:rsidRPr="009F0DFF" w:rsidRDefault="006F7CF4" w:rsidP="003E0F32">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Age ctrl (mean)</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1FA4EBA" w14:textId="77777777" w:rsidR="006F7CF4" w:rsidRPr="009F0DFF" w:rsidRDefault="006F7CF4" w:rsidP="008215D4">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 female cases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AAB0764" w14:textId="77777777" w:rsidR="006F7CF4" w:rsidRPr="009F0DFF" w:rsidRDefault="006F7CF4" w:rsidP="008215D4">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 female ctrls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E476EA8" w14:textId="77777777" w:rsidR="006F7CF4" w:rsidRPr="009F0DFF" w:rsidRDefault="006F7CF4" w:rsidP="009F0DFF">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Treatment status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56CE903" w14:textId="77777777" w:rsidR="006F7CF4" w:rsidRPr="009F0DFF" w:rsidRDefault="006F7CF4" w:rsidP="009F0DFF">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Country</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E340AF4" w14:textId="77777777" w:rsidR="006F7CF4" w:rsidRPr="009F0DFF" w:rsidRDefault="006F7CF4" w:rsidP="009F0DFF">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Diagnosis criteria</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D951DF0" w14:textId="77777777" w:rsidR="006F7CF4" w:rsidRPr="009F0DFF" w:rsidRDefault="006F7CF4" w:rsidP="009F0DFF">
            <w:pPr>
              <w:jc w:val="center"/>
              <w:rPr>
                <w:rFonts w:ascii="Times New Roman" w:eastAsia="Times New Roman" w:hAnsi="Times New Roman" w:cs="Times New Roman"/>
                <w:b/>
                <w:bCs/>
                <w:sz w:val="18"/>
                <w:szCs w:val="18"/>
                <w:lang w:eastAsia="it-IT"/>
              </w:rPr>
            </w:pPr>
            <w:r w:rsidRPr="009F0DFF">
              <w:rPr>
                <w:rFonts w:ascii="Times New Roman" w:eastAsia="Times New Roman" w:hAnsi="Times New Roman" w:cs="Times New Roman"/>
                <w:b/>
                <w:bCs/>
                <w:sz w:val="18"/>
                <w:szCs w:val="18"/>
                <w:lang w:eastAsia="it-IT"/>
              </w:rPr>
              <w:t>Assay</w:t>
            </w:r>
          </w:p>
        </w:tc>
      </w:tr>
      <w:tr w:rsidR="00B77545" w:rsidRPr="009F0DFF" w14:paraId="01BF8F7E"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4EED88F9" w14:textId="6C12E644"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Aas M. et al.,2017</w:t>
            </w:r>
            <w:r w:rsidRPr="009F0DFF">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{"citationItems":[{"id":"ITEM-1","itemData":{"DOI":"https://doi.org/10.1016/j.bbi.2017.06.005","ISSN":"0889-1591","abstract":"Background Several studies have described an association between childhood maltreatment and inflammatory markers in the psychotic disorders (schizophrenia [SZ] and bipolar disorder [BD]). Previous studies have been relatively small (&lt;50 participants), and the severity of abuse and the putative influence of body mass index (BMI) have not been properly investigated. Methods The combined effects of childhood abuse severity and clinical diagnosis on inflammatory markers were investigated in a large sample (n=483) of patients with a disorder on the psychosis spectrum and in healthy controls (HCs). Plasma levels of inflammatory markers (high-sensitivity C-reactive protein [hs-CRP], soluble tumor necrosis factor receptor type 1 [TNFR-R1], glycoprotein 130 [gp130]) were analyzed, and BMI and data on childhood trauma events, on the basis of the Childhood Trauma Questionnaire (CTQ), were obtained from all participants. Results Patients had increased levels of hs-CRP (P&lt;0.001, Cohens d=0.4), lower levels of gp130 (P&lt;0.001, Cohens d=0.5), higher BMI (P&lt;0.001, Cohens d=0.5) and reported more childhood maltreatment experiences (P&lt;0.001, Cohens d=1.2) than the HC group. The severity of childhood abuse (up to three types of abuse: sexual abuse, physical abuse, and emotional abuse) was associated with elevated BMI (f=8.46, P&lt;0.001, Cohen’s d=0.5) and hs-CRP (f=5.47, P=0.001, Cohen’s d=0.3). Combined effects of patient status and severity of childhood abuse were found for elevated hs-CRP (f=4.76, P&lt;0.001, Cohen’s d=0.4). Differences among the groups disappeared when BMI was added to the model. Discussion Trauma-altered immune activation via elevated hs-CRP in patients with SZ and BD may be mediated by higher BMI; however, the direction of this association needs further clarification.","author":[{"dropping-particle":"","family":"Aas","given":"Monica","non-dropping-particle":"","parse-names":false,"suffix":""},{"dropping-particle":"","family":"Dieset","given":"Ingrid","non-dropping-particle":"","parse-names":false,"suffix":""},{"dropping-particle":"","family":"Hope","given":"Sigrun","non-dropping-particle":"","parse-names":false,"suffix":""},{"dropping-particle":"","family":"Hoseth","given":"Eva","non-dropping-particle":"","parse-names":false,"suffix":""},{"dropping-particle":"","family":"Mørch","given":"Ragni","non-dropping-particle":"","parse-names":false,"suffix":""},{"dropping-particle":"","family":"Reponen","given":"Elina","non-dropping-particle":"","parse-names":false,"suffix":""},{"dropping-particle":"","family":"Steen","given":"Nils Eiel","non-dropping-particle":"","parse-names":false,"suffix":""},{"dropping-particle":"","family":"Laskemoen","given":"Jannicke Fjæra","non-dropping-particle":"","parse-names":false,"suffix":""},{"dropping-particle":"","family":"Ueland","given":"Thor","non-dropping-particle":"","parse-names":false,"suffix":""},{"dropping-particle":"","family":"Aukrust","given":"Pål","non-dropping-particle":"","parse-names":false,"suffix":""},{"dropping-particle":"","family":"Agartz","given":"Ingrid","non-dropping-particle":"","parse-names":false,"suffix":""},{"dropping-particle":"","family":"Andreassen","given":"Ole A","non-dropping-particle":"","parse-names":false,"suffix":""},{"dropping-particle":"","family":"Melle","given":"Ingrid","non-dropping-particle":"","parse-names":false,"suffix":""}],"container-title":"Brain, Behavior, and Immunity","id":"ITEM-1","issued":{"date-parts":[["2017"]]},"page":"342-349","title":"Childhood maltreatment severity is associated with elevated C-reactive protein and body mass index in adults with schizophrenia and bipolar diagnoses","type":"article-journal","volume":"65"},"uris":["http://www.mendeley.com/documents/?uuid=50f15141-dcb4-4644-b2fd-c7602f510c4a"]}],"mendeley":{"formattedCitation":"(Aas et al., 2017)","plainTextFormattedCitation":"(Aas et al., 2017)","previouslyFormattedCitation":"(Aas et al., 2017)"},"properties":{"noteIndex":0},"schema":"https://github.com/citation-style-language/schema/raw/master/csl-citation.json"}</w:instrText>
            </w:r>
            <w:r w:rsidRPr="009F0DFF">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(Aas et al., 2017)</w:t>
            </w:r>
            <w:r w:rsidRPr="009F0DFF">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9AC9140"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C4D0118"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212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12FBC13"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4F143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7C88BBB"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3A54C6A"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771634A"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3FACD20"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79C03C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74A3AF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Norway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5C4123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DFC43B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2D121A2D"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CF0828E" w14:textId="4AF04594"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Bai Y-M et al.,2015</w:t>
            </w:r>
            <w:r w:rsidRPr="009F0DFF">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{"citationItems":[{"id":"ITEM-1","itemData":{"DOI":"https://doi.org/10.1111/bdi.12259","ISSN":"1398-5647","abstract":"Objective Research evidence has shown that bipolar disorder (BD) and unipolar depression (UD) are both related to inflammatory dysregulation, but few studies have compared the levels of cytokines between these two disorders. Methods Study subjects were age- and gender-matched outpatients with BD or UD and normal controls (NC). Severities of depression and mania symptoms were assessed with the Montgomery?Åsberg Depression Rating Scale (MADRS) and the Young Mania Rating Scale (YMRS). Pro-inflammatory cytokines, including soluble interleukin-6 receptor (sIL-6R), soluble interleukin-2 receptor (sIL-2R), C-reactive protein (CRP), soluble tumor necrosis factor receptor type 1 (sTNF-R1), soluble p-selectin receptor (sP-selectin), and monocyte chemotactic protein-1 (MCP-1), were assessed in all subjects by enzyme-linked immunosorbent assays. Results In all, 130 patients with BD, 149 patients with UD, and 130 NC were enrolled in the study; 67.6% were female and the average age was mean ± standard deviation (SD) 43.5 ± 11.8 years. The BD group had a significantly higher smoking rate, more medical comorbidity, higher body mass index (BMI), and higher levels of sIL-2R, sIL-6R, CRP, sTNF-R1, and MCP-1 (all p &lt; 0.01) than the UD and NC groups. When the remitted patients with BD (YMRS scores ≤ 12) were compared with the patients with UD, controlling for age, MADRS score, smoking, medical comorbidity, and BMI in the regression model, the results showed that the BD group had significantly higher levels of sIL-6R (p &lt; 0.001), CRP (p = 0.045), sTNF-R1 (p = 0.036), and MCP-1 (p = 0.001) than the UD group. Conclusions Higher levels of sIL-6R, CRP, sTNF-R1, and MCP-1 were noted in BD than in UD. These results may suggest a more severe inflammatory dysregulation in BD. Further studies are required to investigate whether these cytokines could be biomarkers for affective disorders.","author":[{"dropping-particle":"","family":"Bai","given":"Ya-Mei","non-dropping-particle":"","parse-names":false,"suffix":""},{"dropping-particle":"","family":"Su","given":"Tung-Ping","non-dropping-particle":"","parse-names":false,"suffix":""},{"dropping-particle":"","family":"Li","given":"Cheng-Ta","non-dropping-particle":"","parse-names":false,"suffix":""},{"dropping-particle":"","family":"Tsai","given":"Shih-Jen","non-dropping-particle":"","parse-names":false,"suffix":""},{"dropping-particle":"","family":"Chen","given":"Mu-Hong","non-dropping-particle":"","parse-names":false,"suffix":""},{"dropping-particle":"","family":"Tu","given":"Pei-Chi","non-dropping-particle":"","parse-names":false,"suffix":""},{"dropping-particle":"","family":"Chiou","given":"Wen-Fei","non-dropping-particle":"","parse-names":false,"suffix":""}],"container-title":"Bipolar Disorders","id":"ITEM-1","issue":"3","issued":{"date-parts":[["2015","5","1"]]},"note":"https://doi.org/10.1111/bdi.12259","page":"269-277","publisher":"John Wiley &amp; Sons, Ltd","title":"Comparison of pro-inflammatory cytokines among patients with bipolar disorder and unipolar depression and normal controls","type":"article-journal","volume":"17"},"uris":["http://www.mendeley.com/documents/?uuid=5c250b22-5c5e-4dcb-869f-22a5c6856053"]}],"mendeley":{"formattedCitation":"(Bai et al., 2015)","plainTextFormattedCitation":"(Bai et al., 2015)","previouslyFormattedCitation":"(Bai et al., 2015)"},"properties":{"noteIndex":0},"schema":"https://github.com/citation-style-language/schema/raw/master/csl-citation.json"}</w:instrText>
            </w:r>
            <w:r w:rsidRPr="009F0DFF">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(Bai et al., 2015)</w:t>
            </w:r>
            <w:r w:rsidRPr="009F0DFF">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CD5AC1"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E1F6E6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6DC8DBC"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365757"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DC169C3"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00350C8"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3ED4B6"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67.9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7730B9B"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64.6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9109B6"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E2E3AC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Taiwan</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E91857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FBAD1D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033C4BF2"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2A82F2BC" w14:textId="2641E0A0" w:rsidR="00166441" w:rsidRPr="00AF5E1D" w:rsidRDefault="00166441" w:rsidP="00B77545">
            <w:pPr>
              <w:jc w:val="center"/>
              <w:rPr>
                <w:rFonts w:ascii="Times New Roman" w:eastAsia="Times New Roman" w:hAnsi="Times New Roman" w:cs="Times New Roman"/>
                <w:sz w:val="18"/>
                <w:szCs w:val="18"/>
                <w:lang w:val="pt-BR" w:eastAsia="it-IT"/>
              </w:rPr>
            </w:pPr>
            <w:r w:rsidRPr="007C37C3">
              <w:rPr>
                <w:rFonts w:ascii="Times New Roman" w:eastAsia="Times New Roman" w:hAnsi="Times New Roman" w:cs="Times New Roman"/>
                <w:sz w:val="18"/>
                <w:szCs w:val="18"/>
                <w:lang w:val="pt-BR" w:eastAsia="it-IT"/>
              </w:rPr>
              <w:t>Barbosa et al., 2011</w:t>
            </w:r>
            <w:r w:rsidRPr="004846E4">
              <w:rPr>
                <w:rFonts w:ascii="Times New Roman" w:eastAsia="Times New Roman" w:hAnsi="Times New Roman" w:cs="Times New Roman"/>
                <w:sz w:val="18"/>
                <w:szCs w:val="18"/>
                <w:lang w:eastAsia="it-IT"/>
              </w:rPr>
              <w:fldChar w:fldCharType="begin" w:fldLock="1"/>
            </w:r>
            <w:r w:rsidR="00603167" w:rsidRPr="007C37C3">
              <w:rPr>
                <w:rFonts w:ascii="Times New Roman" w:eastAsia="Times New Roman" w:hAnsi="Times New Roman" w:cs="Times New Roman"/>
                <w:sz w:val="18"/>
                <w:szCs w:val="18"/>
                <w:lang w:val="pt-BR" w:eastAsia="it-IT"/>
              </w:rPr>
              <w:instrText>ADDIN CSL_CITATION {"citationItems":[{"id":"ITEM-1","itemData":{"DOI":"10.1007/s00406-010-0116-z","ISSN":"09401334","PMID":"20446090","abstract":"Bipolar disorder (BD) has been associated with a proinflammatory state in which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seems to play a relevant role. The aim of the present study was to evaluate the plasma levels of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and its soluble receptors (sTNFR1 and sTNFR2) in BD patients in mania and euthymia in comparison with control subjects. We evaluated 53 BD patients (34 in mania and 19 in euthymia) and 38 healthy subjects. All subjects were assessed by the Mini-International Neuropsychiatry Interview (MINI-Plus). Patients were also evaluated by the Young Mania Rating Scale (YMRS) and by Hamilton Depression Rating Scale (HDRS). Plasma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and its soluble receptors were measured by ELISA. The plasma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and sTNFR2 levels did not differ between groups, but higher sTNFR1 levels were found in BD patients. Of note, BD patients in mania had higher sTNFR1 levels than BD patients in euthymia and controls. The sTNFR1 and sTNFR2 levels correlated with BD duration, and sTNFR2 levels correlated with age of patients. Our data indicate a proinflammatory status in BD patients during mania and further suggest that inflammatory mechanisms may be involved with the physiopathology of BD. © 2010 Springer-Verlag.","author":[{"dropping-particle":"","family":"Barbosa","given":"</w:instrText>
            </w:r>
            <w:r w:rsidR="00603167" w:rsidRPr="00AF5E1D">
              <w:rPr>
                <w:rFonts w:ascii="Times New Roman" w:eastAsia="Times New Roman" w:hAnsi="Times New Roman" w:cs="Times New Roman"/>
                <w:sz w:val="18"/>
                <w:szCs w:val="18"/>
                <w:lang w:val="pt-BR" w:eastAsia="it-IT"/>
              </w:rPr>
              <w:instrText>Izabela Guimarães","non-dropping-particle":"","parse-names":false,"suffix":""},{"dropping-particle":"","family":"Huguet","given":"Rodrigo Barreto","non-dropping-particle":"","parse-names":false,"suffix":""},{"dropping-particle":"","family":"Mendonça","given":"Vanessa Amaral","non-dropping-particle":"","parse-names":false,"suffix":""},{"dropping-particle":"","family":"Sousa","given":"Lirlândia Pires","non-dropping-particle":"","parse-names":false,"suffix":""},{"dropping-particle":"","family":"Neves","given":"Fernando Silva","non-dropping-particle":"","parse-names":false,"suffix":""},{"dropping-particle":"","family":"Bauer","given":"Moisés Evandro","non-dropping-particle":"","parse-names":false,"suffix":""},{"dropping-particle":"","family":"Teixeira","given":"Antônio Lúcio","non-dropping-particle":"","parse-names":false,"suffix":""}],"container-title":"European Archives of Psychiatry and Clinical Neuroscience","id":"ITEM-1","issue":"2","issued":{"date-parts":[["2011","3","6"]]},"page":"139-143","publisher":"Springer","title":"Increased plasma levels of soluble TNF receptor i in patients with bipolar disorder","type":"article-journal","volume":"261"},"uris":["http://www.mendeley.com/documents/?uuid=ecaf3c08-23e5-39de-9336-e3d13a902334"]}],"mendeley":{"formattedCitation":"(Barbosa et al., 2011)","plainTextFormattedCitation":"(Barbosa et al., 2011)","previouslyFormattedCitation":"(Barbosa et al., 2011)"},"properties":{"noteIndex":0},"schema":"https://github.com/citation-style-language/schema/raw/master/csl-citation.json"}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(Barbosa et al., 2011)</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A6ED96"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F584C9" w14:textId="77777777" w:rsidR="00166441" w:rsidRPr="009F0DFF" w:rsidRDefault="00166441" w:rsidP="00166441">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7F3DF13"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C19D64"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BBFD5BB"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9771696"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8AA6669"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57.9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C27B5E4"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52.6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79CD50"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DC6359B"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8032FFB"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D54A4A0"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5C7BC122"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3B3A30C5" w14:textId="33E6DDD0"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26DD5B4"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AC2699"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95164A5"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28ED61A"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CB853DA"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49.6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67592B6" w14:textId="77777777" w:rsidR="00166441" w:rsidRPr="009F0DFF" w:rsidRDefault="00166441"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78A12A8"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6FA75E5"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189BB3E"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BE10653"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2BC7EF6"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45F70EC"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B77545" w:rsidRPr="009F0DFF" w14:paraId="305E0ED0"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12AD266C" w14:textId="73470782" w:rsidR="006F7CF4" w:rsidRPr="00AF5E1D" w:rsidRDefault="006F7CF4" w:rsidP="00B77545">
            <w:pPr>
              <w:jc w:val="center"/>
              <w:rPr>
                <w:rFonts w:ascii="Times New Roman" w:eastAsia="Times New Roman" w:hAnsi="Times New Roman" w:cs="Times New Roman"/>
                <w:sz w:val="18"/>
                <w:szCs w:val="18"/>
                <w:lang w:val="pt-BR" w:eastAsia="it-IT"/>
              </w:rPr>
            </w:pPr>
            <w:r w:rsidRPr="00AF5E1D">
              <w:rPr>
                <w:rFonts w:ascii="Times New Roman" w:eastAsia="Times New Roman" w:hAnsi="Times New Roman" w:cs="Times New Roman"/>
                <w:sz w:val="18"/>
                <w:szCs w:val="18"/>
                <w:lang w:val="pt-BR" w:eastAsia="it-IT"/>
              </w:rPr>
              <w:t>Barbosa et al., 2012 A</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ADDIN CSL_CITATION {"citationItems":[{"id":"ITEM-1","itemData":{"DOI":"https://doi.org/10.1016/j.jpsychires.2011.11.010","ISSN":"0022-3956","abstract":"Bipolar disorder (BD) is associated with considerable higher chronic medical comorbidities, overweight and obesity. Adipokines are adipocyte-derived secretory factors which have functions in immune response and seem to be associated with both BD and overweight. The aim of this study was to evaluate the plasma levels of adipokines (adiponectin, resistin and leptin) and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xml:space="preserve"> and its receptors (sTNFR1 and sTNFR2) in BD overweight patients in comparison with overweight controls. Thirty euthymic BD type-I patients and thirty controls matched by age, gender and body-mass index (BMI) were assessed by Mini-International Neuropsychiatric Interview, Young Mania and Hamilton Depression rating scales (YMRS and HDRS, respectively). Plasma levels of adiponectin, resistin, leptin,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xml:space="preserve"> and its soluble receptors were measured by ELISA. BD patients presented increased plasma levels of adiponectin (p &lt; 0.001), leptin (p &lt; 0.001) and sTNFR1 (p = 0.01). Plasma levels of adipokines were not correlated neither with clinical parameters nor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sTNFR1 and sTNFR2 plasma levels. This study provides further support to the hypothesis of the immune/inflammatory imbalance in BD.","author":[{"dropping-particle":"","family":"Barbosa","given":"Izabela Guimarães","non-dropping-particle":"","parse-names":false,"suffix":""},{"dropping-particle":"","family":"Rocha","given":"Natalia Pessoa","non-dropping-particle":"","parse-names":false,"suffix":""},{"dropping-particle":"de","family":"Miranda","given":"Aline Silva","non-dropping-particle":"","parse-names":false,"suffix":""},{"dropping-particle":"","family":"Magalhães","given":"Pedro Vieira da Silva","non-dropping-particle":"","parse-names":false,"suffix":""},{"dropping-particle":"","family":"Huguet","given":"Rodrigo Barreto","non-dropping-particle":"","parse-names":false,"suffix":""},{"dropping-particle":"de","family":"Souza","given":"Lirlandia Pires","non-dropping-particle":"","parse-names":false,"suffix":""},{"dropping-particle":"","family":"Kapczinski","given":"Flávio","non-dropping-particle":"","parse-names":false,"suffix":""},{"dropping-particle":"","family":"Teixeira","given":"Antonio Lucio","non-dropping-particle":"","parse-names":false,"suffix":""}],"container-title":"Journal of Psychiatric Research","id":"ITEM-1","issue":"3","issued":{"date-parts":[["2012"]]},"page":"389-393","title":"Increased levels of adipokines in bipolar disorder","type":"article-journal","volume":"46"},"uris":["http://www.mendeley.com/documents/?uuid=d25a3584-8c2e-487e-aac1-0a0458322ab9"]}],"mendeley":{"formattedCitation":"(Barbosa et al., 2012b)","plainTextFormattedCitation":"(Barbosa et al., 2012b)","previouslyFormattedCitation":"(Barbosa et al., 2012b)"},"properties":{"noteIndex":0},"schema":"https://github.com/citation-style-language/schema/raw/master/csl-citation.json"}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(Barbosa et al., 2012b)</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A7B462"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BFE174"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738EE6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E1F3918"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DE065E"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49.03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6A703EA"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47.13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4DF197"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939EF91"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EA872F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4FD0D6"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40B90D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C13013"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097FCCA2"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36B0719" w14:textId="03123E74" w:rsidR="006F7CF4" w:rsidRPr="00AF5E1D" w:rsidRDefault="006F7CF4" w:rsidP="00B77545">
            <w:pPr>
              <w:jc w:val="center"/>
              <w:rPr>
                <w:rFonts w:ascii="Times New Roman" w:eastAsia="Times New Roman" w:hAnsi="Times New Roman" w:cs="Times New Roman"/>
                <w:sz w:val="18"/>
                <w:szCs w:val="18"/>
                <w:lang w:val="pt-BR" w:eastAsia="it-IT"/>
              </w:rPr>
            </w:pPr>
            <w:r w:rsidRPr="00AF5E1D">
              <w:rPr>
                <w:rFonts w:ascii="Times New Roman" w:eastAsia="Times New Roman" w:hAnsi="Times New Roman" w:cs="Times New Roman"/>
                <w:sz w:val="18"/>
                <w:szCs w:val="18"/>
                <w:lang w:val="pt-BR" w:eastAsia="it-IT"/>
              </w:rPr>
              <w:t>Barbosa et al., 2012 B</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ADDIN CSL_CITATION {"citationItems":[{"id":"ITEM-1","itemData":{"DOI":"10.1016/j.jad.2011.12.034","ISSN":"01650327","PMID":"22252095","abstract":"Background: Despite the old Kraepelinean concept that bipolar disorder (BD) does not evolve with cognitive decline, the presence of cognitive impairment, especially executive dysfunction has been recognized in BD patients. Brain-derived neurotrophic factor (BDNF) and pro-inflammatory molecules are important contributors to the pathophysiology of BD, and imbalance in peripheral levels of these molecules may be implicated in the cognitive decline observed in BD patients. We aimed to investigate the executive performance of BD type I euthymic patients and its relation with the plasma levels of BDNF,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xml:space="preserve"> and its related soluble receptors (sTNFR1 and sTNFR2). Methods: We evaluated executive functioning through the Frontal Assessment Battery (FAB). Plasma levels of BDNF,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sTNFR1 and sTNFR2 were measured using enzyme-linked immunosorbent assay (ELISA) in 25 euthymic type I BD patients and 25 age and gender matched healthy controls. Results: BD patients had an impairment in executive functioning (p &lt; 0.006), particularly sensitivity of interference (p = 0.02), inhibitory control (p = 0.02), and increased BDNF plasma levels (p = 0.001) in comparison with controls. Plasma levels of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xml:space="preserve"> were correlated with inhibitory control in BD patients (</w:instrText>
            </w:r>
            <w:r w:rsidR="00603167">
              <w:rPr>
                <w:rFonts w:ascii="Times New Roman" w:eastAsia="Times New Roman" w:hAnsi="Times New Roman" w:cs="Times New Roman"/>
                <w:sz w:val="18"/>
                <w:szCs w:val="18"/>
                <w:lang w:eastAsia="it-IT"/>
              </w:rPr>
              <w:instrText>ρ</w:instrText>
            </w:r>
            <w:r w:rsidR="00603167" w:rsidRPr="00AF5E1D">
              <w:rPr>
                <w:rFonts w:ascii="Times New Roman" w:eastAsia="Times New Roman" w:hAnsi="Times New Roman" w:cs="Times New Roman"/>
                <w:sz w:val="18"/>
                <w:szCs w:val="18"/>
                <w:lang w:val="pt-BR" w:eastAsia="it-IT"/>
              </w:rPr>
              <w:instrText xml:space="preserve"> = 0.50, p = 0.02) while motor programming was negatively correlated with sTNFR2 plasma levels (</w:instrText>
            </w:r>
            <w:r w:rsidR="00603167">
              <w:rPr>
                <w:rFonts w:ascii="Times New Roman" w:eastAsia="Times New Roman" w:hAnsi="Times New Roman" w:cs="Times New Roman"/>
                <w:sz w:val="18"/>
                <w:szCs w:val="18"/>
                <w:lang w:eastAsia="it-IT"/>
              </w:rPr>
              <w:instrText>ρ</w:instrText>
            </w:r>
            <w:r w:rsidR="00603167" w:rsidRPr="00AF5E1D">
              <w:rPr>
                <w:rFonts w:ascii="Times New Roman" w:eastAsia="Times New Roman" w:hAnsi="Times New Roman" w:cs="Times New Roman"/>
                <w:sz w:val="18"/>
                <w:szCs w:val="18"/>
                <w:lang w:val="pt-BR" w:eastAsia="it-IT"/>
              </w:rPr>
              <w:instrText xml:space="preserve"> = - 0.47, p = 0.02) in controls. Executive function correlated with age and MMSE, but not with BDNF, neither was influenced by psychiatric and clinical comorbidities nor medications in use. Conclusion: BDNF is altered in BD but do not correlate with executive functioning. © 2011 Elsevier B.V. All rights reserved.","author":[{"dropping-particle":"","family":"Barbosa","given":"Izabela Guimarães","non-dropping-particle":"","parse-names":false,"suffix":""},{"dropping-particle":"","family":"Rocha","given":"Natalia Pessoa","non-dropping-particle":"","parse-names":false,"suffix":""},{"dropping-particle":"","family":"Huguet","given":"Rodrigo Barreto","non-dropping-particle":"","parse-names":false,"suffix":""},{"dropping-particle":"","family":"Ferreira","given":"Rodrigo A.","non-dropping-particle":"","parse-names":false,"suffix":""},{"dropping-particle":"","family":"Salgado","given":"João Vinícius","non-dropping-particle":"","parse-names":false,"suffix":""},{"dropping-particle":"","family":"Carvalho","given":"Livia A.","non-dropping-particle":"","parse-names":false,"suffix":""},{"dropping-particle":"","family":"Pariante","given":"Carmine M.","non-dropping-particle":"","parse-names":false,"suffix":""},{"dropping-particle":"","family":"Teixeira","given":"Antônio Lúcio","non-dropping-particle":"","parse-names":false,"suffix":""}],"container-title":"Journal of Affective Disorders","id":"ITEM-1","issue":"1-3","issued":{"date-parts":[["2012","3"]]},"page":"151-155","publisher":"J Affect Disord","title":"Executive dysfunction in euthymic bipolar disorder patients and its association with plasma biomarkers","type":"article-journal","volume":"137"},"uris":["http://www.mendeley.com/documents/?uuid=0361c68e-e9a9-300d-8776-faa041dd03f9"]}],"mendeley":{"formattedCitation":"(Barbosa et al., 2012a)","plainTextFormattedCitation":"(Barbosa et al., 2012a)","previouslyFormattedCitation":"(Barbosa et al., 2012a)"},"properties":{"noteIndex":0},"schema":"https://github.com/citation-style-language/schema/raw/master/csl-citation.json"}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(Barbosa et al., 2012a)</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BFC1323"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77035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C955A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6E821DD"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680395"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50.88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5E6557"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48.04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F6277FA"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A15C3B"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5C15E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3C224C6"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A09AD8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53CA2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2C561DF4"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06DA23BE" w14:textId="06A2992A" w:rsidR="006F7CF4" w:rsidRPr="00BF4509" w:rsidRDefault="006F7CF4" w:rsidP="00B77545">
            <w:pPr>
              <w:jc w:val="center"/>
              <w:rPr>
                <w:rFonts w:ascii="Times New Roman" w:eastAsia="Times New Roman" w:hAnsi="Times New Roman" w:cs="Times New Roman"/>
                <w:sz w:val="18"/>
                <w:szCs w:val="18"/>
                <w:lang w:val="en-US" w:eastAsia="it-IT"/>
              </w:rPr>
            </w:pPr>
            <w:r w:rsidRPr="00AF5E1D">
              <w:rPr>
                <w:rFonts w:ascii="Times New Roman" w:eastAsia="Times New Roman" w:hAnsi="Times New Roman" w:cs="Times New Roman"/>
                <w:sz w:val="18"/>
                <w:szCs w:val="18"/>
                <w:lang w:val="pt-BR" w:eastAsia="it-IT"/>
              </w:rPr>
              <w:t>Barbosa et al, 2013</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ADDIN CSL_CITATION {"citationItems":[{"id":"ITEM-1","itemData":{"DOI":"https://doi.org/10.1016/j.jpsychires.2013.08.019","ISSN":"0022-3956","abstract":"Bipolar disorder (BD) is a severe psychiatric disorder of complex physiopathology that has been associated with a pro-inflammatory state. The aim of the present study was to investigate intracellular pathways associated with inflammatory signaling, assessing the phosphorylation levels of transcription factor nuclear factor kappa B (NF-</w:instrText>
            </w:r>
            <w:r w:rsidR="00603167">
              <w:rPr>
                <w:rFonts w:ascii="Times New Roman" w:eastAsia="Times New Roman" w:hAnsi="Times New Roman" w:cs="Times New Roman"/>
                <w:sz w:val="18"/>
                <w:szCs w:val="18"/>
                <w:lang w:eastAsia="it-IT"/>
              </w:rPr>
              <w:instrText>κ</w:instrText>
            </w:r>
            <w:r w:rsidR="00603167" w:rsidRPr="00AF5E1D">
              <w:rPr>
                <w:rFonts w:ascii="Times New Roman" w:eastAsia="Times New Roman" w:hAnsi="Times New Roman" w:cs="Times New Roman"/>
                <w:sz w:val="18"/>
                <w:szCs w:val="18"/>
                <w:lang w:val="pt-BR" w:eastAsia="it-IT"/>
              </w:rPr>
              <w:instrText>B) and mitogen-activated protein kinase (MAPKs) in peripheral blood mononuclear cells of euthymic BD patients and healthy controls. Fifteen BD euthymic type I patients, and 12 healthy controls matched by age and gender were enrolled in this study. All subjects were assessed by the Mini-International Neuropsychiatry Interview and the patients also by the Young Mania Rating Scale and the Hamilton Depression Rating Scale. Phosphorylation levels of p65 NF-</w:instrText>
            </w:r>
            <w:r w:rsidR="00603167">
              <w:rPr>
                <w:rFonts w:ascii="Times New Roman" w:eastAsia="Times New Roman" w:hAnsi="Times New Roman" w:cs="Times New Roman"/>
                <w:sz w:val="18"/>
                <w:szCs w:val="18"/>
                <w:lang w:eastAsia="it-IT"/>
              </w:rPr>
              <w:instrText>κ</w:instrText>
            </w:r>
            <w:r w:rsidR="00603167" w:rsidRPr="00AF5E1D">
              <w:rPr>
                <w:rFonts w:ascii="Times New Roman" w:eastAsia="Times New Roman" w:hAnsi="Times New Roman" w:cs="Times New Roman"/>
                <w:sz w:val="18"/>
                <w:szCs w:val="18"/>
                <w:lang w:val="pt-BR" w:eastAsia="it-IT"/>
              </w:rPr>
              <w:instrText>B subunit, and MAPK ERK1/2, and p38 were assessed by Western blot and flow cytometry. Plasma cytokines (IL-2, IL-4, IL6, IL-10, IFN-</w:instrText>
            </w:r>
            <w:r w:rsidR="00603167">
              <w:rPr>
                <w:rFonts w:ascii="Times New Roman" w:eastAsia="Times New Roman" w:hAnsi="Times New Roman" w:cs="Times New Roman"/>
                <w:sz w:val="18"/>
                <w:szCs w:val="18"/>
                <w:lang w:eastAsia="it-IT"/>
              </w:rPr>
              <w:instrText>γ</w:instrText>
            </w:r>
            <w:r w:rsidR="00603167" w:rsidRPr="00AF5E1D">
              <w:rPr>
                <w:rFonts w:ascii="Times New Roman" w:eastAsia="Times New Roman" w:hAnsi="Times New Roman" w:cs="Times New Roman"/>
                <w:sz w:val="18"/>
                <w:szCs w:val="18"/>
                <w:lang w:val="pt-BR" w:eastAsia="it-IT"/>
              </w:rPr>
              <w:instrText>,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and IL-17A) were measured using cytometric bead arrays. Western blot and flow cytometry analyses showed increased phosphorylation levels of p65 NF-</w:instrText>
            </w:r>
            <w:r w:rsidR="00603167">
              <w:rPr>
                <w:rFonts w:ascii="Times New Roman" w:eastAsia="Times New Roman" w:hAnsi="Times New Roman" w:cs="Times New Roman"/>
                <w:sz w:val="18"/>
                <w:szCs w:val="18"/>
                <w:lang w:eastAsia="it-IT"/>
              </w:rPr>
              <w:instrText>κ</w:instrText>
            </w:r>
            <w:r w:rsidR="00603167" w:rsidRPr="00AF5E1D">
              <w:rPr>
                <w:rFonts w:ascii="Times New Roman" w:eastAsia="Times New Roman" w:hAnsi="Times New Roman" w:cs="Times New Roman"/>
                <w:sz w:val="18"/>
                <w:szCs w:val="18"/>
                <w:lang w:val="pt-BR" w:eastAsia="it-IT"/>
              </w:rPr>
              <w:instrText>B subunit, and MAPKs ERK1/2, and p38 in BD patients in euthymia in comparison with controls. BD patients presented increased pro-inflammatory cytokines levels in comparison with controls, and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xml:space="preserve"> correlated with the levels of phosphorylated p65 NF-</w:instrText>
            </w:r>
            <w:r w:rsidR="00603167">
              <w:rPr>
                <w:rFonts w:ascii="Times New Roman" w:eastAsia="Times New Roman" w:hAnsi="Times New Roman" w:cs="Times New Roman"/>
                <w:sz w:val="18"/>
                <w:szCs w:val="18"/>
                <w:lang w:eastAsia="it-IT"/>
              </w:rPr>
              <w:instrText>κ</w:instrText>
            </w:r>
            <w:r w:rsidR="00603167" w:rsidRPr="00AF5E1D">
              <w:rPr>
                <w:rFonts w:ascii="Times New Roman" w:eastAsia="Times New Roman" w:hAnsi="Times New Roman" w:cs="Times New Roman"/>
                <w:sz w:val="18"/>
                <w:szCs w:val="18"/>
                <w:lang w:val="pt-BR" w:eastAsia="it-IT"/>
              </w:rPr>
              <w:instrText>B. The present study found increased activation of MAPK and NF-</w:instrText>
            </w:r>
            <w:r w:rsidR="00603167">
              <w:rPr>
                <w:rFonts w:ascii="Times New Roman" w:eastAsia="Times New Roman" w:hAnsi="Times New Roman" w:cs="Times New Roman"/>
                <w:sz w:val="18"/>
                <w:szCs w:val="18"/>
                <w:lang w:eastAsia="it-IT"/>
              </w:rPr>
              <w:instrText>κ</w:instrText>
            </w:r>
            <w:r w:rsidR="00603167" w:rsidRPr="00AF5E1D">
              <w:rPr>
                <w:rFonts w:ascii="Times New Roman" w:eastAsia="Times New Roman" w:hAnsi="Times New Roman" w:cs="Times New Roman"/>
                <w:sz w:val="18"/>
                <w:szCs w:val="18"/>
                <w:lang w:val="pt-BR" w:eastAsia="it-IT"/>
              </w:rPr>
              <w:instrText>B pathways in BD patients, which is in line with a pro-inflammatory status.","author":[{"dropping-particle":"","family":"Barbosa","given":"Izabela Guimarães","non-dropping-particle":"","parse-names":false,"suffix":""},{"dropping-particle":"","family":"Nogueira","given":"Camila R C","non-dropping-particle":"","parse-names":false,"suffix":""},{"dropping-particle":"","family":"Rocha","given":"Natália Pessoa","non-dropping-particle":"","parse-names":false,"suffix":""},{"dropping-particle":"","family":"Queiroz","given":"Ana Luiza Lemos","non-dropping-particle":"","parse-names":false,"suffix":""},{"dropping-particle":"","family":"Vago","given":"Juliana Priscila","non-dropping-particle":"","parse-names":false,"suffix":""},{"dropping-particle":"","family":"Tavares","g</w:instrText>
            </w:r>
            <w:r w:rsidR="00603167" w:rsidRPr="00BF4509">
              <w:rPr>
                <w:rFonts w:ascii="Times New Roman" w:eastAsia="Times New Roman" w:hAnsi="Times New Roman" w:cs="Times New Roman"/>
                <w:sz w:val="18"/>
                <w:szCs w:val="18"/>
                <w:lang w:val="en-US" w:eastAsia="it-IT"/>
              </w:rPr>
              <w:instrText>iven":"Luciana Pádua","non-dropping-particle":"","parse-names":false,"suffix":""},{"dropping-particle":"","family":"Assis","given":"Frankcinéia","non-dropping-particle":"","parse-names":false,"suffix":""},{"dropping-particle":"","family":"Fagundes","given":"Caio Tavares","non-dropping-particle":"","parse-names":false,"suffix":""},{"dropping-particle":"","family":"Huguet","given":"Rodrigo Barreto","non-dropping-particle":"","parse-names":false,"suffix":""},{"dropping-particle":"","family":"Bauer","given":"Moisés Evandro","non-dropping-particle":"","parse-names":false,"suffix":""},{"dropping-particle":"","family":"Teixeira","given":"Antônio Lúcio","non-dropping-particle":"","parse-names":false,"suffix":""},{"dropping-particle":"","family":"Sousa","given":"Lirlândia Pires","non-dropping-particle":"de","parse-names":false,"suffix":""}],"container-title":"Journal of Psychiatric Research","id":"ITEM-1","issue":"12","issued":{"date-parts":[["2013"]]},"page":"1949-1954","title":"Altered intracellular signaling cascades in peripheral blood mononuclear cells from BD patients","type":"article-journal","volume":"47"},"uris":["http://www.mendeley.com/documents/?uuid=ad31973f-d0ce-4e3f-a4e9-191dc910cf3e"]}],"mendeley":{"formattedCitation":"(Barbosa et al., 2013)","plainTextFormattedCitation":"(Barbosa et al., 2013)","previouslyFormattedCitation":"(Barbosa et al., 2013)"},"properties":{"noteIndex":0},"schema":"https://github.com/citation-style-language/schema/raw/master/csl-citation.json"}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BF4509">
              <w:rPr>
                <w:rFonts w:ascii="Times New Roman" w:eastAsia="Times New Roman" w:hAnsi="Times New Roman" w:cs="Times New Roman"/>
                <w:noProof/>
                <w:sz w:val="18"/>
                <w:szCs w:val="18"/>
                <w:lang w:val="en-US" w:eastAsia="it-IT"/>
              </w:rPr>
              <w:t>(Barbosa et al., 2013)</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99EF09"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742342"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F795F88"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E52EC53"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E41192B"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26F91EA"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3D8B43"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14473B"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DFD7D9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0C918C7"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DC83FD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646FC9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166441" w:rsidRPr="009F0DFF" w14:paraId="76002198"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7EC7EA56" w14:textId="19C09695" w:rsidR="00166441" w:rsidRPr="00AF5E1D" w:rsidRDefault="00166441" w:rsidP="00B77545">
            <w:pPr>
              <w:jc w:val="center"/>
              <w:rPr>
                <w:rFonts w:ascii="Times New Roman" w:eastAsia="Times New Roman" w:hAnsi="Times New Roman" w:cs="Times New Roman"/>
                <w:sz w:val="18"/>
                <w:szCs w:val="18"/>
                <w:lang w:val="pt-BR" w:eastAsia="it-IT"/>
              </w:rPr>
            </w:pPr>
            <w:r w:rsidRPr="007C37C3">
              <w:rPr>
                <w:rFonts w:ascii="Times New Roman" w:eastAsia="Times New Roman" w:hAnsi="Times New Roman" w:cs="Times New Roman"/>
                <w:sz w:val="18"/>
                <w:szCs w:val="18"/>
                <w:lang w:val="en-US" w:eastAsia="it-IT"/>
              </w:rPr>
              <w:t>Barbosa et al, 2017</w:t>
            </w:r>
            <w:r w:rsidRPr="004846E4">
              <w:rPr>
                <w:rFonts w:ascii="Times New Roman" w:eastAsia="Times New Roman" w:hAnsi="Times New Roman" w:cs="Times New Roman"/>
                <w:sz w:val="18"/>
                <w:szCs w:val="18"/>
                <w:lang w:eastAsia="it-IT"/>
              </w:rPr>
              <w:fldChar w:fldCharType="begin" w:fldLock="1"/>
            </w:r>
            <w:r w:rsidR="00603167" w:rsidRPr="007C37C3">
              <w:rPr>
                <w:rFonts w:ascii="Times New Roman" w:eastAsia="Times New Roman" w:hAnsi="Times New Roman" w:cs="Times New Roman"/>
                <w:sz w:val="18"/>
                <w:szCs w:val="18"/>
                <w:lang w:val="en-US" w:eastAsia="it-IT"/>
              </w:rPr>
              <w:instrText>ADDIN CSL_CITATION {"citationItems":[{"id":"ITEM-1","itemData":{"DOI":"10.9758/cpn.2017.15.3.269","ISSN":"1738-1088","abstract":"ObjectivePatients with bipolar disorder (BD) exhibit peripheral low-grade inflammation. The aim of the current study was to investigate the involvement of hitherto unexplored components of the tumor necrosis factor (TNF) superfamily in BD.MethodsEighty patients with type I BD and 50 healthy controls matched for age and gender were enrolled in this study. All subjects were assessed with the Mini-Plus to evaluate psychiatric comorbidities; the Young Mania Rating Scale and the Hamilton Depression Rating Scale to evaluate manic and depressive symptoms severity, respectively. TNF superfamily molecules (TNF, TNF-related weak inducer of apoptosis &amp;#x0005B;TWEAK&amp;#x0005D;, TNF-related apoptosis-inducing ligand &amp;#x0005B;TRAIL&amp;#x0005D;, soluble TNF receptor type 1 &amp;#x0005B;sTNFR1&amp;#x0005D;, and soluble TNF receptor type 2 &amp;#x0005B;sTNFR2&amp;#x0005D;) levels were measured by ELISA.ResultsPatients with BD, regardless of mood state, presented increased plasma levels of sTNFR1 and TWEAK in comparison with controls.ConclusionThese findings corroborate the view that TNF superfamily may play a role in BD pathophysiology.","author":[{"dropping-particle":"","family":"Barbosa","given":"Izabela G","non-dropping-particle":"","parse-names":false,"suffix":""},{"drop</w:instrText>
            </w:r>
            <w:r w:rsidR="00603167" w:rsidRPr="00AF5E1D">
              <w:rPr>
                <w:rFonts w:ascii="Times New Roman" w:eastAsia="Times New Roman" w:hAnsi="Times New Roman" w:cs="Times New Roman"/>
                <w:sz w:val="18"/>
                <w:szCs w:val="18"/>
                <w:lang w:val="pt-BR" w:eastAsia="it-IT"/>
              </w:rPr>
              <w:instrText>ping-particle":"","family":"Vaz","given":"Gabriela Neves","non-dropping-particle":"","parse-names":false,"suffix":""},{"dropping-particle":"","family":"Rocha","given":"Natalia Pessoa","non-dropping-particle":"","parse-names":false,"suffix":""},{"dropping-particle":"","family":"Machado-Vieira","given":"Rodrigo","non-dropping-particle":"","parse-names":false,"suffix":""},{"dropping-particle":"","family":"Ventura","given":"Marcio Rogerio Diniz","non-dropping-particle":"","parse-names":false,"suffix":""},{"dropping-particle":"","family":"Huguet","given":"Rodrigo B","non-dropping-particle":"","parse-names":false,"suffix":""},{"dropping-particle":"","family":"Bauer","given":"Moises E","non-dropping-particle":"","parse-names":false,"suffix":""},{"dropping-particle":"","family":"Berk","given":"Michael","non-dropping-particle":"","parse-names":false,"suffix":""},{"dropping-particle":"","family":"Teixeira","given":"Antônio L","non-dropping-particle":"","parse-names":false,"suffix":""}],"container-title":"Clinical Psychopharmacology and Neuroscience","edition":"2017/08/31","id":"ITEM-1","issue":"3","issued":{"date-parts":[["2017","8"]]},"language":"eng","page":"269-275","publisher":"The Korean College of Neuropsychopharmacology","title":"Plasma Levels of Tumor Necrosis Factor Superfamily Molecules Are Increased in Bipolar Disorder","type":"article-journal","volume":"15"},"uris":["http://www.mendeley.com/documents/?uuid=7cc0fc2c-1e5b-4693-aae8-04c600ad7e7d"]}],"mendeley":{"formattedCitation":"(Barbosa et al., 2017)","plainTextFormattedCitation":"(Barbosa et al., 2017)","previouslyFormattedCitation":"(Barbosa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(Barbosa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675D722"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CB10CB" w14:textId="77777777" w:rsidR="00166441" w:rsidRPr="009F0DFF" w:rsidRDefault="00166441" w:rsidP="00166441">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64FDC43"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C1F01A"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B24E64B"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A3A4B5"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DF2AF4F"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3C57B2"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FFD1405"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AF5BAD0"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00CA3D7"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FF646A0"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1C1C7323"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7E15AA45" w14:textId="08A92024"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0320231"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98AE5A5"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098CE99"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13A8D63"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E4EE595"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3CA5E12" w14:textId="77777777" w:rsidR="00166441" w:rsidRPr="009F0DFF" w:rsidRDefault="00166441"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587A351" w14:textId="77777777" w:rsidR="00166441" w:rsidRPr="009F0DFF" w:rsidRDefault="00166441"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F913EE7"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2271404"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03786BE"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D38DDB8"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99ECC9D"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B77545" w:rsidRPr="009F0DFF" w14:paraId="6BF80181"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0A79BFDD" w14:textId="72F4F4DD"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Boufidou et al., 2004</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{"citationItems":[{"id":"ITEM-1","itemData":{"DOI":"https://doi.org/10.1016/j.jad.2004.01.007","ISSN":"0165-0327","abstract":"Background: Our knowledge concerning immune functioning in bipolar affective disorder (BAD) is limited, while lithium's immunomodulatory effects seem multiple and conflicting. Our aim was to evaluate cytokine production and lithium's effect on it in BAD patients, using ELISPOT technique as a sensitive tool. Methods: Cytokine (IL-2, IL-6, IL-10 and IFN-γ) production from isolated peripheral blood lymphocytes (PBLs) was evaluated (ELISPOT technique) in 40 euthymic BAD patients under chronic lithium treatment, in 20 healthy volunteers, and in 10 never medicated BAD patients before and after the introduction of lithium therapy. In all cases, cytokine plasma levels were also measured using ELISA. Results: BAD patients under chronic lithium treatment had significantly lower numbers of IL-2, IL-6, IL-10 and IFN-γ secreting cells compared to healthy volunteers. The number of cytokine secreting cells decreased in never medicated patients after 3 months of lithium treatment. In vitro stimulation of PBLs with lithium did not affect the number of cytokine secreting cells either in the patients or in the healthy volunteers. Conclusions: The significantly lower number of PBLs producing cytokines (IL-2, IL-6, IL-10 and IFN-γ) in euthymic BAD patients under chronic lithium treatment result from the long-term (over 3 months) lithium administration. In vitro stimulation of PBLs with lithium did not change the number of cytokine producing cells. Our findings may be useful in elucidating possible downregulatory effects of lithium in humans.","author":[{"dropping-particle":"","family":"Boufidou","given":"Fotini","non-dropping-particle":"","parse-names":false,"suffix":""},{"dropping-particle":"","family":"Nikolaou","given":"Chryssoula","non-dropping-particle":"","parse-names":false,"suffix":""},{"dropping-particle":"","family":"Alevizos","given":"Basil","non-dropping-particle":"","parse-names":false,"suffix":""},{"dropping-particle":"","family":"Liappas","given":"Ioannis A","non-dropping-particle":"","parse-names":false,"suffix":""},{"dropping-particle":"","family":"Christodoulou","given":"George N","non-dropping-particle":"","parse-names":false,"suffix":""}],"container-title":"Journal of Affective Disorders","id":"ITEM-1","issue":"2","issued":{"date-parts":[["2004"]]},"page":"309-313","title":"Cytokine production in bipolar affective disorder patients under lithium treatment","type":"article-journal","volume":"82"},"uris":["http://www.mendeley.com/documents/?uuid=971355c4-d011-4bb2-818d-89917af75ef5"]}],"mendeley":{"formattedCitation":"(Boufidou et al., 2004)","plainTextFormattedCitation":"(Boufidou et al., 2004)","previouslyFormattedCitation":"(Boufidou et al., 2004)"},"properties":{"noteIndex":0},"schema":"https://github.com/citation-style-language/schema/raw/master/csl-citation.json"}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(Boufidou et al., 2004)</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BC232F6"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429F19D"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2703C1"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BC7D649"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C7479D2"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B725C2F"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D474A51"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2FAFE10"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1F17039"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 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66B0E53"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Greece</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117B44"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DB2B5E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24CE7053"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245E955F" w14:textId="0702D649"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Brietzke E et al., 2009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{"citationItems":[{"id":"ITEM-1","itemData":{"DOI":"https://doi.org/10.1016/j.jad.2008.12.001","ISSN":"0165-0327","abstract":"Background The neurobiology of bipolar disorder is not completely understood. Cytokines have received increasing attention as potential mediators of the interaction with immune, neuroendocrine system and specific pathways involved in mood, energy, and activity control. Previous reports have suggested the association of mania and bipolar depression with a proinflammatory state. However, they did not compare cytokine levels in all phases of bipolar disorder. Methods Sixty-one bipolar patients were recruited for assessment of serum cytokine levels. Of these, 14 were in euthymic state, 23 and 24 were in manic and depressive episodes, respectively. A healthy comparison group included 25 healthy volunteers. Cytokines involved in Th1/Th2 balance, such as TNF-α, IL-2, IL-4, IL-6, IL-10, IFN-γ, were examined by flow cytometry. Results During mania, proinflammatory cytokines, IL-2, IL-4 and IL-6, were increased in comparison with healthy subjects. Patients in depressive episode showed only increased IL-6 levels. There were no significant differences in cytokine levels between patients in remission and healthy subjects, except for IL-4. Mood symptoms showed a positive correlation with IL-6 and IL-2. Discussion These findings suggest that mania, and to a less extent, depression are associated with a proinflammatory state. These changes seem to be related to mood state, as changes in cytokine profile were more pronounced during acute episodes than in euthymia. This study provides further support to investigate the immune system as a target for future treatment development.","author":[{"dropping-particle":"","family":"Brietzke","given":"Elisa","non-dropping-particle":"","parse-names":false,"suffix":""},{"dropping-particle":"","family":"Stertz","given":"Laura","non-dropping-particle":"","parse-names":false,"suffix":""},{"dropping-particle":"","family":"Fernandes","given":"Brisa Simões","non-dropping-particle":"","parse-names":false,"suffix":""},{"dropping-particle":"","family":"Kauer-Sant’Anna","given":"Marcia","non-dropping-particle":"","parse-names":false,"suffix":""},{"dropping-particle":"","family":"Mascarenhas","given":"Marcello","non-dropping-particle":"","parse-names":false,"suffix":""},{"dropping-particle":"","family":"Escosteguy Vargas","given":"Andréia","non-dropping-particle":"","parse-names":false,"suffix":""},{"dropping-particle":"","family":"Chies","given":"José Artur","non-dropping-particle":"","parse-names":false,"suffix":""},{"dropping-particle":"","family":"Kapczinski","given":"Flávio","non-dropping-particle":"","parse-names":false,"suffix":""}],"container-title":"Journal of Affective Disorders","id":"ITEM-1","issue":"3","issued":{"date-parts":[["2009"]]},"page":"214-217","title":"Comparison of cytokine levels in depressed, manic and euthymic patients with bipolar disorder","type":"article-journal","volume":"116"},"uris":["http://www.mendeley.com/documents/?uuid=02e4eec5-8d93-47c5-967a-626672292230"]}],"mendeley":{"formattedCitation":"(Brietzke et al., 2009)","plainTextFormattedCitation":"(Brietzke et al., 2009)","previouslyFormattedCitation":"(Brietzke et al., 2009)"},"properties":{"noteIndex":0},"schema":"https://github.com/citation-style-language/schema/raw/master/csl-citation.json"}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(Brietzke et al., 2009)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B951961"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FB7D1A" w14:textId="77777777" w:rsidR="00166441" w:rsidRPr="009F0DFF" w:rsidRDefault="00166441" w:rsidP="00166441">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7FB0046"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464F40"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5B4895"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44.2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FC390C"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43.4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254EB0"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71.4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C487ACC"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39BBB2C"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6889BC"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D78C9CA"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DE211B7"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166441" w:rsidRPr="009F0DFF" w14:paraId="206FB4DD"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1EB7E7A3" w14:textId="63838D46"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03E16A2"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F70418"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764CBE1"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0EE7BA9"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0AE53B"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508AC07" w14:textId="77777777" w:rsidR="00166441" w:rsidRPr="009F0DFF" w:rsidRDefault="00166441"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8BC46BB"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9F26AFF"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3FF8429"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C7E1CB2"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D1F9F9E"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13B7120"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166441" w:rsidRPr="009F0DFF" w14:paraId="36BFA8C7"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787A4CC3" w14:textId="48CF9524"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6DFC3D0"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67B67D"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2D0AE88"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AC45811"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9737B04"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42FF14" w14:textId="77777777" w:rsidR="00166441" w:rsidRPr="009F0DFF" w:rsidRDefault="00166441"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B4065B3"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52.2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08A7026"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9FD3FC3"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3841380"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CECF269"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91C88F9"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B77545" w:rsidRPr="009F0DFF" w14:paraId="7E73399A"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71BA987B" w14:textId="7CDCAE30"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Chakrabarty et al., 2019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{"citationItems":[{"id":"ITEM-1","itemData":{"DOI":"https://doi.org/10.1016/j.jad.2018.11.018","ISSN":"0165-0327","abstract":"Background Increased circulating inflammatory cytokines is a replicated finding in bipolar I disorder (BDI). Pro-inflammatory cytokines such as TNFα, IL-6 and IL-1 have also been associated with poorer cognitive functioning in patients with longer illness duration. However, the effect of inflammatory cytokines on cognition in early stage patients is not yet known. Here, we investigate the relationship between cytokines and cognition in BDI patients within three years of diagnosis. Methods Serum pro-inflammatory (TNFα, IL-6 and IL-1α) and anti-inflammatory (IL-4 and IL-10) cytokine levels were compared between 51 early stage BDI patients and 20 healthy controls. 46 patients completed neuropsychological testing, and multiple regression analysis was used to assess the association between cytokine levels and cognition after accounting for relevant clinical and demographic variables. Results TNFα was elevated at trend level significance in BDI patients compared to healthy controls, and was negatively associated with global cognition, processing speed, and working memory in patients. IL-6, IL-1α, IL-4 and IL-10 levels were comparable between groups and were not significantly associated with cognition. Limitations Direct causation cannot be established in this cross-sectional study; in addition, cytokine levels were not taken on the same day as neuropsychological testing for all patients. Conclusions TNFα may negatively impact cognition in early BDI. While replication is required in larger samples, these results suggest that inhibition of TNFα activity might be a strategy to preserve cognition in newly diagnosed BDI patients.","author":[{"dropping-particle":"","family":"Chakrabarty","given":"Trisha","non-dropping-particle":"","parse-names":false,"suffix":""},{"dropping-particle":"","family":"Torres","given":"Ivan J","non-dropping-particle":"","parse-names":false,"suffix":""},{"dropping-particle":"","family":"Bond","given":"David J","non-dropping-particle":"","parse-names":false,"suffix":""},{"dropping-particle":"","family":"Yatham","given":"Lakshmi N","non-dropping-particle":"","parse-names":false,"suffix":""}],"container-title":"Journal of Affective Disorders","id":"ITEM-1","issued":{"date-parts":[["2019"]]},"page":"679-685","title":"Inflammatory cytokines and cognitive functioning in early-stage bipolar I disorder","type":"article-journal","volume":"245"},"uris":["http://www.mendeley.com/documents/?uuid=b46bc973-7e5a-499f-8319-11b171b8ef54"]}],"mendeley":{"formattedCitation":"(Chakrabarty et al., 2019)","plainTextFormattedCitation":"(Chakrabarty et al., 2019)","previouslyFormattedCitation":"(Chakrabarty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(Chakrabarty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E789DBF"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4873FE"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969551"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IL-1, 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DEB0730"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7F9034"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23.16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4CC1DF1"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24.86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5A5748D"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752270"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B6D4A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8095D8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Canada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55700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AB7F65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57139C92"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575D7D6" w14:textId="00037E5B"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Chang et al., 2017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{"citationItems":[{"id":"ITEM-1","itemData":{"DOI":"10.3109/15622975.2016.1155746","ISSN":"1562-2975","author":[{"dropping-particle":"","family":"Chang","given":"Hui Hua","non-dropping-particle":"","parse-names":false,"suffix":""},{"dropping-particle":"","family":"Wang","given":"Tzu-Yun","non-dropping-particle":"","parse-names":false,"suffix":""},{"dropping-particle":"","family":"Lee","given":"I Hui","non-dropping-particle":"","parse-names":false,"suffix":""},{"dropping-particle":"","family":"Lee","given":"Sheng-Yu","non-dropping-particle":"","parse-names":false,"suffix":""},{"dropping-particle":"","family":"Chen","given":"Kao Chin","non-dropping-particle":"","parse-names":false,"suffix":""},{"dropping-particle":"","family":"Huang","given":"San-Yuan","non-dropping-particle":"","parse-names":false,"suffix":""},{"dropping-particle":"","family":"Yang","given":"Yen Kuang","non-dropping-particle":"","parse-names":false,"suffix":""},{"dropping-particle":"","family":"Lu","given":"Ru-Band","non-dropping-particle":"","parse-names":false,"suffix":""},{"dropping-particle":"","family":"Chen","given":"Po See","non-dropping-particle":"","parse-names":false,"suffix":""}],"container-title":"The World Journal of Biological Psychiatry","id":"ITEM-1","issue":"1","issued":{"date-parts":[["2017","1","2"]]},"note":"doi: 10.3109/15622975.2016.1155746","page":"63-70","publisher":"Taylor &amp; Francis","title":"C-reactive protein: A differential biomarker for major depressive disorder and bipolar II disorder","type":"article-journal","volume":"18"},"uris":["http://www.mendeley.com/documents/?uuid=7fc56fd0-6893-4198-bbde-24c1ef6ac61e"]}],"mendeley":{"formattedCitation":"(Chang et al., 2017)","plainTextFormattedCitation":"(Chang et al., 2017)","previouslyFormattedCitation":"(Chang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(Chang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E5EF34"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4167C26"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96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DA5AAF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79D0552"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DE20616"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31.74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105807"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50DDCCE"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DCC9FD"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57.3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3DD21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B28F42"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China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72E9FF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2BB50B2"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5FD5AFBB"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66A7A10" w14:textId="3DDF02BD"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Civil-Arslan et al., 2017</w:t>
            </w:r>
            <w:r w:rsidRPr="004846E4">
              <w:rPr>
                <w:rFonts w:ascii="Times New Roman" w:eastAsia="Times New Roman" w:hAnsi="Times New Roman" w:cs="Times New Roman"/>
                <w:sz w:val="18"/>
                <w:szCs w:val="18"/>
                <w:lang w:eastAsia="it-IT"/>
              </w:rPr>
              <w:fldChar w:fldCharType="begin" w:fldLock="1"/>
            </w:r>
            <w:r w:rsidR="007F41B2">
              <w:rPr>
                <w:rFonts w:ascii="Times New Roman" w:eastAsia="Times New Roman" w:hAnsi="Times New Roman" w:cs="Times New Roman"/>
                <w:sz w:val="18"/>
                <w:szCs w:val="18"/>
                <w:lang w:eastAsia="it-IT"/>
              </w:rPr>
              <w:instrText>ADDIN CSL_CITATION {"citationItems":[{"id":"ITEM-1","itemData":{"PMID":"29192940","author":[{"dropping-particle":"","family":"Civil Arslan","given":"F.","non-dropping-particle":"","parse-names":false,"suffix":""},{"dropping-particle":"","family":"Tiryaki","given":"A.","non-dropping-particle":"","parse-names":false,"suffix":""},{"dropping-particle":"","family":"Özkorumak Karagüzel","given":"E.","non-dropping-particle":"","parse-names":false,"suffix":""},{"dropping-particle":"","family":"Aral","given":"Gizem.","non-dropping-particle":"","parse-names":false,"suffix":""},{"dropping-particle":"","family":"Sarıoğlu","given":"Oğuz .","non-dropping-particle":"","parse-names":false,"suffix":""},{"dropping-particle":"","family":"İnce","given":"İmran.","non-dropping-particle":"","parse-names":false,"suffix":""},{"dropping-particle":"","family":"Çankaya","given":"Sertaç.","non-dropping-particle":"","parse-names":false,"suffix":""},{"dropping-particle":"","family":"Alver","given":"Ahmet","non-dropping-particle":"","parse-names":false,"suffix":""}],"container-title":"Turk Psikiyatri Derg","id":"ITEM-1","issued":{"date-parts":[["0"]]},"page":"81-88","title":"The Relationship of Interleukin-18 and Interleukin-6 Levels with Cognitive Functions in Bipolar Disorder","type":"article-journal","volume":"28(2)"},"uris":["http://www.mendeley.com/documents/?uuid=ba18e6ee-5121-463d-978b-8c92a962c3f6"]}],"mendeley":{"formattedCitation":"(Civil Arslan et al., n.d.)","plainTextFormattedCitation":"(Civil Arslan et al., n.d.)","previouslyFormattedCitation":"(Civil Arslan et al., n.d.)"},"properties":{"noteIndex":0},"schema":"https://github.com/citation-style-language/schema/raw/master/csl-citation.json"}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00603167" w:rsidRPr="00603167">
              <w:rPr>
                <w:rFonts w:ascii="Times New Roman" w:eastAsia="Times New Roman" w:hAnsi="Times New Roman" w:cs="Times New Roman"/>
                <w:noProof/>
                <w:sz w:val="18"/>
                <w:szCs w:val="18"/>
                <w:lang w:eastAsia="it-IT"/>
              </w:rPr>
              <w:t>(Civil Arslan et al., n.d.)</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DD9764D"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A9C548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A6439E7"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20E31D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59B575C"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3730BC3"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37.94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96F92D"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61.1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DE21C2C"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52.6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65FA23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DE011B2"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Turkey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813A617"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4D7A4B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57209A29"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23C370D4" w14:textId="30C007C7" w:rsidR="00166441" w:rsidRPr="00AF5E1D" w:rsidRDefault="00166441" w:rsidP="00B77545">
            <w:pPr>
              <w:jc w:val="center"/>
              <w:rPr>
                <w:rFonts w:ascii="Times New Roman" w:eastAsia="Times New Roman" w:hAnsi="Times New Roman" w:cs="Times New Roman"/>
                <w:sz w:val="18"/>
                <w:szCs w:val="18"/>
                <w:lang w:val="pt-BR" w:eastAsia="it-IT"/>
              </w:rPr>
            </w:pPr>
            <w:r w:rsidRPr="00AF5E1D">
              <w:rPr>
                <w:rFonts w:ascii="Times New Roman" w:eastAsia="Times New Roman" w:hAnsi="Times New Roman" w:cs="Times New Roman"/>
                <w:sz w:val="18"/>
                <w:szCs w:val="18"/>
                <w:lang w:val="pt-BR" w:eastAsia="it-IT"/>
              </w:rPr>
              <w:t>Cunha et al., 2008</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ADDIN CSL_CITATION {"citationItems":[{"id":"ITEM-1","itemData":{"DOI":"10.1007/s00406-007-0797-0","ISSN":"1433-8491","abstract":"There has been an increasing interest in the role of the immune and inflammatory systems in mood disorders. Mood episodes are associated with changes in acute phase proteins such as high-sensitivity C-reactive protein (hsCRP). The present study investigated serum hsCRP in manic, depressed, and euthymic BD patients as compared to matched healthy controls. Serum hsCRP was assessed using an ultrasensitive assay of particle-enhanced immunoturbidimetric latex agglutination. Serum hsCRP levels were increased in manic BD patients, as compared to euthymic, depressed patients and healthy controls (P &lt; 0.001). These findings add to the notion that changes in the inflammatory system take place during acute episodes of mania.","author":[{"dropping-particle":"","family":"Cunha","given":"Ângelo B","non-dropping-particle":"","parse-names":false,"suffix":""},{"dropping-particle":"","family":"Andreazza","given":"Ana C","non-dropping-particle":"","parse-names":false,"suffix":""},{"dropping-particle":"","family":"Gomes","given":"Fabiano A","non-dropping-particle":"","parse-names":false,"suffix":""},{"dropping-particle":"","family":"Frey","given":"Benicio N","non-dropping-particle":"","parse-names":false,"suffix":""},{"dropping-particle":"","family":"Silveira","given":"Leonardo E","non-dropping-particle":"da","parse-names":false,"suffix":""},{"dropping-particle":"","family":"Gonçalves","given":"Carlos A","non-dropping-particle":"","parse-names":false,"suffix":""},{"dropping-particle":"","family":"Kapczinski","given":"Flávio","non-dropping-particle":"","parse-names":false,"suffix":""}],"container-title":"European Archives of Psychiatry and Clinical Neuroscience","id":"ITEM-1","issue":"5","issued":{"date-parts":[["2008"]]},"page":"300-304","title":"Investigation of serum high-sensitive C-reactive protein levels across all mood states in bipolar disorder","type":"article-journal","volume":"258"},"uris":["http://www.mendeley.com/documents/?uuid=669dd470-6eb5-4c99-a2d4-d299cac7a104"]}],"mendeley":{"formattedCitation":"(Cunha et al., 2008)","plainTextFormattedCitation":"(Cunha et al., 2008)","previouslyFormattedCitation":"(Cunha et al., 2008)"},"properties":{"noteIndex":0},"schema":"https://github.com/citation-style-language/schema/raw/master/csl-citation.json"}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(Cunha et al., 2008)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CC2AF7"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299172E"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61B0432" w14:textId="77777777" w:rsidR="00166441" w:rsidRPr="009F0DFF" w:rsidRDefault="00166441" w:rsidP="00166441">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7CCCC2"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FC7E9BE"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40.13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5F11DC"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40.69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3D1E3B"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0BD9A32"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65.6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4D1450E"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532293"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6217E0"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3AC83D"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166441" w:rsidRPr="009F0DFF" w14:paraId="39BC004F"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18C6F41C" w14:textId="566761F2"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38F8827"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466F990" w14:textId="77777777"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D80E866"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56057CA"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14A5D7"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40.71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F2B118E"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24D5684"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71.4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FCEF4E" w14:textId="77777777" w:rsidR="00166441" w:rsidRPr="009F0DFF" w:rsidRDefault="00166441"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17545CC"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B03815F"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086E051"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1587638"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166441" w:rsidRPr="009F0DFF" w14:paraId="09D46021"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7C64B8DA" w14:textId="57255F53"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F148CEA"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26EC175" w14:textId="77777777"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E004DD1"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CB61A20"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15173D"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40.28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29624B"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BAC96A3"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1BB852" w14:textId="77777777" w:rsidR="00166441" w:rsidRPr="009F0DFF" w:rsidRDefault="00166441"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D7ADD3F"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D86859B"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CC0409E"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67BE385"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B77545" w:rsidRPr="009F0DFF" w14:paraId="70F0A7C4"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33787A60" w14:textId="73AA1064" w:rsidR="006F7CF4" w:rsidRPr="00AF5E1D" w:rsidRDefault="006F7CF4" w:rsidP="00B77545">
            <w:pPr>
              <w:jc w:val="center"/>
              <w:rPr>
                <w:rFonts w:ascii="Times New Roman" w:eastAsia="Times New Roman" w:hAnsi="Times New Roman" w:cs="Times New Roman"/>
                <w:sz w:val="18"/>
                <w:szCs w:val="18"/>
                <w:lang w:val="pt-BR" w:eastAsia="it-IT"/>
              </w:rPr>
            </w:pPr>
            <w:r w:rsidRPr="00AF5E1D">
              <w:rPr>
                <w:rFonts w:ascii="Times New Roman" w:eastAsia="Times New Roman" w:hAnsi="Times New Roman" w:cs="Times New Roman"/>
                <w:sz w:val="18"/>
                <w:szCs w:val="18"/>
                <w:lang w:val="pt-BR" w:eastAsia="it-IT"/>
              </w:rPr>
              <w:t>Da Silva et al, 2017</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 xml:space="preserve">ADDIN CSL_CITATION {"citationItems":[{"id":"ITEM-1","itemData":{"DOI":"https://doi.org/10.1016/j.psychres.2017.01.061","ISSN":"0165-1781","abstract":"Bipolar disorder is a recurrent and highly incapacitating illness, related to inflammation and changes in the insulin-like growth factor 1 (IGF-1). The objective of this study was to evaluate serum levels of IGF-1 in bipolar disorder patients and its relation to inflammation. We included 31 patients with bipolar disorder and 33 healthy controls. Serum concentrations of IGF-1, growth hormone (GH), insulin and tumor necrosis factor </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xml:space="preserve">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were analyzed. The serum levels of IGF-1 seem to be increased in bipolar disorder patients (248.84±104.91ng/mL) compared to controls (169.18±74.16ng/mL). Comparing reference values of IGF serum concentrations between groups, we found that 32% of patients had increased IGF-1 serum concentrations while only 3% of subjects are above normal range. We did not find statistically significant differences between groups in the concentration of insulin, GH, and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This study suggests an association between IGF-1 in the pathophysiology of bipolar disorder. It is possible that this peripheral increase is related to a central nervous system increased resistance to IGF-1, thus reducing its neuroprotective action.","author":[{"dropping-particle":"","family":"Silva","given":"Emily G","non-dropping-particle":"da","parse-names":false,"suffix":""},{"dropping-particle":"","family":"Pfaffenseller","given":"Bianca","non-dropping-particle":"","parse-names":false,"suffix":""},{"dropping-particle":"","family":"Walz","given":"Julio","non-dropping-particle":"","parse-names":false,"suffix":""},{"dropping-particle":"","family":"Stertz","given":"Laura","non-dropping-particle":"","parse-names":false,"suffix":""},{"dropping-particle":"","family":"Fries","given":"Gabriel","non-dropping-particle":"","parse-names":false,"suffix":""},{"dropping-particle":"","family":"Rosa","given":"Adriane R","non-dropping-particle":"","parse-names":false,"suffix":""},{"dropping-particle":"V","family":"Magalhães","given":"Pedro","non-dropping-particle":"","parse-names":false,"suffix":""}],"container-title":"Psychiatry Research","id":"ITEM-1","issued":{"date-parts":[["2017"]]},"page":"30-34","title":"Peripheral insulin-like growth factor 1 in bipolar disorder","type":"article-journal","volume":"250"},"uris":["http://www.mendeley.com/documents/?uuid=40293764-1b21-4b31-b47b-7d495d41a7ec"]}],"mendeley":{"formattedCitation":"(da Silva et al., 2017)","plainTextFormattedCitation":"(da Silva et al., 2017)","previouslyFormattedCitation":"(da Silva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(da Silva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FFB8B0B"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11FA7D"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CC370EB"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CFA33D"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8B63A06"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41.71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DCAA02"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972E08D"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80.6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71D4230" w14:textId="77777777" w:rsidR="006F7CF4" w:rsidRPr="009F0DFF" w:rsidRDefault="006F7CF4" w:rsidP="008215D4">
            <w:pPr>
              <w:jc w:val="center"/>
              <w:rPr>
                <w:rFonts w:ascii="Times New Roman" w:eastAsia="Times New Roman" w:hAnsi="Times New Roman" w:cs="Times New Roman"/>
                <w:color w:val="000000"/>
                <w:sz w:val="18"/>
                <w:szCs w:val="18"/>
                <w:lang w:eastAsia="it-IT"/>
              </w:rPr>
            </w:pPr>
            <w:r w:rsidRPr="009F0DFF">
              <w:rPr>
                <w:rFonts w:ascii="Times New Roman" w:eastAsia="Times New Roman" w:hAnsi="Times New Roman" w:cs="Times New Roman"/>
                <w:sz w:val="18"/>
                <w:szCs w:val="18"/>
                <w:lang w:eastAsia="it-IT"/>
              </w:rPr>
              <w:t>81.8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80F16B"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5BA88B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1C7FA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05AA82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166441" w:rsidRPr="009F0DFF" w14:paraId="3BF65DEF"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5B6109BB" w14:textId="0FA70FCE" w:rsidR="00166441" w:rsidRPr="00AF5E1D" w:rsidRDefault="00166441" w:rsidP="00B77545">
            <w:pPr>
              <w:jc w:val="center"/>
              <w:rPr>
                <w:rFonts w:ascii="Times New Roman" w:eastAsia="Times New Roman" w:hAnsi="Times New Roman" w:cs="Times New Roman"/>
                <w:sz w:val="18"/>
                <w:szCs w:val="18"/>
                <w:lang w:val="pt-BR" w:eastAsia="it-IT"/>
              </w:rPr>
            </w:pPr>
            <w:r w:rsidRPr="00AF5E1D">
              <w:rPr>
                <w:rFonts w:ascii="Times New Roman" w:eastAsia="Times New Roman" w:hAnsi="Times New Roman" w:cs="Times New Roman"/>
                <w:sz w:val="18"/>
                <w:szCs w:val="18"/>
                <w:lang w:val="pt-BR" w:eastAsia="it-IT"/>
              </w:rPr>
              <w:t>De Berardis et al., 2008</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ADDIN CSL_CITATION {"citationItems":[{"id":"ITEM-1","itemData":{"DOI":"10.1177/039463200802100208","ISSN":"03946320","PMID":"18547475","abstract":"The aim of the present study is to evaluate the role of CRP and Total Cholesterol (TC) in patients suffering from type I Bipolar Disorder (BD-I). Moreover, the goal is to elucidate possible CRP and TC differences in different phases of BD-I: acute mania, euthymia and bipolar depression. Medical records of 90 BD-I patients (30 patients with acute mania, 30 in euthymic state, full remission, and 30 in depressive phase) were reviewed to evaluate serum CRP and TC levels. Laboratory data of 30 healthy controls were also obtained. The scores of Young Mania Rating Scale (YMRS), Bech-Rafaelsen Manic Rating Scale (BRMRS) and Hamilton Rating Scale for Depression (HAM-D) were evaluated. CRP levels were higher in acute mania and depressive phase subgroups when compared to healthy controls. CRP was positively associated with BRMRS and YMRS scores in acute mania and with HAM-D in depressive phase subgroups. TC levels were lower in all clinical groups compared to controls. TC levels were negatively correlated to BRMRS, YMRS and HAM-D. In conclusion, the results of the present study support the notion that CRP and TC may be altered in patients with BP-I. Copyright © by Biolife, s.a.s.","author":[{"dropping-particle":"","family":"Berardis","given":"Domenico","non-dropping-particle":"De","parse-names":false,"suffix":""},{"dropping-particle":"","family":"Conti","given":"C. M.","non-dropping-particle":"","parse-names":false,"suffix":""},{"dropping-particle":"","family":"Campanella","given":"D.","non-dropping-particle":"","parse-names":false,"suffix":""},{"dropping-particle":"","family":"Carano","given":"A.","non-dropping-particle":"","parse-names":false,"suffix":""},{"dropping-particle":"","family":"Scali","given":"M.","non-dropping-particle":"","parse-names":false,"suffix":""},{"dropping-particle":"","family":"Valchera","given":"A.","non-dropping-particle":"","parse-names":false,"suffix":""},{"dropping-particle":"","family":"Serroni","given":"N.","non-dropping-particle":"","parse-names":false,"suffix":""},{"dropping-particle":"","family":"Pizzorno","given":"A. M.","non-dropping-particle":"","parse-names":false,"suffix":""},{"dropping-particle":"","family":"D'Albenzio","given":"A.","non-dropping-particle":"","parse-names":false,"suffix":""},{"dropping-particle":"","family":"Fulcheri","given":"M.","non-dropping-particle":"","parse-names":false,"suffix":""},{"dropping-particle":"","family":"Gambi","given":"F.","non-dropping-particle":"","parse-names":false,"suffix":""},{"dropping-particle":"","family":"Rovere","given":"R.","non-dropping-particle":"La","parse-names":false,"suffix":""},{"dropping-particle":"","family":"Cotellessa","given":"C.","non-dropping-particle":"","parse-names":false,"suffix":""},{"dropping-particle":"","family":"Salerno","given":"R. M.","non-dropping-particle":"","parse-names":false,"suffix":""},{"dropping-particle":"","family":"Ferro","given":"F. M.","non-dropping-particle":"","parse-names":false,"suffix":""}],"container-title":"International Journal of Immunopathology and Pharmacology","id":"ITEM-1","issue":"2","issued":{"date-parts":[["2008"]]},"page":"319-324","publisher":"Biomedical Research Press s.a.s.","title":"Evaluation of C-reactive protein and total serum cholesterol in adult patients with bipolar disorder","type":"article-journal","volume":"21"},"uris":["http://www.mendeley.com/documents/?uuid=3b8705d1-913e-37ea-befe-a24a7e4b2c6d"]}],"mendeley":{"formattedCitation":"(De Berardis et al., 2008)","plainTextFormattedCitation":"(De Berardis et al., 2008)","previouslyFormattedCitation":"(De Berardis et al., 2008)"},"properties":{"noteIndex":0},"schema":"https://github.com/citation-style-language/schema/raw/master/csl-citation.json"}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(De Berardis et al., 2008)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BF2AC5"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4D88742"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C9B197" w14:textId="77777777" w:rsidR="00166441" w:rsidRPr="009F0DFF" w:rsidRDefault="00166441" w:rsidP="00166441">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AEB3B0"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6304BDE"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5DB50D2"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34.4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B88BEF"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7DD5592"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128A4B8"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440926"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Italy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01FDCA3"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6006EB"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166441" w:rsidRPr="009F0DFF" w14:paraId="7CB0F68D"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757E65A6" w14:textId="28F1B479"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D0E8A9E" w14:textId="77777777"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1E885E0"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06497E0"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E233A61"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836916"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6366A2"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4650F12"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400048C"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FBB54FD"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0B83791"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6387E5C"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0544A3E"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166441" w:rsidRPr="009F0DFF" w14:paraId="721D3CCF"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2BEF6ABF" w14:textId="5BA53E60"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ADEEE0A" w14:textId="77777777"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55EC880"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03ED2A8" w14:textId="77777777" w:rsidR="00166441" w:rsidRPr="009F0DFF" w:rsidRDefault="00166441"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5245020"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228DFA"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AD8C0F" w14:textId="77777777" w:rsidR="00166441" w:rsidRPr="009F0DFF" w:rsidRDefault="00166441"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9E2E5EE"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09BA411"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DF1FA63"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1F9C7B"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2C2DF79"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903CEB2" w14:textId="77777777" w:rsidR="00166441" w:rsidRPr="009F0DFF" w:rsidRDefault="00166441" w:rsidP="009F0DFF">
            <w:pPr>
              <w:jc w:val="center"/>
              <w:rPr>
                <w:rFonts w:ascii="Times New Roman" w:eastAsia="Times New Roman" w:hAnsi="Times New Roman" w:cs="Times New Roman"/>
                <w:sz w:val="18"/>
                <w:szCs w:val="18"/>
                <w:lang w:eastAsia="it-IT"/>
              </w:rPr>
            </w:pPr>
          </w:p>
        </w:tc>
      </w:tr>
      <w:tr w:rsidR="00DD7736" w:rsidRPr="009F0DFF" w14:paraId="3CE0EF3E"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66B2C03B" w14:textId="0D1FF1E9"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Dickerson et al., 2007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{"citationItems":[{"id":"ITEM-1","itemData":{"DOI":"10.1016/j.pnpbp.2007.02.018","ISSN":"02785846","PMID":"17391822","abstract":"Objectives: We investigated the association between serum levels of C-reactive protein (CRP), a marker of inflammation, and the severity of psychopathology in outpatients with bipolar disorder. We also compared the levels of CRP in the bipolar disorder individuals with those of a non-psychiatric control group. Methods: We measured the level of CRP in N = 122 outpatients with bipolar disorder and N = 165 control individuals and evaluated the symptom severity of the bipolar disorder patients with the Young Mania Rating Scale (YMRS) and the Hamilton Depression Scale (Ham-D). Results: Within the bipolar disorder sample, CRP was significantly associated with the YMRS score (r = .306, p &lt; .006), age of onset, gender, and race. CRP was not significantly associated with the Ham-D score or other clinical or demographic variables. In a multivariate analysis of covariance, CRP was the only independent predictor of YMRS score (F = 11.7, p = .0009). The CRP levels of the n = 41 individuals with YMRS &gt; 6 were significantly greater than the levels of the n = 81 individuals with YMRS ≤ 6 (F = 7.94, &lt; .006). The CRP levels of the group with YMRS &gt; 6 were also significantly greater than the levels of the control group (p = .033) while the CRP levels of the group with YMRS ≤ 6 did not differ from that of controls (p &gt; .05). Conclusions: Our results suggest that outpatients with bipolar disorder with mania symptoms have increased levels of CRP as compared to those without mania symptoms and compared to individuals without psychiatric disorders. The long-term consequences of CRP in bipolar disorder should be the subject of future studies. © 2007 Elsevier Inc. All rights reserved.","author":[{"dropping-particle":"","family":"Dickerson","given":"Faith","non-dropping-particle":"","parse-names":false,"suffix":""},{"dropping-particle":"","family":"Stallings","given":"Cassie","non-dropping-particle":"","parse-names":false,"suffix":""},{"dropping-particle":"","family":"Origoni","given":"Andrea","non-dropping-particle":"","parse-names":false,"suffix":""},{"dropping-particle":"","family":"Boronow","given":"John","non-dropping-particle":"","parse-names":false,"suffix":""},{"dropping-particle":"","family":"Yolken","given":"Robert","non-dropping-particle":"","parse-names":false,"suffix":""}],"container-title":"Progress in Neuro-Psychopharmacology and Biological Psychiatry","id":"ITEM-1","issue":"4","issued":{"date-parts":[["2007","5","9"]]},"page":"952-955","publisher":"Prog Neuropsychopharmacol Biol Psychiatry","title":"Elevated serum levels of C-reactive protein are associated with mania symptoms in outpatients with bipolar disorder","type":"article-journal","volume":"31"},"uris":["http://www.mendeley.com/documents/?uuid=84d67713-ba4b-3d0a-ae6d-d0037a444e13"]}],"mendeley":{"formattedCitation":"(Dickerson et al., 2007)","plainTextFormattedCitation":"(Dickerson et al., 2007)","previouslyFormattedCitation":"(Dickerson et al., 2007)"},"properties":{"noteIndex":0},"schema":"https://github.com/citation-style-language/schema/raw/master/csl-citation.json"}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(Dickerson et al., 2007)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858FD7"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EC2757"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165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6ADEE60" w14:textId="77777777" w:rsidR="00DD7736" w:rsidRPr="009F0DFF" w:rsidRDefault="00DD7736" w:rsidP="00DD7736">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99EB470" w14:textId="77777777" w:rsidR="00DD7736" w:rsidRPr="009F0DFF" w:rsidRDefault="00DD7736"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87D052E" w14:textId="77777777" w:rsidR="00DD7736" w:rsidRPr="009F0DFF" w:rsidRDefault="00DD7736"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F3C7D0C" w14:textId="77777777" w:rsidR="00DD7736" w:rsidRPr="009F0DFF" w:rsidRDefault="00DD7736"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34.3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E95E5D7" w14:textId="77777777" w:rsidR="00DD7736" w:rsidRPr="009F0DFF" w:rsidRDefault="00DD7736"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67.9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79F3096" w14:textId="77777777" w:rsidR="00DD7736" w:rsidRPr="009F0DFF" w:rsidRDefault="00DD7736"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73.9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117CF46"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776FBE"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USA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606B884"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7AE1A0C0"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DD7736" w:rsidRPr="009F0DFF" w14:paraId="1F07FC75"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1C47035A" w14:textId="2FB2D3C1" w:rsidR="00DD7736" w:rsidRPr="009F0DFF" w:rsidRDefault="00DD7736"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B5867C3"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9919C66" w14:textId="77777777" w:rsidR="00DD7736" w:rsidRPr="009F0DFF" w:rsidRDefault="00DD7736"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229D8F0" w14:textId="77777777" w:rsidR="00DD7736" w:rsidRPr="009F0DFF" w:rsidRDefault="00DD7736" w:rsidP="00DD7736">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A742789" w14:textId="77777777" w:rsidR="00DD7736" w:rsidRPr="009F0DFF" w:rsidRDefault="00DD7736"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51D7D07" w14:textId="77777777" w:rsidR="00DD7736" w:rsidRPr="009F0DFF" w:rsidRDefault="00DD7736"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752293F" w14:textId="77777777" w:rsidR="00DD7736" w:rsidRPr="009F0DFF" w:rsidRDefault="00DD7736"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605161A" w14:textId="77777777" w:rsidR="00DD7736" w:rsidRPr="009F0DFF" w:rsidRDefault="00DD7736"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2DB078" w14:textId="77777777" w:rsidR="00DD7736" w:rsidRPr="009F0DFF" w:rsidRDefault="00DD7736"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FD7E14E"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7EB54E2"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A24635B"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01045A47" w14:textId="77777777" w:rsidR="00DD7736" w:rsidRPr="009F0DFF" w:rsidRDefault="00DD7736" w:rsidP="009F0DFF">
            <w:pPr>
              <w:jc w:val="center"/>
              <w:rPr>
                <w:rFonts w:ascii="Times New Roman" w:eastAsia="Times New Roman" w:hAnsi="Times New Roman" w:cs="Times New Roman"/>
                <w:sz w:val="18"/>
                <w:szCs w:val="18"/>
                <w:lang w:eastAsia="it-IT"/>
              </w:rPr>
            </w:pPr>
          </w:p>
        </w:tc>
      </w:tr>
      <w:tr w:rsidR="00B77545" w:rsidRPr="009F0DFF" w14:paraId="035767FC"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106CE3DB" w14:textId="73E420C6"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Doganavsargil-Baysal et al., 2013</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{"citationItems":[{"id":"ITEM-1","itemData":{"DOI":"https://doi.org/10.1002/hup.2301","ISSN":"0885-6222","abstract":"Objective Tumor necrosis factor-alpha (TNF-α) may play an important role in bipolar disorder (BD) pathogenesis. There is only one study about a relationship between TNF-α levels and cognitive impairments in BD. The aim of the present study was to see whether TNF-α, soluble P55 TNF receptor (sTNFR1), and soluble P75 TNF receptor (sTNFR2) levels in BD patients are different from controls and to investigate the relationships between the levels of TNF-α, sTNFR1, and sTNFR2 and the cognitive functions in euthymic BD patients and controls. Methods We assessed 54 BD type I patients and 18 controls by using a battery of neuropsychological tests. Serum TNF-α levels were measured using a commercially available enzyme-linked immunosorbent assay, whereas serum sTNFR1 and sTNFR2 levels were measured using a commercially enzyme-amplified sensitivity immunoassay kit. Results We found that levels of sTNFR1 and sTNFR2 in BD patients were different from controls. No difference was detected between the BD group and the control group for levels of TNF-α. TNF-α level was found to have a negative correlation with the delayed recall in RAVLT. Conclusions High levels of sTNFR1 and sTNFR2 in euthymic patients showed that it may support that proinflammatory process continues in euthymic period. This is the first study which showed increased sTNFR2 levels in euthymic period, which could be interpreted as a compensatory mechanism and again the first which deals with verbal memory. Copyright ? 2013 John Wiley &amp; Sons, Ltd.","author":[{"dropping-particle":"","family":"Doganavsargil-Baysal","given":"Ozge","non-dropping-particle":"","parse-names":false,"suffix":""},{"dropping-particle":"","family":"Cinemre","given":"Buket","non-dropping-particle":"","parse-names":false,"suffix":""},{"dropping-particle":"","family":"Aksoy","given":"Umut Mert","non-dropping-particle":"","parse-names":false,"suffix":""},{"dropping-particle":"","family":"Akbas","given":"Halide","non-dropping-particle":"","parse-names":false,"suffix":""},{"dropping-particle":"","family":"Metin","given":"Ozmen","non-dropping-particle":"","parse-names":false,"suffix":""},{"dropping-particle":"","family":"Fettahoglu","given":"Cıgıl","non-dropping-particle":"","parse-names":false,"suffix":""},{"dropping-particle":"","family":"Gokmen","given":"Zehra","non-dropping-particle":"","parse-names":false,"suffix":""},{"dropping-particle":"","family":"Davran","given":"Fatih","non-dropping-particle":"","parse-names":false,"suffix":""}],"container-title":"Human Psychopharmacology: Clinical and Experimental","id":"ITEM-1","issue":"2","issued":{"date-parts":[["2013","3","1"]]},"note":"https://doi.org/10.1002/hup.2301","page":"160-167","publisher":"John Wiley &amp; Sons, Ltd","title":"Levels of TNF-α, soluble TNF receptors (sTNFR1, sTNFR2), and cognition in bipolar disorder","type":"article-journal","volume":"28"},"uris":["http://www.mendeley.com/documents/?uuid=afae7634-994d-453c-9964-9a98485d9373"]}],"mendeley":{"formattedCitation":"(Doganavsargil-Baysal et al., 2013)","plainTextFormattedCitation":"(Doganavsargil-Baysal et al., 2013)","previouslyFormattedCitation":"(Doganavsargil-Baysal et al., 2013)"},"properties":{"noteIndex":0},"schema":"https://github.com/citation-style-language/schema/raw/master/csl-citation.json"}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(Doganavsargil-Baysal et al., 2013)</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C6E1540"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631FB6C"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6874530"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760BF2"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B4FDA9"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39.46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73FF75"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81BF4C9"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8AA63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917C56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FDD5F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Turkey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805553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6FA40B6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4D30043B"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4B3CED1D" w14:textId="26FFB820"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Hope et al, 2009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{"citationItems":[{"id":"ITEM-1","itemData":{"DOI":"https://doi.org/10.1111/j.1399-5618.2009.00757.x","ISSN":"1398-5647","abstract":"Background:? Alterations in the inflammatory system have been associated with schizophrenia and major depression, while bipolar disorder has been less studied. Most previous studies examined small samples, and the literature is inconsistent with regard to specific underlying immune mechanisms. In the present study, we examined markers representing different inflammatory pathways, and the aim was to investigate whether the levels of inflammatory parameters in a representative sample of bipolar disorder and schizophrenia are elevated compared to healthy controls, and to investigate whether the inflammatory profile is different between the groups. Methods:? Plasma levels of soluble tumor necrosis factor receptor 1 (sTNF-R1), interleukin-1 receptor antagonist (IL-1Ra), interleukin-6 (IL-6), high-sensitivity CRP (hs-CRP), soluble CD40L ligand (sCD40L), and von Willebrand factor (vWf) were measured with ELISA techniques in a catchment area based sample of consecutively referred patients with severe mental disorders [N?=?311, comprising bipolar disorder (n?=?125) and schizophrenia (n?=?186)] and in healthy volunteers (n?=?244). Results:? Plasma levels of sTNF-R1 and vWf were statistically significantly increased in both bipolar disorder and schizophrenia compared to controls (p?&lt;?0.00001), and were also increased in unmedicated patients, but there were no major differences between the two diagnostic groups. Controlling for age, gender, ethnicity, cardiovascular disorders, kidney and liver function, and other confounders did not affect the results. There were no differences in other inflammation factors between the groups. Conclusion:? The present results indicate specific alterations of endothelium-related inflammation processes in both bipolar disorder and schizophrenia.","author":[{"dropping-particle":"","family":"Hope","given":"Sigrun","non-dropping-particle":"","parse-names":false,"suffix":""},{"dropping-particle":"","family":"Melle","given":"Ingrid","non-dropping-particle":"","parse-names":false,"suffix":""},{"dropping-particle":"","family":"Aukrust","given":"Pål","non-dropping-particle":"","parse-names":false,"suffix":""},{"dropping-particle":"","family":"Steen","given":"Nils Eiel","non-dropping-particle":"","parse-names":false,"suffix":""},{"dropping-particle":"","family":"Birkenaes","given":"Astrid B","non-dropping-particle":"","parse-names":false,"suffix":""},{"dropping-particle":"","family":"Lorentzen","given":"Steinar","non-dropping-particle":"","parse-names":false,"suffix":""},{"dropping-particle":"","family":"Agartz","given":"Ingrid","non-dropping-particle":"","parse-names":false,"suffix":""},{"dropping-particle":"","family":"Ueland","given":"Thor","non-dropping-particle":"","parse-names":false,"suffix":""},{"dropping-particle":"","family":"Andreassen","given":"Ole A","non-dropping-particle":"","parse-names":false,"suffix":""}],"container-title":"Bipolar Disorders","id":"ITEM-1","issue":"7","issued":{"date-parts":[["2009","11","1"]]},"note":"https://doi.org/10.1111/j.1399-5618.2009.00757.x","page":"726-734","publisher":"John Wiley &amp; Sons, Ltd","title":"Similar immune profile in bipolar disorder and schizophrenia: selective increase in soluble tumor necrosis factor receptor I and von Willebrand factor","type":"article-journal","volume":"11"},"uris":["http://www.mendeley.com/documents/?uuid=1bbee5f0-1354-4661-9440-6b767db594cf"]}],"mendeley":{"formattedCitation":"(Hope et al., 2009)","plainTextFormattedCitation":"(Hope et al., 2009)","previouslyFormattedCitation":"(Hope et al., 2009)"},"properties":{"noteIndex":0},"schema":"https://github.com/citation-style-language/schema/raw/master/csl-citation.json"}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(Hope et al., 2009)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B613EB5"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AFA967"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244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A02B3CD"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B8A214"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2EB49B"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D361E4"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5F61E3"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A3B172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7F5381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576D32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Norway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A8E78F8"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76C3B628"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5D24FAAF"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461F3442" w14:textId="56244D36"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Hope et al, 2011</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{"citationItems":[{"id":"ITEM-1","itemData":{"DOI":"https://doi.org/10.1016/j.jpsychires.2011.08.003","ISSN":"0022-3956","abstract":"Objective Elevated levels of inflammation are reported in bipolar disorders (BP), but how this relates to affective symptoms is unclear. We aimed to determine if immune markers that consistently have been reported elevated in BP were associated with depressive and manic symptoms, and if this was specific for BP. Methods From a catchment area, 112 BP patients were included together with 153 schizophrenia (SCZ) patients and 239 healthy controls. Depression and mania were assessed and the patients were grouped into depressed, neutral, and elevated mood. We measured the immune markers tumor necrosis factor receptor 1 (sTNF-R1), interleukin 1 receptor antagonist (IL-1Ra), interleukin 6 (IL-6), high sensitive C-reactive protein (hsCRP), osteoprotegerin (OPG) and von Willebrand factor (vWf) which have been found increased in severe mental disorders. Results In BP all inflammatory markers were lowest in depressed state, with significant group differences after control for confounders with respect to TNF-R1 (p = 0.04), IL-1Ra (p = 0.02), OPG (p = 0.004) and IL-6 (p = 0.005). STNF-R1 was positively correlated with the item elevated mood (p = 0.02) whereas sad mood was negatively correlated with OPG (p = 0.0003), IL-1Ra (p = 0.001) and IL-6 (p = 0.006). Compared to controls the neutral mood group had significantly higher levels of OPG (p = 0.0003) and IL-6 (p = 0.005), and the elevated mood group had higher levels of TNF-R1 (p = 0.000005) and vWf (p = 0.002). There were no significant associations between affective states orsymptoms in SCZ. Conclusions The current associations between inflammatory markers and affective symptomatology in BP and not SCZ suggest that immune related mechanisms are associated with core psychopathology of BP.","author":[{"dropping-particle":"","family":"Hope","given":"Sigrun","non-dropping-particle":"","parse-names":false,"suffix":""},{"dropping-particle":"","family":"Dieset","given":"Ingrid","non-dropping-particle":"","parse-names":false,"suffix":""},{"dropping-particle":"","family":"Agartz","given":"Ingrid","non-dropping-particle":"","parse-names":false,"suffix":""},{"dropping-particle":"","family":"Steen","given":"Nils E","non-dropping-particle":"","parse-names":false,"suffix":""},{"dropping-particle":"","family":"Ueland","given":"Thor","non-dropping-particle":"","parse-names":false,"suffix":""},{"dropping-particle":"","family":"Melle","given":"Ingrid","non-dropping-particle":"","parse-names":false,"suffix":""},{"dropping-particle":"","family":"Aukrust","given":"Pål","non-dropping-particle":"","parse-names":false,"suffix":""},{"dropping-particle":"","family":"Andreassen","given":"Ole A","non-dropping-particle":"","parse-names":false,"suffix":""}],"container-title":"Journal of Psychiatric Research","id":"ITEM-1","issue":"12","issued":{"date-parts":[["2011"]]},"page":"1608-1616","title":"Affective symptoms are associated with markers of inflammation and immune activation in bipolar disorders but not in schizophrenia","type":"article-journal","volume":"45"},"uris":["http://www.mendeley.com/documents/?uuid=717cb5a2-1faa-4557-8efb-b903ce5d8208"]}],"mendeley":{"formattedCitation":"(Hope et al., 2011)","plainTextFormattedCitation":"(Hope et al., 2011)","previouslyFormattedCitation":"(Hope et al., 2011)"},"properties":{"noteIndex":0},"schema":"https://github.com/citation-style-language/schema/raw/master/csl-citation.json"}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(Hope et al., 2011)</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624A63D"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70A38F8"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E384E86" w14:textId="77777777" w:rsidR="00166441" w:rsidRPr="009F0DFF" w:rsidRDefault="00166441" w:rsidP="00166441">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12928A5"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3092419"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BAAB20" w14:textId="77777777" w:rsidR="00166441" w:rsidRPr="009F0DFF" w:rsidRDefault="00166441"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43AE83"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38AA0CC"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8477759"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BA3E84" w14:textId="77777777" w:rsidR="00166441" w:rsidRPr="009F0DFF" w:rsidRDefault="00166441"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Norway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BFD15BB" w14:textId="77777777" w:rsidR="00166441" w:rsidRPr="009F0DFF" w:rsidRDefault="00166441"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6737A795" w14:textId="77777777" w:rsidR="00166441" w:rsidRPr="009F0DFF" w:rsidRDefault="00166441"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166441" w:rsidRPr="009F0DFF" w14:paraId="7A25E307"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6EB1F991" w14:textId="29190D0A"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CC02264"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1F433C4" w14:textId="77777777"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072AD17"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A66F863"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B53CE2C"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9195BFC" w14:textId="77777777" w:rsidR="00166441" w:rsidRPr="009F0DFF" w:rsidRDefault="00166441"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CEA7889"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1EFD22"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1E1C144"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CC02538"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260B52D" w14:textId="77777777" w:rsidR="00166441" w:rsidRPr="009F0DFF" w:rsidRDefault="00166441"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63136566" w14:textId="77777777" w:rsidR="00166441" w:rsidRPr="009F0DFF" w:rsidRDefault="00166441" w:rsidP="004846E4">
            <w:pPr>
              <w:jc w:val="center"/>
              <w:rPr>
                <w:rFonts w:ascii="Times New Roman" w:eastAsia="Times New Roman" w:hAnsi="Times New Roman" w:cs="Times New Roman"/>
                <w:sz w:val="18"/>
                <w:szCs w:val="18"/>
                <w:lang w:eastAsia="it-IT"/>
              </w:rPr>
            </w:pPr>
          </w:p>
        </w:tc>
      </w:tr>
      <w:tr w:rsidR="00166441" w:rsidRPr="009F0DFF" w14:paraId="6D608054"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1A836FBE" w14:textId="41160463"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F628A97" w14:textId="77777777" w:rsidR="00166441" w:rsidRPr="009F0DFF" w:rsidRDefault="00166441"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6B9008" w14:textId="77777777" w:rsidR="00166441" w:rsidRPr="009F0DFF" w:rsidRDefault="00166441"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3816031" w14:textId="77777777" w:rsidR="00166441" w:rsidRPr="009F0DFF" w:rsidRDefault="00166441" w:rsidP="00166441">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554171D" w14:textId="77777777" w:rsidR="00166441" w:rsidRPr="009F0DFF" w:rsidRDefault="00166441"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0768D0" w14:textId="77777777" w:rsidR="00166441" w:rsidRPr="009F0DFF" w:rsidRDefault="00166441"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54CACA8" w14:textId="77777777" w:rsidR="00166441" w:rsidRPr="009F0DFF" w:rsidRDefault="00166441"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988929B" w14:textId="77777777" w:rsidR="00166441" w:rsidRPr="009F0DFF" w:rsidRDefault="00166441"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6D1B87"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FC5CE01"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27CCC89" w14:textId="77777777" w:rsidR="00166441" w:rsidRPr="009F0DFF" w:rsidRDefault="00166441"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8BF8B3F" w14:textId="77777777" w:rsidR="00166441" w:rsidRPr="009F0DFF" w:rsidRDefault="00166441"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274DC3E2" w14:textId="77777777" w:rsidR="00166441" w:rsidRPr="009F0DFF" w:rsidRDefault="00166441" w:rsidP="004846E4">
            <w:pPr>
              <w:jc w:val="center"/>
              <w:rPr>
                <w:rFonts w:ascii="Times New Roman" w:eastAsia="Times New Roman" w:hAnsi="Times New Roman" w:cs="Times New Roman"/>
                <w:sz w:val="18"/>
                <w:szCs w:val="18"/>
                <w:lang w:eastAsia="it-IT"/>
              </w:rPr>
            </w:pPr>
          </w:p>
        </w:tc>
      </w:tr>
      <w:tr w:rsidR="00B77545" w:rsidRPr="009F0DFF" w14:paraId="0F7B46DB"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A27FE71" w14:textId="70027670"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Hope et al, 2015</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{"citationItems":[{"id":"ITEM-1","itemData":{"DOI":"https://doi.org/10.1016/j.schres.2015.04.004","ISSN":"0920-9964","abstract":"Background The mechanisms underlying cognitive impairment in schizophrenia and bipolar disorders are largely unknown. Immune abnormalities have been found in both disorders, and inflammatory mediators may play roles in cognitive function. We investigated if inflammatory markers are associated with general cognitive abilities. Methods Participants with schizophrenia spectrum (N=121) and bipolar spectrum (N=111) disorders and healthy controls (N=241) were included. General intellectual abilities were assessed using the Wechsler Abbreviated Scale of Intelligence (WASI). Serum concentrations of the following immune markers were measured: Soluble tumor necrosis factor receptor 1 (sTNF-R1), interleukin 1 receptor antagonist (IL-1Ra), osteoprotegerin, von Willebrand factor, C-reactive protein, interleukin-6 and CD40 ligand. Results After adjusting for age, sex and diagnostic group, significant negative associations with general cognitive function were found for sTNF-R1 (p=2×10−5), IL-1Ra (p=0.002) and sCD40 ligand (p=0.003). Among patients, the associations remained significant (p=0.006, p=0.005 and p=0.02) after adjusting for possible confounders including education, smoking, psychotic and affective symptoms, body mass index, cortisol, medication and time of blood sampling. Subgroup analysis, showed that general cognitive abilities were significantly associated with IL-1Ra and sTNF-R1 in schizophrenia patients, with sCD40L and IL-1Ra in bipolar disorder patients and with sTNF-R1 in healthy controls. Conclusion The study shows significant negative associations between inflammatory markers and general cognitive abilities after adjusting for possible confounders. The findings strongly support a role for inflammation in the neurophysiology of cognitive impairment.","author":[{"dropping-particle":"","family":"Hope","given":"Sigrun","non-dropping-particle":"","parse-names":false,"suffix":""},{"dropping-particle":"","family":"Hoseth","given":"Eva","non-dropping-particle":"","parse-names":false,"suffix":""},{"dropping-particle":"","family":"Dieset","given":"Ingrid","non-dropping-particle":"","parse-names":false,"suffix":""},{"dropping-particle":"","family":"Mørch","given":"Ragni H","non-dropping-particle":"","parse-names":false,"suffix":""},{"dropping-particle":"","family":"Aas","given":"Monica","non-dropping-particle":"","parse-names":false,"suffix":""},{"dropping-particle":"","family":"Aukrust","given":"Pål","non-dropping-particle":"","parse-names":false,"suffix":""},{"dropping-particle":"","family":"Djurovic","given":"Srdjan","non-dropping-particle":"","parse-names":false,"suffix":""},{"dropping-particle":"","family":"Melle","given":"Ingrid","non-dropping-particle":"","parse-names":false,"suffix":""},{"dropping-particle":"","family":"Ueland","given":"Torill","non-dropping-particle":"","parse-names":false,"suffix":""},{"dropping-particle":"","family":"Agartz","given":"Ingrid","non-dropping-particle":"","parse-names":false,"suffix":""},{"dropping-particle":"","family":"Ueland","given":"Thor","non-dropping-particle":"","parse-names":false,"suffix":""},{"dropping-particle":"","family":"Westlye","given":"Lars T","non-dropping-particle":"","parse-names":false,"suffix":""},{"dropping-particle":"","family":"Andreassen","given":"Ole A","non-dropping-particle":"","parse-names":false,"suffix":""}],"container-title":"Schizophrenia Research","id":"ITEM-1","issue":"2","issued":{"date-parts":[["2015"]]},"page":"188-194","title":"Inflammatory markers are associated with general cognitive abilities in schizophrenia and bipolar disorder patients and healthy controls","type":"article-journal","volume":"165"},"uris":["http://www.mendeley.com/documents/?uuid=11a90c89-d0e4-48f4-b62f-dd556f1bff95"]}],"mendeley":{"formattedCitation":"(Hope et al., 2015)","plainTextFormattedCitation":"(Hope et al., 2015)","previouslyFormattedCitation":"(Hope et al., 2015)"},"properties":{"noteIndex":0},"schema":"https://github.com/citation-style-language/schema/raw/master/csl-citation.json"}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(Hope et al., 2015)</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B590C7E"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111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24116A4"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60E5564"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EEE9F91"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6C5E08"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60495F"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BEBB40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6552D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6270E9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366A71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Norway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424219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5928DB8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DD7736" w:rsidRPr="009F0DFF" w14:paraId="3A767CAB"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0759ED7E" w14:textId="5F0B0DDD"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Hornig et al, 1998</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{"citationItems":[{"id":"ITEM-1","itemData":{"DOI":"https://doi.org/10.1016/S0165-0327(97)00180-8","ISSN":"0165-0327","abstract":"Background: Patients with affective disorders show evidence of increased positive acute phase proteins (e.g., C-reactive protein [CRP], α-1-acid glycoprotein, haptoglobin) and decreased negative acute phase proteins (e.g., albumin, transferrin [TFN]). CRP reductions have been reported to be greater in patients who later respond to lithium augmentation, and these patients also demonstrate higher CRP levels on the failed antidepressant, prior to the addition of lithium. However, association of such systemic immune changes with affective subtypes, mood state, psychotropic medications, age and gender has not been extensively explored. Methods: The present study assessed levels of CRP and TFN in 79 bipolar I, 24 bipolar II, and 46 unipolar depressed outpatients in comparison to 22 healthy controls. Results: Patients on lithium monotherapy were significantly less likely to demonstrate elevated CRP, and a similar trend was noted in those patients taking lithium in combination with an antidepressant. The frequency of elevated CRP levels did not significantly vary for different psychotropic medications, affective subgroups, or mood states. TFN levels were not influenced by diagnosis, affective state or psychotropic medications. Limitations: Due to the retrospective nature of this analysis, the affective subgroups were heterogenous with regard to medications and affective state, and differed significantly in age. Due to limitations in subgroup sample size, significant effects of clinical variables may have been masked by interactions of medications, age, affective subtype, and mood state. Conclusions: The results imply that lithium may play a role in normalizing systemic immune activation associated with depression. Whether such immune changes may be restricted to lithium-responsive subgroups deserves further evaluation.","author":[{"dropping-particle":"","family":"Hornig","given":"Mady","non-dropping-particle":"","parse-names":false,"suffix":""},{"dropping-particle":"","family":"Goodman","given":"David B P","non-dropping-particle":"","parse-names":false,"suffix":""},{"dropping-particle":"","family":"Kamoun","given":"Malek","non-dropping-particle":"","parse-names":false,"suffix":""},{"dropping-particle":"","family":"Amsterdam","given":"Jay D","non-dropping-particle":"","parse-names":false,"suffix":""}],"container-title":"Journal of Affective Disorders","id":"ITEM-1","issue":"1","issued":{"date-parts":[["1998"]]},"page":"9-18","title":"Positive and negative acute phase proteins in affective subtypes","type":"article-journal","volume":"49"},"uris":["http://www.mendeley.com/documents/?uuid=bcd79078-0f80-4fd6-958e-1c7512b84510"]}],"mendeley":{"formattedCitation":"(Hornig et al., 1998)","plainTextFormattedCitation":"(Hornig et al., 1998)","previouslyFormattedCitation":"(Hornig et al., 1998)"},"properties":{"noteIndex":0},"schema":"https://github.com/citation-style-language/schema/raw/master/csl-citation.json"}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(Hornig et al., 1998)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FF8BB84"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43E6808"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929D3C6" w14:textId="77777777" w:rsidR="00DD7736" w:rsidRPr="009F0DFF" w:rsidRDefault="00DD7736" w:rsidP="00DD7736">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4AE16BE" w14:textId="77777777" w:rsidR="00DD7736" w:rsidRPr="009F0DFF" w:rsidRDefault="00DD7736"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5AB3943" w14:textId="77777777" w:rsidR="00DD7736" w:rsidRPr="009F0DFF" w:rsidRDefault="00DD7736"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51.5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4C088B2" w14:textId="77777777" w:rsidR="00DD7736" w:rsidRPr="009F0DFF" w:rsidRDefault="00DD7736"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48E7D5" w14:textId="77777777" w:rsidR="00DD7736" w:rsidRPr="009F0DFF" w:rsidRDefault="00DD7736"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54.4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F2C80B"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F13CF8"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9BCAA05"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USA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5D356EF" w14:textId="77777777" w:rsidR="00DD7736" w:rsidRPr="009F0DFF" w:rsidRDefault="00DD7736"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DSM-III-TR</w:t>
            </w:r>
          </w:p>
        </w:tc>
        <w:tc>
          <w:tcPr>
            <w:tcW w:w="0" w:type="auto"/>
            <w:tcBorders>
              <w:top w:val="nil"/>
              <w:left w:val="nil"/>
              <w:bottom w:val="single" w:sz="4" w:space="0" w:color="auto"/>
              <w:right w:val="single" w:sz="4" w:space="0" w:color="auto"/>
            </w:tcBorders>
            <w:shd w:val="clear" w:color="auto" w:fill="FFFFFF" w:themeFill="background1"/>
            <w:vAlign w:val="center"/>
          </w:tcPr>
          <w:p w14:paraId="57BAF5D9" w14:textId="77777777" w:rsidR="00DD7736" w:rsidRPr="009F0DFF" w:rsidRDefault="00DD7736"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DD7736" w:rsidRPr="009F0DFF" w14:paraId="420A5ECB"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6E99891B" w14:textId="722060A0" w:rsidR="00DD7736" w:rsidRPr="009F0DFF" w:rsidRDefault="00DD7736"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32DBA9C"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5CB86E" w14:textId="77777777" w:rsidR="00DD7736" w:rsidRPr="009F0DFF" w:rsidRDefault="00DD7736"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C1C31EB" w14:textId="77777777" w:rsidR="00DD7736" w:rsidRPr="009F0DFF" w:rsidRDefault="00DD7736" w:rsidP="00DD7736">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0B3FC09" w14:textId="77777777" w:rsidR="00DD7736" w:rsidRPr="009F0DFF" w:rsidRDefault="00DD7736"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D89BE4" w14:textId="77777777" w:rsidR="00DD7736" w:rsidRPr="009F0DFF" w:rsidRDefault="00DD7736"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7E163A1" w14:textId="77777777" w:rsidR="00DD7736" w:rsidRPr="009F0DFF" w:rsidRDefault="00DD7736"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CB7DD3E" w14:textId="77777777" w:rsidR="00DD7736" w:rsidRPr="009F0DFF" w:rsidRDefault="00DD7736"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4AF97D8"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F613148"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EAC5BA5"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5447D2C" w14:textId="77777777" w:rsidR="00DD7736" w:rsidRPr="009F0DFF" w:rsidRDefault="00DD7736"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2F82A540" w14:textId="77777777" w:rsidR="00DD7736" w:rsidRPr="009F0DFF" w:rsidRDefault="00DD7736" w:rsidP="004846E4">
            <w:pPr>
              <w:jc w:val="center"/>
              <w:rPr>
                <w:rFonts w:ascii="Times New Roman" w:eastAsia="Times New Roman" w:hAnsi="Times New Roman" w:cs="Times New Roman"/>
                <w:sz w:val="18"/>
                <w:szCs w:val="18"/>
                <w:lang w:eastAsia="it-IT"/>
              </w:rPr>
            </w:pPr>
          </w:p>
        </w:tc>
      </w:tr>
      <w:tr w:rsidR="00B77545" w:rsidRPr="009F0DFF" w14:paraId="0166AF80"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2E363B8" w14:textId="254DFF34"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lastRenderedPageBreak/>
              <w:t>Huang et al., 2007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{"citationItems":[{"id":"ITEM-1","itemData":{"DOI":"https://doi.org/10.1016/j.pnpbp.2006.09.010","ISSN":"0278-5846","abstract":"The serum high-sensitivity C-reactive protein (hsCRP) levels in patients with major depressive disorder and bipolar I disorder in acute phases were investigated. During a 1-year period, a total of 67 participants including 23 patients with major depressive disorder, 13 patients with bipolar I disorder (manic episode) and 31 healthy controls were recruited in this study. The diagnoses of mental disorders in participants were made by one psychiatrist according to the Structured Clinical Interview for DSM-IV Axis I Disorders (SCID). Both patient groups with major depression and bipolar disorder had higher mean serum hsCRP levels than the healthy control group. Using analysis of covariance with age adjustment, patients with bipolar I disorders still had significantly higher hsCRP levels than healthy controls (P=0.043). However, patients with major depression did not have significantly higher hsCRP levels than healthy controls (P=0.172). These results suggest that patients with bipolar I disorder might have a more severe inflammation reaction than patients without major depression. However, larger samples and adequate statistical methods are needed to prove these results.","author":[{"dropping-particle":"","family":"Huang","given":"Tiao-Lai","non-dropping-particle":"","parse-names":false,"suffix":""},{"dropping-particle":"","family":"Lin","given":"Fu-Chen","non-dropping-particle":"","parse-names":false,"suffix":""}],"container-title":"Progress in Neuro-Psychopharmacology and Biological Psychiatry","id":"ITEM-1","issue":"2","issued":{"date-parts":[["2007"]]},"page":"370-372","title":"High-sensitivity C-reactive protein levels in patients with major depressive disorder and bipolar mania","type":"article-journal","volume":"31"},"uris":["http://www.mendeley.com/documents/?uuid=69cbcefd-3f38-4a7f-9ffc-11bb4e28bfcf"]}],"mendeley":{"formattedCitation":"(Huang and Lin, 2007)","plainTextFormattedCitation":"(Huang and Lin, 2007)","previouslyFormattedCitation":"(Huang and Lin, 2007)"},"properties":{"noteIndex":0},"schema":"https://github.com/citation-style-language/schema/raw/master/csl-citation.json"}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(Huang and Lin, 2007)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7558BF"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8DA5521"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B00A03E"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210286A"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0EB45B2"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CDD99AD"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C5D5DC8"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4E3BCF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FD60F26"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2100B76"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Taiwan</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C945B81"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328708B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77545" w:rsidRPr="009F0DFF" w14:paraId="19BA12F4"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5B677280" w14:textId="078A58BA"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Hung et al, 2007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{"citationItems":[{"id":"ITEM-1","itemData":{"DOI":"https://doi.org/10.1111/j.1365-2265.2007.02963.x","ISSN":"0300-0664","abstract":"Summary Objective? This study was designed to evaluate insulin sensitivity, proinflammatory markers and adiponectin concentration in young males with different subtypes of depressive disorder. Methods? Nonobese young males with depressive disorder (ages between 18 years and 30 years; body mass index, BMI ≤ 25 kg/m2) were recruited and divided into reactive depression (RD, N = 14), major depression (MD, N = 21) and bipolar depression (BD, N = 15) based on clinical course and symptom changes in Hamilton rating scale for depression (HAM-D). Fourteen age- and BMI-matched healthy males were enrolled as controls. All of the participants received a 75-g oral glucose tolerance test (OGTT). Insulin sensitivity and ?-cell function were calculated by minimal model method from the frequently sampled intravenous glucose tolerance test. Plasma C-reactive protein (CRP), adiponectin, tumour necrosis factor-α (TNF-α) and interleukin-6 (IL-6) were determined. Results? Compared to the controls, insulin sensitivity (SI) were significantly lower in MD and BD (0·78 ± 0·09 min?1/pmol and 0·75 ± 0·09 min?1/pmol vs. 1·09 ± 0·08 ? 10?5 min?1/pmol, P &lt; 0·05, respectively). Acute insulin response (AIR) to intravenous glucose was elevated in BD as compared to control and RD groups (6079·9 ± 841·8 pmol vs. 3339·8 ± 356·4 pmol and 3494·8 ± 337·7 pmol, P &lt; 0·05, respectively). Plasma adiponectin level was diminished in BD group as compared to the control and RD groups (7·41 ± 0·45 µg/ml vs. 9·07 ± 0·54 µg/ml and 9·38 ± 0·46 µg/ml; P &lt; 0·05 and P &lt; 0·01, respectively). By regression analysis, a significantly negative correlation between HAM-D score and SI was found in MD (r = ?0·60, P = 0·005) and BD groups (r = ?0·57, P = 0·04). Conclusions? The results suggest that there is an inverse relationship between both major and bipolar depression and insulin resistance in nonobese young males.","author":[{"dropping-particle":"","family":"Hung","given":"Yi-Jen","non-dropping-particle":"","parse-names":false,"suffix":""},{"dropping-particle":"","family":"Hsieh","given":"Chang-Hsun","non-dropping-particle":"","parse-names":false,"suffix":""},{"dropping-particle":"","family":"Chen","given":"Yu-Jun","non-dropping-particle":"","parse-names":false,"suffix":""},{"dropping-particle":"","family":"Pei","given":"Dee","non-dropping-particle":"","parse-names":false,"suffix":""},{"dropping-particle":"","family":"Kuo","given":"Shi-Wen","non-dropping-particle":"","parse-names":false,"suffix":""},{"dropping-particle":"","family":"Shen","given":"Der-Chung","non-dropping-particle":"","parse-names":false,"suffix":""},{"dropping-particle":"","family":"Sheu","given":"Wayne Huey-Herng","non-dropping-particle":"","parse-names":false,"suffix":""},{"dropping-particle":"","family":"Chen","given":"Yi-Chyan","non-dropping-particle":"","parse-names":false,"suffix":""}],"container-title":"Clinical Endocrinology","id":"ITEM-1","issue":"5","issued":{"date-parts":[["2007","11","1"]]},"note":"https://doi.org/10.1111/j.1365-2265.2007.02963.x","page":"784-789","publisher":"John Wiley &amp; Sons, Ltd","title":"Insulin sensitivity, proinflammatory markers and adiponectin in young males with different subtypes of depressive disorder","type":"article-journal","volume":"67"},"uris":["http://www.mendeley.com/documents/?uuid=ae00ca6e-212f-45b7-bf45-db8a3b1ab039"]}],"mendeley":{"formattedCitation":"(Hung et al., 2007)","plainTextFormattedCitation":"(Hung et al., 2007)","previouslyFormattedCitation":"(Hung et al., 2007)"},"properties":{"noteIndex":0},"schema":"https://github.com/citation-style-language/schema/raw/master/csl-citation.json"}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(Hung et al., 2007)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A090C3"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CDE5C3C"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9854A02"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74EAE4"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642790"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E4E872B"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5A45DE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DB251B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CF680B2"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7B41FF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Taiwan</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43BA8A3"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5FC167DA"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72300121"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1275DEAE" w14:textId="05AC995B"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Glaus et al, 2017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{"citationItems":[{"id":"ITEM-1","itemData":{"DOI":"DOI: 10.1017/S0033291717002744","ISSN":"0033-2917","abstract":"Background There has been increasing evidence that chronic low-grade inflammation is associated with mood disorders. However, the findings have been inconsistent because of heterogeneity across studies and methodological limitations. Our aim is to prospectively evaluate the bi-directional associations between inflammatory markers including interleukin (IL)-6, tumor necrosis factor (TNF)-α and high sensitivity C-reactive protein (hsCRP) with mood disorders.   Methods The sample consisted of 3118 participants (53.7% women; mean age: 51.0, s.d. 8.8 years), randomly selected from the general population, who underwent comprehensive somatic and psychiatric evaluations at baseline and follow-up (mean follow-up duration = 5.5 years, s.d. 0.6). Current and remitted mood disorders including bipolar and major depressive disorders (MDD) and its subtypes (atypical, melancholic, combined atypical and melancholic, and unspecified) were based on semi-structured diagnostic interviews. Inflammatory biomarkers were analyzed in fasting blood samples. Associations were tested by multiple linear and logistic regression models.   Results Current combined MDD [β = 0.29, 95% confidence interval (CI) 0.03–0.55] and current atypical MDD (β = 0.32, 95% CI 0.10–0.55) at baseline were associated with increased levels of hsCRP at follow-up. There was little evidence for inflammation markers at baseline predicting mood disorders at follow-up.   Conclusions The prospective unidirectional association between current MDD subtype with atypical features and hsCRP levels at follow-up suggests that inflammation may be a consequence of this condition. The role of inflammation, particularly hsCRP that is critically involved in cardiovascular diseases, warrants further study. Future research that examines potential influences of medications on inflammatory processes is indicated.","author":[{"dropping-particle":"","family":"Glaus","given":"J","non-dropping-particle":"","parse-names":false,"suffix":""},{"dropping-particle":"","family":"Känel","given":"R","non-dropping-particle":"von","parse-names":false,"suffix":""},{"dropping-particle":"","family":"Lasserre","given":"A M","non-dropping-particle":"","parse-names":false,"suffix":""},{"dropping-particle":"","family":"Strippoli","given":"M.-P. F","non-dropping-particle":"","parse-names":false,"suffix":""},{"dropping-particle":"","family":"Vandeleur","given":"C L","non-dropping-particle":"","parse-names":false,"suffix":""},{"dropping-particle":"","family":"Castelao","given":"E","non-dropping-particle":"","parse-names":false,"suffix":""},{"dropping-particle":"","family":"Gholam-Rezaee","given":"M","non-dropping-particle":"","parse-names":false,"suffix":""},{"dropping-particle":"","family":"Marangoni","given":"C","non-dropping-particle":"","parse-names":false,"suffix":""},{"dropping-particle":"","family":"Wagner","given":"E.-Y. N","non-dropping-particle":"","parse-names":false,"suffix":""},{"dropping-particle":"","family":"Marques-Vidal","given":"P","non-dropping-particle":"","parse-names":false,"suffix":""},{"dropping-particle":"","family":"Waeber","given":"G","non-dropping-particle":"","parse-names":false,"suffix":""},{"dropping-particle":"","family":"Vollenweider","given":"P","non-dropping-particle":"","parse-names":false,"suffix":""},{"dropping-particle":"","family":"Preisig","given":"M","non-dropping-particle":"","parse-names":false,"suffix":""},{"dropping-particle":"","family":"Merikangas","given":"K R","non-dropping-particle":"","parse-names":false,"suffix":""}],"container-title":"Psychological Medicine","edition":"2017/09/20","id":"ITEM-1","issue":"6","issued":{"date-parts":[["2018"]]},"page":"961-973","publisher":"Cambridge University Press","title":"Mood disorders and circulating levels of inflammatory markers in a longitudinal population-based study","type":"article-journal","volume":"48"},"uris":["http://www.mendeley.com/documents/?uuid=6e8290fc-b272-471d-951b-9bd79a689695"]}],"mendeley":{"formattedCitation":"(Glaus et al., 2018)","plainTextFormattedCitation":"(Glaus et al., 2018)","previouslyFormattedCitation":"(Glaus et al., 2018)"},"properties":{"noteIndex":0},"schema":"https://github.com/citation-style-language/schema/raw/master/csl-citation.json"}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(Glaus et al., 2018)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EEC69FD"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EAAF243"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1696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1CEEF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40993BC"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75911A"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51.15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F4C6B62"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51.53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C07FB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47.27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0F180A7"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BE15E56"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ECD0A6"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USA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B0D4E1D"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587A984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DD7736" w:rsidRPr="009F0DFF" w14:paraId="25BB143B"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36A83112" w14:textId="5441D4C1"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Guloksuz et al., 2010</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{"citationItems":[{"id":"ITEM-1","itemData":{"DOI":"10.1016/j.jad.2010.04.027","ISSN":"01650327","PMID":"20537397","abstract":"Background: The pathophysiology of bipolar disorder is not thoroughly understood. Several studies have investigated the possible role of cytokines in psychiatric disorders, based on their role in neuro-immune modulation; however, findings in studies on bipolar disorder remain limited and contradictory, and most studies have focused on either manic or depressive episodes. These studies suggest that both manic and depressive episodes could be pro-inflammatory states. The present study aimed to determine whether there are enduring differences in cytokine levels-unrelated to the effects of medication-between euthymic bipolar patients and healthy controls. Methods: The study included 31 euthymic bipolar patients-16 medication-free (MF) and 15 on lithium monotherapy (LM) and 16 healthy volunteers in whom serum cytokine levels were measured. The 3 groups were homogenous in terms of age, gender, and ethnicity. IFN-γ, TNF-α, IL-2, IL-4, IL-5, and IL-10 levels were measured in all groups using flow cytometry. Results: There were no differences in cytokine levels between MF euthymic bipolar patients and healthy controls. TNF-α and IL-4 levels in LM euthymic bipolar patients were higher than in both the MF euthymic bipolar patients and controls. Limitations: The small and strictly selected study sample could limit the generalizability of the findings. Conclusions: Cytokine production in MF euthymic bipolar patients was similar to that in healthy controls. The present study shows that the pro-inflammatory state resolves in euthymia and that lithium had an influence on the cytokine profile, which could create a confounding factor while investigating disease- related immunopathology of bipolar disorder. © 2010 Elsevier B.V. All rights reserved.","author":[{"dropping-particle":"","family":"Guloksuz","given":"Sinan","non-dropping-particle":"","parse-names":false,"suffix":""},{"dropping-particle":"","family":"Aktas Cetin","given":"Esin","non-dropping-particle":"","parse-names":false,"suffix":""},{"dropping-particle":"","family":"Cetin","given":"Turan","non-dropping-particle":"","parse-names":false,"suffix":""},{"dropping-particle":"","family":"Deniz","given":"Gunnur","non-dropping-particle":"","parse-names":false,"suffix":""},{"dropping-particle":"","family":"Oral","given":"E. Timucin","non-dropping-particle":"","parse-names":false,"suffix":""},{"dropping-particle":"","family":"Nutt","given":"David J.","non-dropping-particle":"","parse-names":false,"suffix":""}],"container-title":"Journal of Affective Disorders","id":"ITEM-1","issue":"3","issued":{"date-parts":[["2010","11"]]},"page":"458-462","publisher":"J Affect Disord","title":"Cytokine levels in euthymic bipolar patients","type":"article-journal","volume":"126"},"uris":["http://www.mendeley.com/documents/?uuid=89ebc344-3fb2-3c0f-886e-b1cd1f580096"]}],"mendeley":{"formattedCitation":"(Guloksuz et al., 2010)","plainTextFormattedCitation":"(Guloksuz et al., 2010)","previouslyFormattedCitation":"(Guloksuz et al., 2010)"},"properties":{"noteIndex":0},"schema":"https://github.com/citation-style-language/schema/raw/master/csl-citation.json"}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(Guloksuz et al., 2010)</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D6F5089"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2717F2B"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72887F0" w14:textId="77777777" w:rsidR="00DD7736" w:rsidRPr="009F0DFF" w:rsidRDefault="00DD7736" w:rsidP="00DD7736">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8F3CA92" w14:textId="77777777" w:rsidR="00DD7736" w:rsidRPr="009F0DFF" w:rsidRDefault="00DD7736"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BAF0859" w14:textId="77777777" w:rsidR="00DD7736" w:rsidRPr="009F0DFF" w:rsidRDefault="00DD7736"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4E018D8" w14:textId="77777777" w:rsidR="00DD7736" w:rsidRPr="009F0DFF" w:rsidRDefault="00DD7736"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426007E" w14:textId="77777777" w:rsidR="00DD7736" w:rsidRPr="009F0DFF" w:rsidRDefault="00DD7736"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0EDBC83"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B65C628"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A6FBAD5"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Turkey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B5F5019" w14:textId="77777777" w:rsidR="00DD7736" w:rsidRPr="009F0DFF" w:rsidRDefault="00DD7736"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2290BD4E" w14:textId="77777777" w:rsidR="00DD7736" w:rsidRPr="009F0DFF" w:rsidRDefault="00DD7736"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DD7736" w:rsidRPr="009F0DFF" w14:paraId="374C2D2E"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1503EC6F" w14:textId="0C147C5D" w:rsidR="00DD7736" w:rsidRPr="009F0DFF" w:rsidRDefault="00DD7736"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2921F5C" w14:textId="77777777" w:rsidR="00DD7736" w:rsidRPr="009F0DFF" w:rsidRDefault="00DD7736"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AC9FFBC" w14:textId="77777777" w:rsidR="00DD7736" w:rsidRPr="009F0DFF" w:rsidRDefault="00DD7736"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264BE0B" w14:textId="77777777" w:rsidR="00DD7736" w:rsidRPr="009F0DFF" w:rsidRDefault="00DD7736" w:rsidP="00DD7736">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DDB714E" w14:textId="77777777" w:rsidR="00DD7736" w:rsidRPr="009F0DFF" w:rsidRDefault="00DD7736"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69697D9" w14:textId="77777777" w:rsidR="00DD7736" w:rsidRPr="009F0DFF" w:rsidRDefault="00DD7736"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A4C49DA" w14:textId="77777777" w:rsidR="00DD7736" w:rsidRPr="009F0DFF" w:rsidRDefault="00DD7736"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BBA313A" w14:textId="77777777" w:rsidR="00DD7736" w:rsidRPr="009F0DFF" w:rsidRDefault="00DD7736"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0FF294F" w14:textId="77777777" w:rsidR="00DD7736" w:rsidRPr="009F0DFF" w:rsidRDefault="00DD7736"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7E067C2" w14:textId="77777777" w:rsidR="00DD7736" w:rsidRPr="009F0DFF" w:rsidRDefault="00DD7736"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6F94FD3"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578287F" w14:textId="77777777" w:rsidR="00DD7736" w:rsidRPr="009F0DFF" w:rsidRDefault="00DD7736"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5DB6579E" w14:textId="77777777" w:rsidR="00DD7736" w:rsidRPr="009F0DFF" w:rsidRDefault="00DD7736" w:rsidP="004846E4">
            <w:pPr>
              <w:jc w:val="center"/>
              <w:rPr>
                <w:rFonts w:ascii="Times New Roman" w:eastAsia="Times New Roman" w:hAnsi="Times New Roman" w:cs="Times New Roman"/>
                <w:sz w:val="18"/>
                <w:szCs w:val="18"/>
                <w:lang w:eastAsia="it-IT"/>
              </w:rPr>
            </w:pPr>
          </w:p>
        </w:tc>
      </w:tr>
      <w:tr w:rsidR="00D7740F" w:rsidRPr="009F0DFF" w14:paraId="4684CDF8"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006DFCF4" w14:textId="05A3BA89"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Jacoby et al., 2016</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{"citationItems":[{"id":"ITEM-1","itemData":{"DOI":"10.1016/j.jad.2016.03.040","ISSN":"15732517","PMID":"26994434","abstract":"Background Peripheral blood brain-derived neurotrophic factor (BDNF) and inflammatory markers may reflect key pathophysiological mechanisms in bipolar disorder in relation to disease activity and neuroprogression. Aims To investigate whether neutrophins and inflammatory marker vary with mood states and are increased in patients with bipolar disorder type I during euthymia as well as in all affective states as a group, compared to levels in healthy control subjects. Methods In a prospective 6-12 months follow-up study, we investigated state specific, intra-individual alterations in levels of BDNF, hsCRP, IL-1β, IL-6, IL-8, IL-18 and TNF-α in 60 patients with bipolar I disorder with an acute severe manic index episode and in subsequent euthymic and depressive and manic states and compared with repeated measurements in healthy control subjects. Data were analysed with linear mixed effects model and with adjustment for gender, age, BMI, alcohol intake and smoking. Results From inclusion to end of the 6-12 months follow-up, samples of blood were drawn from the 60 patients during a total of 180 affective states, comprising 57 manic, 11 mixed, 23 depressive and 89 states of euthymia. Further, 69 blood samples were drawn from 35 healthy control subjects with three months apart. In unadjusted mixed-model analysis, levels of IL-6 and IL-8 were increased 64% (b=1.64, 95% CI: 1.31-2.05, p=&lt;0.0001) and 24% (b=1.24, 95% CI: 1.05-1.47, p=0.013), respectively in patients with bipolar disorder overall compared with healthy control subjects. However, in adjusted models, no statistically significant differences were found in any measure between patients and control individuals. Levels of hsCRP in depressive states were decreased with 40% (95% CI: 5-62%, p=0.029) compared with euthymia and with 48% (95% CI: 17-66%, p=0.006) when compared with hypomanic/manic states after adjustment. BDNF and the other inflammatory markers did not vary according to affective state in adjusted mixed models. Limitations Patients were all medicated, specifically with high doses of atypical antipsychotics during the manic index episodes. Conclusions In a sample recruited during hospitalization for acute mania, levels of hsCRP varied according to affective state with higher levels during manic states compared with depressive states.","author":[{"dropping-particle":"","family":"Jacoby","given":"Anne Sophie","non-dropping-particle":"","parse-names":false,"suffix":""},{"dropping-particle":"","family":"Munkholm","given":"Klaus","non-dropping-particle":"","parse-names":false,"suffix":""},{"dropping-particle":"","family":"Vinberg","given":"Maj","non-dropping-particle":"","parse-names":false,"suffix":""},{"dropping-particle":"","family":"Pedersen","given":"Bente Klarlund","non-dropping-particle":"","parse-names":false,"suffix":""},{"dropping-particle":"","family":"Kessing","given":"Lars Vedel","non-dropping-particle":"","parse-names":false,"suffix":""}],"container-title":"Journal of Affective Disorders","id":"ITEM-1","issued":{"date-parts":[["2016","6","1"]]},"page":"167-174","publisher":"Elsevier B.V.","title":"Cytokines, brain-derived neurotrophic factor and C-reactive protein in bipolar i disorder - Results from a prospective study","type":"article-journal","volume":"197"},"uris":["http://www.mendeley.com/documents/?uuid=d3884ba5-68f0-32f8-b305-11443a8b47fb"]}],"mendeley":{"formattedCitation":"(Jacoby et al., 2016)","plainTextFormattedCitation":"(Jacoby et al., 2016)","previouslyFormattedCitation":"(Jacoby et al., 2016)"},"properties":{"noteIndex":0},"schema":"https://github.com/citation-style-language/schema/raw/master/csl-citation.json"}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(Jacoby et al., 2016)</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68DDBCF"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B364C65"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D1DACDF" w14:textId="77777777" w:rsidR="00D7740F" w:rsidRPr="009F0DFF" w:rsidRDefault="00D7740F" w:rsidP="00D7740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7DD802"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4D474E8"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595BA42" w14:textId="77777777" w:rsidR="00D7740F" w:rsidRPr="009F0DFF" w:rsidRDefault="00D7740F"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171E83"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DFA6BB1"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B0258EB"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419ED55"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Denmark</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B2DE67"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ICD-10</w:t>
            </w:r>
          </w:p>
        </w:tc>
        <w:tc>
          <w:tcPr>
            <w:tcW w:w="0" w:type="auto"/>
            <w:tcBorders>
              <w:top w:val="nil"/>
              <w:left w:val="nil"/>
              <w:bottom w:val="single" w:sz="4" w:space="0" w:color="auto"/>
              <w:right w:val="single" w:sz="4" w:space="0" w:color="auto"/>
            </w:tcBorders>
            <w:shd w:val="clear" w:color="auto" w:fill="FFFFFF" w:themeFill="background1"/>
            <w:vAlign w:val="center"/>
          </w:tcPr>
          <w:p w14:paraId="660AC718"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D7740F" w:rsidRPr="009F0DFF" w14:paraId="5976A7FB"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6FDE6C4C" w14:textId="3FBD83AC"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2ED8B35"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E0243CD"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EFD741"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721B2E7"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2D91D0A" w14:textId="77777777" w:rsidR="00D7740F" w:rsidRPr="009F0DFF" w:rsidRDefault="00D7740F"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E3BC94B" w14:textId="77777777" w:rsidR="00D7740F" w:rsidRPr="009F0DFF" w:rsidRDefault="00D7740F"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6A63915" w14:textId="77777777" w:rsidR="00D7740F" w:rsidRPr="009F0DFF" w:rsidRDefault="00D7740F"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1E8B7C4"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7DEAB94"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4690A48"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CBC4ADD"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3E90F0E7"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D7740F" w:rsidRPr="009F0DFF" w14:paraId="35988B16"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38172EC3" w14:textId="6471409D"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C69BBDD"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F590300"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4D4D844"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4796431"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05B48B" w14:textId="77777777" w:rsidR="00D7740F" w:rsidRPr="009F0DFF" w:rsidRDefault="00D7740F"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5EC255E" w14:textId="77777777" w:rsidR="00D7740F" w:rsidRPr="009F0DFF" w:rsidRDefault="00D7740F"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F625E23" w14:textId="77777777" w:rsidR="00D7740F" w:rsidRPr="009F0DFF" w:rsidRDefault="00D7740F"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BC2607F"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AFCC4AC"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E11E0D6"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EEB5039"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24719CC9"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D7740F" w:rsidRPr="009F0DFF" w14:paraId="6ECACD6F"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381C8A15" w14:textId="67C8ACC9"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9EA1F39"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5BC8E25"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DA60360"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4DC3CDD"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017AC9A" w14:textId="77777777" w:rsidR="00D7740F" w:rsidRPr="009F0DFF" w:rsidRDefault="00D7740F"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4539E8" w14:textId="77777777" w:rsidR="00D7740F" w:rsidRPr="009F0DFF" w:rsidRDefault="00D7740F"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5CB4855" w14:textId="77777777" w:rsidR="00D7740F" w:rsidRPr="009F0DFF" w:rsidRDefault="00D7740F"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2A2BE33"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8674B6C"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DC53E1C"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2EC9AC7"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09FA9FA2"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D7740F" w:rsidRPr="009F0DFF" w14:paraId="22CB70CA"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75381561" w14:textId="5155DA82"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Kapczinski et al, 2011</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{"citationItems":[{"id":"ITEM-1","itemData":{"DOI":"https://doi.org/10.1016/j.jpsychires.2010.05.015","ISSN":"0022-3956","abstract":"Recent evidence suggests that peripheral markers related to oxidative stress, inflammation and neurotrophins may be altered during mood episodes in bipolar disorder. These can be seen as proxies of peripheral toxicity or markers of illness activity. Here we report an en bloc assessment of a set of previously described biomarkers in different mood states (n = 60) as well as in healthy subjects (n = 80). To make the point that these are ominous changes, we obtained the same measures from a group of septic patients (n = 15) as a “positive” control group. In this sample, we measured serum levels of brain derived neurotrophic factor, neurotrophin 3, tumor necrosis factor α, interleukin 6, interleukin 10, total reactive antioxidant potential, thiobarbituric acid reactive substances and protein carbonyl content. Several of the markers discriminated between the bipolar and control groups, especially when patients were in acute episodes. In some cases, toxicity was as high in bipolar disorder as that seen in patients with sepsis. We believe these findings highlight the potential of using biomarkers to assess illness activity in bipolar disorder.","author":[{"dropping-particle":"","family":"Kapczinski","given":"Flávio","non-dropping-particle":"","parse-names":false,"suffix":""},{"dropping-particle":"","family":"Dal-Pizzol","given":"Felipe","non-dropping-particle":"","parse-names":false,"suffix":""},{"dropping-particle":"","family":"Teixeira","given":"Antonio Lucio","non-dropping-particle":"","parse-names":false,"suffix":""},{"dropping-particle":"","family":"Magalhaes","given":"Pedro V S","non-dropping-particle":"","parse-names":false,"suffix":""},{"dropping-particle":"","family":"Kauer-Sant’Anna","given":"Márcia","non-dropping-particle":"","parse-names":false,"suffix":""},{"dropping-particle":"","family":"Klamt","given":"Fábio","non-dropping-particle":"","parse-names":false,"suffix":""},{"dropping-particle":"","family":"Moreira","given":"José Claudio F","non-dropping-particle":"","parse-names":false,"suffix":""},{"dropping-particle":"","family":"Augusto de Bittencourt Pasquali","given":"Mateus","non-dropping-particle":"","parse-names":false,"suffix":""},{"dropping-particle":"","family":"Fries","given":"Gabriel Rodrigo","non-dropping-particle":"","parse-names":false,"suffix":""},{"dropping-particle":"","family":"Quevedo","given":"João","non-dropping-particle":"","parse-names":false,"suffix":""},{"dropping-particle":"","family":"Gama","given":"Clarissa Severino","non-dropping-particle":"","parse-names":false,"suffix":""},{"dropping-particle":"","family":"Post","given":"Robert","non-dropping-particle":"","parse-names":false,"suffix":""}],"container-title":"Journal of Psychiatric Research","id":"ITEM-1","issue":"2","issued":{"date-parts":[["2011"]]},"page":"156-161","title":"Peripheral biomarkers and illness activity in bipolar disorder","type":"article-journal","volume":"45"},"uris":["http://www.mendeley.com/documents/?uuid=dc31765c-242c-47ce-950a-f4592d9315eb"]}],"mendeley":{"formattedCitation":"(Kapczinski et al., 2011)","plainTextFormattedCitation":"(Kapczinski et al., 2011)","previouslyFormattedCitation":"(Kapczinski et al., 2011)"},"properties":{"noteIndex":0},"schema":"https://github.com/citation-style-language/schema/raw/master/csl-citation.json"}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(Kapczinski et al., 2011)</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992666"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562C9C8"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9E3D65F" w14:textId="77777777" w:rsidR="00D7740F" w:rsidRPr="009F0DFF" w:rsidRDefault="00D7740F" w:rsidP="00D7740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A3D6C0"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C724E3A"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2FF609" w14:textId="77777777" w:rsidR="00D7740F" w:rsidRPr="009F0DFF" w:rsidRDefault="00D7740F"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2FEB7EB"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E2ADED"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3374B17"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B48A413"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CCB23FA"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382FF4B4"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D7740F" w:rsidRPr="009F0DFF" w14:paraId="7E1FE390"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71B2AF3A" w14:textId="2C1E8340"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EF92699"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74AB663"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843E914"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0517A6F"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D2C9D1"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953A6E" w14:textId="77777777" w:rsidR="00D7740F" w:rsidRPr="009F0DFF" w:rsidRDefault="00D7740F"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4EF7031"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AFE6A9"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730B996"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34C8151"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909C164"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764CDF4F"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D7740F" w:rsidRPr="009F0DFF" w14:paraId="6AC0F23A"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286A13E9" w14:textId="299DF116"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88A8A38"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5E53F24"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6B415C8"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5B45AFE"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313AB19"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97BC58" w14:textId="77777777" w:rsidR="00D7740F" w:rsidRPr="009F0DFF" w:rsidRDefault="00D7740F"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C2142C7"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0B98B8"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EEEAF2D"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5C30D25"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6DBF5F7"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6F780767"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D7740F" w:rsidRPr="009F0DFF" w14:paraId="60818809"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071985FF" w14:textId="67F0F9DE"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Karabulut et al., 2019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10.5080/u18376","author":[{"dropping-particle":"","family":"Karabulut","given":"Sercan","non-dropping-particle":"","parse-names":false,"suffix":""},{"dropping-particle":"","family":"Tasdemir","given":"Ilker","non-dropping-particle":"","parse-names":false,"suffix":""},{"dropping-particle":"","family":"Akcan","given":"Uğur","non-dropping-particle":"","parse-names":false,"suffix":""},{"dropping-particle":"","family":"Kucukali","given":"Cem","non-dropping-particle":"","parse-names":false,"suffix":""},{"dropping-particle":"","family":"Tüzün","given":"Erdem","non-dropping-particle":"","parse-names":false,"suffix":""},{"dropping-particle":"","family":"Cakir","given":"Sibel","non-dropping-particle":"","parse-names":false,"suffix":""}],"container-title":"Turkish Journal of Psychiatry","id":"ITEM-1","issued":{"date-parts":[["2019","7","1"]]},"title":"Inflammation and Neurodegeneration in Patients with Early-Stage and Chronic Bipolar Disorder","type":"article-journal","volume":"30"},"uris":["http://www.mendeley.com/documents/?uuid=7091500d-6f67-4637-9f63-e7a156c3693b"]}],"mendeley":{"formattedCitation":"(Karabulut et al., 2019)","plainTextFormattedCitation":"(Karabulut et al., 2019)","previouslyFormattedCitation":"(Karabulut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(Karabulut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3642D4"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1AEABE3"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04FA76" w14:textId="77777777" w:rsidR="00D7740F" w:rsidRPr="009F0DFF" w:rsidRDefault="00D7740F" w:rsidP="00D7740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 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B092FEB"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804D46"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21367F" w14:textId="77777777" w:rsidR="00D7740F" w:rsidRPr="009F0DFF" w:rsidRDefault="00D7740F"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346539"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51C39AA"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6DCEF45"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4D412F8"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Turkey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6E872F5"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4E8F0A0E"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D7740F" w:rsidRPr="009F0DFF" w14:paraId="0CBC80AF"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644CB003" w14:textId="1EAFD3C5"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D094EC2"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91F695B"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5198BB8"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011EC82" w14:textId="77777777" w:rsidR="00D7740F" w:rsidRPr="009F0DFF" w:rsidRDefault="00D7740F"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AAB08D2"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25.3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E7E5913" w14:textId="77777777" w:rsidR="00D7740F" w:rsidRPr="009F0DFF" w:rsidRDefault="00D7740F"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02C0040"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76.6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1262A2"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35E89FC"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CE07E0A"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B5008FF"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6875DD6D"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D7740F" w:rsidRPr="009F0DFF" w14:paraId="6CC0B3D6"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36A16422" w14:textId="74CE96F1"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Kauer Sant’Anna et al., 2008</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10.1017/S1461145708009310","author":[{"dropping-particle":"","family":"Kauer-Sant'Anna","given":"Marcia","non-dropping-particle":"","parse-names":false,"suffix":""},{"dropping-particle":"","family":"Kapczinski","given":"Flavio","non-dropping-particle":"","parse-names":false,"suffix":""},{"dropping-particle":"","family":"Andreazza","given":"Ana","non-dropping-particle":"","parse-names":false,"suffix":""},{"dropping-particle":"","family":"Bond","given":"David","non-dropping-particle":"","parse-names":false,"suffix":""},{"dropping-particle":"","family":"Lam","given":"Raymond","non-dropping-particle":"","parse-names":false,"suffix":""},{"dropping-particle":"","family":"Young","given":"L","non-dropping-particle":"","parse-names":false,"suffix":""},{"dropping-particle":"","family":"Yatham","given":"Lakshmi","non-dropping-particle":"","parse-names":false,"suffix":""}],"container-title":"The international journal of neuropsychopharmacology / official scientific journal of the Collegium Internationale Neuropsychopharmacologicum (CINP)","id":"ITEM-1","issued":{"date-parts":[["2008","10","1"]]},"page":"447-458","title":"Brain-derived neurotrophic factor and inflammatory markers in patients with early- vs. late-stage bipolar disorder","type":"article-journal","volume":"12"},"uris":["http://www.mendeley.com/documents/?uuid=0aba1866-3168-4e89-96cd-f97287fbf02f"]}],"mendeley":{"formattedCitation":"(Kauer-Sant’Anna et al., 2008)","plainTextFormattedCitation":"(Kauer-Sant’Anna et al., 2008)","previouslyFormattedCitation":"(Kauer-Sant’Anna et al., 2008)"},"properties":{"noteIndex":0},"schema":"https://github.com/citation-style-language/schema/raw/master/csl-citation.json"}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(Kauer-Sant’Anna et al., 2008)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8B4CC8"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0D8C18" w14:textId="77777777" w:rsidR="00D7740F" w:rsidRPr="009F0DFF" w:rsidRDefault="00D7740F"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C43CB9" w14:textId="77777777" w:rsidR="00D7740F" w:rsidRPr="009F0DFF" w:rsidRDefault="00D7740F" w:rsidP="00D7740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 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5A7466" w14:textId="77777777" w:rsidR="00D7740F" w:rsidRPr="009F0DFF" w:rsidRDefault="00D7740F"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1305C2C"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22.4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74CEC35" w14:textId="77777777" w:rsidR="00D7740F" w:rsidRPr="009F0DFF" w:rsidRDefault="00D7740F"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22.1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D0EA07E"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2FE9B4"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A254F64"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63A797"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Canada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E2113C9"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0600EE40" w14:textId="77777777" w:rsidR="00D7740F" w:rsidRPr="009F0DFF" w:rsidRDefault="00D7740F"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D7740F" w:rsidRPr="009F0DFF" w14:paraId="11A94E3B"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37C0077D" w14:textId="42521A90"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CEC0BDE"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6902C19" w14:textId="77777777" w:rsidR="00D7740F" w:rsidRPr="009F0DFF" w:rsidRDefault="00D7740F"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3F89CDD" w14:textId="77777777" w:rsidR="00D7740F" w:rsidRPr="009F0DFF" w:rsidRDefault="00D7740F" w:rsidP="00D7740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3A6A5B3" w14:textId="77777777" w:rsidR="00D7740F" w:rsidRPr="009F0DFF" w:rsidRDefault="00D7740F"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B2F8E95" w14:textId="77777777" w:rsidR="00D7740F" w:rsidRPr="009F0DFF" w:rsidRDefault="00D7740F"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7DB9B5" w14:textId="77777777" w:rsidR="00D7740F" w:rsidRPr="009F0DFF" w:rsidRDefault="00D7740F"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43.2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4A047C" w14:textId="77777777" w:rsidR="00D7740F" w:rsidRPr="009F0DFF" w:rsidRDefault="00D7740F"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69AD792" w14:textId="77777777" w:rsidR="00D7740F" w:rsidRPr="009F0DFF" w:rsidRDefault="00D7740F"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4CE3AB"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9C6D2B0" w14:textId="77777777" w:rsidR="00D7740F" w:rsidRPr="009F0DFF" w:rsidRDefault="00D7740F"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B8D9349" w14:textId="77777777" w:rsidR="00D7740F" w:rsidRPr="009F0DFF" w:rsidRDefault="00D7740F"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61584058" w14:textId="77777777" w:rsidR="00D7740F" w:rsidRPr="009F0DFF" w:rsidRDefault="00D7740F" w:rsidP="004846E4">
            <w:pPr>
              <w:jc w:val="center"/>
              <w:rPr>
                <w:rFonts w:ascii="Times New Roman" w:eastAsia="Times New Roman" w:hAnsi="Times New Roman" w:cs="Times New Roman"/>
                <w:sz w:val="18"/>
                <w:szCs w:val="18"/>
                <w:lang w:eastAsia="it-IT"/>
              </w:rPr>
            </w:pPr>
          </w:p>
        </w:tc>
      </w:tr>
      <w:tr w:rsidR="00B77545" w:rsidRPr="009F0DFF" w14:paraId="60DB982D"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72AF43E" w14:textId="00B0C6A0"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Kim Y-K. et al, 2007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{"citationItems":[{"id":"ITEM-1","itemData":{"DOI":"https://doi.org/10.1016/j.jad.2007.02.018","ISSN":"0165-0327","abstract":"Background The role of cytokines in bipolar disorder is still controversial. Although a few studies have found alterations of cytokines in bipolar disorder, their findings were inconsistent. The aim of this study was to determine whether the cytokines are involved in the pathophysiology of bipolar disorder. Methods A total of 37 manic patients with bipolar disorder and 74 control subjects were recruited. The mitogen-induced production of tumor necrosis factor (TNF)-alpha, interleukin-6 (IL-6), IL-4, interferon (IFN)-gamma, and IL-2 was measured using quantitative sandwich ELISA at the time of admission and 6 weeks after mood stabilizer treatment. Results IL-6 and TNF-alpha production of bipolar manic patients was significantly higher than those of normal controls, while IL-4 values of the patients were significantly lower than normal controls. IL-6/IL-4, TNF-alpha/IL-4, IL-2/IL-4, and IFN-gamma/IL-4 ratios were significantly higher in bipolar manic patients than in normal controls. After 6 weeks of treatment, the levels of IL-6 significantly decreased compared with baseline. Limitations The effect of various types of mood stabilizers on cytokine production should be considered. Conclusions These findings suggest that the increased activity of pro-inflammatory cytokines and an imbalance between pro-inflammatory and anti-inflammatory cytokines may play a role in the pathophysiology of bipolar disorder.","author":[{"dropping-particle":"","family":"Kim","given":"Yong-Ku","non-dropping-particle":"","parse-names":false,"suffix":""},{"dropping-particle":"","family":"Jung","given":"Hyun-Gang","non-dropping-particle":"","parse-names":false,"suffix":""},{"dropping-particle":"","family":"Myint","given":"Aye-Mu","non-dropping-particle":"","parse-names":false,"suffix":""},{"dropping-particle":"","family":"Kim","given":"Hyun","non-dropping-particle":"","parse-names":false,"suffix":""},{"dropping-particle":"","family":"Park","given":"Sun-Hwa","non-dropping-particle":"","parse-names":false,"suffix":""}],"container-title":"Journal of Affective Disorders","id":"ITEM-1","issue":"1","issued":{"date-parts":[["2007"]]},"page":"91-95","title":"Imbalance between pro-inflammatory and anti-inflammatory cytokines in bipolar disorder","type":"article-journal","volume":"104"},"uris":["http://www.mendeley.com/documents/?uuid=648e75d5-a643-42de-9fad-07941a37deae"]}],"mendeley":{"formattedCitation":"(Kim et al., 2007)","plainTextFormattedCitation":"(Kim et al., 2007)","previouslyFormattedCitation":"(Kim et al., 2007)"},"properties":{"noteIndex":0},"schema":"https://github.com/citation-style-language/schema/raw/master/csl-citation.json"}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(Kim et al., 2007)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5E8BAF4"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C58E09B"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AD7C77"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8CB91E"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A6B693"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5B6F6D9"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728CDA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36766C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DF911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BCE68FD"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Korea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9E83E1"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74364400"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2F5EEC2C"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6369F101" w14:textId="780E2501"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King et al., 2019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{"citationItems":[{"id":"ITEM-1","itemData":{"DOI":"10.3389/fpsyt.2019.00066","ISSN":"16640640","abstract":"Background: Two current theories regarding the neuroscientific bases of mood disorders involve alterations in glutamatergic neurotransmission and excessive activation of inflammatory pathways. We hypothesized that glutamate (Glu) levels and peripheral inflammatory markers would be associated with cognitive function, in patients with Bipolar Disorder Type II (BP-II), and that such factors would be associated with psychological treatment outcomes. Aims: The primary aim of this study was to explore the relationship between the neurotransmitter Glu, cytokines (CRP, IL_6, and TNFa) and neuropsychological and related functioning. The secondary aim was to assess cognitive functioning as a predictor of poor response to psychological therapy. Methods: Proton magnetic resonance spectroscopy data were acquired from the anterior cingulate cortex (ACC) of 15 participants with BP-II, and 13 healthy controls in a 3T magnetic resonance imaging scanner. The Digit Symbol Task (DST) for processing speed, TMT-B for executive function and Rey Auditory Verbal Learning Test (RAVLT) were administered to assess cognitive domains. Results: There was no significant difference in anterior cingulate Glu, or inflammatory markers between groups. Furthermore, we found no significant difference between groups in any cognitive tests. Scores on the DST were found to be significantly associated with poor response to psychological therapy. Conclusions: This study may highlight an association between neuropsychological dysfunction and treatment outcome in euthymic patients with BP-II. We did not find any association between peripheral inflammatory markers and brain Glu levels. This may have been in part due to the small sample size.","author":[{"dropping-particle":"","family":"King","given":"Sinead","non-dropping-particle":"","parse-names":false,"suffix":""},{"dropping-particle":"","family":"Jelen","given":"Luke A.","non-dropping-particle":"","parse-names":false,"suffix":""},{"dropping-particle":"","family":"Horne","given":"Charlotte M.","non-dropping-particle":"","parse-names":false,"suffix":""},{"dropping-particle":"","family":"Cleare","given":"Anthony","non-dropping-particle":"","parse-names":false,"suffix":""},{"dropping-particle":"","family":"Pariante","given":"Carmine M.","non-dropping-particle":"","parse-names":false,"suffix":""},{"dropping-particle":"","family":"Young","given":"Allan H.","non-dropping-particle":"","parse-names":false,"suffix":""},{"dropping-particle":"","family":"Stone","given":"James M.","non-dropping-particle":"","parse-names":false,"suffix":""}],"container-title":"Frontiers in Psychiatry","id":"ITEM-1","issue":"MAR","issued":{"date-parts":[["2019"]]},"publisher":"Frontiers Media S.A.","title":"Inflammation, glutamate, and cognition in bipolar disorder type II: A proof of concept study","type":"article-journal","volume":"10"},"uris":["http://www.mendeley.com/documents/?uuid=44e06d30-1622-3a83-9f42-e1acb904e21f"]}],"mendeley":{"formattedCitation":"(King et al., 2019)","plainTextFormattedCitation":"(King et al., 2019)","previouslyFormattedCitation":"(King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(King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4F9A76"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E59EAB"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E05056C"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ADF173"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914B44D"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A55BA8D"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5E27F2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D33C889"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6A12EC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8C3746"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United Kingdom</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E314E13"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048CF9FC"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77545" w:rsidRPr="009F0DFF" w14:paraId="064886D7"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67973397" w14:textId="6E4AE16F" w:rsidR="006F7CF4" w:rsidRPr="007C37C3" w:rsidRDefault="006F7CF4" w:rsidP="00B77545">
            <w:pPr>
              <w:jc w:val="center"/>
              <w:rPr>
                <w:rFonts w:ascii="Times New Roman" w:eastAsia="Times New Roman" w:hAnsi="Times New Roman" w:cs="Times New Roman"/>
                <w:sz w:val="18"/>
                <w:szCs w:val="18"/>
                <w:lang w:val="en-US" w:eastAsia="it-IT"/>
              </w:rPr>
            </w:pPr>
            <w:r w:rsidRPr="00BF4509">
              <w:rPr>
                <w:rFonts w:ascii="Times New Roman" w:eastAsia="Times New Roman" w:hAnsi="Times New Roman" w:cs="Times New Roman"/>
                <w:sz w:val="18"/>
                <w:szCs w:val="18"/>
                <w:lang w:val="pt-BR" w:eastAsia="it-IT"/>
              </w:rPr>
              <w:t>Koga et al, 2019</w:t>
            </w:r>
            <w:r w:rsidRPr="004846E4">
              <w:rPr>
                <w:rFonts w:ascii="Times New Roman" w:eastAsia="Times New Roman" w:hAnsi="Times New Roman" w:cs="Times New Roman"/>
                <w:sz w:val="18"/>
                <w:szCs w:val="18"/>
                <w:lang w:eastAsia="it-IT"/>
              </w:rPr>
              <w:fldChar w:fldCharType="begin" w:fldLock="1"/>
            </w:r>
            <w:r w:rsidR="00603167" w:rsidRPr="00BF4509">
              <w:rPr>
                <w:rFonts w:ascii="Times New Roman" w:eastAsia="Times New Roman" w:hAnsi="Times New Roman" w:cs="Times New Roman"/>
                <w:sz w:val="18"/>
                <w:szCs w:val="18"/>
                <w:lang w:val="pt-BR" w:eastAsia="it-IT"/>
              </w:rPr>
              <w:instrText>ADDIN CSL_CITATION {"citationItems":[{"id":"ITEM-1","itemData":{"DOI":"10.1038/s41398-019-0536-0","ISSN":"2158-3188","abstract":"Inflammation and altered polyunsaturated fatty acid (PUFA) levels have been implicated in bipolar disorder (BD). A recent genome-wide association study identified a locus in the fatty acid desaturase (FADS) gene cluster conferring susceptibility to BD. In this study, we examined PUFA levels in patients with BD in relation to proinflammatory cytokines, FADS genotype, and dietary habits. We enrolled 83 patients with BD and 217 healthy controls who underwent plasma PUFA measurement. A subsample of 65 patients and 90 controls underwent plasma interleukin (IL)-6 and tumor necrosis factor alpha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measurement, and three FADS single nucleotide polymorphisms (SNPs) were genotyped. Information on fish consumption was obtained by a self-reported diet history questionnaire. In comparing PUFA levels between patients and controls, significant differences were found for all 7 PUFAs tested. Specifically, n-3 eicosapentaenoic acid (EPA) level was decreased, and n-6 arachidonic acid level was increased in the patients (p &lt; 0.0001 for both). Plasma IL-6 and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xml:space="preserve"> levels were both significantly increased in the patients. Plasma EPA level was negatively correlated with IL-6 and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xml:space="preserve"> levels. The FADS genotype, which was associated with increased n-6 PUFA levels, was also associated with marked elevation in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xml:space="preserve"> levels. Less frequent fish intake was associated with low EPA and high IL-6 level. Taken together, our results provide strong evidence for altered plasma PUFA and proinflammatory cytokine levels in patients with BD. Furthermore, FADS genotype and fish consumption may contribute not only to altered PUFA levels but also to inflammation in BD.","author":[{"dropping-particle":"","family":"Koga","given":"Norie","non-dropping-particle":"","parse-names":false,"suffix":""},{"dropping</w:instrText>
            </w:r>
            <w:r w:rsidR="00603167" w:rsidRPr="007C37C3">
              <w:rPr>
                <w:rFonts w:ascii="Times New Roman" w:eastAsia="Times New Roman" w:hAnsi="Times New Roman" w:cs="Times New Roman"/>
                <w:sz w:val="18"/>
                <w:szCs w:val="18"/>
                <w:lang w:val="en-US" w:eastAsia="it-IT"/>
              </w:rPr>
              <w:instrText>-particle":"","family":"Ogura","given":"Jun","non-dropping-particle":"","parse-names":false,"suffix":""},{"dropping-particle":"","family":"Yoshida","given":"Fuyuko","non-dropping-particle":"","parse-names":false,"suffix":""},{"dropping-particle":"","family":"Hattori","given":"Kotaro","non-dropping-particle":"","parse-names":false,"suffix":""},{"dropping-particle":"","family":"Hori","given":"Hiroaki","non-dropping-particle":"","parse-names":false,"suffix":""},{"dropping-particle":"","family":"Aizawa","given":"Emiko","non-dropping-particle":"","parse-names":false,"suffix":""},{"dropping-particle":"","family":"Ishida","given":"Ikki","non-dropping-particle":"","parse-names":false,"suffix":""},{"dropping-particle":"","family":"Kunugi","given":"Hiroshi","non-dropping-particle":"","parse-names":false,"suffix":""}],"container-title":"Translational Psychiatry","id":"ITEM-1","issue":"1","issued":{"date-parts":[["2019"]]},"page":"208","title":"Altered polyunsaturated fatty acid levels in relation to proinflammatory cytokines, fatty acid desaturase genotype, and diet in bipolar disorder","type":"article-journal","volume":"9"},"uris":["http://www.mendeley.com/documents/?uuid=5a5aaf66-419e-41cc-b670-73a84e6197e4"]}],"mendeley":{"formattedCitation":"(Koga et al., 2019)","plainTextFormattedCitation":"(Koga et al., 2019)","previouslyFormattedCitation":"(Koga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7C37C3">
              <w:rPr>
                <w:rFonts w:ascii="Times New Roman" w:eastAsia="Times New Roman" w:hAnsi="Times New Roman" w:cs="Times New Roman"/>
                <w:noProof/>
                <w:sz w:val="18"/>
                <w:szCs w:val="18"/>
                <w:lang w:val="en-US" w:eastAsia="it-IT"/>
              </w:rPr>
              <w:t>(Koga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A31F5E"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F7281F"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90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ECB1856"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71645F"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9247524"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6AEBDD2"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8B4EFA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55.4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5B2672"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3DECD84"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57EFC39"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Japan</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9EE42E"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61A4B1DE"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77545" w:rsidRPr="009F0DFF" w14:paraId="36D3AEB4"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7699CE1" w14:textId="0301CB11"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Lesh et al., 2018</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{"citationItems":[{"id":"ITEM-1","itemData":{"DOI":"10.1186/s12974-018-1197-2","ISSN":"17422094","PMID":"29803226","abstract":"Background: Over the past 30 years, evidence has been accumulating for an immunological component to schizophrenia etiology, including genetic links to the major histocompatibility complex, microglia activation, and dysregulated cytokine profiles. However, the degree of similarity in cytokine profiles for schizophrenia and bipolar disorder, as well as the relationship between cytokine levels and brain structure, is less well understood. Methods: To address this, we recruited 69 first-episode schizophrenia-spectrum patients, 16 first-episode bipolar patients with psychotic features, and 53 healthy controls, from the UC Davis EDAPT clinic. Blood plasma was collected and analyzed for all participants with a subset of participants that also underwent structural MRI on a 1.5T GE scanner. Results: Plasma levels of interleukin (IL)-1β, IL-2, IL-6, and interferon (IFN)-γ were elevated in schizophrenia patients compared to those in controls. Patients with bipolar disorder had elevated plasma IL-10 levels compared to controls, and the two patient groups did not differ significantly on any immunological measure. Percent whole-brain gray matter was inversely correlated with IFN-γ and IL-12 levels in patients with schizophrenia, with a trend relationship between IFN-γ and IL-12 and prefrontal cortical thickness. Furthermore, psychotic symptoms were positively related to IL-1β levels in individuals with schizophrenia. Conclusions: These data suggest a partially overlapping pattern of elevated blood cytokine levels in patients with first-episode schizophrenia and bipolar disorder with psychotic features. Furthermore, our findings suggest that elevated pro-inflammatory cytokines may be particularly involved in schizophrenia etiology, given evidence of cytokine-related decreases in total gray matter.","author":[{"dropping-particle":"","family":"Lesh","given":"Tyler A.","non-dropping-particle":"","parse-names":false,"suffix":""},{"dropping-particle":"","family":"Careaga","given":"Milo","non-dropping-particle":"","parse-names":false,"suffix":""},{"dropping-particle":"","family":"Rose","given":"Destanie R.","non-dropping-particle":"","parse-names":false,"suffix":""},{"dropping-particle":"","family":"McAllister","given":"A. Kimberley","non-dropping-particle":"","parse-names":false,"suffix":""},{"dropping-particle":"","family":"Water","given":"Judy","non-dropping-particle":"Van de","parse-names":false,"suffix":""},{"dropping-particle":"","family":"Carter","given":"Cameron S.","non-dropping-particle":"","parse-names":false,"suffix":""},{"dropping-particle":"","family":"Ashwood","given":"Paul","non-dropping-particle":"","parse-names":false,"suffix":""}],"container-title":"Journal of Neuroinflammation","id":"ITEM-1","issue":"1","issued":{"date-parts":[["2018","5","26"]]},"publisher":"BioMed Central Ltd.","title":"Cytokine alterations in first-episode schizophrenia and bipolar disorder: Relationships to brain structure and symptoms","type":"article-journal","volume":"15"},"uris":["http://www.mendeley.com/documents/?uuid=41f0bd0c-7806-3bec-b816-0a298f3d2203"]}],"mendeley":{"formattedCitation":"(Lesh et al., 2018)","plainTextFormattedCitation":"(Lesh et al., 2018)","previouslyFormattedCitation":"(Lesh et al., 2018)"},"properties":{"noteIndex":0},"schema":"https://github.com/citation-style-language/schema/raw/master/csl-citation.json"}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(Lesh et al., 2018)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9B4351D"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166570D"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E266C6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1AA894"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0C20FD5"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21.4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FE61E97"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19.5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307A3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CE923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FCCEF59"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07045F"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USA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C3F7E97"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DSM-IV-TR</w:t>
            </w:r>
          </w:p>
        </w:tc>
        <w:tc>
          <w:tcPr>
            <w:tcW w:w="0" w:type="auto"/>
            <w:tcBorders>
              <w:top w:val="nil"/>
              <w:left w:val="nil"/>
              <w:bottom w:val="single" w:sz="4" w:space="0" w:color="auto"/>
              <w:right w:val="single" w:sz="4" w:space="0" w:color="auto"/>
            </w:tcBorders>
            <w:shd w:val="clear" w:color="auto" w:fill="FFFFFF" w:themeFill="background1"/>
            <w:vAlign w:val="center"/>
          </w:tcPr>
          <w:p w14:paraId="7AE824A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964B0" w:rsidRPr="009F0DFF" w14:paraId="0B97C9B8"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71E20F85" w14:textId="567CA3EB"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Mao et al., 2018</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{"citationItems":[{"id":"ITEM-1","itemData":{"DOI":"10.1016/j.jad.2018.04.115","ISSN":"15732517","PMID":"29778935","abstract":"Background: Immune system dysregulation is critical in the physiopathology of major depressive disorder (MDD) and bipolar disorder (BD). However, it is unclear whether both diseases present the same inflammatory patterns during depressive episodes. We explored the differences in pro- and anti-inflammatory cytokines between unipolar and bipolar depression (BDD) and the trajectory of these cytokines after acute-phase treatment. Methods: Sixty-four MDD patients, 61 BDD patients, and 62 healthy controls (HCs) were enrolled. We assessed the clinical features and cytokines plasma levels at baseline and week 12. The pro-inflammatory cytokines (IL-6, TNF-α) and anti-inflammatory cytokines (IL-4, IL-13) of all subjects were assessed by multiplexed sandwich ELISA-based quantitative arrays. Results: Before acute-phase treatment, the initial levels of TNF-α and IL-13 were significantly lower in the BDD patients than in the MDD patients. The results demonstrated that there was no relationship between each cytokine level and clinical features of unipolar and bipolar depressions. After 12 weeks, TNF-α, IL-4, and IL-13 levels became lower in MDD patients than in the other two groups regardless of the patients’ response to treatment while the levels of TNF-α and IL-4 increased only in the BDD responders. Limitations: The effects of different drugs on inflammatory cytokines in MDD or BDD could not be explored further due to the relatively small sample size. Conclusion: Even within the same depressive states, MDD and BDD patients present different inflammatory features, particularly in regard to pro-inflammatory TNF-α and anti-inflammatory IL-13. In addition, the fluctuations of cytokines induced by medication may provide a hint regarding the prediction of treatment response.","author":[{"dropping-particle":"","family":"Mao","given":"Ruizhi","non-dropping-particle":"","parse-names":false,"suffix":""},{"dropping-particle":"","family":"Zhang","given":"Chen","non-dropping-particle":"","parse-names":false,"suffix":""},{"dropping-particle":"","family":"Chen","given":"Jun","non-dropping-particle":"","parse-names":false,"suffix":""},{"dropping-particle":"","family":"Zhao","given":"Guoqing","non-dropping-particle":"","parse-names":false,"suffix":""},{"dropping-particle":"","family":"Zhou","given":"Rubai","non-dropping-particle":"","parse-names":false,"suffix":""},{"dropping-particle":"","family":"Wang","given":"Fan","non-dropping-particle":"","parse-names":false,"suffix":""},{"dropping-particle":"","family":"Xu","given":"Jingjing","non-dropping-particle":"","parse-names":false,"suffix":""},{"dropping-particle":"","family":"Yang","given":"Tao","non-dropping-particle":"","parse-names":false,"suffix":""},{"dropping-particle":"","family":"Su","given":"Yousong","non-dropping-particle":"","parse-names":false,"suffix":""},{"dropping-particle":"","family":"Huang","given":"Jia","non-dropping-particle":"","parse-names":false,"suffix":""},{"dropping-particle":"","family":"Wu","given":"Zhiguo","non-dropping-particle":"","parse-names":false,"suffix":""},{"dropping-particle":"","family":"Cao","given":"Lan","non-dropping-particle":"","parse-names":false,"suffix":""},{"dropping-particle":"","family":"Wang","given":"Yong","non-dropping-particle":"","parse-names":false,"suffix":""},{"dropping-particle":"","family":"Hu","given":"Yingyan","non-dropping-particle":"","parse-names":false,"suffix":""},{"dropping-particle":"","family":"Yuan","given":"Chengmei","non-dropping-particle":"","parse-names":false,"suffix":""},{"dropping-particle":"","family":"Yi","given":"Zhenghui","non-dropping-particle":"","parse-names":false,"suffix":""},{"dropping-particle":"","family":"Hong","given":"Wu","non-dropping-particle":"","parse-names":false,"suffix":""},{"dropping-particle":"","family":"Wang","given":"Zuowei","non-dropping-particle":"","parse-names":false,"suffix":""},{"dropping-particle":"","family":"Peng","given":"Daihui","non-dropping-particle":"","parse-names":false,"suffix":""},{"dropping-particle":"","family":"Fang","given":"Yiru","non-dropping-particle":"","parse-names":false,"suffix":""}],"container-title":"Journal of Affective Disorders","id":"ITEM-1","issued":{"date-parts":[["2018","9","1"]]},"page":"65-72","publisher":"Elsevier B.V.","title":"Different levels of pro- and anti-inflammatory cytokines in patients with unipolar and bipolar depression","type":"article-journal","volume":"237"},"uris":["http://www.mendeley.com/documents/?uuid=6b794a48-c708-37bf-b938-23ea43b13cb2"]}],"mendeley":{"formattedCitation":"(Mao et al., 2018)","plainTextFormattedCitation":"(Mao et al., 2018)","previouslyFormattedCitation":"(Mao et al., 2018)"},"properties":{"noteIndex":0},"schema":"https://github.com/citation-style-language/schema/raw/master/csl-citation.json"}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(Mao et al., 2018)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7A633F"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A3E1A2A"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7E9287"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C813A4"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3A6692C"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29.52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21D9AB9"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30.81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C5679A"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50.81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2441DC"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DFF5044"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6B71525"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China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8B3217B"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DSM-IV-TR</w:t>
            </w:r>
          </w:p>
        </w:tc>
        <w:tc>
          <w:tcPr>
            <w:tcW w:w="0" w:type="auto"/>
            <w:tcBorders>
              <w:top w:val="nil"/>
              <w:left w:val="nil"/>
              <w:bottom w:val="single" w:sz="4" w:space="0" w:color="auto"/>
              <w:right w:val="single" w:sz="4" w:space="0" w:color="auto"/>
            </w:tcBorders>
            <w:shd w:val="clear" w:color="auto" w:fill="FFFFFF" w:themeFill="background1"/>
            <w:vAlign w:val="center"/>
          </w:tcPr>
          <w:p w14:paraId="1B183AE3"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6B46127E"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5922549C" w14:textId="0645DFA3"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514CA6D"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9A684B3"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43D9D58"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ACA1C66"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6B05052"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5061668"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5966B98"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6AAA1ED"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B12D6AA"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CC2223B"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EA80F9E"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vAlign w:val="center"/>
          </w:tcPr>
          <w:p w14:paraId="206C069A"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77545" w:rsidRPr="009F0DFF" w14:paraId="62FEDA05"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7A404FB9" w14:textId="3F23F32D" w:rsidR="006F7CF4" w:rsidRPr="00BF4509" w:rsidRDefault="006F7CF4" w:rsidP="00B77545">
            <w:pPr>
              <w:jc w:val="center"/>
              <w:rPr>
                <w:rFonts w:ascii="Times New Roman" w:eastAsia="Times New Roman" w:hAnsi="Times New Roman" w:cs="Times New Roman"/>
                <w:sz w:val="18"/>
                <w:szCs w:val="18"/>
                <w:lang w:val="pt-BR" w:eastAsia="it-IT"/>
              </w:rPr>
            </w:pPr>
            <w:r w:rsidRPr="007C37C3">
              <w:rPr>
                <w:rFonts w:ascii="Times New Roman" w:eastAsia="Times New Roman" w:hAnsi="Times New Roman" w:cs="Times New Roman"/>
                <w:sz w:val="18"/>
                <w:szCs w:val="18"/>
                <w:lang w:eastAsia="it-IT"/>
              </w:rPr>
              <w:t>Mizuno et al., 2016</w:t>
            </w:r>
            <w:r w:rsidRPr="004846E4">
              <w:rPr>
                <w:rFonts w:ascii="Times New Roman" w:eastAsia="Times New Roman" w:hAnsi="Times New Roman" w:cs="Times New Roman"/>
                <w:sz w:val="18"/>
                <w:szCs w:val="18"/>
                <w:lang w:eastAsia="it-IT"/>
              </w:rPr>
              <w:fldChar w:fldCharType="begin" w:fldLock="1"/>
            </w:r>
            <w:r w:rsidR="00603167" w:rsidRPr="007C37C3">
              <w:rPr>
                <w:rFonts w:ascii="Times New Roman" w:eastAsia="Times New Roman" w:hAnsi="Times New Roman" w:cs="Times New Roman"/>
                <w:sz w:val="18"/>
                <w:szCs w:val="18"/>
                <w:lang w:eastAsia="it-IT"/>
              </w:rPr>
              <w:instrText>ADDIN CSL_CITATION {"citationItems":[{"id":"ITEM-1","itemData":{"DOI":"10.1016/j.schres.2016.04.047","ISSN":"15732509","PMID":"27185483","abstract":"Objective The concept of resilience is relevant in understanding the heterogeneous outcomes noted in schizophrenia and bipolar disorder. However, clinical and biological correlates of resilience in these populations have rarely been investigated. We aimed to identify key correlates of subjective resilience in such patients using comprehensive assessments and to explore associations between resilience levels and peripheral biomarkers. Method 180 subjects with DSM-IV schizophrenia, bipolar disorder, and healthy controls (60 per group) were included. Demographic and clinical variables were assessed by means of interview and various psychometric scales. Furthermore, blood and saliva samples were obtained for the assessment of brain-derived neurotrophic factor, adrenocorticotropic hormone, cortisol, high sensitivity C-reactive protein, and alpha-amylase levels. Cross-sectional associations with resilience, as assessed by the 25-item Resilience Scale were sought. Results Resilience Scale total scores were significantly higher in healthy individuals (130.1, 95% confidence intervals (CI): 124.8–135.4) compared to subjects with schizophrenia (109.9, 95% CI: 104.6–115.2, p &lt; 0.001) and bipolar disor</w:instrText>
            </w:r>
            <w:r w:rsidR="00603167" w:rsidRPr="00BF4509">
              <w:rPr>
                <w:rFonts w:ascii="Times New Roman" w:eastAsia="Times New Roman" w:hAnsi="Times New Roman" w:cs="Times New Roman"/>
                <w:sz w:val="18"/>
                <w:szCs w:val="18"/>
                <w:lang w:val="pt-BR" w:eastAsia="it-IT"/>
              </w:rPr>
              <w:instrText>der (119.0, 95% CI: 113.8–124.3, p = 0.012), while the difference between patient groups was non-significant (p = 0.055). Self-esteem, spirituality, quality of life, and hopelessness were correlated with resilience in all three groups. In addition, internalized stigma and depression were relevant factors in the schizophrenia and bipolar disorder group, respectively. Correlations between resilience levels and peripheral biomarkers did not reach significance. Conclusion Although causal relationships must be confirmed in prospective studies, our results have implications in developing psychological interventions to enhance resilience in patients with schizophrenia and bipolar disorder. The biological correlates of resilience in these populations warrant further investigations.","author":[{"dropping-particle":"","family":"Mizuno","given":"Yuya","non-dropping-particle":"","parse-names":false,"suffix":""},{"dropping-particle":"","family":"Hofer","given":"Alex","non-dropping-particle":"","parse-names":false,"suffix":""},{"dropping-particle":"","family":"Suzuki","given":"Takefumi","non-dropping-particle":"","parse-names":false,"suffix":""},{"dropping-particle":"","family":"Frajo-Apor","given":"Beatrice","non-dropping-particle":"","parse-names":false,"suffix":""},{"dropping-particle":"","family":"Wartelsteiner","given":"Fabienne","non-dropping-particle":"","parse-names":false,"suffix":""},{"dropping-particle":"","family":"Kemmler","given":"Georg","non-dropping-particle":"","parse-names":false,"suffix":""},{"dropping-particle":"","family":"Saruta","given":"Juri","non-dropping-particle":"","parse-names":false,"suffix":""},{"dropping-particle":"","family":"Tsukinoki","given":"Keiichi","non-dropping-particle":"","parse-names":false,"suffix":""},{"dropping-particle":"","family":"Mimura","given":"Masaru","non-dropping-particle":"","parse-names":false,"suffix":""},{"dropping-particle":"","family":"Fleischhacker","given":"W. Wolfgang","non-dropping-particle":"","parse-names":false,"suffix":""},{"dropping-particle":"","family":"Uchida","given":"Hiroyuki","non-dropping-particle":"","parse-names":false,"suffix":""}],"container-title":"Schizophrenia Research","id":"ITEM-1","issue":"1-3","issued":{"date-parts":[["2016","8","1"]]},"page":"148-153","publisher":"Elsevier B.V.","title":"Clinical and biological correlates of resilience in patients with schizophrenia and bipolar disorder: A cross-sectional study","type":"article-journal","volume":"175"},"uris":["http://www.mendeley.com/documents/?uuid=271d8541-d30b-3ba9-a238-3a861af9bb20"]}],"mendeley":{"formattedCitation":"(Mizuno et al., 2016)","plainTextFormattedCitation":"(Mizuno et al., 2016)","previouslyFormattedCitation":"(Mizuno et al., 2016)"},"properties":{"noteIndex":0},"schema":"https://github.com/citation-style-language/schema/raw/master/csl-citation.json"}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BF4509">
              <w:rPr>
                <w:rFonts w:ascii="Times New Roman" w:eastAsia="Times New Roman" w:hAnsi="Times New Roman" w:cs="Times New Roman"/>
                <w:noProof/>
                <w:sz w:val="18"/>
                <w:szCs w:val="18"/>
                <w:lang w:val="pt-BR" w:eastAsia="it-IT"/>
              </w:rPr>
              <w:t>(Mizuno et al., 2016)</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03F7867"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DFAB532"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6063EB1"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9FEC22"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32BA68"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725EA8A"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4A3AA4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C7CF8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71BCF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F6C50A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Japan</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5E5A6C"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33BFDFF0"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0C6876D2"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65FED7DE" w14:textId="764F0A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Mondin et al., 2016</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{"citationItems":[{"id":"ITEM-1","itemData":{"DOI":"10.1016/j.jneuroim.2016.10.012","ISSN":"18728421","PMID":"27836181","abstract":"Objective To assess circadian preference among a community sample of people with bipolar disorder, major depression and without any mood disorders. Secondly, we investigated the association of circadian preference with cytokines interleukin-6 (IL-6), interleukin-10 (IL-10) and, tumor necrosis factor alpha (TNF-α) and oxidative stress assessed by thiobarbituric acid reactive substances (TBARS), uric acid and Protein Carbonyl Content (PCC). Method A cross-sectional study nested in a population-based sample. Caseness was confirmed with the Structured Clinical Interview for DSM-IV. A sample of 215 participants, in whom we measured circadian preferences, IL-6, IL-10, TNF-α, TBARS, uric acid, PCC. Biological rhythms were evaluated using the Biological Interview of Assessment in Neuropsychiatry. Results Bipolar group presented a higher alteration in biological rhythms (40.40 ± 9.78) when compared with the major depression group (36.35 ± 9.18) and control group (27.61 ± 6.89) p &lt; 0.001. Subjects with bipolar disorder who were active at night and had a day/night cycle reverse showed decreased levels of IL-6 (t, 44 = 2.096; p = 0.042), (t, 44 = 2.213; p = 0.032), respectively. In the bipolar disorder group subjects who presented day/night cycle reverse had lower TBARS levels (t, 41 = 2.612; p = 0.013). TNF-α were decreased in subjects more active at night with bipolar disorder. Conclusion Lower serum levels of IL-6, TNF-α and TBARS were associated with evening preference in bipolar disorder group. These findings suggest that chronotype may alter the levels of interleukins and oxidative stress levels in bipolar and healthy subjects. A better understanding of the role of circadian preferences in levels of interleukins and oxidative stress are needed.","author":[{"dropping-particle":"","family":"Mondin","given":"Thaise Campos","non-dropping-particle":"","parse-names":false,"suffix":""},{"dropping-particle":"","family":"Azevedo Cardoso","given":"Taiane","non-dropping-particle":"de","parse-names":false,"suffix":""},{"dropping-particle":"","family":"Moreira","given":"Fernanda Pedrotti","non-dropping-particle":"","parse-names":false,"suffix":""},{"dropping-particle":"","family":"Wiener","given":"Carolina","non-dropping-particle":"","parse-names":false,"suffix":""},{"dropping-particle":"","family":"Oses","given":"Jean Pierre","non-dropping-particle":"","parse-names":false,"suffix":""},{"dropping-particle":"","family":"Mattos Souza","given":"Luciano Dias","non-dropping-particle":"de","parse-names":false,"suffix":""},{"dropping-particle":"","family":"Jansen","given":"Karen","non-dropping-particle":"","parse-names":false,"suffix":""},{"dropping-particle":"","family":"Silva Magalhães","given":"Pedro Vieira","non-dropping-particle":"da","parse-names":false,"suffix":""},{"dropping-particle":"","family":"Kapczinski","given":"Flávio","non-dropping-particle":"","parse-names":false,"suffix":""},{"dropping-particle":"","family":"Silva","given":"Ricardo Azevedo","non-dropping-particle":"da","parse-names":false,"suffix":""}],"container-title":"Journal of Neuroimmunology","id":"ITEM-1","issued":{"date-parts":[["2016","12","15"]]},"page":"23-29","publisher":"Elsevier B.V.","title":"Circadian preferences, oxidative stress and inflammatory cytokines in bipolar disorder: A community study","type":"article-journal","volume":"301"},"uris":["http://www.mendeley.com/documents/?uuid=0557523c-6baa-302b-86da-7b3bfc4c4bcf"]}],"mendeley":{"formattedCitation":"(Mondin et al., 2016)","plainTextFormattedCitation":"(Mondin et al., 2016)","previouslyFormattedCitation":"(Mondin et al., 2016)"},"properties":{"noteIndex":0},"schema":"https://github.com/citation-style-language/schema/raw/master/csl-citation.json"}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(Mondin et al., 2016)</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AC489F"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6AE7F4"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94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5186E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B24C14"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1D5929"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21.92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F22EB9"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22.4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2F724D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E4DC17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57.4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804FA1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FBB6E7"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0A46E45"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vAlign w:val="center"/>
          </w:tcPr>
          <w:p w14:paraId="2F27294F"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6182FACE"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hideMark/>
          </w:tcPr>
          <w:p w14:paraId="1EA315D5" w14:textId="1DDB3397" w:rsidR="00B964B0" w:rsidRPr="00BF4509" w:rsidRDefault="00B964B0" w:rsidP="00B77545">
            <w:pPr>
              <w:jc w:val="center"/>
              <w:rPr>
                <w:rFonts w:ascii="Times New Roman" w:eastAsia="Times New Roman" w:hAnsi="Times New Roman" w:cs="Times New Roman"/>
                <w:sz w:val="18"/>
                <w:szCs w:val="18"/>
                <w:lang w:val="pt-BR" w:eastAsia="it-IT"/>
              </w:rPr>
            </w:pPr>
            <w:r w:rsidRPr="00BF4509">
              <w:rPr>
                <w:rFonts w:ascii="Times New Roman" w:eastAsia="Times New Roman" w:hAnsi="Times New Roman" w:cs="Times New Roman"/>
                <w:sz w:val="18"/>
                <w:szCs w:val="18"/>
                <w:lang w:val="pt-BR" w:eastAsia="it-IT"/>
              </w:rPr>
              <w:t>Mora et al, 2019</w:t>
            </w:r>
            <w:r w:rsidRPr="004846E4">
              <w:rPr>
                <w:rFonts w:ascii="Times New Roman" w:eastAsia="Times New Roman" w:hAnsi="Times New Roman" w:cs="Times New Roman"/>
                <w:sz w:val="18"/>
                <w:szCs w:val="18"/>
                <w:lang w:eastAsia="it-IT"/>
              </w:rPr>
              <w:fldChar w:fldCharType="begin" w:fldLock="1"/>
            </w:r>
            <w:r w:rsidR="00603167" w:rsidRPr="00BF4509">
              <w:rPr>
                <w:rFonts w:ascii="Times New Roman" w:eastAsia="Times New Roman" w:hAnsi="Times New Roman" w:cs="Times New Roman"/>
                <w:sz w:val="18"/>
                <w:szCs w:val="18"/>
                <w:lang w:val="pt-BR" w:eastAsia="it-IT"/>
              </w:rPr>
              <w:instrText>ADDIN CSL_CITATION {"citationItems":[{"id":"ITEM-1","itemData":{"DOI":"10.1016/j.eurpsy.2019.02.006","ISSN":"17783585","PMID":"30808582","abstract":"Background: Neurotrophins such as brain-derived neurotrophic factor (BDNF), inflammation and oxidative damage may contribute to the pathophysiology of bipolar disorder (BD) in terms of illness activity. To date, there is a lack of studies linking the cognitive impairment observed in BD with these neurobiological mechanisms. This study aimed to investigate the role of these neurobiological factors in clinical and cognitive outcomes in a sample of bipolar individuals. Methods: We measured serum BDNF, cytokines and oxidative stress markers in a sample of 133 individuals: 52 euthymic bipolar patients, 32 manic patients and 49 healthy controls. They were all assessed with a comprehensive cognitive battery. Sociodemographic and clinical data were collected. Multiple linear regression models were built to study associations of neurotrophins and inflammatory and oxidative measures with cognitive functioning. Results: BDNF levels were decreased in euthymic (p = 0.039) and manic (p &lt; 0.001) individuals. Conversely, inflammatory (interleukin 6 (IL-6)) (p = 0.019) and oxidative stress (p = 0.003) measures were increased in bipolar individuals compared to controls. BDNF levels were associated with executive functioning (</w:instrText>
            </w:r>
            <w:r w:rsidR="00603167">
              <w:rPr>
                <w:rFonts w:ascii="Times New Roman" w:eastAsia="Times New Roman" w:hAnsi="Times New Roman" w:cs="Times New Roman"/>
                <w:sz w:val="18"/>
                <w:szCs w:val="18"/>
                <w:lang w:eastAsia="it-IT"/>
              </w:rPr>
              <w:instrText>β</w:instrText>
            </w:r>
            <w:r w:rsidR="00603167" w:rsidRPr="00BF4509">
              <w:rPr>
                <w:rFonts w:ascii="Times New Roman" w:eastAsia="Times New Roman" w:hAnsi="Times New Roman" w:cs="Times New Roman"/>
                <w:sz w:val="18"/>
                <w:szCs w:val="18"/>
                <w:lang w:val="pt-BR" w:eastAsia="it-IT"/>
              </w:rPr>
              <w:instrText xml:space="preserve"> = 0.01, p = 0.02) and verbal memory (</w:instrText>
            </w:r>
            <w:r w:rsidR="00603167">
              <w:rPr>
                <w:rFonts w:ascii="Times New Roman" w:eastAsia="Times New Roman" w:hAnsi="Times New Roman" w:cs="Times New Roman"/>
                <w:sz w:val="18"/>
                <w:szCs w:val="18"/>
                <w:lang w:eastAsia="it-IT"/>
              </w:rPr>
              <w:instrText>β</w:instrText>
            </w:r>
            <w:r w:rsidR="00603167" w:rsidRPr="00BF4509">
              <w:rPr>
                <w:rFonts w:ascii="Times New Roman" w:eastAsia="Times New Roman" w:hAnsi="Times New Roman" w:cs="Times New Roman"/>
                <w:sz w:val="18"/>
                <w:szCs w:val="18"/>
                <w:lang w:val="pt-BR" w:eastAsia="it-IT"/>
              </w:rPr>
              <w:instrText xml:space="preserve"> = 0.013, p = 0.005), together with other demographic variables. In particular, verbal memory was also associated with obesity (</w:instrText>
            </w:r>
            <w:r w:rsidR="00603167">
              <w:rPr>
                <w:rFonts w:ascii="Times New Roman" w:eastAsia="Times New Roman" w:hAnsi="Times New Roman" w:cs="Times New Roman"/>
                <w:sz w:val="18"/>
                <w:szCs w:val="18"/>
                <w:lang w:eastAsia="it-IT"/>
              </w:rPr>
              <w:instrText>β</w:instrText>
            </w:r>
            <w:r w:rsidR="00603167" w:rsidRPr="00BF4509">
              <w:rPr>
                <w:rFonts w:ascii="Times New Roman" w:eastAsia="Times New Roman" w:hAnsi="Times New Roman" w:cs="Times New Roman"/>
                <w:sz w:val="18"/>
                <w:szCs w:val="18"/>
                <w:lang w:val="pt-BR" w:eastAsia="it-IT"/>
              </w:rPr>
              <w:instrText>=-0.04, p = 0.005). Neither inflammatory markers, oxidative stress markers nor other relevant clinical variables showed any association with cognitive outcome. Conclusions: Of all the peripheral neurobiological factors analysed, BDNF was the only one significantly associated with cognitive dysfunction in bipolar disorder individuals. This study emphasizes the role of BDNF not only across mood phases but also in cognitive functioning.","author":[{"dropping-particle":"","family":"Mora","given":"Ester","non-dropping-particle":"","parse-names":false,"suffix":""},{"dropping-particle":"","family":"Portella","given":"Maria J.","non-dropping-particle":"","parse-names":false,"suffix":""},{"dropping-particle":"","family":"Piñol-Ripoll","given":"Gerard","non-dropping-particle":"","parse-names":false,"suffix":""},{"dropping-particle":"","family":"López","given":"Ricard","non-dropping-particle":"","parse-names":false,"suffix":""},{"dropping-particle":"","family":"Cuadras","given":"Daniel","non-dropping-particle":"","parse-names":false,"suffix":""},{"dropping-particle":"","family":"Forcada","given":"Irene","non-dropping-particle":"","parse-names":false,"suffix":""},{"dropping-particle":"","family":"Teres","given":"Montse","non-dropping-particle":"","parse-names":false,"suffix":""},{"dropping-particle":"","family":"Vieta","given":"Eduard","non-dropping-particle":"","parse-names":false,"suffix":""},{"dropping-particle":"","family":"Mur","given":"Maria","non-dropping-particle":"","parse-names":false,"suffix":""}],"container-title":"European Psychiatry","id":"ITEM-1","issued":{"date-parts":[["2019","8","1"]]},"page":"97-107","publisher":"Elsevier Masson SAS","title":"High BDNF serum levels are associated to good cognitive functioning in bipolar disorder","type":"article-journal","volume":"60"},"uris":["http://www.mendeley.com/documents/?uuid=5fc213c7-9ac5-3269-8ce5-43a5e9053463"]}],"mendeley":{"formattedCitation":"(Mora et al., 2019)","plainTextFormattedCitation":"(Mora et al., 2019)","previouslyFormattedCitation":"(Mora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BF4509">
              <w:rPr>
                <w:rFonts w:ascii="Times New Roman" w:eastAsia="Times New Roman" w:hAnsi="Times New Roman" w:cs="Times New Roman"/>
                <w:noProof/>
                <w:sz w:val="18"/>
                <w:szCs w:val="18"/>
                <w:lang w:val="pt-BR" w:eastAsia="it-IT"/>
              </w:rPr>
              <w:t>(Mora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189410D"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52</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9918429"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49</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E87FD3A"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20A55DD"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18CD72D"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47.52</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327B5A9"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570E5D8"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72E53F4"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57.1</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757923A"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591AC10"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Spain</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082B85B"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DSM-IV-TR</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1E74D08"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1528B526"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hideMark/>
          </w:tcPr>
          <w:p w14:paraId="78DC94F0" w14:textId="49EEDC6E"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14AAECD"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32</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920D2CD"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B43E4A1"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6A6CC61"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7FB818D"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41.25</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6A5CFAB"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21CBDF8"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43.7</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3B0ADD5"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C099CF2"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7D6BE37"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44C16B4"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60FBF3F"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7C37C3" w14:paraId="339A5CE6"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55BA1D70" w14:textId="5A9F93BF" w:rsidR="00B964B0" w:rsidRPr="00BF4509" w:rsidRDefault="00B964B0" w:rsidP="00B77545">
            <w:pPr>
              <w:jc w:val="center"/>
              <w:rPr>
                <w:rFonts w:ascii="Times New Roman" w:eastAsia="Times New Roman" w:hAnsi="Times New Roman" w:cs="Times New Roman"/>
                <w:sz w:val="18"/>
                <w:szCs w:val="18"/>
                <w:lang w:val="pt-BR" w:eastAsia="it-IT"/>
              </w:rPr>
            </w:pPr>
            <w:r w:rsidRPr="00BF4509">
              <w:rPr>
                <w:rFonts w:ascii="Times New Roman" w:eastAsia="Times New Roman" w:hAnsi="Times New Roman" w:cs="Times New Roman"/>
                <w:sz w:val="18"/>
                <w:szCs w:val="18"/>
                <w:lang w:val="pt-BR" w:eastAsia="it-IT"/>
              </w:rPr>
              <w:t>Ortiz-Dominguez et al., 2007</w:t>
            </w:r>
            <w:r w:rsidRPr="004846E4">
              <w:rPr>
                <w:rFonts w:ascii="Times New Roman" w:eastAsia="Times New Roman" w:hAnsi="Times New Roman" w:cs="Times New Roman"/>
                <w:sz w:val="18"/>
                <w:szCs w:val="18"/>
                <w:lang w:eastAsia="it-IT"/>
              </w:rPr>
              <w:fldChar w:fldCharType="begin" w:fldLock="1"/>
            </w:r>
            <w:r w:rsidR="00603167" w:rsidRPr="00BF4509">
              <w:rPr>
                <w:rFonts w:ascii="Times New Roman" w:eastAsia="Times New Roman" w:hAnsi="Times New Roman" w:cs="Times New Roman"/>
                <w:sz w:val="18"/>
                <w:szCs w:val="18"/>
                <w:lang w:val="pt-BR" w:eastAsia="it-IT"/>
              </w:rPr>
              <w:instrText>ADDIN CSL_CITATION {"citationItems":[{"id":"ITEM-1","itemData":{"DOI":"https://doi.org/10.1111/j.1399-5618.2007.00493.x","ISSN":"1398-5647","abstract":"Objectives:? To characterize the immunological variations of patients with a bipolar disorder (BD) diagnosis in manic (BDm) and depressive (BDd) phases, by the quantification of the serum levels of interleukin (IL)-1?, -2, -4, -6 and tumor necrosis factor alpha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Methods:? Twenty physically healthy patients with a BD type I diagnosis and 33 matched controls were studied, after giving informed consent. The inclusion criteria included at least three weeks without any kind of psychopharmacological treatment, Young Mania Rating Scale score ≥20 for BDm (n?=?10) and Hamilton Depression Rating Scale score ≥21 for BDd patients (n?=?10). Exclusion criteria included any infectious diseases, allergies or any other kind of medical illness that required treatment with immunosuppressors, as well as any other diagnosis in Axis I. Physical and laboratory examinations were performed to rule out any clinical illness. Enzyme-linked immunosorbent assay (ELISA) was used to analyze the serum cytokines concentration. Results:? BD patients, when compared to controls, showed significant differences (p?≤?0.05) in the serum levels of the measured cytokines. The sub-group of BDd patients showed an increase in IL-6 and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as well as a decrease in IL-2 concentration. The BDm sub-group, on the other hand, showed an increase in TNF-</w:instrText>
            </w:r>
            <w:r w:rsidR="00603167">
              <w:rPr>
                <w:rFonts w:ascii="Times New Roman" w:eastAsia="Times New Roman" w:hAnsi="Times New Roman" w:cs="Times New Roman"/>
                <w:sz w:val="18"/>
                <w:szCs w:val="18"/>
                <w:lang w:eastAsia="it-IT"/>
              </w:rPr>
              <w:instrText>α</w:instrText>
            </w:r>
            <w:r w:rsidR="00603167" w:rsidRPr="00BF4509">
              <w:rPr>
                <w:rFonts w:ascii="Times New Roman" w:eastAsia="Times New Roman" w:hAnsi="Times New Roman" w:cs="Times New Roman"/>
                <w:sz w:val="18"/>
                <w:szCs w:val="18"/>
                <w:lang w:val="pt-BR" w:eastAsia="it-IT"/>
              </w:rPr>
              <w:instrText xml:space="preserve"> and IL-4 values, with a low concentration of IL-1 and IL-2. The comparison between both sub-groups suggests that there is a distinctive cytokine pattern for the specific phases of the disorder: for mania, we found a high IL-4 and low IL-1? and IL-6 concentration, while in the depressive phase, the inverse pattern was found. Conclusions:? Our results show the existence of phasic differences in the serum levels of cytokines in BD.","author":[{"dropping-particle":"","family":"Ortiz-Domínguez","given":"Abigail","non-dropping-particle":"","parse-names":false,"suffix":""},{"dropping-particle":"","family":"Hernández","given":"María Eugenia","non-dropping-particle":"","parse-names":false,"suffix":""},{"dropping-particle":"","family":"Berlanga","given":"Carlos","non-dropping-particle":"","parse-names":false,"suffix":""},{"dropping-particle":"","family":"Gutiérrez-Mora","given":"Doris","non-dropping-particle":"","parse-names":false,"suffix":""},{"dropping-particle":"","family":"Moreno","given":"Julia","non-dropping-particle":"","parse-names":false,"suffix":""},{"dropping-particle":"","family":"Heinze","given":"Gerhard","non-dropping-particle":"","parse-names":false,"suffix":""},{"dropping-particle":"","family":"Pavón","given":"Lenin","non-dropping-particle":"","parse-names":false,"suffix":""}],"container-title":"Bipolar Disorders","id":"ITEM-1","issue":"6","issued":{"date-parts":[["2007","9","1"]]},"note":"https://doi.org/10.1111/j.1399-5618.2007.00493.x","page":"596-602","publisher":"John Wiley &amp; Sons, Ltd","title":"Immune variations in bipolar disorder: phasic differences","type":"article-journal","volume":"9"},"uris":["http://www.mendeley.com/documents/?uuid=2cfc5e3c-55d8-4f6e-8f22-6230ae86acac"]}],"mendeley":{"formattedCitation":"(Ortiz-Domínguez et al., 2007)","plainTextFormattedCitation":"(Ortiz-Domínguez et al., 2007)","previouslyFormattedCitation":"(Ortiz-Domínguez et al., 2007)"},"properties":{"noteIndex":0},"schema":"https://github.com/citation-style-language/schema/raw/master/csl-citation.json"}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BF4509">
              <w:rPr>
                <w:rFonts w:ascii="Times New Roman" w:eastAsia="Times New Roman" w:hAnsi="Times New Roman" w:cs="Times New Roman"/>
                <w:noProof/>
                <w:sz w:val="18"/>
                <w:szCs w:val="18"/>
                <w:lang w:val="pt-BR" w:eastAsia="it-IT"/>
              </w:rPr>
              <w:t>(Ortiz-Domínguez et al., 2007)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083916" w14:textId="77777777" w:rsidR="00B964B0" w:rsidRPr="00D82E1B" w:rsidRDefault="00B964B0" w:rsidP="00B77545">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10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682F44F" w14:textId="77777777" w:rsidR="00B964B0" w:rsidRPr="00D82E1B" w:rsidRDefault="00B964B0" w:rsidP="00B77545">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8E34314" w14:textId="77777777" w:rsidR="00B964B0" w:rsidRPr="00D82E1B" w:rsidRDefault="00B964B0" w:rsidP="00B964B0">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IL-1, IL-6, TNF-</w:t>
            </w:r>
            <w:r w:rsidRPr="009F0DFF">
              <w:rPr>
                <w:rFonts w:ascii="Times New Roman" w:eastAsia="Times New Roman" w:hAnsi="Times New Roman" w:cs="Times New Roman"/>
                <w:sz w:val="18"/>
                <w:szCs w:val="18"/>
                <w:lang w:eastAsia="it-IT"/>
              </w:rPr>
              <w:t>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9141F1" w14:textId="77777777" w:rsidR="00B964B0" w:rsidRPr="00D82E1B" w:rsidRDefault="00B964B0" w:rsidP="00B964B0">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C9B6EB3" w14:textId="77777777" w:rsidR="00B964B0" w:rsidRPr="00D82E1B" w:rsidRDefault="00B964B0" w:rsidP="003B2C53">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39.7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F2B30D" w14:textId="77777777" w:rsidR="00B964B0" w:rsidRPr="00D82E1B" w:rsidRDefault="00B964B0" w:rsidP="003E0F32">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32.3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6CBD462" w14:textId="77777777" w:rsidR="00B964B0" w:rsidRPr="00D82E1B" w:rsidRDefault="00B964B0" w:rsidP="008215D4">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80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9FAB90" w14:textId="77777777" w:rsidR="00B964B0" w:rsidRPr="00D82E1B" w:rsidRDefault="00B964B0" w:rsidP="009F0DFF">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84.84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C8585BB" w14:textId="77777777" w:rsidR="00B964B0" w:rsidRPr="00D82E1B" w:rsidRDefault="00B964B0" w:rsidP="009F0DFF">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9684FA4" w14:textId="77777777" w:rsidR="00B964B0" w:rsidRPr="00D82E1B" w:rsidRDefault="00B964B0" w:rsidP="009F0DFF">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Mexico</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1C43866" w14:textId="77777777" w:rsidR="00B964B0" w:rsidRPr="00D82E1B" w:rsidRDefault="00B964B0" w:rsidP="004846E4">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FB45129" w14:textId="77777777" w:rsidR="00B964B0" w:rsidRPr="00D82E1B" w:rsidRDefault="00B964B0" w:rsidP="004846E4">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ELISA</w:t>
            </w:r>
          </w:p>
        </w:tc>
      </w:tr>
      <w:tr w:rsidR="00B964B0" w:rsidRPr="007C37C3" w14:paraId="109988C1"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43EAB693" w14:textId="040D189C" w:rsidR="00B964B0" w:rsidRPr="00D82E1B" w:rsidRDefault="00B964B0" w:rsidP="00B77545">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E6B0922" w14:textId="77777777" w:rsidR="00B964B0" w:rsidRPr="00D82E1B" w:rsidRDefault="00B964B0" w:rsidP="00B77545">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B4A2E21" w14:textId="77777777" w:rsidR="00B964B0" w:rsidRPr="00D82E1B" w:rsidRDefault="00B964B0" w:rsidP="00B77545">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7D8541F" w14:textId="77777777" w:rsidR="00B964B0" w:rsidRPr="00D82E1B" w:rsidRDefault="00B964B0" w:rsidP="00B964B0">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IL-1, TNF-</w:t>
            </w:r>
            <w:r w:rsidRPr="009F0DFF">
              <w:rPr>
                <w:rFonts w:ascii="Times New Roman" w:eastAsia="Times New Roman" w:hAnsi="Times New Roman" w:cs="Times New Roman"/>
                <w:sz w:val="18"/>
                <w:szCs w:val="18"/>
                <w:lang w:eastAsia="it-IT"/>
              </w:rPr>
              <w:t>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200295" w14:textId="77777777" w:rsidR="00B964B0" w:rsidRPr="00D82E1B" w:rsidRDefault="00B964B0" w:rsidP="00B964B0">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40FAF06" w14:textId="77777777" w:rsidR="00B964B0" w:rsidRPr="00D82E1B" w:rsidRDefault="00B964B0" w:rsidP="003B2C53">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28.9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8BA490E" w14:textId="77777777" w:rsidR="00B964B0" w:rsidRPr="00D82E1B" w:rsidRDefault="00B964B0" w:rsidP="003E0F32">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D917528" w14:textId="77777777" w:rsidR="00B964B0" w:rsidRPr="00D82E1B" w:rsidRDefault="00B964B0" w:rsidP="008215D4">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70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048358F" w14:textId="77777777" w:rsidR="00B964B0" w:rsidRPr="00D82E1B" w:rsidRDefault="00B964B0" w:rsidP="009F0DFF">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D3B6101" w14:textId="77777777" w:rsidR="00B964B0" w:rsidRPr="00D82E1B" w:rsidRDefault="00B964B0" w:rsidP="009F0DFF">
            <w:pPr>
              <w:jc w:val="center"/>
              <w:rPr>
                <w:rFonts w:ascii="Times New Roman" w:eastAsia="Times New Roman" w:hAnsi="Times New Roman" w:cs="Times New Roman"/>
                <w:sz w:val="18"/>
                <w:szCs w:val="18"/>
                <w:lang w:val="pt-BR" w:eastAsia="it-IT"/>
              </w:rPr>
            </w:pPr>
            <w:r w:rsidRPr="00D82E1B">
              <w:rPr>
                <w:rFonts w:ascii="Times New Roman" w:eastAsia="Times New Roman" w:hAnsi="Times New Roman" w:cs="Times New Roman"/>
                <w:sz w:val="18"/>
                <w:szCs w:val="18"/>
                <w:lang w:val="pt-BR"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0523BA" w14:textId="77777777" w:rsidR="00B964B0" w:rsidRPr="00D82E1B" w:rsidRDefault="00B964B0" w:rsidP="009F0DFF">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2387188" w14:textId="77777777" w:rsidR="00B964B0" w:rsidRPr="00D82E1B" w:rsidRDefault="00B964B0" w:rsidP="004846E4">
            <w:pPr>
              <w:jc w:val="center"/>
              <w:rPr>
                <w:rFonts w:ascii="Times New Roman" w:eastAsia="Times New Roman" w:hAnsi="Times New Roman" w:cs="Times New Roman"/>
                <w:sz w:val="18"/>
                <w:szCs w:val="18"/>
                <w:lang w:val="pt-BR"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A685BE0" w14:textId="77777777" w:rsidR="00B964B0" w:rsidRPr="00D82E1B" w:rsidRDefault="00B964B0" w:rsidP="004846E4">
            <w:pPr>
              <w:jc w:val="center"/>
              <w:rPr>
                <w:rFonts w:ascii="Times New Roman" w:eastAsia="Times New Roman" w:hAnsi="Times New Roman" w:cs="Times New Roman"/>
                <w:sz w:val="18"/>
                <w:szCs w:val="18"/>
                <w:lang w:val="pt-BR" w:eastAsia="it-IT"/>
              </w:rPr>
            </w:pPr>
          </w:p>
        </w:tc>
      </w:tr>
      <w:tr w:rsidR="00B964B0" w:rsidRPr="009F0DFF" w14:paraId="106C52DC"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6D2008A3" w14:textId="331F4060" w:rsidR="00B964B0" w:rsidRPr="009F0DFF" w:rsidRDefault="00B964B0" w:rsidP="00B77545">
            <w:pPr>
              <w:jc w:val="center"/>
              <w:rPr>
                <w:rFonts w:ascii="Times New Roman" w:eastAsia="Times New Roman" w:hAnsi="Times New Roman" w:cs="Times New Roman"/>
                <w:sz w:val="18"/>
                <w:szCs w:val="18"/>
                <w:lang w:eastAsia="it-IT"/>
              </w:rPr>
            </w:pPr>
            <w:r w:rsidRPr="007C37C3">
              <w:rPr>
                <w:rFonts w:ascii="Times New Roman" w:eastAsia="Times New Roman" w:hAnsi="Times New Roman" w:cs="Times New Roman"/>
                <w:sz w:val="18"/>
                <w:szCs w:val="18"/>
                <w:lang w:val="pt-BR" w:eastAsia="it-IT"/>
              </w:rPr>
              <w:t>Pantovic-Stefanovic et al, 2018</w:t>
            </w:r>
            <w:r w:rsidRPr="004846E4">
              <w:rPr>
                <w:rFonts w:ascii="Times New Roman" w:eastAsia="Times New Roman" w:hAnsi="Times New Roman" w:cs="Times New Roman"/>
                <w:sz w:val="18"/>
                <w:szCs w:val="18"/>
                <w:lang w:eastAsia="it-IT"/>
              </w:rPr>
              <w:fldChar w:fldCharType="begin" w:fldLock="1"/>
            </w:r>
            <w:r w:rsidR="00603167" w:rsidRPr="007C37C3">
              <w:rPr>
                <w:rFonts w:ascii="Times New Roman" w:eastAsia="Times New Roman" w:hAnsi="Times New Roman" w:cs="Times New Roman"/>
                <w:sz w:val="18"/>
                <w:szCs w:val="18"/>
                <w:lang w:val="pt-BR" w:eastAsia="it-IT"/>
              </w:rPr>
              <w:instrText>ADDIN CSL_CITATION {"citationItems":[{"id":"ITEM-1","itemData":{"DOI":"10.1080/15622975.2016.1259498","ISSN":"18141412","PMID":"27841086","abstract":"Objectives: To explore the serum levels of soluble vascular cell adhesion molecule-1 (sVCAM-1), soluble intercellular cell adhesion molecule-1 (sICAM-1), tumour necrosis factor-</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and interleukin-6 (IL-6) in patients with bipolar disorder (BD), with regard to acute episode characteristics, course of the disorder and treatment. Methods: The study group consisted of 83 patients diagnosed with BD type I. The control group consisted of 73 healthy individuals, matched with the study group according to age, gender and body mass index. The serum levels of sVCAM-1, sICAM-1,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and IL-6 were measured by ELISA. Results: Compared with healthy controls, significantly elevated levels of IL-6 and sICAM-1 and significantly lower levels of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and sVCAM-1 were identified in acute and remission phases of BD. The acute serum levels of sVCAM-1 were associated with the type and severity of acute mood symptoms as well as with course of illness characteristics. TNF-</w:instrText>
            </w:r>
            <w:r w:rsidR="00603167">
              <w:rPr>
                <w:rFonts w:ascii="Times New Roman" w:eastAsia="Times New Roman" w:hAnsi="Times New Roman" w:cs="Times New Roman"/>
                <w:sz w:val="18"/>
                <w:szCs w:val="18"/>
                <w:lang w:eastAsia="it-IT"/>
              </w:rPr>
              <w:instrText>α</w:instrText>
            </w:r>
            <w:r w:rsidR="00603167" w:rsidRPr="007C37C3">
              <w:rPr>
                <w:rFonts w:ascii="Times New Roman" w:eastAsia="Times New Roman" w:hAnsi="Times New Roman" w:cs="Times New Roman"/>
                <w:sz w:val="18"/>
                <w:szCs w:val="18"/>
                <w:lang w:val="pt-BR" w:eastAsia="it-IT"/>
              </w:rPr>
              <w:instrText xml:space="preserve"> was associated with duration of untreated disorder and type of treatment. Conclusions: BD is related to both acute and long-term alterations of immune mediators, including adhesion molecules. The po</w:instrText>
            </w:r>
            <w:r w:rsidR="00603167">
              <w:rPr>
                <w:rFonts w:ascii="Times New Roman" w:eastAsia="Times New Roman" w:hAnsi="Times New Roman" w:cs="Times New Roman"/>
                <w:sz w:val="18"/>
                <w:szCs w:val="18"/>
                <w:lang w:eastAsia="it-IT"/>
              </w:rPr>
              <w:instrText>tential immunomodulatory role of pharmacotherapeutic treatment is also to be considered in BD.","author":[{"dropping-particle":"","family":"Pantović-Stefanović","given":"Maja","non-dropping-particle":"","parse-names":false,"suffix":""},{"dropping-particle":"","family":"Petronijević","given":"Nataša","non-dropping-particle":"","parse-names":false,"suffix":""},{"dropping-particle":"","family":"Dunjić-Kostić","given":"Bojana","non-dropping-particle":"","parse-names":false,"suffix":""},{"dropping-particle":"","family":"Velimirović","given":"Milica","non-dropping-particle":"","parse-names":false,"suffix":""},{"dropping-particle":"","family":"Nikolić","given":"Tatjana","non-dropping-particle":"","parse-names":false,"suffix":""},{"dropping-particle":"","family":"Jurišić","given":"Vladimir","non-dropping-particle":"","parse-names":false,"suffix":""},{"dropping-particle":"","family":"Lačković","given":"Maja","non-dropping-particle":"","parse-names":false,"suffix":""},{"dropping-particle":"","family":"Damjanović","given":"Aleksandar","non-dropping-particle":"","parse-names":false,"suffix":""},{"dropping-particle":"","family":"Totić-Poznanović","given":"Sanja","non-dropping-particle":"","parse-names":false,"suffix":""},{"dropping-particle":"","family":"Jovanović","given":"Aleksandar A.","non-dropping-particle":"","parse-names":false,"suffix":""},{"dropping-particle":"","family":"Ivković","given":"Maja","non-dropping-particle":"","parse-names":false,"suffix":""}],"container-title":"World Journal of Biological Psychiatry","id":"ITEM-1","issue":"sup2","issued":{"date-parts":[["2018","10","31"]]},"page":"S41-S51","publisher":"Taylor and Francis Ltd","title":"sVCAM-1, sICAM-1, TNF-α and IL-6 levels in bipolar disorder type I: Acute, longitudinal and therapeutic implications","type":"article-journal","volume":"19"},"uris":["http://www.mendeley.com/documents/?uuid=50eedbca-98a6-3445-8ccd-ae403def25be"]}],"mendeley":{"formattedCitation":"(Pantović-Stefanović et al., 2018)","plainTextFormattedCitation":"(Pantović-Stefanović et al., 2018)","previouslyFormattedCitation":"(Pantović-Stefanović et al., 2018)"},"properties":{"noteIndex":0},"schema":"https://github.com/citation-style-language/schema/raw/master/csl-citation.json"}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(Pantović-Stefanović et al., 2018)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0F83BB9"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83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E17C7E7"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5CBC65"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DB4149B"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8754B3"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C94CE4"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45.82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F9795F4"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560844A"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56.8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2BFCBC5"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2F929F2"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Serbia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BCAF989"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4D3E7B1"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37A1A7CB"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26B3886E" w14:textId="1597A77B"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085BAE1"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55F1830"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C2FCA19"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068E0B2"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280EEAD"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510671"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A70DB3E"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697C13A"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6DC9089"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6A18FAA"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F1159EF"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B3CBE4"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38F0692C"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4FAEF8E7" w14:textId="5D5268EA"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Quide et al, 2019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{"citationItems":[{"id":"ITEM-1","itemData":{"DOI":"10.1017/S0033291718003690","ISSN":"14698978","PMID":"30560764","abstract":"Background Elevated levels of pro-inflammatory cytokines are consistently reported in schizophrenia (SZ) and bipolar-I disorder (BD), as well as among individuals who have been exposed to childhood trauma. However, higher levels of inflammatory markers in these disorders are yet to be investigated with respect to levels of exposure to different types of childhood trauma.Methods Participants were 68 cases with a diagnosis of schizophrenia/schizoaffective disorder (SZ), 69 cases with a diagnosis of psychotic BD and 72 healthy controls (HC). Serum levels of interleukin 6 (IL-6), tumour necrosis factor-α (TNF-α) and C-reactive protein (CRP) were quantified, and childhood trauma exposure was assessed with the Childhood Trauma Questionnaire.Results The SZ group had significantly higher levels of IL-6, TNF-α and CRP when compared with the HC group (all p &lt; 0.05, d = 0.41-0.63), as well as higher levels of TNF-α when compared with the BD group (p = 0.014, d = 0.50); there were no differences between the BD and HC groups for any markers. Exposure to sexual abuse was positively associated (standardised β = 0.326, t = 2.459, p = 0.018) with levels of CRP in the SZ group, but there were no significant associations between any form of trauma exposure and cytokine levels in the HC or BD groups.Conclusions These results contribute to the evidence for a chronic state of inflammation in SZ but not BD cases. Differential associations between trauma exposure and levels of pro-inflammatory cytokines across the diagnostic categories suggest that trauma may impact biological (stress and immune) systems differently in these patient groups.","author":[{"dropping-particle":"","family":"Quidé","given":"Yann","non-dropping-particle":"","parse-names":false,"suffix":""},{"dropping-particle":"","family":"Bortolasci","given":"Chiara C.","non-dropping-particle":"","parse-names":false,"suffix":""},{"dropping-particle":"","family":"Spolding","given":"Briana","non-dropping-particle":"","parse-names":false,"suffix":""},{"dropping-particle":"","family":"Kidnapillai","given":"Srisaiyini","non-dropping-particle":"","parse-names":false,"suffix":""},{"dropping-particle":"","family":"Watkeys","given":"Oliver J.","non-dropping-particle":"","parse-names":false,"suffix":""},{"dropping-particle":"","family":"Cohen-Woods","given":"Sarah","non-dropping-particle":"","parse-names":false,"suffix":""},{"dropping-particle":"","family":"Berk","given":"Michael","non-dropping-particle":"","parse-names":false,"suffix":""},{"dropping-particle":"","family":"Carr","given":"Vaughan J.","non-dropping-particle":"","parse-names":false,"suffix":""},{"dropping-particle":"","family":"Walder","given":"Ken","non-dropping-particle":"","parse-names":false,"suffix":""},{"dropping-particle":"","family":"Green","given":"Melissa J.","non-dropping-particle":"","parse-names":false,"suffix":""}],"container-title":"Psychological Medicine","id":"ITEM-1","issue":"16","issued":{"date-parts":[["2019","12","1"]]},"page":"2736-2744","publisher":"Cambridge University Press","title":"Association between childhood trauma exposure and pro-inflammatory cytokines in schizophrenia and bipolar-I disorder","type":"article-journal","volume":"49"},"uris":["http://www.mendeley.com/documents/?uuid=d493b9a1-4a83-31e1-b8e6-3c57a6014f7d"]}],"mendeley":{"formattedCitation":"(Quidé et al., 2019)","plainTextFormattedCitation":"(Quidé et al., 2019)","previouslyFormattedCitation":"(Quidé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(Quidé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8F8DD0"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C401A83"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245E509"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E70751E"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49DA7D"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38.11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B4FB809"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36.17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C542E2D"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47C4666"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A56690"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A5C5BEF"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Australia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43FAD73"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ICD-10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9EDF582"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5D97918F"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79FF9B04" w14:textId="77D11E5C"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DEAE715"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AFE992"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2A050D1"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B494667"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51ECD82"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9BEEA3D"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C2D034B"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5E44BFC"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243C036"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C31C444"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C4326DE"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736D50A"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499E4090"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1AB80C3E" w14:textId="2C86AF0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1BA7294"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CA5942"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5CEE303"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E7C01B"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1C1B9BA"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FFF0064"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4BEE4C7"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A5B8813"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4801C50"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1CB19FB"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7B081C3"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96EC592"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6274696F"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571FBBF0" w14:textId="5B10115D"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Remlinger-Molenda et al, 2012</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{"citationItems":[{"id":"ITEM-1","itemData":{"ISSN":"0033-2674 (Print)","PMID":"23214162","abstract":"AIM: The aim of the study was to examine the activity of selected cytokines in  bipolar patients during manic and depressive episodes and in remission. METHOD: The cytokine status was assessed in 76 bipolar patients, 35 with mania- and 41 with depression. For cytokine measurements blood samples were drawn from each patient twice-- while in an acute episode and in remission. 78 healthy individuals were examined once. Serum samples were tested for concentrations of: IL-6, IL-10, IL-1beta, TNF-alpha, IFN-gamma using the cytometric method. The patients' mental status was assessed with Young Mania Rating Scale and Hamilton Depression Rating Scale. RESULTS: Concentration of IL-6 was higher during the manic state as compared to control group. Additionally, IL-6 level was higher in mania than in remission. Concentration of IL-10 was higher in patients in remission after manic episodes than in healthy controls. In manic patients raising of IFN-gamma level was accompanied by more severe symptoms evaluated with YMRS. In remission after mania there was a correlation between IL-6 concentration and the intensity of the manic state. IFN-gamma level was higher in depressed patients comparing to remission, as well as manic patients and subjects from control group. IFN-gamma in remission after depression was still higher than in the healthy controls. Concentration of IL-1beta was higher in depressed patients comparing to healthy subjects. CONCLUSION: The results obtained in this study show disturbances of the immune system in bipolar patients. These disturbances have features of either decrease or pathological increase of the immune response. Cytokines' profiles were different for mania and depression. Clinical improvement seems to be connected with immunomodulation process that results in changes of cytokine levels in bipolar patients in remission.","author":[{"dropping-particle":"","family":"Remlinger-Molenda","given":"Agnieszka","non-dropping-particle":"","parse-names":false,"suffix":""},{"dropping-particle":"","family":"Wójciak","given":"Paweł","non-dropping-particle":"","parse-names":false,"suffix":""},{"dropping-particle":"","family":"Michalak","given":"Michał","non-dropping-particle":"","parse-names":false,"suffix":""},{"dropping-particle":"","family":"Rybakowski","given":"Janusz","non-dropping-particle":"","parse-names":false,"suffix":""}],"container-title":"Psychiatria polska","id":"ITEM-1","issue":"4","issued":{"date-parts":[["2012"]]},"language":"pol","page":"599-611","publisher-place":"Poland","title":"[Activity of selected cytokines in bipolar patients during manic and depressive  episodes].","type":"article-journal","volume":"46"},"uris":["http://www.mendeley.com/documents/?uuid=a10227e4-bcff-414e-9c43-85042661a755"]}],"mendeley":{"formattedCitation":"(Remlinger-Molenda et al., 2012)","plainTextFormattedCitation":"(Remlinger-Molenda et al., 2012)","previouslyFormattedCitation":"(Remlinger-Molenda et al., 2012)"},"properties":{"noteIndex":0},"schema":"https://github.com/citation-style-language/schema/raw/master/csl-citation.json"}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(Remlinger-Molenda et al., 2012)</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779C80A"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FC3061"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D8BFC0"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440D94E"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DD53CA"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3E426AD"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2ACA0D4"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A2A0BD"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55.1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0FD1D39"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956CDC6"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Poland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211C5D"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B4A0A27"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964B0" w:rsidRPr="009F0DFF" w14:paraId="2795ECBB"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26FDBD7D" w14:textId="3E39CD4B"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F5B290B"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427386"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B569E24"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4FDA956"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2563590"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051AFC1"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8D03BCE"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75.6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7932C9F"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423AF5E"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80BA0A9"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11F4272"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744DB17"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6AE30312"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3DA780A6" w14:textId="4A8599AD"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DFF3B6A"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3974CEB"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E6E8D10"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22699C4"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DE5F741"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4B469E"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4E0D240"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FEE933A"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E92F7D4"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3A5F1A"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55F2F2E"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FA1BD2C"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77545" w:rsidRPr="009F0DFF" w14:paraId="29C19F50"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21F9AB53" w14:textId="41375E6F"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Sanjay et al., 2017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{"citationItems":[{"id":"ITEM-1","itemData":{"DOI":"10.1016/j.ajp.2017.03.014","ISSN":"18762026","PMID":"28365164","author":[{"dropping-particle":"","family":"Sanjay","given":"Tarasingh N.","non-dropping-particle":"","parse-names":false,"suffix":""},{"dropping-particle":"","family":"Shivakumar","given":"Venkataram","non-dropping-particle":"","parse-names":false,"suffix":""},{"dropping-particle":"","family":"Subbanna","given":"Manjula","non-dropping-particle":"","parse-names":false,"suffix":""},{"dropping-particle":"","family":"Biradar","given":"Shweta U.","non-dropping-particle":"","parse-names":false,"suffix":""},{"dropping-particle":"","family":"Muralidharan","given":"Kesavan","non-dropping-particle":"","parse-names":false,"suffix":""},{"dropping-particle":"","family":"Venkatasubramanian","given":"Ganesan","non-dropping-particle":"","parse-names":false,"suffix":""}],"container-title":"Asian Journal of Psychiatry","id":"ITEM-1","issued":{"date-parts":[["2017","12","1"]]},"page":"212-213","publisher":"Elsevier B.V.","title":"Plasma interleukin-6 in remitted early bipolar I disorder and subjects at high-risk for bipolar disorder","type":"article","volume":"30"},"uris":["http://www.mendeley.com/documents/?uuid=f52a8a12-938c-3579-9663-29d0a8036c90"]}],"mendeley":{"formattedCitation":"(Sanjay et al., 2017)","plainTextFormattedCitation":"(Sanjay et al., 2017)","previouslyFormattedCitation":"(Sanjay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(Sanjay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22E4448"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FE2951"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883D3E2"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4644C35"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6CC758E"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26.2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C69C6D"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28.9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A6C0B9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E06765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22.2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F73F3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424AF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India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4217CE"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981746"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0977AD2B"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04099376" w14:textId="200C71FD" w:rsidR="006F7CF4" w:rsidRPr="00AF5E1D" w:rsidRDefault="006F7CF4" w:rsidP="00B77545">
            <w:pPr>
              <w:jc w:val="center"/>
              <w:rPr>
                <w:rFonts w:ascii="Times New Roman" w:eastAsia="Times New Roman" w:hAnsi="Times New Roman" w:cs="Times New Roman"/>
                <w:sz w:val="18"/>
                <w:szCs w:val="18"/>
                <w:lang w:val="pt-BR" w:eastAsia="it-IT"/>
              </w:rPr>
            </w:pPr>
            <w:r w:rsidRPr="00AF5E1D">
              <w:rPr>
                <w:rFonts w:ascii="Times New Roman" w:eastAsia="Times New Roman" w:hAnsi="Times New Roman" w:cs="Times New Roman"/>
                <w:sz w:val="18"/>
                <w:szCs w:val="18"/>
                <w:lang w:val="pt-BR" w:eastAsia="it-IT"/>
              </w:rPr>
              <w:t>Scola et al, 2016</w:t>
            </w:r>
            <w:r w:rsidRPr="004846E4">
              <w:rPr>
                <w:rFonts w:ascii="Times New Roman" w:eastAsia="Times New Roman" w:hAnsi="Times New Roman" w:cs="Times New Roman"/>
                <w:sz w:val="18"/>
                <w:szCs w:val="18"/>
                <w:lang w:eastAsia="it-IT"/>
              </w:rPr>
              <w:fldChar w:fldCharType="begin" w:fldLock="1"/>
            </w:r>
            <w:r w:rsidR="00603167" w:rsidRPr="00AF5E1D">
              <w:rPr>
                <w:rFonts w:ascii="Times New Roman" w:eastAsia="Times New Roman" w:hAnsi="Times New Roman" w:cs="Times New Roman"/>
                <w:sz w:val="18"/>
                <w:szCs w:val="18"/>
                <w:lang w:val="pt-BR" w:eastAsia="it-IT"/>
              </w:rPr>
              <w:instrText>ADDIN CSL_CITATION {"citationItems":[{"id":"ITEM-1","itemData":{"DOI":"10.1016/j.jad.2015.12.020","ISSN":"15732517","PMID":"26735329","abstract":"Background Prior work suggests that adult bipolar disorder (BD) is associated with increased oxidative stress and inflammation. This exploratory study examined markers of lipid and protein oxidation and inflammation in adolescents with and at varying risk for BD type I (BD-I). Methods Blood was obtained from four groups of adolescents (9-20 years of age): (1) healthy comparison subjects with no personal or family history of psychiatric disorders (n=13), (2) subjects with no psychiatric diagnosis and at least one parent with BD-I ('high-risk', n=15), (3) subjects with at least one parent with BD-I and a diagnosis of depressive disorder not-otherwise-specified ('ultra-high-risk', n=20), and (4) first-episode patients exhibiting mixed or manic symptoms that received a diagnosis of BD-I (n=16). Plasma levels of lipid peroxidation (LPH, 4-HNE, 8-ISO), protein carbonyl, and inflammation (IL-1</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w:instrText>
            </w:r>
            <w:r w:rsidR="00603167">
              <w:rPr>
                <w:rFonts w:ascii="Times New Roman" w:eastAsia="Times New Roman" w:hAnsi="Times New Roman" w:cs="Times New Roman"/>
                <w:sz w:val="18"/>
                <w:szCs w:val="18"/>
                <w:lang w:eastAsia="it-IT"/>
              </w:rPr>
              <w:instrText>β</w:instrText>
            </w:r>
            <w:r w:rsidR="00603167" w:rsidRPr="00AF5E1D">
              <w:rPr>
                <w:rFonts w:ascii="Times New Roman" w:eastAsia="Times New Roman" w:hAnsi="Times New Roman" w:cs="Times New Roman"/>
                <w:sz w:val="18"/>
                <w:szCs w:val="18"/>
                <w:lang w:val="pt-BR" w:eastAsia="it-IT"/>
              </w:rPr>
              <w:instrText>, IL-6, IL-10, IFN</w:instrText>
            </w:r>
            <w:r w:rsidR="00603167">
              <w:rPr>
                <w:rFonts w:ascii="Times New Roman" w:eastAsia="Times New Roman" w:hAnsi="Times New Roman" w:cs="Times New Roman"/>
                <w:sz w:val="18"/>
                <w:szCs w:val="18"/>
                <w:lang w:eastAsia="it-IT"/>
              </w:rPr>
              <w:instrText>γ</w:instrText>
            </w:r>
            <w:r w:rsidR="00603167" w:rsidRPr="00AF5E1D">
              <w:rPr>
                <w:rFonts w:ascii="Times New Roman" w:eastAsia="Times New Roman" w:hAnsi="Times New Roman" w:cs="Times New Roman"/>
                <w:sz w:val="18"/>
                <w:szCs w:val="18"/>
                <w:lang w:val="pt-BR" w:eastAsia="it-IT"/>
              </w:rPr>
              <w:instrText>, TNF</w:instrText>
            </w:r>
            <w:r w:rsidR="00603167">
              <w:rPr>
                <w:rFonts w:ascii="Times New Roman" w:eastAsia="Times New Roman" w:hAnsi="Times New Roman" w:cs="Times New Roman"/>
                <w:sz w:val="18"/>
                <w:szCs w:val="18"/>
                <w:lang w:eastAsia="it-IT"/>
              </w:rPr>
              <w:instrText>α</w:instrText>
            </w:r>
            <w:r w:rsidR="00603167" w:rsidRPr="00AF5E1D">
              <w:rPr>
                <w:rFonts w:ascii="Times New Roman" w:eastAsia="Times New Roman" w:hAnsi="Times New Roman" w:cs="Times New Roman"/>
                <w:sz w:val="18"/>
                <w:szCs w:val="18"/>
                <w:lang w:val="pt-BR" w:eastAsia="it-IT"/>
              </w:rPr>
              <w:instrText>) were assessed using analysis of variance and covariance models. Results LPH was lower in adolescents with fully syndromal BD than controls, while LPH levels in the at-risk groups were between healthy controls and fully syndromal BD. Post-hoc analysis showed a non-significant increase in the (4-HNE+8-ISO)/LPH ratio suggesting a potential conversion of LPH into late-stage markers of lipid peroxidation. There were no significant differences among protein carbonyl content and inflammatory markers. Conclusions In adolescents, fully syndromal BD is associated with significant reductions in LPH levels, and LPH levels decrease along the spectrum of risk for BD-I. Quantifying lipid peroxidation in longitudinal studies may help clarify the role of LPH in BD risk progression.","author":[{"dropping-particle":"","family":"Scola","given":"Gustavo","non-dropping-particle":"","parse-names":false,"suffix":""},{"dropping-particle":"","family":"McNamara","given":"Robert K.","non-dropping-particle":"","parse-names":false,"suffix":""},{"dropping-particle":"","family":"Croarkin","given":"Paul E.","non-dropping-particle":"","parse-names":false,"suffix":""},{"dropping-particle":"","family":"Leffler","given":"Jarrod M.","non-dropping-particle":"","parse-names":false,"suffix":""},{"dropping-particle":"","family":"Cullen","given":"Kathryn R.","non-dropping-particle":"","parse-names":false,"suffix":""},{"dropping-particle":"","family":"Geske","given":"Jennifer R.","non-dropping-particle":"","parse-names":false,"suffix":""},{"dropping-particle":"","family":"Biernacka","given":"Joanna M.","non-dropping-particle":"","parse-names":false,"suffix":""},{"dropping-particle":"","family":"Frye","given":"Mark A.","non-dropping-particle":"","parse-names":false,"suffix":""},{"dropping-particle":"","family":"Delbello","given":"Melissa P.","non-dropping-particle":"","parse-names":false,"suffix":""},{"dropping-particle":"","family":"Andreazza","given":"Ana C.","non-dropping-particle":"","parse-names":false,"suffix":""}],"container-title":"Journal of Affective Disorders","id":"ITEM-1","issued":{"date-parts":[["2016","3","1"]]},"page":"176-183","publisher":"Elsevier B.V.","title":"Lipid peroxidation biomarkers in adolescents with or at high-risk for bipolar disorder","type":"article-journal","volume":"192"},"uris":["http://www.mendeley.com/documents/?uuid=dfc5fa28-e8d2-38db-987a-92fa322e33af"]}],"mendeley":{"formattedCitation":"(Scola et al., 2016)","plainTextFormattedCitation":"(Scola et al., 2016)","previouslyFormattedCitation":"(Scola et al., 2016)"},"properties":{"noteIndex":0},"schema":"https://github.com/citation-style-language/schema/raw/master/csl-citation.json"}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AF5E1D">
              <w:rPr>
                <w:rFonts w:ascii="Times New Roman" w:eastAsia="Times New Roman" w:hAnsi="Times New Roman" w:cs="Times New Roman"/>
                <w:noProof/>
                <w:sz w:val="18"/>
                <w:szCs w:val="18"/>
                <w:lang w:val="pt-BR" w:eastAsia="it-IT"/>
              </w:rPr>
              <w:t>(Scola et al., 2016)</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E6ACFB5"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2AF5BA5"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5BC3BF"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IL-1, IL-6, 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7716B6C"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53303F3"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15.5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12B4278"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17.8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A1AA1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62.5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C082767"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DC607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46DFBCA"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USA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A615B90"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DSM-IV-TR</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4025B5C"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1D0BBD84"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hideMark/>
          </w:tcPr>
          <w:p w14:paraId="4F3B0ECE" w14:textId="78244B14"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Tsai et al, 2012</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{"citationItems":[{"id":"ITEM-1","itemData":{"DOI":"10.1016/j.jad.2011.08.022","ISSN":"01650327","PMID":"21962564","abstract":"Background: Weight gain and increased production of leptin may be associated with immuno-modulation and insulin resistance in bipolar disorder. The links among inflammatory markers, leptin, and insulin of bipolar patients from acute mania to full remission remain unclear. Methods: Thirty-three healthy, bipolar I patients under 45 years of age were enrolled. We measured the circulating levels of high-sensitivity C-reactive protein (hs-CRP), anti-inflammatory mediators (interleukin-1 receptor antagonist [IL-1Ra] and soluble tumor necrosis factor receptor 1 [sTNF-R1]), leptin, and insulin during acute mania and subsequent partial and full remission. The results were compared with 33 age- and gender-matched healthy subjects. Results: The levels of IL-1Ra and hs-CRP of bipolar patients in both acute mania and partial remission were significantly higher than their levels of control subjects. The hs-CRP level of bipolar patients was also elevated in full remission. The elevation of IL-1Ra and hs-CRP levels in acute mania was independent of each other. They were also independent of the body mass index (BMI) and levels of leptin and insulin measurements. The levels of leptin were all positively associated with insulin levels in the normal subjects and bipolar patients in three phases. However, a significant relationship between leptin and immunoparameter was only seen in full remission with sTNF-R1 (r = 0.51). Furthermore, IL-1Ra was inversely correlated with sTNF-R1 (r = - 0.37, p &lt; 0.05) during partly remission, and while levels of IL-1Ra tended to normalize when patients remitted, levels of hs-CRP and sTNF-R1 showed the opposite trend. Conclusions: Activated inflammation was found in acute mania, as evidenced by high levels of IL-1Ra, hs-CRP, and sTNF-R1. The production of leptin may be more tightly linked to insulin than the immunomodulators. Chronic inflammation may exist in bipolar patients and is reflected by elevations of IL-1Ra and hs-CRP levels in acute mania and persistent higher hs-CRP in full remission. © 2011 Elsevier B.V.","author":[{"dropping-particle":"","family":"Tsai","given":"Shang Ying","non-dropping-particle":"","parse-names":false,"suffix":""},{"dropping-particle":"","family":"Chung","given":"Kuo Hsuan","non-dropping-particle":"","parse-names":false,"suffix":""},{"dropping-particle":"","family":"Wu","given":"Jui Yu","non-dropping-particle":"","parse-names":false,"suffix":""},{"dropping-particle":"","family":"Kuo","given":"Chian Jue","non-dropping-particle":"","parse-names":false,"suffix":""},{"dropping-particle":"","family":"Lee","given":"Hsin Chien","non-dropping-particle":"","parse-names":false,"suffix":""},{"dropping-particle":"","family":"Huang","given":"Shou Hung","non-dropping-particle":"","parse-names":false,"suffix":""}],"container-title":"Journal of Affective Disorders","id":"ITEM-1","issue":"1-2","issued":{"date-parts":[["2012","1"]]},"page":"110-116","publisher":"J Affect Disord","title":"Inflammatory markers and their relationships with leptin and insulin from acute mania to full remission in bipolar disorder","type":"article-journal","volume":"136"},"uris":["http://www.mendeley.com/documents/?uuid=eb493668-65c6-36a1-be5d-b5ac6567e051"]}],"mendeley":{"formattedCitation":"(Tsai et al., 2012)","plainTextFormattedCitation":"(Tsai et al., 2012)","previouslyFormattedCitation":"(Tsai et al., 2012)"},"properties":{"noteIndex":0},"schema":"https://github.com/citation-style-language/schema/raw/master/csl-citation.json"}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(Tsai et al., 2012)</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7B3D9EA"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9BBC11F"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2EC974D"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9756B64"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8A5D670"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31.6</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D204AF2"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28.9</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AE811F6"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36.4</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405E183"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36.4</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0A91B95"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293F76D"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Taiwan</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187D155"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276A7B0"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964B0" w:rsidRPr="009F0DFF" w14:paraId="5E4554D9"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66723BBB" w14:textId="36C431ED"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76A706A"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9677988"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1AE4D3D"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6D62082"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hypomania</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FAA051A"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31.6</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892832C"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7BF08D4"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36.4</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6C25853"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8C3418B"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5B63FB8"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BB767F6"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61C1458"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09EA980D"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24D503B7" w14:textId="1FBC11B0"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AFC5920"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DF3EBB4"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1A63260"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FE792DA"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1F95FFB"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31.6</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6E3EF29"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15ABC9B"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36.4</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1024F70"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0AE6051"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CB1DB18"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E2EEF1F"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9987C70"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77545" w:rsidRPr="009F0DFF" w14:paraId="28B2B207"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07D7E984" w14:textId="08AD4155"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Tunc et al, 2019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{"citationItems":[{"id":"ITEM-1","itemData":{"DOI":"10.1080/24750573.2019.1584489","ISSN":"2475-0573","abstract":"OBJECTIVE: In this study, we aimed to study copper metabolism in schizophrenia, bipolar disorder, major depression compared with healthy control. METHODS: This is a single-centered cross-sectional study. The patients with schizophrenia (n = 36), bipolar disorder (n = 37), major depression (n = 40), and healthy control (n = 32) were included in the study. All participants were initially evaluated by a clinical psychiatrist to confirm the appropriate diagnosis using the Structured Clinical Interview for Diagnostic and Statistical Manuel of Mental Disorders-IV (DSM-IV) Axis I Disorders (SCID-I). Serum copper level, ceruloplasmin mass, and ceruloplasmin-ferroxidase activity were measured. One-way ANOVA and Kruskal–Wallis Tests were performed for statistical analyses. RESULTS: Serum ceruloplasmin-ferroxidase activity (χ2 = 9.11, p = 0.028) demonstrated a significant statistical difference in all groups compared with the control group. Serum ceruloplasmin-ferroxidase activity of the bipolar disorder group was significantly higher than the healthy control group (p = 0.012), major depression group (p = 0.027), and the schizophrenia group (p = 0.019). Erythrocyte sedimentation rate (ESR) (p = 0.028) and waist circumference (p = 0.005) in bipolar disorder group, and the C-reactive protein (CRP) (p &lt; 0.001) and cholesterol (p = 0.043) in the schizophrenia group were found as the determinants of ceruloplasmin-ferroxidase activity. CONCLUSION: In this study, ceruloplasmin-ferroxidase activity is higher in all groups in comparison to the healthy control. The significantly higher ceruloplasmin-ferroxidase activity was shown in bipolar disorder followed by the major depression and schizophrenia. The ceruloplasmin-ferroxidase activity was correlated with erythrocyte sedimentation rate in the bipolar disorder group and with C-reactive protein in the schizophrenia group. Therefore, the ceruloplasmin-ferroxidase activity may be an encouraging candidate in the neuro-immune modulation and become a reliable clinical tool for demonstrating the strong association of inflammation in these disorders.","author":[{"dropping-particle":"","family":"Tunç","given":"Serhat","non-dropping-particle":"","parse-names":false,"suffix":""},{"dropping-particle":"","family":"Atagün","given":"Murat İlhan","non-dropping-particle":"","parse-names":false,"suffix":""},{"dropping-particle":"","family":"Başbuğ","given":"Hamit Serdar","non-dropping-particle":"","parse-names":false,"suffix":""},{"dropping-particle":"","family":"Erel","given":"Özcan","non-dropping-particle":"","parse-names":false,"suffix":""}],"container-title":"Psychiatry and Clinical Psychopharmacology","id":"ITEM-1","issue":"3","issued":{"date-parts":[["2019","7","3"]]},"page":"307-314","publisher":"Taylor and Francis Ltd.","title":"Serum ceruloplasmin-ferroxidase activity in bipolar disorder is elevated compared to major depressive disorder and schizophrenia: a controlled study","type":"article-journal","volume":"29"},"uris":["http://www.mendeley.com/documents/?uuid=55b7e18a-d6b0-3b67-8e30-35b7c07c8ae6"]}],"mendeley":{"formattedCitation":"(Tunç et al., 2019)","plainTextFormattedCitation":"(Tunç et al., 2019)","previouslyFormattedCitation":"(Tunç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(Tunç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12628AD"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FF31F69"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D08B938"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B64F8D"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716D13D"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33.86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6600E1"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13C8AE8"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AA9D7F2"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0CE4DD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58BD17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Turkey</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FEED4AF"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622859"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r>
      <w:tr w:rsidR="00B964B0" w:rsidRPr="009F0DFF" w14:paraId="6EF90557"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6A648C42" w14:textId="35CBB69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van den Ameele et al, 2018</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{"citationItems":[{"id":"ITEM-1","itemData":{"DOI":"10.3389/fpsyt.2018.00250","ISSN":"16640640","abstract":"Background: A mild pro-inflammatory status accompanies bipolar disorder (BD). Inflammation can cause a shift in monoamine metabolism, thereby activating more cytotoxic pathways. The extent to which low-grade inflammation in BD interacts with monoamine metabolism and how this accords to aging and clinical course is unknown. Objectives: We evaluated the presence of alterations in inflammation and monoamine metabolism in BD throughout different mood states and the role of aging therein. Methods: Sixty-seven patients with BD were included during an acute mood episode, either depressive (n = 29), (hypo)manic (n = 29), or mixed (n = 9). Plasma levels of inflammatory markers [tumor necrosis factor alpha (TNF-α), interferon gamma (IFN-y), interleukin-6 (IL-6), and C-reactive protein (CRP)] and markers of monoamine metabolism (neopterin, tryptophan, kynurenine, phenylalanine, and tyrosine) were measured repeatedly during a follow-up of 8 months. Levels in patients were compared to controls (n = 35) and correlated to HDRS-17 and YMRS scores. Spearman correlations and linear mixed model analysis were used for statistical analysis. Results: Forty-nine patients and 30 controls (age range: 22-62 years) completed the study. No significant differences in inflammatory markers were found between patients and controls overall. Tryptophan, tyrosine, and phenylalanine levels were lower in patients. In both patients and controls, markers of inflammation correlated only weakly with markers of monoamine metabolism, but correlations representative for activity of cytotoxic pathways in monoamine metabolism were more pronounced in patients. In patients, but not in controls, older age was associated with increases in inflammatory markers (IL-6, CRP, neopterin) and the kynurenine/tryptophan ratio. None of the biological markers correlated significantly with mood symptom severity. Conclusion: Our data suggest an increased susceptibility of patients with BD to develop a pro-inflammatory state and to shift monoamine metabolism toward more cytotoxic pathways. These findings are in support of the theory of neuroprogression and accelerated aging in BD. Since associations between biological markers and clinical characteristics are limited, it remains to be determined if alterations in biological markers are due to a disease effect or rather are a consequence of confounding factors.","author":[{"dropping-particle":"","family":"Ameele","given":"Seline","non-dropping-particle":"van den","parse-names":false,"suffix":""},{"dropping-particle":"","family":"Fuchs","given":"Dietmar","non-dropping-particle":"","parse-names":false,"suffix":""},{"dropping-particle":"","family":"Coppens","given":"Violette","non-dropping-particle":"","parse-names":false,"suffix":""},{"dropping-particle":"","family":"Boer","given":"Peter","non-dropping-particle":"de","parse-names":false,"suffix":""},{"dropping-particle":"","family":"Timmers","given":"Maarten","non-dropping-particle":"","parse-names":false,"suffix":""},{"dropping-particle":"","family":"Sabbe","given":"Bernard","non-dropping-particle":"","parse-names":false,"suffix":""},{"dropping-particle":"","family":"Morrens","given":"Manuel","non-dropping-particle":"","parse-names":false,"suffix":""}],"container-title":"Frontiers in Psychiatry","id":"ITEM-1","issue":"JUN","issued":{"date-parts":[["2018","6","14"]]},"publisher":"Frontiers Media S.A.","title":"Markers of inflammation and monoamine metabolism indicate accelerated aging in bipolar disorder","type":"article-journal","volume":"9"},"uris":["http://www.mendeley.com/documents/?uuid=9ac46abe-230e-3c68-9296-0f1f57674192"]}],"mendeley":{"formattedCitation":"(van den Ameele et al., 2018)","plainTextFormattedCitation":"(van den Ameele et al., 2018)","previouslyFormattedCitation":"(van den Ameele et al., 2018)"},"properties":{"noteIndex":0},"schema":"https://github.com/citation-style-language/schema/raw/master/csl-citation.json"}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(van den Ameele et al., 2018)</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E65B863"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F5F83D6"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E51625C"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3375768"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2137E1"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43.3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E697965"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42.7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62FC8B"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58.2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37F4D37"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54.3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5C22652"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44514FF"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Belgium</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9434231"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44F3D8D"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964B0" w:rsidRPr="009F0DFF" w14:paraId="6753680F"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624EC082" w14:textId="05618C1F"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23C1645"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62EFCC7"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3A44279"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F97072E"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FFB46C7"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5D71CAD"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87417A0"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8BB3BD9"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1F3F529"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710ED27"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F66C10A"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4088E99"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66F03848"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05CBF78C" w14:textId="0A49440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CE45F24"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022EB80"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6B17E6B"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24B9E72"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A0A5182"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8E5B6C1"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FA0CB60"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6A703BB"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046FF51"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EBD8CDB"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8D1A3DF"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D8874A9"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3BE1E7E7"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28AC0789" w14:textId="37C36DF3"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AA9E364"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2855E41"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17D9ECF" w14:textId="77777777" w:rsidR="00B964B0" w:rsidRPr="009F0DFF" w:rsidRDefault="00B964B0" w:rsidP="00B964B0">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B4231B4"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579C3AB"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0B546BF0"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0BD907B"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35CA4A9"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425C966"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8AC3E5F"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2E1A712"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5D307DF"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77545" w:rsidRPr="009F0DFF" w14:paraId="13C57686"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648A665A" w14:textId="354793DD"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Vasconcelos-Moreno et al, 2017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{"citationItems":[{"id":"ITEM-1","itemData":{"DOI":"10.1093/ijnp/pyx001","ISSN":"14695111","PMID":"28339618","abstract":"Background: Growing evidence supports the existence of neurobiological trait abnormalities in individuals at genetic risk for bipolar disorder. The aim of this study was to examine potential differences in brain-derived neurotrophic factor, cytokines, oxidative stress, and telomere length markers between patients with bipolar disorder, their siblings, and healthy controls. Methods: Thirty-six patients with bipolar disorder type I, 39 siblings, and 44 healthy controls were assessed. Serum levels of brain-derived neurotrophic factor, interleukin-6, interleukin-10, tumor necrosis factor-α, C-C motif chemokine 11, C-C motif chemokine 24, and 3-nitrotyrosine were measured, as were the activities of glutathione peroxidase, glutathione reductase, and glutathione S-Transferase. Telomere length (T/S ratio) was measured using quantitative polymerase chain reaction. Results: Telomere length was different between the 3 groups (P = .041) with both patients and siblings showing a shorter T/S ratio compared with healthy controls. Patients showed increased levels of interleukin-6 (P = .005) and interleukin-10 (P = .002) compared with controls as well as increased levels of interleukin-6 (p = 0.014) and CCL24 (P = .016) compared with their siblings. C-C motif chemokine 11 levels were increased in siblings compared with controls (P = .015), and a similar tendency was found in patients compared with controls (P = .045). Glutathione peroxidase activity was decreased in patients compared with controls (P = .006) and siblings (P = .025). No differences were found for the other markers. Conclusions: The present results suggest that unaffected siblings may present accelerated aging features. These neurobiological findings may be considered as endophenotypic traits. Further prospective studies are warranted.","author":[{"dropping-particle":"","family":"Vasconcelos-Moreno","given":"Mirela Paiva","non-dropping-particle":"","parse-names":false,"suffix":""},{"dropping-particle":"","family":"Fries","given":"Gabriel Rodrigo","non-dropping-particle":"","parse-names":false,"suffix":""},{"dropping-particle":"","family":"Gubert","given":"Carolina","non-dropping-particle":"","parse-names":false,"suffix":""},{"dropping-particle":"","family":"Santos","given":"Bárbara Tietböhl Martins Quadros","non-dropping-particle":"Dos","parse-names":false,"suffix":""},{"dropping-particle":"","family":"Fijtman","given":"Adam","non-dropping-particle":"","parse-names":false,"suffix":""},{"dropping-particle":"","family":"Sartori","given":"Juliana","non-dropping-particle":"","parse-names":false,"suffix":""},{"dropping-particle":"","family":"Ferrari","given":"Pamela","non-dropping-particle":"","parse-names":false,"suffix":""},{"dropping-particle":"","family":"Grun","given":"Lucas Kich","non-dropping-particle":"","parse-names":false,"suffix":""},{"dropping-particle":"","family":"Parisi","given":"Mariana Migliorini","non-dropping-particle":"","parse-names":false,"suffix":""},{"dropping-particle":"","family":"Guma","given":"Fátima Theresinha Costa Rodrigues","non-dropping-particle":"","parse-names":false,"suffix":""},{"dropping-particle":"","family":"Barbé-Tuana","given":"Florencia Maria","non-dropping-particle":"","parse-names":false,"suffix":""},{"dropping-particle":"","family":"Kapczinski","given":"Flávio","non-dropping-particle":"","parse-names":false,"suffix":""},{"dropping-particle":"","family":"Rosa","given":"Adriane Ribeiro","non-dropping-particle":"","parse-names":false,"suffix":""},{"dropping-particle":"","family":"Yatham","given":"Lakshmi N.","non-dropping-particle":"","parse-names":false,"suffix":""},{"dropping-particle":"","family":"Kauer-Sant'Anna","given":"Marcia","non-dropping-particle":"","parse-names":false,"suffix":""}],"container-title":"International Journal of Neuropsychopharmacology","id":"ITEM-1","issue":"6","issued":{"date-parts":[["2017","6","1"]]},"page":"445-454","publisher":"Oxford University Press","title":"Telomere Length, Oxidative Stress, Inflammation and BDNF Levels in Siblings of Patients with Bipolar Disorder: Implications for Accelerated Cellular Aging","type":"article-journal","volume":"20"},"uris":["http://www.mendeley.com/documents/?uuid=886d170a-11d1-38b9-b2cc-55d20199572f"]}],"mendeley":{"formattedCitation":"(Vasconcelos-Moreno et al., 2017)","plainTextFormattedCitation":"(Vasconcelos-Moreno et al., 2017)","previouslyFormattedCitation":"(Vasconcelos-Moreno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(Vasconcelos-Moreno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C8577F1"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7572BF3"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63DC320"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735ECC"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708661F"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42549A"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45.8</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3B491A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43A6BA"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B601439"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FF4A2B4"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7129E9F"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5BFB5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77545" w:rsidRPr="009F0DFF" w14:paraId="78635327"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19609E5E" w14:textId="0A53E544"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Wadee et al, 2002</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{"citationItems":[{"id":"ITEM-1","itemData":{"DOI":"10.1002/hup.390","ISSN":"08856222","PMID":"12404684","abstract":"Although abnormalities of the immune system have been described in depression, information on serological alteration in acutely manic patients has been scarce. The present study undertook to investigate the levels of C-reactive proteins, circulating immune complexes, total immunoglobulins and immunoglobulin subclasses, complement proteins C3, C4, C6 and Factor B in the sera of 45 patients suffering from an acute manic episode. The findings were compared with assessments on the sera of 45 controls. The results demonstrate a number of significant differences between patients and controls. Whilst levels of immunoglobulin D were significantly lower, the levels of total immunoglobulin and immunoglobulin G1, complement proteins C3, C6 and Factor B were raised in the patient group when compared with the controls. Our results suggest a relationship between acute mania and immunological parameters associated with acute phase responses. Copyright © 2002 John Wiley &amp; Sons, Ltd.","author":[{"dropping-particle":"","family":"Wadee","given":"Ahmed A.","non-dropping-particle":"","parse-names":false,"suffix":""},{"dropping-particle":"","family":"Kuschke","given":"Reverie H.","non-dropping-particle":"","parse-names":false,"suffix":""},{"dropping-particle":"","family":"Wood","given":"Lesley A.","non-dropping-particle":"","parse-names":false,"suffix":""},{"dropping-particle":"","family":"Berk","given":"Michael","non-dropping-particle":"","parse-names":false,"suffix":""},{"dropping-particle":"","family":"Ichim","given":"Liuvu","non-dropping-particle":"","parse-names":false,"suffix":""},{"dropping-particle":"","family":"Maes","given":"Michael","non-dropping-particle":"","parse-names":false,"suffix":""}],"container-title":"Human Psychopharmacology","id":"ITEM-1","issue":"4","issued":{"date-parts":[["2002"]]},"page":"175-179","publisher":"Hum Psychopharmacol","title":"Serological observations in patients suffering from acute manic episodes","type":"article-journal","volume":"17"},"uris":["http://www.mendeley.com/documents/?uuid=13ef742f-51bf-3286-9d4d-a1c6ad5c5d55"]}],"mendeley":{"formattedCitation":"(Wadee et al., 2002)","plainTextFormattedCitation":"(Wadee et al., 2002)","previouslyFormattedCitation":"(Wadee et al., 2002)"},"properties":{"noteIndex":0},"schema":"https://github.com/citation-style-language/schema/raw/master/csl-citation.json"}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(Wadee et al., 2002)</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AA82BA8"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09F85A8"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2D7254B"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2BE8EFB"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mania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7FF9C5"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32.7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9DB216"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FC5E6A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62FA89C"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D6424C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5E3409A"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South Africa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A324624"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5B97FA9"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964B0" w:rsidRPr="009F0DFF" w14:paraId="22FD0C3B" w14:textId="77777777" w:rsidTr="00AF5E1D">
        <w:trPr>
          <w:trHeight w:val="113"/>
          <w:jc w:val="right"/>
        </w:trPr>
        <w:tc>
          <w:tcPr>
            <w:tcW w:w="0" w:type="auto"/>
            <w:vMerge w:val="restart"/>
            <w:tcBorders>
              <w:top w:val="nil"/>
              <w:left w:val="single" w:sz="4" w:space="0" w:color="auto"/>
              <w:right w:val="single" w:sz="4" w:space="0" w:color="auto"/>
            </w:tcBorders>
            <w:shd w:val="clear" w:color="auto" w:fill="FFFFFF" w:themeFill="background1"/>
            <w:noWrap/>
            <w:vAlign w:val="center"/>
          </w:tcPr>
          <w:p w14:paraId="1579FA6E" w14:textId="13122DD4"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Wang et al., 2016</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{"citationItems":[{"id":"ITEM-1","itemData":{"DOI":"10.1093/ijnp/pyw012","ISSN":"14695111","PMID":"26865313","abstract":"Objective: Emerging evidence suggests that inflammation and neurodegeneration underlies bipolar disorder. To investigate biological markers of cytokines and brain-derived neurotrophic factor between bipolar I, bipolar II, and other specified bipolar disorder with short duration hypomania may support the association with inflammatory dysregulation and bipolar disorder and, more specifically, provide evidence for other specified bipolar disorder with short duration hypomania patients were similar to bipolar II disorder patients from a biological marker perspective. Methods: We enrolled patients with bipolar I disorder (n = 234), bipolar II disorder (n = 260), other specified bipolar disorder with short duration hypomania (n = 243), and healthy controls (n = 140). Their clinical symptoms were rated using the Hamilton Depression Rating Scale and Young Mania Rating Scale. Inflammatory cytokine (tumor necrosis factor-α, C-reactive protein, transforming growth factor-β1, and interleukin-8) and brain-derived neurotrophic factor levels were measured in each group. Multivariate analysis of covariance and linear regression controlled for possible confounders were used to compare cytokine and brain-derived neurotrophic factor levels among the groups. Results: Multivariate analysis of covariance adjusted for age and sex and a main effect of diagnosis was significant (P &lt; .001). Three of the 5 measured biomarkers (tumor necrosis factor-α, transforming growth factor-β1, and interleukin-8) were significantly (P = .006, .01, and &lt;.001) higher in all bipolar disorder patients than in controls. Moreover, covarying for multiple associated confounders showed that bipolar I disorder patients had significantly higher IL-8 levels than did bipolar II disorder and other specified bipolar disorder with short duration hypomania patients in multivariate analysis of covariance (P = .03) and linear regression (P=.02) analyses. Biomarkers differences between bipolar II disorder and other specified bipolar disorder with short duration hypomania patients were nonsignificant. Conclusion: The immunological disturbance along the bipolar spectrum was most severe in bipolar I disorder patients. Other specified bipolar disorder with short duration hypomania patients and bipolar II disorder patients did not differ in these biological markers.","author":[{"dropping-particle":"","family":"Wang","given":"Tzu Yun","non-dropping-particle":"","parse-names":false,"suffix":""},{"dropping-particle":"","family":"Lee","given":"Sheng Yu","non-dropping-particle":"","parse-names":false,"suffix":""},{"dropping-particle":"","family":"Chen","given":"Shiou Lan","non-dropping-particle":"","parse-names":false,"suffix":""},{"dropping-particle":"","family":"Chung","given":"Yi Lun","non-dropping-particle":"","parse-names":false,"suffix":""},{"dropping-particle":"","family":"Li","given":"Chia Ling","non-dropping-particle":"","parse-names":false,"suffix":""},{"dropping-particle":"","family":"Chang","given":"Yun Hsuan","non-dropping-particle":"","parse-names":false,"suffix":""},{"dropping-particle":"","family":"Wang","given":"Liang Jen","non-dropping-particle":"","parse-names":false,"suffix":""},{"dropping-particle":"","family":"Chen","given":"Po See","non-dropping-particle":"","parse-names":false,"suffix":""},{"dropping-particle":"","family":"Chen","given":"Shih Heng","non-dropping-particle":"","parse-names":false,"suffix":""},{"dropping-particle":"","family":"Chu","given":"Chun Hsien","non-dropping-particle":"","parse-names":false,"suffix":""},{"dropping-particle":"","family":"Huang","given":"San Yuan","non-dropping-particle":"","parse-names":false,"suffix":""},{"dropping-particle":"","family":"Tzeng","given":"Nian Sheng","non-dropping-particle":"","parse-names":false,"suffix":""},{"dropping-particle":"","family":"Hsieh","given":"Tsai Hsin","non-dropping-particle":"","parse-names":false,"suffix":""},{"dropping-particle":"","family":"Chiu","given":"Yen Chu","non-dropping-particle":"","parse-names":false,"suffix":""},{"dropping-particle":"","family":"Lee","given":"I. Hui","non-dropping-particle":"","parse-names":false,"suffix":""},{"dropping-particle":"","family":"Chen","given":"Kao Chin","non-dropping-particle":"","parse-names":false,"suffix":""},{"dropping-particle":"","family":"Yang","given":"Yen Kuang","non-dropping-particle":"","parse-names":false,"suffix":""},{"dropping-particle":"","family":"Hong","given":"Jau Shyong","non-dropping-particle":"","parse-names":false,"suffix":""},{"dropping-particle":"","family":"Lu","given":"Ru Band","non-dropping-particle":"","parse-names":false,"suffix":""}],"container-title":"International Journal of Neuropsychopharmacology","id":"ITEM-1","issue":"8","issued":{"date-parts":[["2016","8","1"]]},"page":"1-8","publisher":"Oxford University Press","title":"The differential levels of inflammatory cytokines and bdnf among bipolar spectrum disorders","type":"article-journal","volume":"19"},"uris":["http://www.mendeley.com/documents/?uuid=acc65cd3-9239-3302-9d99-396e324a8e45"]}],"mendeley":{"formattedCitation":"(Wang et al., 2016)","plainTextFormattedCitation":"(Wang et al., 2016)","previouslyFormattedCitation":"(Wang et al., 2016)"},"properties":{"noteIndex":0},"schema":"https://github.com/citation-style-language/schema/raw/master/csl-citation.json"}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(Wang et al., 2016)</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388F9CC"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8E3C48D"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140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4F82CF7"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FE1CE1C"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4ACBB7F"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33.6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1A1E13C" w14:textId="77777777" w:rsidR="00B964B0" w:rsidRPr="009F0DFF" w:rsidRDefault="00B964B0"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31.9</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A4A9C6E"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50.85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B5FF570"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58.84</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B579C7C"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B1B0FE0" w14:textId="77777777" w:rsidR="00B964B0" w:rsidRPr="009F0DFF" w:rsidRDefault="00B964B0"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Taiwan</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83CBB26"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CE4722D" w14:textId="77777777" w:rsidR="00B964B0" w:rsidRPr="009F0DFF" w:rsidRDefault="00B964B0"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964B0" w:rsidRPr="009F0DFF" w14:paraId="40E57EDB" w14:textId="77777777" w:rsidTr="00AF5E1D">
        <w:trPr>
          <w:trHeight w:val="113"/>
          <w:jc w:val="right"/>
        </w:trPr>
        <w:tc>
          <w:tcPr>
            <w:tcW w:w="0" w:type="auto"/>
            <w:vMerge/>
            <w:tcBorders>
              <w:left w:val="single" w:sz="4" w:space="0" w:color="auto"/>
              <w:right w:val="single" w:sz="4" w:space="0" w:color="auto"/>
            </w:tcBorders>
            <w:shd w:val="clear" w:color="auto" w:fill="FFFFFF" w:themeFill="background1"/>
            <w:noWrap/>
            <w:vAlign w:val="center"/>
          </w:tcPr>
          <w:p w14:paraId="60CAEBC7" w14:textId="5F76889A"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3C421E9"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7655C1B5"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52F52354"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15940FB"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1EB37F" w14:textId="77777777" w:rsidR="00B964B0" w:rsidRPr="009F0DFF" w:rsidRDefault="00B964B0" w:rsidP="003B2C53">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CD918EE"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F9E3DCD" w14:textId="77777777" w:rsidR="00B964B0" w:rsidRPr="009F0DFF" w:rsidRDefault="00B964B0" w:rsidP="008215D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4B5A50F"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378A0425"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44CDD529"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77757F1"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8758E6C"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964B0" w:rsidRPr="009F0DFF" w14:paraId="5AAF798C" w14:textId="77777777" w:rsidTr="00AF5E1D">
        <w:trPr>
          <w:trHeight w:val="113"/>
          <w:jc w:val="right"/>
        </w:trPr>
        <w:tc>
          <w:tcPr>
            <w:tcW w:w="0" w:type="auto"/>
            <w:vMerge/>
            <w:tcBorders>
              <w:left w:val="single" w:sz="4" w:space="0" w:color="auto"/>
              <w:bottom w:val="single" w:sz="4" w:space="0" w:color="auto"/>
              <w:right w:val="single" w:sz="4" w:space="0" w:color="auto"/>
            </w:tcBorders>
            <w:shd w:val="clear" w:color="auto" w:fill="FFFFFF" w:themeFill="background1"/>
            <w:noWrap/>
            <w:vAlign w:val="center"/>
          </w:tcPr>
          <w:p w14:paraId="3F40652F" w14:textId="61635C60"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4769CCF" w14:textId="77777777" w:rsidR="00B964B0" w:rsidRPr="009F0DFF" w:rsidRDefault="00B964B0"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260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56A77C7" w14:textId="77777777" w:rsidR="00B964B0" w:rsidRPr="009F0DFF" w:rsidRDefault="00B964B0" w:rsidP="00B77545">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082118B"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TNF-α, CRP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E7CBE6" w14:textId="77777777" w:rsidR="00B964B0" w:rsidRPr="009F0DFF" w:rsidRDefault="00B964B0"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F861E8F" w14:textId="77777777" w:rsidR="00B964B0" w:rsidRPr="009F0DFF" w:rsidRDefault="00B964B0"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74F0BEB" w14:textId="77777777" w:rsidR="00B964B0" w:rsidRPr="009F0DFF" w:rsidRDefault="00B964B0" w:rsidP="003E0F32">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E892A83" w14:textId="77777777" w:rsidR="00B964B0" w:rsidRPr="009F0DFF" w:rsidRDefault="00B964B0"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48.07</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F30AC0B"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694514A2"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A35879C" w14:textId="77777777" w:rsidR="00B964B0" w:rsidRPr="009F0DFF" w:rsidRDefault="00B964B0" w:rsidP="009F0DFF">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12A02FB6" w14:textId="77777777" w:rsidR="00B964B0" w:rsidRPr="009F0DFF" w:rsidRDefault="00B964B0" w:rsidP="004846E4">
            <w:pPr>
              <w:jc w:val="center"/>
              <w:rPr>
                <w:rFonts w:ascii="Times New Roman" w:eastAsia="Times New Roman" w:hAnsi="Times New Roman" w:cs="Times New Roman"/>
                <w:sz w:val="18"/>
                <w:szCs w:val="18"/>
                <w:lang w:eastAsia="it-IT"/>
              </w:rPr>
            </w:pPr>
          </w:p>
        </w:tc>
        <w:tc>
          <w:tcPr>
            <w:tcW w:w="0" w:type="auto"/>
            <w:tcBorders>
              <w:top w:val="nil"/>
              <w:left w:val="nil"/>
              <w:bottom w:val="single" w:sz="4" w:space="0" w:color="auto"/>
              <w:right w:val="single" w:sz="4" w:space="0" w:color="auto"/>
            </w:tcBorders>
            <w:shd w:val="clear" w:color="auto" w:fill="FFFFFF" w:themeFill="background1"/>
            <w:noWrap/>
            <w:vAlign w:val="center"/>
          </w:tcPr>
          <w:p w14:paraId="265309E6" w14:textId="77777777" w:rsidR="00B964B0" w:rsidRPr="009F0DFF" w:rsidRDefault="00B964B0" w:rsidP="004846E4">
            <w:pPr>
              <w:jc w:val="center"/>
              <w:rPr>
                <w:rFonts w:ascii="Times New Roman" w:eastAsia="Times New Roman" w:hAnsi="Times New Roman" w:cs="Times New Roman"/>
                <w:sz w:val="18"/>
                <w:szCs w:val="18"/>
                <w:lang w:eastAsia="it-IT"/>
              </w:rPr>
            </w:pPr>
          </w:p>
        </w:tc>
      </w:tr>
      <w:tr w:rsidR="00B77545" w:rsidRPr="009F0DFF" w14:paraId="3CED9BF3"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hideMark/>
          </w:tcPr>
          <w:p w14:paraId="18D6C428" w14:textId="55813E00"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Wiener et al, 2017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{"citationItems":[{"id":"ITEM-1","itemData":{"DOI":"10.1016/j.jneuroim.2017.03.003","ISSN":"18728421","PMID":"28495135","abstract":"Objective To assess the association between peripheral levels of inflammatory cytokines and functional impairment in subjects with Bipolar Disorder (BD), Major Depressive Disorder (MDD) and population controls. Methods This was a cross-sectional study with a matched sample of drug-free young adults with BD (n = 48), MDD (n = 48) and population controls (n = 48). Mood disorder was confirmed by a certified psychologist using the Structured Clinical Interview for DSM-IV (SCID-I). Functional impairment was assessed using the Functional Assessment Short Test (FAST). Serum levels of IL-6 and IL-10 were measured by ELISA. Results Peripheral levels of IL-6 and IL-10 were not significantly different between subjects with BD, MDD compared to controls. Higher levels of functional impairment were verified in subjects with BD and MDD compared to population controls (p ≤ 0.001). In addition, IL-6 and IL-10 levels were positively correlated with functional impairment in subjects with BD (IL-6: r = 0.349, p = 0.016; and IL-10: r = 0.351, p = 0.016). Conclusion Inflammatory dysregulation was associated with functional impairment among drug-free subjects with BD. This finding suggests that inflammatory dysregulation may be involved in the neuroprogression of BD.","author":[{"dropping-particle":"","family":"Wiener","given":"Carolina David","non-dropping-particle":"","parse-names":false,"suffix":""},{"dropping-particle":"","family":"Moreira","given":"Fernanda Pedrotti","non-dropping-particle":"","parse-names":false,"suffix":""},{"dropping-particle":"","family":"Cardoso","given":"Taiane Azevedo","non-dropping-particle":"","parse-names":false,"suffix":""},{"dropping-particle":"","family":"Mondin","given":"Thaise Campos","non-dropping-particle":"","parse-names":false,"suffix":""},{"dropping-particle":"","family":"Silva Magalhães","given":"Pedro Vieira","non-dropping-particle":"da","parse-names":false,"suffix":""},{"dropping-particle":"","family":"Kapczinski","given":"Flavio","non-dropping-particle":"","parse-names":false,"suffix":""},{"dropping-particle":"","family":"Mattos Souza","given":"Luciano Dias","non-dropping-particle":"de","parse-names":false,"suffix":""},{"dropping-particle":"","family":"Silva","given":"Ricardo Azevedo","non-dropping-particle":"da","parse-names":false,"suffix":""},{"dropping-particle":"","family":"Oses","given":"Jean Pierre","non-dropping-particle":"","parse-names":false,"suffix":""},{"dropping-particle":"","family":"Jansen","given":"Karen","non-dropping-particle":"","parse-names":false,"suffix":""}],"container-title":"Journal of Neuroimmunology","id":"ITEM-1","issued":{"date-parts":[["2017","6","15"]]},"page":"33-36","publisher":"Elsevier B.V.","title":"Inflammatory cytokines and functional impairment in drug-free subjects with mood disorder","type":"article-journal","volume":"307"},"uris":["http://www.mendeley.com/documents/?uuid=6d05110e-35ea-34af-bb3d-973fbded79c2"]}],"mendeley":{"formattedCitation":"(Wiener et al., 2017)","plainTextFormattedCitation":"(Wiener et al., 2017)","previouslyFormattedCitation":"(Wiener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(Wiener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22FF346"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4947583"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E6CD518"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037D486"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8E0E8EE"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21.92</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754BA8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21.88</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885364B"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75</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2980C63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75</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C42210C"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FFAB21D"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6F8FB376"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6E4A728"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4A418425"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02847AD8" w14:textId="6E5AE0A2"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Wiener et al, 2019</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{"citationItems":[{"id":"ITEM-1","itemData":{"DOI":"10.1016/j.psychres.2019.01.100","ISSN":"18727123","PMID":"31207853","abstract":"Objective: The aim of this study was to assess if cytokines levels (IL-6 and IL-10) are related to major depressive disorder (MDD) and bipolar disorder (BD), in a population-based study. Methods: This was a cross-sectional study population-based, involving 1037 people aged 18–35. MDD, BD, anxiety and suicide risk were assessed using the Mini International Neuropsychiatric Interview. Serum IL-6 and IL-10 were measured by ELISA using a commercial kit. Results: The total sample comprised 1034 young adults, being 14.4% with MDD and 13.7% with BD. MDD and BD groups showed significantly higher serum IL-6 levels (p ≤ 0.001) and IL-10 levels (p ≤ 0.001) when compared to healthy control group. No correlation was found between serum IL-6 and IL-10 levels in health control group (p = 0.830; r = −0.008), non-suicide risk (p = 0.337; r = 0.032) and non-anxiety disorder (p = 0.375; r = 0.031). Covariance analysis showed that mood disorders alone, increase both interleukin levels (IL-6, p = 0.019; and IL-10, p = 0.026), whilst the interaction of mood disorders and suicide risk or anxiety disorders did not. Conclusion: Our results suggest that inflammatory dysregulation may be involved in the physiopathology of mood disorders and serum IL-6 and IL-10 levels are putative biomarkers for these disorders.","author":[{"dropping-particle":"","family":"Wiener","given":"Carolina David","non-dropping-particle":"","parse-names":false,"suffix":""},{"dropping-particle":"","family":"Moreira","given":"Fernanda Pedrotti","non-dropping-particle":"","parse-names":false,"suffix":""},{"dropping-particle":"","family":"Portela","given":"Luis Valmor","non-dropping-particle":"","parse-names":false,"suffix":""},{"dropping-particle":"","family":"Strogulski","given":"Nathan R.","non-dropping-particle":"","parse-names":false,"suffix":""},{"dropping-particle":"","family":"Lara","given":"Diogo R.","non-dropping-particle":"","parse-names":false,"suffix":""},{"dropping-particle":"","family":"Silva","given":"Ricardo Azevedo","non-dropping-particle":"da","parse-names":false,"suffix":""},{"dropping-particle":"","family":"Souza","given":"Luciano Dias de Mattos","non-dropping-particle":"","parse-names":false,"suffix":""},{"dropping-particle":"","family":"Jansen","given":"Karen","non-dropping-particle":"","parse-names":false,"suffix":""},{"dropping-particle":"","family":"Oses","given":"Jean Pierre","non-dropping-particle":"","parse-names":false,"suffix":""}],"container-title":"Psychiatry Research","id":"ITEM-1","issued":{"date-parts":[["2019","3","1"]]},"page":"685-689","publisher":"Elsevier Ireland Ltd","title":"Interleukin-6 and Interleukin-10 in mood disorders: A population-based study","type":"article-journal","volume":"273"},"uris":["http://www.mendeley.com/documents/?uuid=626e8c39-1eb9-355f-8df3-7f567280ffcd"]}],"mendeley":{"formattedCitation":"(Wiener et al., 2019)","plainTextFormattedCitation":"(Wiener et al., 2019)","previouslyFormattedCitation":"(Wiener et al., 2019)"},"properties":{"noteIndex":0},"schema":"https://github.com/citation-style-language/schema/raw/master/csl-citation.json"}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(Wiener et al., 2019)</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F696179"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142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8CD30D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743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2D8207D"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636101"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mixed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78D5E78"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56E0C2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ns</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9D4A628"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59.2</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DF727A5"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DB8B9F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32C3D89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E59870E"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B9EE845"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ELISA</w:t>
            </w:r>
          </w:p>
        </w:tc>
      </w:tr>
      <w:tr w:rsidR="00B77545" w:rsidRPr="009F0DFF" w14:paraId="3073BFCF"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hideMark/>
          </w:tcPr>
          <w:p w14:paraId="4E775AA1" w14:textId="671E4CA9"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Wieck et al, 2014</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{"citationItems":[{"id":"ITEM-1","itemData":{"DOI":"10.1016/j.neulet.2014.07.040","ISSN":"18727972","PMID":"25092610","abstract":"Mounting evidence suggests a chronic pro-inflammatory state in individuals with bipolar disorder (BD). Stress exposure is known to exacerbate several inflammatory conditions as well as psychiatric disorders. Here, we analyzed plasma levels of pro-inflammatory cytokines and their soluble receptors to realistic acute psychosocial stress challenge in BD. Thirteen euthymic type 1 BD patients and 15 matched controls underwent the Trier Social Stress Test protocol (TSST). Blood samples were collected before and after TSST and plasma cytokines interleukin IL-2, IL-6, IL-33, and tumor necrosis factor alpha (TNF-α) were measured. In addition TNF-α soluble receptors TNFR1 and TNFR2, and IL-33 soluble receptor sST2 were assessed. Increased IL-33 and reduced sST2 levels were observed in BD subjects as compared to controls, independently of stress exposure. Following TSST, there were higher levels of IL-2 and reduced levels of sTNFR1 in both groups. However, the magnitude change for both cytokines was found higher in controls than BD subjects. Our data suggest that BD patients have differential stress reactivity as compared to controls, possibly related to an immunologic imbalance and failure of regulatory mechanisms. © 2014 Elsevier Ireland Ltd.","author":[{"dropping-particle":"","family":"Wieck","given":"Andrea","non-dropping-particle":"","parse-names":false,"suffix":""},{"dropping-particle":"","family":"Grassi-Oliveira","given":"Rodrigo","non-dropping-particle":"","parse-names":false,"suffix":""},{"dropping-particle":"","family":"Prado","given":"Carine Hartmann","non-dropping-particle":"do","parse-names":false,"suffix":""},{"dropping-particle":"","family":"Rizzo","given":"Lucas Bortolotto","non-dropping-particle":"","parse-names":false,"suffix":""},{"dropping-particle":"","family":"Oliveira","given":"Agatha Schommer","non-dropping-particle":"de","parse-names":false,"suffix":""},{"dropping-particle":"","family":"Kommers-Molina","given":"Júlia","non-dropping-particle":"","parse-names":false,"suffix":""},{"dropping-particle":"","family":"Viola","given":"Thiago Wendt","non-dropping-particle":"","parse-names":false,"suffix":""},{"dropping-particle":"","family":"Marciano Vieira","given":"Érica Leandro","non-dropping-particle":"","parse-names":false,"suffix":""},{"dropping-particle":"","family":"Teixeira","given":"Ant Ônio Lúcio","non-dropping-particle":"","parse-names":false,"suffix":""},{"dropping-particle":"","family":"Bauer","given":"Moisés Evandro","non-dropping-particle":"","parse-names":false,"suffix":""}],"container-title":"Neuroscience Letters","id":"ITEM-1","issued":{"date-parts":[["2014"]]},"title":"Pro-inflammatory cytokines and soluble receptors in response to acute psychosocial stress: Differential reactivity in bipolar disorder","type":"article-journal"},"uris":["http://www.mendeley.com/documents/?uuid=35d3b05e-aff7-4066-9a59-6dbffc32d2f9"]}],"mendeley":{"formattedCitation":"(Wieck et al., 2014)","plainTextFormattedCitation":"(Wieck et al., 2014)","previouslyFormattedCitation":"(Wieck et al., 2014)"},"properties":{"noteIndex":0},"schema":"https://github.com/citation-style-language/schema/raw/master/csl-citation.json"}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(Wieck et al., 2014)</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3DCAE80"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13</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541F4070"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15</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4DF7DDA8"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 TNF-α</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8FF4F1F"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euthymia</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58B30FA"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46.36</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7E2C30F"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48.07</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161E0EE"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100</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72FED310"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100</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34F40D64"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treated</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11B2837B"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Brazil</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86ACA79"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hideMark/>
          </w:tcPr>
          <w:p w14:paraId="03E62DB2"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r w:rsidR="00B77545" w:rsidRPr="009F0DFF" w14:paraId="415739FE" w14:textId="77777777" w:rsidTr="00AF5E1D">
        <w:trPr>
          <w:trHeight w:val="113"/>
          <w:jc w:val="right"/>
        </w:trPr>
        <w:tc>
          <w:tcPr>
            <w:tcW w:w="0" w:type="auto"/>
            <w:tcBorders>
              <w:top w:val="nil"/>
              <w:left w:val="single" w:sz="4" w:space="0" w:color="auto"/>
              <w:bottom w:val="single" w:sz="4" w:space="0" w:color="auto"/>
              <w:right w:val="single" w:sz="4" w:space="0" w:color="auto"/>
            </w:tcBorders>
            <w:shd w:val="clear" w:color="auto" w:fill="FFFFFF" w:themeFill="background1"/>
            <w:noWrap/>
            <w:vAlign w:val="center"/>
          </w:tcPr>
          <w:p w14:paraId="6392403D" w14:textId="7E3652C1"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Wu et al, 2017</w:t>
            </w:r>
            <w:r w:rsidRPr="004846E4">
              <w:rPr>
                <w:rFonts w:ascii="Times New Roman" w:eastAsia="Times New Roman" w:hAnsi="Times New Roman" w:cs="Times New Roman"/>
                <w:sz w:val="18"/>
                <w:szCs w:val="18"/>
                <w:lang w:eastAsia="it-IT"/>
              </w:rPr>
              <w:fldChar w:fldCharType="begin" w:fldLock="1"/>
            </w:r>
            <w:r w:rsidR="00603167">
              <w:rPr>
                <w:rFonts w:ascii="Times New Roman" w:eastAsia="Times New Roman" w:hAnsi="Times New Roman" w:cs="Times New Roman"/>
                <w:sz w:val="18"/>
                <w:szCs w:val="18"/>
                <w:lang w:eastAsia="it-IT"/>
              </w:rPr>
              <w:instrText>ADDIN CSL_CITATION {"citationItems":[{"id":"ITEM-1","itemData":{"DOI":"10.1038/srep40530","ISSN":"20452322","PMID":"28074937","abstract":"This study aimed to investigate the less known activation pattern of T lymphocyte populations and immune checkpoint inhibitors on immunocytes in patients with bipolar II disorder depression (BD) or major depression (MD). A total of 23 patients with BD, 22 patients with MD, and 20 healthy controls (HCs) were recruited. The blood cell count of T lymphocyte subsets and the plasma level of cytokines (IL-2, IL-4, IL-6, IL-10, TNF-α, and IFN-λ) were selectively investigated. The expression of T-cell immunoglobulin and mucin-domain containing-3 (TIM-3), programmed cell death protein 1 (PD-1) and its ligands, PD-L1 and PD-L2, on T lymphocytes and monocytes, was detected. In results, blood proportion of cytotoxic T cells significantly decreased in BD patients than in either MD patients or HCs. The plasma level of IL-6 increased in patients with BD and MD. The expression of TIM-3 on cytotoxic T cells significantly increased, whereas the expression of PD-L2 on monocytes significantly decreased in patients with BD than in HCs. These findings extended our knowledge of the immune dysfunction in patients with affective disorders.","author":[{"dropping-particle":"","family":"Wu","given":"Wei","non-dropping-particle":"","parse-names":false,"suffix":""},{"dropping-particle":"","family":"Zheng","given":"Ya Li","non-dropping-particle":"","parse-names":false,"suffix":""},{"dropping-particle":"","family":"Tian","given":"Li Ping","non-dropping-particle":"","parse-names":false,"suffix":""},{"dropping-particle":"","family":"Lai","given":"Jian Bo","non-dropping-particle":"","parse-names":false,"suffix":""},{"dropping-particle":"","family":"Hu","given":"Chan Chan","non-dropping-particle":"","parse-names":false,"suffix":""},{"dropping-particle":"","family":"Zhang","given":"Peng","non-dropping-particle":"","parse-names":false,"suffix":""},{"dropping-particle":"","family":"Chen","given":"Jing Kai","non-dropping-particle":"","parse-names":false,"suffix":""},{"dropping-particle":"","family":"Hu","given":"Jian Bo","non-dropping-particle":"","parse-names":false,"suffix":""},{"dropping-particle":"","family":"Huang","given":"Man Li","non-dropping-particle":"","parse-names":false,"suffix":""},{"dropping-particle":"","family":"Wei","given":"Ning","non-dropping-particle":"","parse-names":false,"suffix":""},{"dropping-particle":"","family":"Xu","given":"Wei Juan","non-dropping-particle":"","parse-names":false,"suffix":""},{"dropping-particle":"","family":"Zhou","given":"Wei Hua","non-dropping-particle":"","parse-names":false,"suffix":""},{"dropping-particle":"","family":"Lu","given":"Shao Jia","non-dropping-particle":"","parse-names":false,"suffix":""},{"dropping-particle":"","family":"Lu","given":"Jing","non-dropping-particle":"","parse-names":false,"suffix":""},{"dropping-particle":"","family":"Qi","given":"Hong Li","non-dropping-particle":"","parse-names":false,"suffix":""},{"dropping-particle":"","family":"Wang","given":"Dan Dan","non-dropping-particle":"","parse-names":false,"suffix":""},{"dropping-particle":"","family":"Zhou","given":"Xiao Yi","non-dropping-particle":"","parse-names":false,"suffix":""},{"dropping-particle":"","family":"Duan","given":"Jin Feng","non-dropping-particle":"","parse-names":false,"suffix":""},{"dropping-particle":"","family":"Xu","given":"Yi","non-dropping-particle":"","parse-names":false,"suffix":""},{"dropping-particle":"","family":"Hu","given":"Shao Hua","non-dropping-particle":"","parse-names":false,"suffix":""}],"container-title":"Scientific Reports","id":"ITEM-1","issued":{"date-parts":[["2017","1","11"]]},"publisher":"Nature Publishing Group","title":"Circulating T lymphocyte subsets, cytokines, and immune checkpoint inhibitors in patients with bipolar II or major depression: A preliminary study","type":"article-journal","volume":"7"},"uris":["http://www.mendeley.com/documents/?uuid=11927765-2f11-3773-a7be-cb434ac4ecb2"]}],"mendeley":{"formattedCitation":"(Wu et al., 2017)","plainTextFormattedCitation":"(Wu et al., 2017)","previouslyFormattedCitation":"(Wu et al., 2017)"},"properties":{"noteIndex":0},"schema":"https://github.com/citation-style-language/schema/raw/master/csl-citation.json"}</w:instrText>
            </w:r>
            <w:r w:rsidRPr="004846E4">
              <w:rPr>
                <w:rFonts w:ascii="Times New Roman" w:eastAsia="Times New Roman" w:hAnsi="Times New Roman" w:cs="Times New Roman"/>
                <w:sz w:val="18"/>
                <w:szCs w:val="18"/>
                <w:lang w:eastAsia="it-IT"/>
              </w:rPr>
              <w:fldChar w:fldCharType="separate"/>
            </w:r>
            <w:r w:rsidRPr="009F0DFF">
              <w:rPr>
                <w:rFonts w:ascii="Times New Roman" w:eastAsia="Times New Roman" w:hAnsi="Times New Roman" w:cs="Times New Roman"/>
                <w:noProof/>
                <w:sz w:val="18"/>
                <w:szCs w:val="18"/>
                <w:lang w:eastAsia="it-IT"/>
              </w:rPr>
              <w:t>(Wu et al., 2017)</w:t>
            </w:r>
            <w:r w:rsidRPr="004846E4">
              <w:rPr>
                <w:rFonts w:ascii="Times New Roman" w:eastAsia="Times New Roman" w:hAnsi="Times New Roman" w:cs="Times New Roman"/>
                <w:sz w:val="18"/>
                <w:szCs w:val="18"/>
                <w:lang w:eastAsia="it-IT"/>
              </w:rPr>
              <w:fldChar w:fldCharType="end"/>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CB74E68" w14:textId="77777777" w:rsidR="006F7CF4" w:rsidRPr="009F0DFF" w:rsidRDefault="006F7CF4" w:rsidP="00B77545">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F47DB5A" w14:textId="77777777" w:rsidR="006F7CF4" w:rsidRPr="009F0DFF" w:rsidRDefault="006F7CF4" w:rsidP="00B964B0">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20</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22B6D102" w14:textId="77777777" w:rsidR="006F7CF4" w:rsidRPr="009F0DFF" w:rsidRDefault="006F7CF4" w:rsidP="003B2C53">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IL-6</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A7CEDE0" w14:textId="77777777" w:rsidR="006F7CF4" w:rsidRPr="009F0DFF" w:rsidRDefault="006F7CF4" w:rsidP="003E0F32">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dep</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05BE9467" w14:textId="77777777" w:rsidR="006F7CF4" w:rsidRPr="009F0DFF" w:rsidRDefault="006F7CF4" w:rsidP="008215D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31.61</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B4FE7B7"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35.75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43794F71"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47.83</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1FE9748D" w14:textId="77777777" w:rsidR="006F7CF4" w:rsidRPr="009F0DFF" w:rsidRDefault="006F7CF4" w:rsidP="009F0DFF">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45</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5A28F82C"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untreated</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70C59D9A"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China</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83C132E"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DSM-IV</w:t>
            </w:r>
          </w:p>
        </w:tc>
        <w:tc>
          <w:tcPr>
            <w:tcW w:w="0" w:type="auto"/>
            <w:tcBorders>
              <w:top w:val="nil"/>
              <w:left w:val="nil"/>
              <w:bottom w:val="single" w:sz="4" w:space="0" w:color="auto"/>
              <w:right w:val="single" w:sz="4" w:space="0" w:color="auto"/>
            </w:tcBorders>
            <w:shd w:val="clear" w:color="auto" w:fill="FFFFFF" w:themeFill="background1"/>
            <w:noWrap/>
            <w:vAlign w:val="center"/>
          </w:tcPr>
          <w:p w14:paraId="63B8BDD3" w14:textId="77777777" w:rsidR="006F7CF4" w:rsidRPr="009F0DFF" w:rsidRDefault="006F7CF4" w:rsidP="004846E4">
            <w:pPr>
              <w:jc w:val="center"/>
              <w:rPr>
                <w:rFonts w:ascii="Times New Roman" w:eastAsia="Times New Roman" w:hAnsi="Times New Roman" w:cs="Times New Roman"/>
                <w:sz w:val="18"/>
                <w:szCs w:val="18"/>
                <w:lang w:eastAsia="it-IT"/>
              </w:rPr>
            </w:pPr>
            <w:r w:rsidRPr="009F0DFF">
              <w:rPr>
                <w:rFonts w:ascii="Times New Roman" w:eastAsia="Times New Roman" w:hAnsi="Times New Roman" w:cs="Times New Roman"/>
                <w:sz w:val="18"/>
                <w:szCs w:val="18"/>
                <w:lang w:eastAsia="it-IT"/>
              </w:rPr>
              <w:t>other</w:t>
            </w:r>
          </w:p>
        </w:tc>
      </w:tr>
    </w:tbl>
    <w:p w14:paraId="4A58A628" w14:textId="77777777" w:rsidR="006F7CF4" w:rsidRPr="00610E61" w:rsidRDefault="006F7CF4" w:rsidP="006F7CF4">
      <w:pPr>
        <w:rPr>
          <w:b/>
          <w:bCs/>
        </w:rPr>
      </w:pPr>
    </w:p>
    <w:p w14:paraId="45EB210D" w14:textId="62E907BA" w:rsidR="006F7CF4" w:rsidRPr="007A66C3" w:rsidRDefault="006F7CF4" w:rsidP="006F7CF4">
      <w:r w:rsidRPr="007A66C3">
        <w:t>Legend. BD, bipolar disorder;  CRP, C-reactive protein; DSM, diagnostic and statistical manual; IL, interleukin; TNF, tumor necrosis factor</w:t>
      </w:r>
      <w:r w:rsidR="00184E51">
        <w:t>.</w:t>
      </w:r>
      <w:r w:rsidRPr="007A66C3">
        <w:t xml:space="preserve"> </w:t>
      </w:r>
    </w:p>
    <w:p w14:paraId="685FC55D" w14:textId="77777777" w:rsidR="006F7CF4" w:rsidRPr="00610E61" w:rsidRDefault="006F7CF4" w:rsidP="006F7CF4">
      <w:pPr>
        <w:rPr>
          <w:b/>
          <w:bCs/>
        </w:rPr>
      </w:pPr>
    </w:p>
    <w:p w14:paraId="3D23723A" w14:textId="77777777" w:rsidR="006F7CF4" w:rsidRPr="00610E61" w:rsidRDefault="006F7CF4" w:rsidP="006F7CF4">
      <w:pPr>
        <w:rPr>
          <w:b/>
          <w:bCs/>
        </w:rPr>
      </w:pPr>
    </w:p>
    <w:p w14:paraId="58F0A71A" w14:textId="33B9AD4E" w:rsidR="00D76138" w:rsidRPr="00D76138" w:rsidRDefault="00884683" w:rsidP="00720D4A">
      <w:pPr>
        <w:tabs>
          <w:tab w:val="left" w:pos="2554"/>
        </w:tabs>
        <w:rPr>
          <w:rFonts w:ascii="Calibri" w:eastAsia="Calibri" w:hAnsi="Calibri" w:cs="Times New Roman"/>
          <w:sz w:val="22"/>
          <w:szCs w:val="22"/>
        </w:rPr>
      </w:pPr>
      <w:r w:rsidRPr="00AF5E1D">
        <w:rPr>
          <w:rFonts w:ascii="Times New Roman" w:hAnsi="Times New Roman" w:cs="Times New Roman"/>
          <w:sz w:val="22"/>
          <w:szCs w:val="22"/>
          <w:lang w:val="en-US"/>
        </w:rPr>
        <w:tab/>
      </w:r>
    </w:p>
    <w:p w14:paraId="06971AC1" w14:textId="3B73D1C3" w:rsidR="00D76138" w:rsidRDefault="006F1C5E" w:rsidP="00755272">
      <w:pPr>
        <w:pStyle w:val="Heading1"/>
      </w:pPr>
      <w:r>
        <w:t xml:space="preserve">Supplementary Online </w:t>
      </w:r>
      <w:r w:rsidR="00755272">
        <w:t>Material</w:t>
      </w:r>
    </w:p>
    <w:p w14:paraId="661545C8" w14:textId="77777777" w:rsidR="00892A33" w:rsidRDefault="00892A33" w:rsidP="00D76138">
      <w:pPr>
        <w:spacing w:after="200" w:line="276" w:lineRule="auto"/>
        <w:rPr>
          <w:rFonts w:ascii="Calibri" w:eastAsia="Calibri" w:hAnsi="Calibri" w:cs="Times New Roman"/>
          <w:sz w:val="22"/>
          <w:szCs w:val="22"/>
          <w:lang w:val="en-US"/>
        </w:rPr>
      </w:pPr>
    </w:p>
    <w:p w14:paraId="5922FE9E" w14:textId="77777777" w:rsidR="00892A33" w:rsidRDefault="00892A33" w:rsidP="00D76138">
      <w:pPr>
        <w:spacing w:after="200" w:line="276" w:lineRule="auto"/>
        <w:rPr>
          <w:rFonts w:ascii="Calibri" w:eastAsia="Calibri" w:hAnsi="Calibri" w:cs="Times New Roman"/>
          <w:sz w:val="22"/>
          <w:szCs w:val="22"/>
          <w:lang w:val="en-US"/>
        </w:rPr>
      </w:pPr>
    </w:p>
    <w:p w14:paraId="2E8EE1FE" w14:textId="77777777" w:rsidR="00892A33" w:rsidRDefault="00892A33" w:rsidP="00D76138">
      <w:pPr>
        <w:spacing w:after="200" w:line="276" w:lineRule="auto"/>
        <w:rPr>
          <w:rFonts w:ascii="Calibri" w:eastAsia="Calibri" w:hAnsi="Calibri" w:cs="Times New Roman"/>
          <w:sz w:val="22"/>
          <w:szCs w:val="22"/>
          <w:lang w:val="en-US"/>
        </w:rPr>
      </w:pPr>
    </w:p>
    <w:p w14:paraId="3A80AB02" w14:textId="77777777" w:rsidR="00892A33" w:rsidRDefault="00892A33" w:rsidP="00D76138">
      <w:pPr>
        <w:spacing w:after="200" w:line="276" w:lineRule="auto"/>
        <w:rPr>
          <w:rFonts w:ascii="Calibri" w:eastAsia="Calibri" w:hAnsi="Calibri" w:cs="Times New Roman"/>
          <w:sz w:val="22"/>
          <w:szCs w:val="22"/>
          <w:lang w:val="en-US"/>
        </w:rPr>
      </w:pPr>
    </w:p>
    <w:p w14:paraId="752D4E7B" w14:textId="77777777" w:rsidR="00892A33" w:rsidRDefault="00892A33" w:rsidP="00D76138">
      <w:pPr>
        <w:spacing w:after="200" w:line="276" w:lineRule="auto"/>
        <w:rPr>
          <w:rFonts w:ascii="Calibri" w:eastAsia="Calibri" w:hAnsi="Calibri" w:cs="Times New Roman"/>
          <w:sz w:val="22"/>
          <w:szCs w:val="22"/>
          <w:lang w:val="en-US"/>
        </w:rPr>
      </w:pPr>
    </w:p>
    <w:p w14:paraId="3620CB45" w14:textId="77777777" w:rsidR="00892A33" w:rsidRDefault="00892A33" w:rsidP="00D76138">
      <w:pPr>
        <w:spacing w:after="200" w:line="276" w:lineRule="auto"/>
        <w:rPr>
          <w:rFonts w:ascii="Calibri" w:eastAsia="Calibri" w:hAnsi="Calibri" w:cs="Times New Roman"/>
          <w:sz w:val="22"/>
          <w:szCs w:val="22"/>
          <w:lang w:val="en-US"/>
        </w:rPr>
      </w:pPr>
    </w:p>
    <w:p w14:paraId="2322EA96" w14:textId="77777777" w:rsidR="00892A33" w:rsidRDefault="00892A33" w:rsidP="00D76138">
      <w:pPr>
        <w:spacing w:after="200" w:line="276" w:lineRule="auto"/>
        <w:rPr>
          <w:rFonts w:ascii="Calibri" w:eastAsia="Calibri" w:hAnsi="Calibri" w:cs="Times New Roman"/>
          <w:sz w:val="22"/>
          <w:szCs w:val="22"/>
          <w:lang w:val="en-US"/>
        </w:rPr>
      </w:pPr>
    </w:p>
    <w:p w14:paraId="492C2592" w14:textId="77777777" w:rsidR="00892A33" w:rsidRPr="00892A33" w:rsidRDefault="00892A33" w:rsidP="00892A33">
      <w:pPr>
        <w:spacing w:after="160" w:line="259" w:lineRule="auto"/>
        <w:jc w:val="center"/>
        <w:rPr>
          <w:rFonts w:ascii="Calibri Light" w:eastAsia="Times New Roman" w:hAnsi="Calibri Light" w:cs="Times New Roman"/>
          <w:b/>
          <w:bCs/>
          <w:color w:val="2F5496"/>
          <w:sz w:val="26"/>
          <w:szCs w:val="26"/>
          <w:lang w:val="it-IT"/>
        </w:rPr>
      </w:pPr>
      <w:r w:rsidRPr="00892A33">
        <w:rPr>
          <w:rFonts w:ascii="Calibri" w:eastAsia="Calibri" w:hAnsi="Calibri" w:cs="Times New Roman"/>
          <w:b/>
          <w:bCs/>
          <w:sz w:val="22"/>
          <w:szCs w:val="22"/>
          <w:lang w:val="it-IT"/>
        </w:rPr>
        <w:lastRenderedPageBreak/>
        <w:t>SUPPLEMENTARY ONLINE MATERIAL</w:t>
      </w:r>
      <w:r w:rsidRPr="00892A33">
        <w:rPr>
          <w:rFonts w:ascii="Calibri" w:eastAsia="Calibri" w:hAnsi="Calibri" w:cs="Times New Roman"/>
          <w:b/>
          <w:bCs/>
          <w:sz w:val="22"/>
          <w:szCs w:val="22"/>
          <w:lang w:val="it-IT"/>
        </w:rPr>
        <w:br w:type="page"/>
      </w:r>
      <w:r w:rsidRPr="00892A33">
        <w:rPr>
          <w:rFonts w:ascii="Calibri" w:eastAsia="Calibri" w:hAnsi="Calibri" w:cs="Times New Roman"/>
          <w:b/>
          <w:bCs/>
          <w:sz w:val="22"/>
          <w:szCs w:val="22"/>
        </w:rPr>
        <w:lastRenderedPageBreak/>
        <w:t>eFigure 1- PRISMA flowchart.</w:t>
      </w:r>
    </w:p>
    <w:p w14:paraId="3DAA370B" w14:textId="77777777" w:rsidR="00892A33" w:rsidRPr="00892A33" w:rsidRDefault="00892A33" w:rsidP="00892A33">
      <w:pPr>
        <w:tabs>
          <w:tab w:val="left" w:pos="2554"/>
        </w:tabs>
        <w:rPr>
          <w:rFonts w:ascii="Times New Roman" w:eastAsia="Calibri" w:hAnsi="Times New Roman" w:cs="Times New Roman"/>
          <w:sz w:val="22"/>
          <w:szCs w:val="22"/>
          <w:lang w:val="en-US"/>
        </w:rPr>
      </w:pPr>
    </w:p>
    <w:p w14:paraId="460E7524" w14:textId="10BDEAC7" w:rsidR="00892A33" w:rsidRPr="00892A33" w:rsidRDefault="00755272" w:rsidP="00755272">
      <w:pPr>
        <w:pStyle w:val="Heading1"/>
        <w:rPr>
          <w:lang w:val="en-US"/>
        </w:rPr>
      </w:pPr>
      <w:r w:rsidRPr="00892A33">
        <w:t>eFigure 1- PRISMA flowchart.</w:t>
      </w:r>
    </w:p>
    <w:p w14:paraId="33B0BF3E" w14:textId="77777777" w:rsidR="00892A33" w:rsidRPr="00892A33" w:rsidRDefault="00892A33" w:rsidP="00892A33">
      <w:pPr>
        <w:tabs>
          <w:tab w:val="left" w:pos="2554"/>
        </w:tabs>
        <w:rPr>
          <w:rFonts w:ascii="Times New Roman" w:eastAsia="Calibri" w:hAnsi="Times New Roman" w:cs="Times New Roman"/>
          <w:sz w:val="22"/>
          <w:szCs w:val="22"/>
          <w:lang w:val="en-US"/>
        </w:rPr>
      </w:pPr>
    </w:p>
    <w:p w14:paraId="1EA58D36" w14:textId="77777777" w:rsidR="00892A33" w:rsidRPr="00892A33" w:rsidRDefault="00892A33" w:rsidP="00892A33">
      <w:pPr>
        <w:tabs>
          <w:tab w:val="left" w:pos="2554"/>
        </w:tabs>
        <w:rPr>
          <w:rFonts w:ascii="Times New Roman" w:eastAsia="Calibri" w:hAnsi="Times New Roman" w:cs="Times New Roman"/>
          <w:sz w:val="22"/>
          <w:szCs w:val="22"/>
          <w:lang w:val="en-US"/>
        </w:rPr>
      </w:pPr>
    </w:p>
    <w:p w14:paraId="5027025E" w14:textId="77777777" w:rsidR="00892A33" w:rsidRPr="00892A33" w:rsidRDefault="00892A33" w:rsidP="00892A33">
      <w:pPr>
        <w:spacing w:after="200" w:line="276" w:lineRule="auto"/>
        <w:rPr>
          <w:rFonts w:ascii="Calibri" w:eastAsia="Calibri" w:hAnsi="Calibri" w:cs="Times New Roman"/>
          <w:b/>
          <w:sz w:val="22"/>
          <w:szCs w:val="22"/>
          <w:lang w:val="en-US"/>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0288" behindDoc="0" locked="0" layoutInCell="1" allowOverlap="1" wp14:anchorId="4D35341A" wp14:editId="1A25A185">
                <wp:simplePos x="0" y="0"/>
                <wp:positionH relativeFrom="column">
                  <wp:posOffset>342900</wp:posOffset>
                </wp:positionH>
                <wp:positionV relativeFrom="paragraph">
                  <wp:posOffset>358775</wp:posOffset>
                </wp:positionV>
                <wp:extent cx="2228850" cy="823595"/>
                <wp:effectExtent l="0" t="0" r="19050" b="14605"/>
                <wp:wrapNone/>
                <wp:docPr id="57" name="Rettangolo 57" descr="P1493TB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823595"/>
                        </a:xfrm>
                        <a:prstGeom prst="rect">
                          <a:avLst/>
                        </a:prstGeom>
                        <a:solidFill>
                          <a:srgbClr val="FFFFFF"/>
                        </a:solidFill>
                        <a:ln w="9525">
                          <a:solidFill>
                            <a:srgbClr val="000000"/>
                          </a:solidFill>
                          <a:miter lim="800000"/>
                          <a:headEnd/>
                          <a:tailEnd/>
                        </a:ln>
                      </wps:spPr>
                      <wps:txbx>
                        <w:txbxContent>
                          <w:p w14:paraId="1D4E460F" w14:textId="77777777" w:rsidR="00892A33" w:rsidRPr="00EF2D1B" w:rsidRDefault="00892A33" w:rsidP="00892A33">
                            <w:pPr>
                              <w:jc w:val="center"/>
                            </w:pPr>
                            <w:r w:rsidRPr="00EF2D1B">
                              <w:rPr>
                                <w:lang w:val="en-US"/>
                              </w:rPr>
                              <w:t>Records identified t</w:t>
                            </w:r>
                            <w:r>
                              <w:rPr>
                                <w:lang w:val="en-US"/>
                              </w:rPr>
                              <w:t>hrough database searching</w:t>
                            </w:r>
                            <w:r>
                              <w:rPr>
                                <w:lang w:val="en-US"/>
                              </w:rPr>
                              <w:br/>
                              <w:t>(n = 724</w:t>
                            </w:r>
                            <w:r w:rsidRPr="00EF2D1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35341A" id="Rettangolo 57" o:spid="_x0000_s1026" alt="&quot;&quot;" style="position:absolute;margin-left:27pt;margin-top:28.25pt;width:175.5pt;height:64.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">
                <v:textbox inset=",7.2pt,,7.2pt">
                  <w:txbxContent>
                    <w:p w14:paraId="1D4E460F" w14:textId="77777777" w:rsidR="00892A33" w:rsidRPr="00EF2D1B" w:rsidRDefault="00892A33" w:rsidP="00892A33">
                      <w:pPr>
                        <w:jc w:val="center"/>
                      </w:pPr>
                      <w:r w:rsidRPr="00EF2D1B">
                        <w:rPr>
                          <w:lang w:val="en-US"/>
                        </w:rPr>
                        <w:t>Records identified t</w:t>
                      </w:r>
                      <w:r>
                        <w:rPr>
                          <w:lang w:val="en-US"/>
                        </w:rPr>
                        <w:t>hrough database searching</w:t>
                      </w:r>
                      <w:r>
                        <w:rPr>
                          <w:lang w:val="en-US"/>
                        </w:rPr>
                        <w:br/>
                        <w:t>(n = 724</w:t>
                      </w:r>
                      <w:r w:rsidRPr="00EF2D1B">
                        <w:rPr>
                          <w:lang w:val="en-US"/>
                        </w:rPr>
                        <w:t>)</w:t>
                      </w:r>
                    </w:p>
                  </w:txbxContent>
                </v:textbox>
              </v:rect>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1312" behindDoc="0" locked="0" layoutInCell="1" allowOverlap="1" wp14:anchorId="1F51F1F4" wp14:editId="30B21EF1">
                <wp:simplePos x="0" y="0"/>
                <wp:positionH relativeFrom="column">
                  <wp:posOffset>2914650</wp:posOffset>
                </wp:positionH>
                <wp:positionV relativeFrom="paragraph">
                  <wp:posOffset>358775</wp:posOffset>
                </wp:positionV>
                <wp:extent cx="2228850" cy="826770"/>
                <wp:effectExtent l="0" t="0" r="19050" b="11430"/>
                <wp:wrapNone/>
                <wp:docPr id="56" name="Rettangolo 56" descr="P1493TB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826770"/>
                        </a:xfrm>
                        <a:prstGeom prst="rect">
                          <a:avLst/>
                        </a:prstGeom>
                        <a:solidFill>
                          <a:srgbClr val="FFFFFF"/>
                        </a:solidFill>
                        <a:ln w="9525">
                          <a:solidFill>
                            <a:srgbClr val="000000"/>
                          </a:solidFill>
                          <a:miter lim="800000"/>
                          <a:headEnd/>
                          <a:tailEnd/>
                        </a:ln>
                      </wps:spPr>
                      <wps:txbx>
                        <w:txbxContent>
                          <w:p w14:paraId="2FBE1DFA" w14:textId="77777777" w:rsidR="00892A33" w:rsidRPr="00B050FB" w:rsidRDefault="00892A33" w:rsidP="00892A33">
                            <w:pPr>
                              <w:jc w:val="center"/>
                            </w:pPr>
                            <w:r w:rsidRPr="00B050FB">
                              <w:rPr>
                                <w:lang w:val="en-US"/>
                              </w:rPr>
                              <w:t xml:space="preserve">Additional records identified through other </w:t>
                            </w:r>
                            <w:r>
                              <w:rPr>
                                <w:lang w:val="en-US"/>
                              </w:rPr>
                              <w:t>sources</w:t>
                            </w:r>
                            <w:r>
                              <w:rPr>
                                <w:lang w:val="en-US"/>
                              </w:rPr>
                              <w:br/>
                              <w:t>(n =5</w:t>
                            </w:r>
                            <w:r w:rsidRPr="00B050F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1F1F4" id="Rettangolo 56" o:spid="_x0000_s1027" alt="&quot;&quot;" style="position:absolute;margin-left:229.5pt;margin-top:28.25pt;width:175.5pt;height:6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">
                <v:textbox inset=",7.2pt,,7.2pt">
                  <w:txbxContent>
                    <w:p w14:paraId="2FBE1DFA" w14:textId="77777777" w:rsidR="00892A33" w:rsidRPr="00B050FB" w:rsidRDefault="00892A33" w:rsidP="00892A33">
                      <w:pPr>
                        <w:jc w:val="center"/>
                      </w:pPr>
                      <w:r w:rsidRPr="00B050FB">
                        <w:rPr>
                          <w:lang w:val="en-US"/>
                        </w:rPr>
                        <w:t xml:space="preserve">Additional records identified through other </w:t>
                      </w:r>
                      <w:r>
                        <w:rPr>
                          <w:lang w:val="en-US"/>
                        </w:rPr>
                        <w:t>sources</w:t>
                      </w:r>
                      <w:r>
                        <w:rPr>
                          <w:lang w:val="en-US"/>
                        </w:rPr>
                        <w:br/>
                        <w:t>(n =5</w:t>
                      </w:r>
                      <w:r w:rsidRPr="00B050FB">
                        <w:rPr>
                          <w:lang w:val="en-US"/>
                        </w:rPr>
                        <w:t>)</w:t>
                      </w:r>
                    </w:p>
                  </w:txbxContent>
                </v:textbox>
              </v:rect>
            </w:pict>
          </mc:Fallback>
        </mc:AlternateContent>
      </w:r>
    </w:p>
    <w:p w14:paraId="0392C15E" w14:textId="77777777" w:rsidR="00892A33" w:rsidRPr="00892A33" w:rsidRDefault="00892A33" w:rsidP="00892A33">
      <w:pPr>
        <w:spacing w:line="480" w:lineRule="auto"/>
        <w:rPr>
          <w:rFonts w:ascii="Calibri" w:eastAsia="Calibri" w:hAnsi="Calibri" w:cs="Times New Roman"/>
          <w:b/>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59264" behindDoc="0" locked="0" layoutInCell="1" allowOverlap="1" wp14:anchorId="3129FF62" wp14:editId="3C59E329">
                <wp:simplePos x="0" y="0"/>
                <wp:positionH relativeFrom="column">
                  <wp:posOffset>-861695</wp:posOffset>
                </wp:positionH>
                <wp:positionV relativeFrom="paragraph">
                  <wp:posOffset>206375</wp:posOffset>
                </wp:positionV>
                <wp:extent cx="1371600" cy="353060"/>
                <wp:effectExtent l="0" t="5080" r="13970" b="13970"/>
                <wp:wrapNone/>
                <wp:docPr id="58" name="Rettangolo con angoli arrotondati 58" descr="P1494TB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353060"/>
                        </a:xfrm>
                        <a:prstGeom prst="roundRect">
                          <a:avLst>
                            <a:gd name="adj" fmla="val 16667"/>
                          </a:avLst>
                        </a:prstGeom>
                        <a:solidFill>
                          <a:srgbClr val="CCECFF"/>
                        </a:solidFill>
                        <a:ln w="9525">
                          <a:solidFill>
                            <a:srgbClr val="000000"/>
                          </a:solidFill>
                          <a:round/>
                          <a:headEnd/>
                          <a:tailEnd/>
                        </a:ln>
                      </wps:spPr>
                      <wps:txbx>
                        <w:txbxContent>
                          <w:p w14:paraId="6A82ED89" w14:textId="77777777" w:rsidR="00892A33" w:rsidRPr="005E1F46" w:rsidRDefault="00892A33" w:rsidP="00892A33">
                            <w:pPr>
                              <w:pStyle w:val="Ttulo21"/>
                              <w:spacing w:before="0"/>
                              <w:jc w:val="center"/>
                              <w:rPr>
                                <w:rFonts w:ascii="Times New Roman" w:hAnsi="Times New Roman"/>
                                <w:color w:val="auto"/>
                                <w:sz w:val="22"/>
                                <w:szCs w:val="22"/>
                              </w:rPr>
                            </w:pPr>
                            <w:r w:rsidRPr="005E1F46">
                              <w:rPr>
                                <w:rFonts w:ascii="Times New Roman" w:hAnsi="Times New Roman"/>
                                <w:color w:val="auto"/>
                                <w:sz w:val="22"/>
                                <w:szCs w:val="22"/>
                              </w:rPr>
                              <w:t>Identification</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129FF62" id="Rettangolo con angoli arrotondati 58" o:spid="_x0000_s1028" alt="&quot;&quot;" style="position:absolute;margin-left:-67.85pt;margin-top:16.25pt;width:108pt;height:27.8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" fillcolor="#ccecff">
                <v:textbox style="layout-flow:vertical;mso-layout-flow-alt:bottom-to-top" inset="3.6pt,,3.6pt">
                  <w:txbxContent>
                    <w:p w14:paraId="6A82ED89" w14:textId="77777777" w:rsidR="00892A33" w:rsidRPr="005E1F46" w:rsidRDefault="00892A33" w:rsidP="00892A33">
                      <w:pPr>
                        <w:pStyle w:val="Ttulo21"/>
                        <w:spacing w:before="0"/>
                        <w:jc w:val="center"/>
                        <w:rPr>
                          <w:rFonts w:ascii="Times New Roman" w:hAnsi="Times New Roman"/>
                          <w:color w:val="auto"/>
                          <w:sz w:val="22"/>
                          <w:szCs w:val="22"/>
                        </w:rPr>
                      </w:pPr>
                      <w:r w:rsidRPr="005E1F46">
                        <w:rPr>
                          <w:rFonts w:ascii="Times New Roman" w:hAnsi="Times New Roman"/>
                          <w:color w:val="auto"/>
                          <w:sz w:val="22"/>
                          <w:szCs w:val="22"/>
                        </w:rPr>
                        <w:t>Identification</w:t>
                      </w:r>
                    </w:p>
                  </w:txbxContent>
                </v:textbox>
              </v:roundrect>
            </w:pict>
          </mc:Fallback>
        </mc:AlternateContent>
      </w:r>
    </w:p>
    <w:p w14:paraId="3010F83C" w14:textId="77777777" w:rsidR="00892A33" w:rsidRPr="00892A33" w:rsidRDefault="00892A33" w:rsidP="00892A33">
      <w:pPr>
        <w:spacing w:after="200" w:line="276" w:lineRule="auto"/>
        <w:rPr>
          <w:rFonts w:ascii="Calibri" w:eastAsia="Calibri" w:hAnsi="Calibri" w:cs="Times New Roman"/>
          <w:sz w:val="22"/>
          <w:szCs w:val="22"/>
        </w:rPr>
      </w:pPr>
    </w:p>
    <w:p w14:paraId="160FDB68"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36576" distB="36576" distL="36575" distR="36575" simplePos="0" relativeHeight="251665408" behindDoc="0" locked="0" layoutInCell="1" allowOverlap="1" wp14:anchorId="63C55E58" wp14:editId="3CEE5563">
                <wp:simplePos x="0" y="0"/>
                <wp:positionH relativeFrom="column">
                  <wp:posOffset>3966209</wp:posOffset>
                </wp:positionH>
                <wp:positionV relativeFrom="paragraph">
                  <wp:posOffset>194945</wp:posOffset>
                </wp:positionV>
                <wp:extent cx="0" cy="457200"/>
                <wp:effectExtent l="76200" t="0" r="57150" b="57150"/>
                <wp:wrapNone/>
                <wp:docPr id="52" name="Connettore 2 52" descr="P149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7595189" id="_x0000_t32" coordsize="21600,21600" o:spt="32" o:oned="t" path="m,l21600,21600e" filled="f">
                <v:path arrowok="t" fillok="f" o:connecttype="none"/>
                <o:lock v:ext="edit" shapetype="t"/>
              </v:shapetype>
              <v:shape id="Connettore 2 52" o:spid="_x0000_s1026" type="#_x0000_t32" alt="&quot;&quot;" style="position:absolute;margin-left:312.3pt;margin-top:15.35pt;width:0;height:36pt;z-index:251665408;visibility:visible;mso-wrap-style:square;mso-width-percent:0;mso-height-percent:0;mso-wrap-distance-left:1.016mm;mso-wrap-distance-top:2.88pt;mso-wrap-distance-right:1.016mm;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">
                <v:stroke endarrow="block"/>
                <v:shadow color="#ccc"/>
              </v:shape>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36576" distB="36576" distL="36575" distR="36575" simplePos="0" relativeHeight="251666432" behindDoc="0" locked="0" layoutInCell="1" allowOverlap="1" wp14:anchorId="049AED18" wp14:editId="1E4E953A">
                <wp:simplePos x="0" y="0"/>
                <wp:positionH relativeFrom="column">
                  <wp:posOffset>1537334</wp:posOffset>
                </wp:positionH>
                <wp:positionV relativeFrom="paragraph">
                  <wp:posOffset>194945</wp:posOffset>
                </wp:positionV>
                <wp:extent cx="0" cy="457200"/>
                <wp:effectExtent l="76200" t="0" r="57150" b="57150"/>
                <wp:wrapNone/>
                <wp:docPr id="51" name="Connettore 2 51" descr="P1496#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FB8400B" id="Connettore 2 51" o:spid="_x0000_s1026" type="#_x0000_t32" alt="&quot;&quot;" style="position:absolute;margin-left:121.05pt;margin-top:15.35pt;width:0;height:36pt;z-index:251666432;visibility:visible;mso-wrap-style:square;mso-width-percent:0;mso-height-percent:0;mso-wrap-distance-left:1.016mm;mso-wrap-distance-top:2.88pt;mso-wrap-distance-right:1.016mm;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">
                <v:stroke endarrow="block"/>
                <v:shadow color="#ccc"/>
              </v:shape>
            </w:pict>
          </mc:Fallback>
        </mc:AlternateContent>
      </w:r>
    </w:p>
    <w:p w14:paraId="7960F4CD" w14:textId="77777777" w:rsidR="00892A33" w:rsidRPr="00892A33" w:rsidRDefault="00892A33" w:rsidP="00892A33">
      <w:pPr>
        <w:spacing w:after="200" w:line="276" w:lineRule="auto"/>
        <w:rPr>
          <w:rFonts w:ascii="Calibri" w:eastAsia="Calibri" w:hAnsi="Calibri" w:cs="Times New Roman"/>
          <w:sz w:val="22"/>
          <w:szCs w:val="22"/>
        </w:rPr>
      </w:pPr>
    </w:p>
    <w:p w14:paraId="179C5C61"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7456" behindDoc="0" locked="0" layoutInCell="1" allowOverlap="1" wp14:anchorId="2A0521F2" wp14:editId="5F6C6D0A">
                <wp:simplePos x="0" y="0"/>
                <wp:positionH relativeFrom="column">
                  <wp:posOffset>1356995</wp:posOffset>
                </wp:positionH>
                <wp:positionV relativeFrom="paragraph">
                  <wp:posOffset>5715</wp:posOffset>
                </wp:positionV>
                <wp:extent cx="2771775" cy="571500"/>
                <wp:effectExtent l="0" t="0" r="28575" b="19050"/>
                <wp:wrapNone/>
                <wp:docPr id="50" name="Rettangolo 50" descr="P1498TB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571500"/>
                        </a:xfrm>
                        <a:prstGeom prst="rect">
                          <a:avLst/>
                        </a:prstGeom>
                        <a:solidFill>
                          <a:srgbClr val="FFFFFF"/>
                        </a:solidFill>
                        <a:ln w="9525">
                          <a:solidFill>
                            <a:srgbClr val="000000"/>
                          </a:solidFill>
                          <a:miter lim="800000"/>
                          <a:headEnd/>
                          <a:tailEnd/>
                        </a:ln>
                      </wps:spPr>
                      <wps:txbx>
                        <w:txbxContent>
                          <w:p w14:paraId="0BB3D334" w14:textId="77777777" w:rsidR="00892A33" w:rsidRPr="00B050FB" w:rsidRDefault="00892A33" w:rsidP="00892A33">
                            <w:pPr>
                              <w:jc w:val="center"/>
                            </w:pPr>
                            <w:r w:rsidRPr="00B050FB">
                              <w:rPr>
                                <w:lang w:val="en-US"/>
                              </w:rPr>
                              <w:t>Records after duplicates removed</w:t>
                            </w:r>
                            <w:r w:rsidRPr="00B050FB">
                              <w:rPr>
                                <w:lang w:val="en-US"/>
                              </w:rPr>
                              <w:br/>
                              <w:t>(n =</w:t>
                            </w:r>
                            <w:r>
                              <w:rPr>
                                <w:lang w:val="en-US"/>
                              </w:rPr>
                              <w:t>729</w:t>
                            </w:r>
                            <w:r w:rsidRPr="00B050F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21F2" id="Rettangolo 50" o:spid="_x0000_s1029" alt="&quot;&quot;" style="position:absolute;margin-left:106.85pt;margin-top:.45pt;width:218.25pt;height: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">
                <v:textbox inset=",7.2pt,,7.2pt">
                  <w:txbxContent>
                    <w:p w14:paraId="0BB3D334" w14:textId="77777777" w:rsidR="00892A33" w:rsidRPr="00B050FB" w:rsidRDefault="00892A33" w:rsidP="00892A33">
                      <w:pPr>
                        <w:jc w:val="center"/>
                      </w:pPr>
                      <w:r w:rsidRPr="00B050FB">
                        <w:rPr>
                          <w:lang w:val="en-US"/>
                        </w:rPr>
                        <w:t>Records after duplicates removed</w:t>
                      </w:r>
                      <w:r w:rsidRPr="00B050FB">
                        <w:rPr>
                          <w:lang w:val="en-US"/>
                        </w:rPr>
                        <w:br/>
                        <w:t>(n =</w:t>
                      </w:r>
                      <w:r>
                        <w:rPr>
                          <w:lang w:val="en-US"/>
                        </w:rPr>
                        <w:t>729</w:t>
                      </w:r>
                      <w:r w:rsidRPr="00B050FB">
                        <w:rPr>
                          <w:lang w:val="en-US"/>
                        </w:rPr>
                        <w:t>)</w:t>
                      </w:r>
                    </w:p>
                  </w:txbxContent>
                </v:textbox>
              </v:rect>
            </w:pict>
          </mc:Fallback>
        </mc:AlternateContent>
      </w:r>
    </w:p>
    <w:p w14:paraId="6490AB1C"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36576" distB="36576" distL="36575" distR="36575" simplePos="0" relativeHeight="251668480" behindDoc="0" locked="0" layoutInCell="1" allowOverlap="1" wp14:anchorId="29C211AC" wp14:editId="47BF98E1">
                <wp:simplePos x="0" y="0"/>
                <wp:positionH relativeFrom="column">
                  <wp:posOffset>2743834</wp:posOffset>
                </wp:positionH>
                <wp:positionV relativeFrom="paragraph">
                  <wp:posOffset>254635</wp:posOffset>
                </wp:positionV>
                <wp:extent cx="0" cy="457200"/>
                <wp:effectExtent l="76200" t="0" r="57150" b="57150"/>
                <wp:wrapNone/>
                <wp:docPr id="49" name="Connettore 2 49" descr="P149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56FBD80" id="Connettore 2 49" o:spid="_x0000_s1026" type="#_x0000_t32" alt="&quot;&quot;" style="position:absolute;margin-left:216.05pt;margin-top:20.05pt;width:0;height:36pt;z-index:251668480;visibility:visible;mso-wrap-style:square;mso-width-percent:0;mso-height-percent:0;mso-wrap-distance-left:1.016mm;mso-wrap-distance-top:2.88pt;mso-wrap-distance-right:1.016mm;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">
                <v:stroke endarrow="block"/>
                <v:shadow color="#ccc"/>
              </v:shape>
            </w:pict>
          </mc:Fallback>
        </mc:AlternateContent>
      </w:r>
    </w:p>
    <w:p w14:paraId="1D014204"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4384" behindDoc="0" locked="0" layoutInCell="1" allowOverlap="1" wp14:anchorId="6DD1743E" wp14:editId="5DA00DF8">
                <wp:simplePos x="0" y="0"/>
                <wp:positionH relativeFrom="column">
                  <wp:posOffset>-866775</wp:posOffset>
                </wp:positionH>
                <wp:positionV relativeFrom="paragraph">
                  <wp:posOffset>248285</wp:posOffset>
                </wp:positionV>
                <wp:extent cx="1371600" cy="354330"/>
                <wp:effectExtent l="0" t="5715" r="13335" b="13335"/>
                <wp:wrapNone/>
                <wp:docPr id="53" name="Rettangolo con angoli arrotondati 53" descr="P1500TB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354330"/>
                        </a:xfrm>
                        <a:prstGeom prst="roundRect">
                          <a:avLst>
                            <a:gd name="adj" fmla="val 16667"/>
                          </a:avLst>
                        </a:prstGeom>
                        <a:solidFill>
                          <a:srgbClr val="CCECFF"/>
                        </a:solidFill>
                        <a:ln w="9525">
                          <a:solidFill>
                            <a:srgbClr val="000000"/>
                          </a:solidFill>
                          <a:round/>
                          <a:headEnd/>
                          <a:tailEnd/>
                        </a:ln>
                      </wps:spPr>
                      <wps:txbx>
                        <w:txbxContent>
                          <w:p w14:paraId="5D2F8DB2" w14:textId="77777777" w:rsidR="00892A33" w:rsidRPr="00BB38E7" w:rsidRDefault="00892A33" w:rsidP="00892A33">
                            <w:pPr>
                              <w:pStyle w:val="Ttulo21"/>
                              <w:spacing w:before="0"/>
                              <w:jc w:val="center"/>
                              <w:rPr>
                                <w:rFonts w:ascii="Calibri" w:hAnsi="Calibri"/>
                                <w:color w:val="auto"/>
                                <w:sz w:val="22"/>
                                <w:szCs w:val="22"/>
                              </w:rPr>
                            </w:pPr>
                            <w:r w:rsidRPr="00BB38E7">
                              <w:rPr>
                                <w:rFonts w:ascii="Calibri" w:hAnsi="Calibri"/>
                                <w:color w:val="auto"/>
                                <w:sz w:val="22"/>
                                <w:szCs w:val="22"/>
                              </w:rPr>
                              <w:t>Screening</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D1743E" id="Rettangolo con angoli arrotondati 53" o:spid="_x0000_s1030" alt="&quot;&quot;" style="position:absolute;margin-left:-68.25pt;margin-top:19.55pt;width:108pt;height:27.9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" fillcolor="#ccecff">
                <v:textbox style="layout-flow:vertical;mso-layout-flow-alt:bottom-to-top" inset="3.6pt,,3.6pt">
                  <w:txbxContent>
                    <w:p w14:paraId="5D2F8DB2" w14:textId="77777777" w:rsidR="00892A33" w:rsidRPr="00BB38E7" w:rsidRDefault="00892A33" w:rsidP="00892A33">
                      <w:pPr>
                        <w:pStyle w:val="Ttulo21"/>
                        <w:spacing w:before="0"/>
                        <w:jc w:val="center"/>
                        <w:rPr>
                          <w:rFonts w:ascii="Calibri" w:hAnsi="Calibri"/>
                          <w:color w:val="auto"/>
                          <w:sz w:val="22"/>
                          <w:szCs w:val="22"/>
                        </w:rPr>
                      </w:pPr>
                      <w:r w:rsidRPr="00BB38E7">
                        <w:rPr>
                          <w:rFonts w:ascii="Calibri" w:hAnsi="Calibri"/>
                          <w:color w:val="auto"/>
                          <w:sz w:val="22"/>
                          <w:szCs w:val="22"/>
                        </w:rPr>
                        <w:t>Screening</w:t>
                      </w:r>
                    </w:p>
                  </w:txbxContent>
                </v:textbox>
              </v:roundrect>
            </w:pict>
          </mc:Fallback>
        </mc:AlternateContent>
      </w:r>
    </w:p>
    <w:p w14:paraId="544E5C0F"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9504" behindDoc="0" locked="0" layoutInCell="1" allowOverlap="1" wp14:anchorId="2783FC45" wp14:editId="6044CE2A">
                <wp:simplePos x="0" y="0"/>
                <wp:positionH relativeFrom="column">
                  <wp:posOffset>4230094</wp:posOffset>
                </wp:positionH>
                <wp:positionV relativeFrom="paragraph">
                  <wp:posOffset>10988</wp:posOffset>
                </wp:positionV>
                <wp:extent cx="2107096" cy="571500"/>
                <wp:effectExtent l="0" t="0" r="26670" b="19050"/>
                <wp:wrapNone/>
                <wp:docPr id="48" name="Rettangolo 48" descr="P1501TB1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7096" cy="571500"/>
                        </a:xfrm>
                        <a:prstGeom prst="rect">
                          <a:avLst/>
                        </a:prstGeom>
                        <a:solidFill>
                          <a:srgbClr val="FFFFFF"/>
                        </a:solidFill>
                        <a:ln w="9525">
                          <a:solidFill>
                            <a:srgbClr val="000000"/>
                          </a:solidFill>
                          <a:miter lim="800000"/>
                          <a:headEnd/>
                          <a:tailEnd/>
                        </a:ln>
                      </wps:spPr>
                      <wps:txbx>
                        <w:txbxContent>
                          <w:p w14:paraId="531E57E0" w14:textId="77777777" w:rsidR="00892A33" w:rsidRPr="00B050FB" w:rsidRDefault="00892A33" w:rsidP="00892A33">
                            <w:pPr>
                              <w:jc w:val="center"/>
                            </w:pPr>
                            <w:r w:rsidRPr="00B050FB">
                              <w:t>Records excluded</w:t>
                            </w:r>
                            <w:r w:rsidRPr="00B050FB">
                              <w:br/>
                              <w:t>(n=</w:t>
                            </w:r>
                            <w:r>
                              <w:t>604</w:t>
                            </w:r>
                            <w:r w:rsidRPr="00B050FB">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3FC45" id="Rettangolo 48" o:spid="_x0000_s1031" alt="&quot;&quot;" style="position:absolute;margin-left:333.1pt;margin-top:.85pt;width:165.9pt;height: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">
                <v:textbox inset=",7.2pt,,7.2pt">
                  <w:txbxContent>
                    <w:p w14:paraId="531E57E0" w14:textId="77777777" w:rsidR="00892A33" w:rsidRPr="00B050FB" w:rsidRDefault="00892A33" w:rsidP="00892A33">
                      <w:pPr>
                        <w:jc w:val="center"/>
                      </w:pPr>
                      <w:r w:rsidRPr="00B050FB">
                        <w:t>Records excluded</w:t>
                      </w:r>
                      <w:r w:rsidRPr="00B050FB">
                        <w:br/>
                        <w:t>(n=</w:t>
                      </w:r>
                      <w:r>
                        <w:t>604</w:t>
                      </w:r>
                      <w:r w:rsidRPr="00B050FB">
                        <w:t>)</w:t>
                      </w:r>
                    </w:p>
                  </w:txbxContent>
                </v:textbox>
              </v:rect>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36575" distB="36575" distL="36576" distR="36576" simplePos="0" relativeHeight="251670528" behindDoc="0" locked="0" layoutInCell="1" allowOverlap="1" wp14:anchorId="5CF35E46" wp14:editId="1C58BC2B">
                <wp:simplePos x="0" y="0"/>
                <wp:positionH relativeFrom="column">
                  <wp:posOffset>3578225</wp:posOffset>
                </wp:positionH>
                <wp:positionV relativeFrom="paragraph">
                  <wp:posOffset>307974</wp:posOffset>
                </wp:positionV>
                <wp:extent cx="650875" cy="0"/>
                <wp:effectExtent l="0" t="76200" r="15875" b="95250"/>
                <wp:wrapNone/>
                <wp:docPr id="47" name="Connettore 2 47" descr="P150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875"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EACC592" id="Connettore 2 47" o:spid="_x0000_s1026" type="#_x0000_t32" alt="&quot;&quot;" style="position:absolute;margin-left:281.75pt;margin-top:24.25pt;width:51.25pt;height:0;z-index:251670528;visibility:visible;mso-wrap-style:square;mso-width-percent:0;mso-height-percent:0;mso-wrap-distance-left:2.88pt;mso-wrap-distance-top:1.016mm;mso-wrap-distance-right:2.88pt;mso-wrap-distance-bottom:1.016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">
                <v:stroke endarrow="block"/>
                <v:shadow color="#ccc"/>
              </v:shape>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71552" behindDoc="0" locked="0" layoutInCell="1" allowOverlap="1" wp14:anchorId="35EA8FBA" wp14:editId="4AA610C0">
                <wp:simplePos x="0" y="0"/>
                <wp:positionH relativeFrom="column">
                  <wp:posOffset>1908175</wp:posOffset>
                </wp:positionH>
                <wp:positionV relativeFrom="paragraph">
                  <wp:posOffset>65405</wp:posOffset>
                </wp:positionV>
                <wp:extent cx="1670050" cy="571500"/>
                <wp:effectExtent l="0" t="0" r="25400" b="19050"/>
                <wp:wrapNone/>
                <wp:docPr id="46" name="Rettangolo 46" descr="P1501TB1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0050" cy="571500"/>
                        </a:xfrm>
                        <a:prstGeom prst="rect">
                          <a:avLst/>
                        </a:prstGeom>
                        <a:solidFill>
                          <a:srgbClr val="FFFFFF"/>
                        </a:solidFill>
                        <a:ln w="9525">
                          <a:solidFill>
                            <a:srgbClr val="000000"/>
                          </a:solidFill>
                          <a:miter lim="800000"/>
                          <a:headEnd/>
                          <a:tailEnd/>
                        </a:ln>
                      </wps:spPr>
                      <wps:txbx>
                        <w:txbxContent>
                          <w:p w14:paraId="6F600EFB" w14:textId="77777777" w:rsidR="00892A33" w:rsidRDefault="00892A33" w:rsidP="00892A33">
                            <w:pPr>
                              <w:jc w:val="center"/>
                            </w:pPr>
                            <w:r w:rsidRPr="00B050FB">
                              <w:t>Records screened</w:t>
                            </w:r>
                            <w:r w:rsidRPr="00B050FB">
                              <w:br/>
                            </w:r>
                            <w:r>
                              <w:t>(n=729)</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A8FBA" id="Rettangolo 46" o:spid="_x0000_s1032" alt="&quot;&quot;" style="position:absolute;margin-left:150.25pt;margin-top:5.15pt;width:131.5pt;height: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">
                <v:textbox inset=",7.2pt,,7.2pt">
                  <w:txbxContent>
                    <w:p w14:paraId="6F600EFB" w14:textId="77777777" w:rsidR="00892A33" w:rsidRDefault="00892A33" w:rsidP="00892A33">
                      <w:pPr>
                        <w:jc w:val="center"/>
                      </w:pPr>
                      <w:r w:rsidRPr="00B050FB">
                        <w:t>Records screened</w:t>
                      </w:r>
                      <w:r w:rsidRPr="00B050FB">
                        <w:br/>
                      </w:r>
                      <w:r>
                        <w:t>(n=729)</w:t>
                      </w:r>
                    </w:p>
                  </w:txbxContent>
                </v:textbox>
              </v:rect>
            </w:pict>
          </mc:Fallback>
        </mc:AlternateContent>
      </w:r>
    </w:p>
    <w:p w14:paraId="5D2E85A9"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36576" distB="36576" distL="36575" distR="36575" simplePos="0" relativeHeight="251672576" behindDoc="0" locked="0" layoutInCell="1" allowOverlap="1" wp14:anchorId="3499DB26" wp14:editId="13377B97">
                <wp:simplePos x="0" y="0"/>
                <wp:positionH relativeFrom="column">
                  <wp:posOffset>2743834</wp:posOffset>
                </wp:positionH>
                <wp:positionV relativeFrom="paragraph">
                  <wp:posOffset>313690</wp:posOffset>
                </wp:positionV>
                <wp:extent cx="0" cy="342900"/>
                <wp:effectExtent l="76200" t="0" r="76200" b="57150"/>
                <wp:wrapNone/>
                <wp:docPr id="45" name="Connettore 2 45" descr="P150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1A364CA" id="Connettore 2 45" o:spid="_x0000_s1026" type="#_x0000_t32" alt="&quot;&quot;" style="position:absolute;margin-left:216.05pt;margin-top:24.7pt;width:0;height:27pt;z-index:251672576;visibility:visible;mso-wrap-style:square;mso-width-percent:0;mso-height-percent:0;mso-wrap-distance-left:1.016mm;mso-wrap-distance-top:2.88pt;mso-wrap-distance-right:1.016mm;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">
                <v:stroke endarrow="block"/>
                <v:shadow color="#ccc"/>
              </v:shape>
            </w:pict>
          </mc:Fallback>
        </mc:AlternateContent>
      </w:r>
    </w:p>
    <w:p w14:paraId="5CCA98E8" w14:textId="77777777" w:rsidR="00892A33" w:rsidRPr="00892A33" w:rsidRDefault="00892A33" w:rsidP="00892A33">
      <w:pPr>
        <w:spacing w:after="200" w:line="276" w:lineRule="auto"/>
        <w:rPr>
          <w:rFonts w:ascii="Calibri" w:eastAsia="Calibri" w:hAnsi="Calibri" w:cs="Times New Roman"/>
          <w:sz w:val="22"/>
          <w:szCs w:val="22"/>
        </w:rPr>
      </w:pPr>
    </w:p>
    <w:p w14:paraId="6358E76D"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73600" behindDoc="0" locked="0" layoutInCell="1" allowOverlap="1" wp14:anchorId="7673BD7B" wp14:editId="5FDD7A61">
                <wp:simplePos x="0" y="0"/>
                <wp:positionH relativeFrom="column">
                  <wp:posOffset>4230093</wp:posOffset>
                </wp:positionH>
                <wp:positionV relativeFrom="paragraph">
                  <wp:posOffset>11402</wp:posOffset>
                </wp:positionV>
                <wp:extent cx="2162755" cy="3374087"/>
                <wp:effectExtent l="0" t="0" r="28575" b="17145"/>
                <wp:wrapNone/>
                <wp:docPr id="44" name="Rettangolo 44" descr="P1504TB1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2755" cy="3374087"/>
                        </a:xfrm>
                        <a:prstGeom prst="rect">
                          <a:avLst/>
                        </a:prstGeom>
                        <a:solidFill>
                          <a:srgbClr val="FFFFFF"/>
                        </a:solidFill>
                        <a:ln w="9525">
                          <a:solidFill>
                            <a:srgbClr val="000000"/>
                          </a:solidFill>
                          <a:miter lim="800000"/>
                          <a:headEnd/>
                          <a:tailEnd/>
                        </a:ln>
                      </wps:spPr>
                      <wps:txbx>
                        <w:txbxContent>
                          <w:p w14:paraId="4B015794" w14:textId="77777777" w:rsidR="00892A33" w:rsidRDefault="00892A33" w:rsidP="00892A33">
                            <w:pPr>
                              <w:jc w:val="center"/>
                              <w:rPr>
                                <w:lang w:val="en-US"/>
                              </w:rPr>
                            </w:pPr>
                            <w:r w:rsidRPr="00B050FB">
                              <w:rPr>
                                <w:lang w:val="en-US"/>
                              </w:rPr>
                              <w:t>Full-text articles excluded, with reasons</w:t>
                            </w:r>
                            <w:r>
                              <w:rPr>
                                <w:lang w:val="en-US"/>
                              </w:rPr>
                              <w:t xml:space="preserve"> </w:t>
                            </w:r>
                            <w:r w:rsidRPr="00B050FB">
                              <w:rPr>
                                <w:lang w:val="en-US"/>
                              </w:rPr>
                              <w:t xml:space="preserve">(n = </w:t>
                            </w:r>
                            <w:r>
                              <w:rPr>
                                <w:lang w:val="en-US"/>
                              </w:rPr>
                              <w:t>72</w:t>
                            </w:r>
                            <w:r w:rsidRPr="00B050FB">
                              <w:rPr>
                                <w:lang w:val="en-US"/>
                              </w:rPr>
                              <w:t xml:space="preserve"> )</w:t>
                            </w:r>
                          </w:p>
                          <w:p w14:paraId="0D89A707" w14:textId="77777777" w:rsidR="00892A33" w:rsidRPr="00B050FB" w:rsidRDefault="00892A33" w:rsidP="00892A33">
                            <w:pPr>
                              <w:jc w:val="center"/>
                              <w:rPr>
                                <w:lang w:val="en-US"/>
                              </w:rPr>
                            </w:pPr>
                          </w:p>
                          <w:p w14:paraId="74D97E59" w14:textId="77777777" w:rsidR="00892A33" w:rsidRDefault="00892A33" w:rsidP="00892A33">
                            <w:pPr>
                              <w:jc w:val="center"/>
                              <w:rPr>
                                <w:lang w:val="en-US"/>
                              </w:rPr>
                            </w:pPr>
                            <w:r>
                              <w:rPr>
                                <w:lang w:val="en-US"/>
                              </w:rPr>
                              <w:t>No structured interview (n=25)</w:t>
                            </w:r>
                          </w:p>
                          <w:p w14:paraId="56D10F1F" w14:textId="77777777" w:rsidR="00892A33" w:rsidRDefault="00892A33" w:rsidP="00892A33">
                            <w:pPr>
                              <w:jc w:val="center"/>
                              <w:rPr>
                                <w:lang w:val="en-US"/>
                              </w:rPr>
                            </w:pPr>
                          </w:p>
                          <w:p w14:paraId="2D3DFC98" w14:textId="77777777" w:rsidR="00892A33" w:rsidRDefault="00892A33" w:rsidP="00892A33">
                            <w:pPr>
                              <w:jc w:val="center"/>
                              <w:rPr>
                                <w:lang w:val="en-US"/>
                              </w:rPr>
                            </w:pPr>
                            <w:r>
                              <w:rPr>
                                <w:lang w:val="en-US"/>
                              </w:rPr>
                              <w:t>No circulating mediator of interest (n=21)</w:t>
                            </w:r>
                          </w:p>
                          <w:p w14:paraId="3E100F03" w14:textId="77777777" w:rsidR="00892A33" w:rsidRDefault="00892A33" w:rsidP="00892A33">
                            <w:pPr>
                              <w:jc w:val="center"/>
                              <w:rPr>
                                <w:lang w:val="en-US"/>
                              </w:rPr>
                            </w:pPr>
                          </w:p>
                          <w:p w14:paraId="091CBDFC" w14:textId="77777777" w:rsidR="00892A33" w:rsidRPr="00137500" w:rsidRDefault="00892A33" w:rsidP="00892A33">
                            <w:pPr>
                              <w:jc w:val="center"/>
                              <w:rPr>
                                <w:lang w:val="pt-BR"/>
                              </w:rPr>
                            </w:pPr>
                            <w:r w:rsidRPr="00137500">
                              <w:rPr>
                                <w:lang w:val="pt-BR"/>
                              </w:rPr>
                              <w:t>No control group (n=14)</w:t>
                            </w:r>
                          </w:p>
                          <w:p w14:paraId="2EB1227F" w14:textId="77777777" w:rsidR="00892A33" w:rsidRPr="00137500" w:rsidRDefault="00892A33" w:rsidP="00892A33">
                            <w:pPr>
                              <w:jc w:val="center"/>
                              <w:rPr>
                                <w:lang w:val="pt-BR"/>
                              </w:rPr>
                            </w:pPr>
                          </w:p>
                          <w:p w14:paraId="5C853395" w14:textId="77777777" w:rsidR="00892A33" w:rsidRPr="00137500" w:rsidRDefault="00892A33" w:rsidP="00892A33">
                            <w:pPr>
                              <w:jc w:val="center"/>
                              <w:rPr>
                                <w:lang w:val="pt-BR"/>
                              </w:rPr>
                            </w:pPr>
                            <w:r w:rsidRPr="00137500">
                              <w:rPr>
                                <w:lang w:val="pt-BR"/>
                              </w:rPr>
                              <w:t>No bipolar disorder (n=4)</w:t>
                            </w:r>
                          </w:p>
                          <w:p w14:paraId="7D18C5F9" w14:textId="77777777" w:rsidR="00892A33" w:rsidRPr="00137500" w:rsidRDefault="00892A33" w:rsidP="00892A33">
                            <w:pPr>
                              <w:jc w:val="center"/>
                              <w:rPr>
                                <w:lang w:val="pt-BR"/>
                              </w:rPr>
                            </w:pPr>
                          </w:p>
                          <w:p w14:paraId="3A6FE269" w14:textId="77777777" w:rsidR="00892A33" w:rsidRPr="00137500" w:rsidRDefault="00892A33" w:rsidP="00892A33">
                            <w:pPr>
                              <w:jc w:val="center"/>
                              <w:rPr>
                                <w:lang w:val="pt-BR"/>
                              </w:rPr>
                            </w:pPr>
                            <w:r w:rsidRPr="00137500">
                              <w:rPr>
                                <w:lang w:val="pt-BR"/>
                              </w:rPr>
                              <w:t>Review (n=4)</w:t>
                            </w:r>
                          </w:p>
                          <w:p w14:paraId="714DA0D8" w14:textId="77777777" w:rsidR="00892A33" w:rsidRPr="00137500" w:rsidRDefault="00892A33" w:rsidP="00892A33">
                            <w:pPr>
                              <w:jc w:val="center"/>
                              <w:rPr>
                                <w:lang w:val="pt-BR"/>
                              </w:rPr>
                            </w:pPr>
                          </w:p>
                          <w:p w14:paraId="4A208258" w14:textId="77777777" w:rsidR="00892A33" w:rsidRPr="00137500" w:rsidRDefault="00892A33" w:rsidP="00892A33">
                            <w:pPr>
                              <w:jc w:val="center"/>
                              <w:rPr>
                                <w:lang w:val="pt-BR"/>
                              </w:rPr>
                            </w:pPr>
                            <w:r w:rsidRPr="00137500">
                              <w:rPr>
                                <w:lang w:val="pt-BR"/>
                              </w:rPr>
                              <w:t>No data (n=3)</w:t>
                            </w:r>
                          </w:p>
                          <w:p w14:paraId="5C3537D1" w14:textId="77777777" w:rsidR="00892A33" w:rsidRPr="00137500" w:rsidRDefault="00892A33" w:rsidP="00892A33">
                            <w:pPr>
                              <w:jc w:val="center"/>
                              <w:rPr>
                                <w:lang w:val="pt-BR"/>
                              </w:rPr>
                            </w:pPr>
                          </w:p>
                          <w:p w14:paraId="00AB4291" w14:textId="77777777" w:rsidR="00892A33" w:rsidRPr="00B13DB1" w:rsidRDefault="00892A33" w:rsidP="00892A33">
                            <w:pPr>
                              <w:jc w:val="center"/>
                              <w:rPr>
                                <w:lang w:val="en-US"/>
                              </w:rPr>
                            </w:pPr>
                            <w:r>
                              <w:rPr>
                                <w:lang w:val="en-US"/>
                              </w:rPr>
                              <w:t>Comment</w:t>
                            </w:r>
                            <w:r w:rsidRPr="00B050FB">
                              <w:rPr>
                                <w:lang w:val="en-US"/>
                              </w:rPr>
                              <w:t xml:space="preserve"> (n=</w:t>
                            </w:r>
                            <w:r>
                              <w:rPr>
                                <w:lang w:val="en-US"/>
                              </w:rPr>
                              <w:t>1</w:t>
                            </w:r>
                            <w:r w:rsidRPr="00B050F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73BD7B" id="Rettangolo 44" o:spid="_x0000_s1033" alt="&quot;&quot;" style="position:absolute;margin-left:333.1pt;margin-top:.9pt;width:170.3pt;height:265.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">
                <v:textbox inset=",7.2pt,,7.2pt">
                  <w:txbxContent>
                    <w:p w14:paraId="4B015794" w14:textId="77777777" w:rsidR="00892A33" w:rsidRDefault="00892A33" w:rsidP="00892A33">
                      <w:pPr>
                        <w:jc w:val="center"/>
                        <w:rPr>
                          <w:lang w:val="en-US"/>
                        </w:rPr>
                      </w:pPr>
                      <w:r w:rsidRPr="00B050FB">
                        <w:rPr>
                          <w:lang w:val="en-US"/>
                        </w:rPr>
                        <w:t>Full-text articles excluded, with reasons</w:t>
                      </w:r>
                      <w:r>
                        <w:rPr>
                          <w:lang w:val="en-US"/>
                        </w:rPr>
                        <w:t xml:space="preserve"> </w:t>
                      </w:r>
                      <w:r w:rsidRPr="00B050FB">
                        <w:rPr>
                          <w:lang w:val="en-US"/>
                        </w:rPr>
                        <w:t xml:space="preserve">(n = </w:t>
                      </w:r>
                      <w:proofErr w:type="gramStart"/>
                      <w:r>
                        <w:rPr>
                          <w:lang w:val="en-US"/>
                        </w:rPr>
                        <w:t>72</w:t>
                      </w:r>
                      <w:r w:rsidRPr="00B050FB">
                        <w:rPr>
                          <w:lang w:val="en-US"/>
                        </w:rPr>
                        <w:t xml:space="preserve"> )</w:t>
                      </w:r>
                      <w:proofErr w:type="gramEnd"/>
                    </w:p>
                    <w:p w14:paraId="0D89A707" w14:textId="77777777" w:rsidR="00892A33" w:rsidRPr="00B050FB" w:rsidRDefault="00892A33" w:rsidP="00892A33">
                      <w:pPr>
                        <w:jc w:val="center"/>
                        <w:rPr>
                          <w:lang w:val="en-US"/>
                        </w:rPr>
                      </w:pPr>
                    </w:p>
                    <w:p w14:paraId="74D97E59" w14:textId="77777777" w:rsidR="00892A33" w:rsidRDefault="00892A33" w:rsidP="00892A33">
                      <w:pPr>
                        <w:jc w:val="center"/>
                        <w:rPr>
                          <w:lang w:val="en-US"/>
                        </w:rPr>
                      </w:pPr>
                      <w:r>
                        <w:rPr>
                          <w:lang w:val="en-US"/>
                        </w:rPr>
                        <w:t>No structured interview (n=25)</w:t>
                      </w:r>
                    </w:p>
                    <w:p w14:paraId="56D10F1F" w14:textId="77777777" w:rsidR="00892A33" w:rsidRDefault="00892A33" w:rsidP="00892A33">
                      <w:pPr>
                        <w:jc w:val="center"/>
                        <w:rPr>
                          <w:lang w:val="en-US"/>
                        </w:rPr>
                      </w:pPr>
                    </w:p>
                    <w:p w14:paraId="2D3DFC98" w14:textId="77777777" w:rsidR="00892A33" w:rsidRDefault="00892A33" w:rsidP="00892A33">
                      <w:pPr>
                        <w:jc w:val="center"/>
                        <w:rPr>
                          <w:lang w:val="en-US"/>
                        </w:rPr>
                      </w:pPr>
                      <w:r>
                        <w:rPr>
                          <w:lang w:val="en-US"/>
                        </w:rPr>
                        <w:t>No circulating mediator of interest (n=21)</w:t>
                      </w:r>
                    </w:p>
                    <w:p w14:paraId="3E100F03" w14:textId="77777777" w:rsidR="00892A33" w:rsidRDefault="00892A33" w:rsidP="00892A33">
                      <w:pPr>
                        <w:jc w:val="center"/>
                        <w:rPr>
                          <w:lang w:val="en-US"/>
                        </w:rPr>
                      </w:pPr>
                    </w:p>
                    <w:p w14:paraId="091CBDFC" w14:textId="77777777" w:rsidR="00892A33" w:rsidRPr="00137500" w:rsidRDefault="00892A33" w:rsidP="00892A33">
                      <w:pPr>
                        <w:jc w:val="center"/>
                        <w:rPr>
                          <w:lang w:val="pt-BR"/>
                        </w:rPr>
                      </w:pPr>
                      <w:r w:rsidRPr="00137500">
                        <w:rPr>
                          <w:lang w:val="pt-BR"/>
                        </w:rPr>
                        <w:t>No control group (n=14)</w:t>
                      </w:r>
                    </w:p>
                    <w:p w14:paraId="2EB1227F" w14:textId="77777777" w:rsidR="00892A33" w:rsidRPr="00137500" w:rsidRDefault="00892A33" w:rsidP="00892A33">
                      <w:pPr>
                        <w:jc w:val="center"/>
                        <w:rPr>
                          <w:lang w:val="pt-BR"/>
                        </w:rPr>
                      </w:pPr>
                    </w:p>
                    <w:p w14:paraId="5C853395" w14:textId="77777777" w:rsidR="00892A33" w:rsidRPr="00137500" w:rsidRDefault="00892A33" w:rsidP="00892A33">
                      <w:pPr>
                        <w:jc w:val="center"/>
                        <w:rPr>
                          <w:lang w:val="pt-BR"/>
                        </w:rPr>
                      </w:pPr>
                      <w:r w:rsidRPr="00137500">
                        <w:rPr>
                          <w:lang w:val="pt-BR"/>
                        </w:rPr>
                        <w:t>No bipolar disorder (n=4)</w:t>
                      </w:r>
                    </w:p>
                    <w:p w14:paraId="7D18C5F9" w14:textId="77777777" w:rsidR="00892A33" w:rsidRPr="00137500" w:rsidRDefault="00892A33" w:rsidP="00892A33">
                      <w:pPr>
                        <w:jc w:val="center"/>
                        <w:rPr>
                          <w:lang w:val="pt-BR"/>
                        </w:rPr>
                      </w:pPr>
                    </w:p>
                    <w:p w14:paraId="3A6FE269" w14:textId="77777777" w:rsidR="00892A33" w:rsidRPr="00137500" w:rsidRDefault="00892A33" w:rsidP="00892A33">
                      <w:pPr>
                        <w:jc w:val="center"/>
                        <w:rPr>
                          <w:lang w:val="pt-BR"/>
                        </w:rPr>
                      </w:pPr>
                      <w:r w:rsidRPr="00137500">
                        <w:rPr>
                          <w:lang w:val="pt-BR"/>
                        </w:rPr>
                        <w:t>Review (n=4)</w:t>
                      </w:r>
                    </w:p>
                    <w:p w14:paraId="714DA0D8" w14:textId="77777777" w:rsidR="00892A33" w:rsidRPr="00137500" w:rsidRDefault="00892A33" w:rsidP="00892A33">
                      <w:pPr>
                        <w:jc w:val="center"/>
                        <w:rPr>
                          <w:lang w:val="pt-BR"/>
                        </w:rPr>
                      </w:pPr>
                    </w:p>
                    <w:p w14:paraId="4A208258" w14:textId="77777777" w:rsidR="00892A33" w:rsidRPr="00137500" w:rsidRDefault="00892A33" w:rsidP="00892A33">
                      <w:pPr>
                        <w:jc w:val="center"/>
                        <w:rPr>
                          <w:lang w:val="pt-BR"/>
                        </w:rPr>
                      </w:pPr>
                      <w:r w:rsidRPr="00137500">
                        <w:rPr>
                          <w:lang w:val="pt-BR"/>
                        </w:rPr>
                        <w:t>No data (n=3)</w:t>
                      </w:r>
                    </w:p>
                    <w:p w14:paraId="5C3537D1" w14:textId="77777777" w:rsidR="00892A33" w:rsidRPr="00137500" w:rsidRDefault="00892A33" w:rsidP="00892A33">
                      <w:pPr>
                        <w:jc w:val="center"/>
                        <w:rPr>
                          <w:lang w:val="pt-BR"/>
                        </w:rPr>
                      </w:pPr>
                    </w:p>
                    <w:p w14:paraId="00AB4291" w14:textId="77777777" w:rsidR="00892A33" w:rsidRPr="00B13DB1" w:rsidRDefault="00892A33" w:rsidP="00892A33">
                      <w:pPr>
                        <w:jc w:val="center"/>
                        <w:rPr>
                          <w:lang w:val="en-US"/>
                        </w:rPr>
                      </w:pPr>
                      <w:r>
                        <w:rPr>
                          <w:lang w:val="en-US"/>
                        </w:rPr>
                        <w:t>Comment</w:t>
                      </w:r>
                      <w:r w:rsidRPr="00B050FB">
                        <w:rPr>
                          <w:lang w:val="en-US"/>
                        </w:rPr>
                        <w:t xml:space="preserve"> (n=</w:t>
                      </w:r>
                      <w:r>
                        <w:rPr>
                          <w:lang w:val="en-US"/>
                        </w:rPr>
                        <w:t>1</w:t>
                      </w:r>
                      <w:r w:rsidRPr="00B050FB">
                        <w:rPr>
                          <w:lang w:val="en-US"/>
                        </w:rPr>
                        <w:t>)</w:t>
                      </w:r>
                    </w:p>
                  </w:txbxContent>
                </v:textbox>
              </v:rect>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74624" behindDoc="0" locked="0" layoutInCell="1" allowOverlap="1" wp14:anchorId="1498A52F" wp14:editId="4EACB2E7">
                <wp:simplePos x="0" y="0"/>
                <wp:positionH relativeFrom="column">
                  <wp:posOffset>1884680</wp:posOffset>
                </wp:positionH>
                <wp:positionV relativeFrom="paragraph">
                  <wp:posOffset>8890</wp:posOffset>
                </wp:positionV>
                <wp:extent cx="1714500" cy="777240"/>
                <wp:effectExtent l="0" t="0" r="19050" b="22860"/>
                <wp:wrapNone/>
                <wp:docPr id="43" name="Rettangolo 43" descr="P1504TB1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777240"/>
                        </a:xfrm>
                        <a:prstGeom prst="rect">
                          <a:avLst/>
                        </a:prstGeom>
                        <a:solidFill>
                          <a:srgbClr val="FFFFFF"/>
                        </a:solidFill>
                        <a:ln w="9525">
                          <a:solidFill>
                            <a:srgbClr val="000000"/>
                          </a:solidFill>
                          <a:miter lim="800000"/>
                          <a:headEnd/>
                          <a:tailEnd/>
                        </a:ln>
                      </wps:spPr>
                      <wps:txbx>
                        <w:txbxContent>
                          <w:p w14:paraId="481C2634" w14:textId="77777777" w:rsidR="00892A33" w:rsidRPr="00B050FB" w:rsidRDefault="00892A33" w:rsidP="00892A33">
                            <w:pPr>
                              <w:jc w:val="center"/>
                            </w:pPr>
                            <w:r w:rsidRPr="00B050FB">
                              <w:rPr>
                                <w:lang w:val="en-US"/>
                              </w:rPr>
                              <w:t>Full-text articles assessed for eligibility</w:t>
                            </w:r>
                            <w:r w:rsidRPr="00B050FB">
                              <w:rPr>
                                <w:lang w:val="en-US"/>
                              </w:rPr>
                              <w:br/>
                              <w:t xml:space="preserve">(n = </w:t>
                            </w:r>
                            <w:r>
                              <w:rPr>
                                <w:lang w:val="en-US"/>
                              </w:rPr>
                              <w:t>125</w:t>
                            </w:r>
                            <w:r w:rsidRPr="00B050F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8A52F" id="Rettangolo 43" o:spid="_x0000_s1034" alt="&quot;&quot;" style="position:absolute;margin-left:148.4pt;margin-top:.7pt;width:135pt;height:61.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">
                <v:textbox inset=",7.2pt,,7.2pt">
                  <w:txbxContent>
                    <w:p w14:paraId="481C2634" w14:textId="77777777" w:rsidR="00892A33" w:rsidRPr="00B050FB" w:rsidRDefault="00892A33" w:rsidP="00892A33">
                      <w:pPr>
                        <w:jc w:val="center"/>
                      </w:pPr>
                      <w:r w:rsidRPr="00B050FB">
                        <w:rPr>
                          <w:lang w:val="en-US"/>
                        </w:rPr>
                        <w:t>Full-text articles assessed for eligibility</w:t>
                      </w:r>
                      <w:r w:rsidRPr="00B050FB">
                        <w:rPr>
                          <w:lang w:val="en-US"/>
                        </w:rPr>
                        <w:br/>
                        <w:t xml:space="preserve">(n = </w:t>
                      </w:r>
                      <w:r>
                        <w:rPr>
                          <w:lang w:val="en-US"/>
                        </w:rPr>
                        <w:t>125</w:t>
                      </w:r>
                      <w:r w:rsidRPr="00B050FB">
                        <w:rPr>
                          <w:lang w:val="en-US"/>
                        </w:rPr>
                        <w:t>)</w:t>
                      </w:r>
                    </w:p>
                  </w:txbxContent>
                </v:textbox>
              </v:rect>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36575" distB="36575" distL="36576" distR="36576" simplePos="0" relativeHeight="251675648" behindDoc="0" locked="0" layoutInCell="1" allowOverlap="1" wp14:anchorId="5BD87B9B" wp14:editId="528D0BA6">
                <wp:simplePos x="0" y="0"/>
                <wp:positionH relativeFrom="column">
                  <wp:posOffset>3602355</wp:posOffset>
                </wp:positionH>
                <wp:positionV relativeFrom="paragraph">
                  <wp:posOffset>290829</wp:posOffset>
                </wp:positionV>
                <wp:extent cx="628650" cy="0"/>
                <wp:effectExtent l="0" t="76200" r="19050" b="95250"/>
                <wp:wrapNone/>
                <wp:docPr id="42" name="Connettore 2 42" descr="P150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8DD7623" id="Connettore 2 42" o:spid="_x0000_s1026" type="#_x0000_t32" alt="&quot;&quot;" style="position:absolute;margin-left:283.65pt;margin-top:22.9pt;width:49.5pt;height:0;z-index:251675648;visibility:visible;mso-wrap-style:square;mso-width-percent:0;mso-height-percent:0;mso-wrap-distance-left:2.88pt;mso-wrap-distance-top:1.016mm;mso-wrap-distance-right:2.88pt;mso-wrap-distance-bottom:1.016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">
                <v:stroke endarrow="block"/>
                <v:shadow color="#ccc"/>
              </v:shape>
            </w:pict>
          </mc:Fallback>
        </mc:AlternateContent>
      </w:r>
    </w:p>
    <w:p w14:paraId="64B3370F"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3360" behindDoc="0" locked="0" layoutInCell="1" allowOverlap="1" wp14:anchorId="062143AA" wp14:editId="525835B0">
                <wp:simplePos x="0" y="0"/>
                <wp:positionH relativeFrom="column">
                  <wp:posOffset>-876935</wp:posOffset>
                </wp:positionH>
                <wp:positionV relativeFrom="paragraph">
                  <wp:posOffset>347980</wp:posOffset>
                </wp:positionV>
                <wp:extent cx="1371600" cy="353060"/>
                <wp:effectExtent l="0" t="5080" r="13970" b="13970"/>
                <wp:wrapNone/>
                <wp:docPr id="54" name="Rettangolo con angoli arrotondati 54" descr="P1505TB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353060"/>
                        </a:xfrm>
                        <a:prstGeom prst="roundRect">
                          <a:avLst>
                            <a:gd name="adj" fmla="val 16667"/>
                          </a:avLst>
                        </a:prstGeom>
                        <a:solidFill>
                          <a:srgbClr val="CCECFF"/>
                        </a:solidFill>
                        <a:ln w="9525">
                          <a:solidFill>
                            <a:srgbClr val="000000"/>
                          </a:solidFill>
                          <a:round/>
                          <a:headEnd/>
                          <a:tailEnd/>
                        </a:ln>
                      </wps:spPr>
                      <wps:txbx>
                        <w:txbxContent>
                          <w:p w14:paraId="3FF7BAD3" w14:textId="77777777" w:rsidR="00892A33" w:rsidRPr="00BB38E7" w:rsidRDefault="00892A33" w:rsidP="00892A33">
                            <w:pPr>
                              <w:pStyle w:val="Ttulo21"/>
                              <w:spacing w:before="0"/>
                              <w:jc w:val="center"/>
                              <w:rPr>
                                <w:rFonts w:ascii="Calibri" w:hAnsi="Calibri"/>
                                <w:color w:val="auto"/>
                                <w:sz w:val="22"/>
                                <w:szCs w:val="22"/>
                              </w:rPr>
                            </w:pPr>
                            <w:r w:rsidRPr="00BB38E7">
                              <w:rPr>
                                <w:rFonts w:ascii="Calibri" w:hAnsi="Calibri"/>
                                <w:color w:val="auto"/>
                                <w:sz w:val="22"/>
                                <w:szCs w:val="22"/>
                              </w:rPr>
                              <w:t>Eligibility</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2143AA" id="Rettangolo con angoli arrotondati 54" o:spid="_x0000_s1035" alt="&quot;&quot;" style="position:absolute;margin-left:-69.05pt;margin-top:27.4pt;width:108pt;height:27.8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" fillcolor="#ccecff">
                <v:textbox style="layout-flow:vertical;mso-layout-flow-alt:bottom-to-top" inset="3.6pt,,3.6pt">
                  <w:txbxContent>
                    <w:p w14:paraId="3FF7BAD3" w14:textId="77777777" w:rsidR="00892A33" w:rsidRPr="00BB38E7" w:rsidRDefault="00892A33" w:rsidP="00892A33">
                      <w:pPr>
                        <w:pStyle w:val="Ttulo21"/>
                        <w:spacing w:before="0"/>
                        <w:jc w:val="center"/>
                        <w:rPr>
                          <w:rFonts w:ascii="Calibri" w:hAnsi="Calibri"/>
                          <w:color w:val="auto"/>
                          <w:sz w:val="22"/>
                          <w:szCs w:val="22"/>
                        </w:rPr>
                      </w:pPr>
                      <w:r w:rsidRPr="00BB38E7">
                        <w:rPr>
                          <w:rFonts w:ascii="Calibri" w:hAnsi="Calibri"/>
                          <w:color w:val="auto"/>
                          <w:sz w:val="22"/>
                          <w:szCs w:val="22"/>
                        </w:rPr>
                        <w:t>Eligibility</w:t>
                      </w:r>
                    </w:p>
                  </w:txbxContent>
                </v:textbox>
              </v:roundrect>
            </w:pict>
          </mc:Fallback>
        </mc:AlternateContent>
      </w:r>
    </w:p>
    <w:p w14:paraId="4A541AF5"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36576" distB="36576" distL="36575" distR="36575" simplePos="0" relativeHeight="251676672" behindDoc="0" locked="0" layoutInCell="1" allowOverlap="1" wp14:anchorId="7C007CF1" wp14:editId="0804B733">
                <wp:simplePos x="0" y="0"/>
                <wp:positionH relativeFrom="column">
                  <wp:posOffset>2742564</wp:posOffset>
                </wp:positionH>
                <wp:positionV relativeFrom="paragraph">
                  <wp:posOffset>140335</wp:posOffset>
                </wp:positionV>
                <wp:extent cx="0" cy="342900"/>
                <wp:effectExtent l="76200" t="0" r="76200" b="57150"/>
                <wp:wrapNone/>
                <wp:docPr id="41" name="Connettore 2 41" descr="P150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B4DA69D" id="Connettore 2 41" o:spid="_x0000_s1026" type="#_x0000_t32" alt="&quot;&quot;" style="position:absolute;margin-left:215.95pt;margin-top:11.05pt;width:0;height:27pt;z-index:251676672;visibility:visible;mso-wrap-style:square;mso-width-percent:0;mso-height-percent:0;mso-wrap-distance-left:1.016mm;mso-wrap-distance-top:2.88pt;mso-wrap-distance-right:1.016mm;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">
                <v:stroke endarrow="block"/>
                <v:shadow color="#ccc"/>
              </v:shape>
            </w:pict>
          </mc:Fallback>
        </mc:AlternateContent>
      </w:r>
    </w:p>
    <w:p w14:paraId="179B010C"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77696" behindDoc="0" locked="0" layoutInCell="1" allowOverlap="1" wp14:anchorId="0319F8D5" wp14:editId="1D107EC0">
                <wp:simplePos x="0" y="0"/>
                <wp:positionH relativeFrom="column">
                  <wp:posOffset>1908175</wp:posOffset>
                </wp:positionH>
                <wp:positionV relativeFrom="paragraph">
                  <wp:posOffset>136525</wp:posOffset>
                </wp:positionV>
                <wp:extent cx="1714500" cy="756920"/>
                <wp:effectExtent l="0" t="0" r="19050" b="24130"/>
                <wp:wrapNone/>
                <wp:docPr id="40" name="Rettangolo 40" descr="P1507TB1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756920"/>
                        </a:xfrm>
                        <a:prstGeom prst="rect">
                          <a:avLst/>
                        </a:prstGeom>
                        <a:solidFill>
                          <a:srgbClr val="FFFFFF"/>
                        </a:solidFill>
                        <a:ln w="9525">
                          <a:solidFill>
                            <a:srgbClr val="000000"/>
                          </a:solidFill>
                          <a:miter lim="800000"/>
                          <a:headEnd/>
                          <a:tailEnd/>
                        </a:ln>
                      </wps:spPr>
                      <wps:txbx>
                        <w:txbxContent>
                          <w:p w14:paraId="778E5995" w14:textId="77777777" w:rsidR="00892A33" w:rsidRPr="00B050FB" w:rsidRDefault="00892A33" w:rsidP="00892A33">
                            <w:pPr>
                              <w:jc w:val="center"/>
                            </w:pPr>
                            <w:r w:rsidRPr="00B050FB">
                              <w:rPr>
                                <w:lang w:val="en-US"/>
                              </w:rPr>
                              <w:t>Studies included in qualitative synthesis</w:t>
                            </w:r>
                            <w:r w:rsidRPr="00B050FB">
                              <w:rPr>
                                <w:lang w:val="en-US"/>
                              </w:rPr>
                              <w:br/>
                              <w:t xml:space="preserve">(n =  </w:t>
                            </w:r>
                            <w:r>
                              <w:rPr>
                                <w:lang w:val="en-US"/>
                              </w:rPr>
                              <w:t>53</w:t>
                            </w:r>
                            <w:r w:rsidRPr="00B050F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9F8D5" id="Rettangolo 40" o:spid="_x0000_s1036" alt="&quot;&quot;" style="position:absolute;margin-left:150.25pt;margin-top:10.75pt;width:135pt;height:59.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">
                <v:textbox inset=",7.2pt,,7.2pt">
                  <w:txbxContent>
                    <w:p w14:paraId="778E5995" w14:textId="77777777" w:rsidR="00892A33" w:rsidRPr="00B050FB" w:rsidRDefault="00892A33" w:rsidP="00892A33">
                      <w:pPr>
                        <w:jc w:val="center"/>
                      </w:pPr>
                      <w:r w:rsidRPr="00B050FB">
                        <w:rPr>
                          <w:lang w:val="en-US"/>
                        </w:rPr>
                        <w:t>Studies included in qualitative synthesis</w:t>
                      </w:r>
                      <w:r w:rsidRPr="00B050FB">
                        <w:rPr>
                          <w:lang w:val="en-US"/>
                        </w:rPr>
                        <w:br/>
                        <w:t xml:space="preserve">(n </w:t>
                      </w:r>
                      <w:proofErr w:type="gramStart"/>
                      <w:r w:rsidRPr="00B050FB">
                        <w:rPr>
                          <w:lang w:val="en-US"/>
                        </w:rPr>
                        <w:t xml:space="preserve">=  </w:t>
                      </w:r>
                      <w:r>
                        <w:rPr>
                          <w:lang w:val="en-US"/>
                        </w:rPr>
                        <w:t>53</w:t>
                      </w:r>
                      <w:proofErr w:type="gramEnd"/>
                      <w:r w:rsidRPr="00B050FB">
                        <w:rPr>
                          <w:lang w:val="en-US"/>
                        </w:rPr>
                        <w:t>)</w:t>
                      </w:r>
                    </w:p>
                  </w:txbxContent>
                </v:textbox>
              </v:rect>
            </w:pict>
          </mc:Fallback>
        </mc:AlternateContent>
      </w:r>
    </w:p>
    <w:p w14:paraId="3083ED3F" w14:textId="77777777" w:rsidR="00892A33" w:rsidRPr="00892A33" w:rsidRDefault="00892A33" w:rsidP="00892A33">
      <w:pPr>
        <w:spacing w:after="200" w:line="276" w:lineRule="auto"/>
        <w:rPr>
          <w:rFonts w:ascii="Calibri" w:eastAsia="Calibri" w:hAnsi="Calibri" w:cs="Times New Roman"/>
          <w:sz w:val="22"/>
          <w:szCs w:val="22"/>
        </w:rPr>
      </w:pPr>
    </w:p>
    <w:p w14:paraId="50315317"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36576" distB="36576" distL="36576" distR="36576" simplePos="0" relativeHeight="251678720" behindDoc="0" locked="0" layoutInCell="1" allowOverlap="1" wp14:anchorId="3BB1F3FC" wp14:editId="37F4D57A">
                <wp:simplePos x="0" y="0"/>
                <wp:positionH relativeFrom="column">
                  <wp:posOffset>2476500</wp:posOffset>
                </wp:positionH>
                <wp:positionV relativeFrom="paragraph">
                  <wp:posOffset>514350</wp:posOffset>
                </wp:positionV>
                <wp:extent cx="535305" cy="1270"/>
                <wp:effectExtent l="38418" t="0" r="74612" b="55563"/>
                <wp:wrapNone/>
                <wp:docPr id="39" name="Connettore a gomito 39" descr="P150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35305" cy="1270"/>
                        </a:xfrm>
                        <a:prstGeom prst="bentConnector3">
                          <a:avLst>
                            <a:gd name="adj1" fmla="val 49940"/>
                          </a:avLst>
                        </a:prstGeom>
                        <a:noFill/>
                        <a:ln w="9525">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1573CF9" id="_x0000_t34" coordsize="21600,21600" o:spt="34" o:oned="t" adj="10800" path="m,l@0,0@0,21600,21600,21600e" filled="f">
                <v:stroke joinstyle="miter"/>
                <v:formulas>
                  <v:f eqn="val #0"/>
                </v:formulas>
                <v:path arrowok="t" fillok="f" o:connecttype="none"/>
                <v:handles>
                  <v:h position="#0,center"/>
                </v:handles>
                <o:lock v:ext="edit" shapetype="t"/>
              </v:shapetype>
              <v:shape id="Connettore a gomito 39" o:spid="_x0000_s1026" type="#_x0000_t34" alt="&quot;&quot;" style="position:absolute;margin-left:195pt;margin-top:40.5pt;width:42.15pt;height:.1pt;rotation:90;flip:x;z-index:2516787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" adj="10787">
                <v:stroke endarrow="block"/>
                <v:shadow color="#ccc"/>
              </v:shape>
            </w:pict>
          </mc:Fallback>
        </mc:AlternateContent>
      </w:r>
    </w:p>
    <w:p w14:paraId="0F4D84F5" w14:textId="77777777" w:rsidR="00892A33" w:rsidRPr="00892A33" w:rsidRDefault="00892A33" w:rsidP="00892A33">
      <w:pPr>
        <w:spacing w:after="200" w:line="276" w:lineRule="auto"/>
        <w:rPr>
          <w:rFonts w:ascii="Calibri" w:eastAsia="Calibri" w:hAnsi="Calibri" w:cs="Times New Roman"/>
          <w:sz w:val="22"/>
          <w:szCs w:val="22"/>
        </w:rPr>
      </w:pPr>
    </w:p>
    <w:p w14:paraId="2BF25830" w14:textId="77777777" w:rsidR="00892A33" w:rsidRPr="00892A33" w:rsidRDefault="00892A33" w:rsidP="00892A33">
      <w:pPr>
        <w:spacing w:after="200" w:line="276" w:lineRule="auto"/>
        <w:rPr>
          <w:rFonts w:ascii="Calibri" w:eastAsia="Calibri" w:hAnsi="Calibri" w:cs="Times New Roman"/>
          <w:sz w:val="22"/>
          <w:szCs w:val="22"/>
        </w:rPr>
      </w:pP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62336" behindDoc="0" locked="0" layoutInCell="1" allowOverlap="1" wp14:anchorId="0CDCF0C7" wp14:editId="1CDB4F1D">
                <wp:simplePos x="0" y="0"/>
                <wp:positionH relativeFrom="column">
                  <wp:posOffset>-878840</wp:posOffset>
                </wp:positionH>
                <wp:positionV relativeFrom="paragraph">
                  <wp:posOffset>188595</wp:posOffset>
                </wp:positionV>
                <wp:extent cx="1371600" cy="353060"/>
                <wp:effectExtent l="0" t="5080" r="13970" b="13970"/>
                <wp:wrapNone/>
                <wp:docPr id="55" name="Rettangolo con angoli arrotondati 55" descr="P1511TB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371600" cy="353060"/>
                        </a:xfrm>
                        <a:prstGeom prst="roundRect">
                          <a:avLst>
                            <a:gd name="adj" fmla="val 16667"/>
                          </a:avLst>
                        </a:prstGeom>
                        <a:solidFill>
                          <a:srgbClr val="CCECFF"/>
                        </a:solidFill>
                        <a:ln w="9525">
                          <a:solidFill>
                            <a:srgbClr val="000000"/>
                          </a:solidFill>
                          <a:round/>
                          <a:headEnd/>
                          <a:tailEnd/>
                        </a:ln>
                      </wps:spPr>
                      <wps:txbx>
                        <w:txbxContent>
                          <w:p w14:paraId="0F92D9A7" w14:textId="77777777" w:rsidR="00892A33" w:rsidRPr="00BB38E7" w:rsidRDefault="00892A33" w:rsidP="00892A33">
                            <w:pPr>
                              <w:pStyle w:val="Ttulo21"/>
                              <w:spacing w:before="0"/>
                              <w:jc w:val="center"/>
                              <w:rPr>
                                <w:rFonts w:ascii="Calibri" w:hAnsi="Calibri"/>
                                <w:color w:val="auto"/>
                                <w:sz w:val="22"/>
                                <w:szCs w:val="22"/>
                              </w:rPr>
                            </w:pPr>
                            <w:r w:rsidRPr="00BB38E7">
                              <w:rPr>
                                <w:rFonts w:ascii="Calibri" w:hAnsi="Calibri"/>
                                <w:color w:val="auto"/>
                                <w:sz w:val="22"/>
                                <w:szCs w:val="22"/>
                              </w:rPr>
                              <w:t>Included</w:t>
                            </w:r>
                          </w:p>
                        </w:txbxContent>
                      </wps:txbx>
                      <wps:bodyPr rot="0" vert="vert270"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DCF0C7" id="Rettangolo con angoli arrotondati 55" o:spid="_x0000_s1037" alt="&quot;&quot;" style="position:absolute;margin-left:-69.2pt;margin-top:14.85pt;width:108pt;height:27.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" fillcolor="#ccecff">
                <v:textbox style="layout-flow:vertical;mso-layout-flow-alt:bottom-to-top" inset="3.6pt,,3.6pt">
                  <w:txbxContent>
                    <w:p w14:paraId="0F92D9A7" w14:textId="77777777" w:rsidR="00892A33" w:rsidRPr="00BB38E7" w:rsidRDefault="00892A33" w:rsidP="00892A33">
                      <w:pPr>
                        <w:pStyle w:val="Ttulo21"/>
                        <w:spacing w:before="0"/>
                        <w:jc w:val="center"/>
                        <w:rPr>
                          <w:rFonts w:ascii="Calibri" w:hAnsi="Calibri"/>
                          <w:color w:val="auto"/>
                          <w:sz w:val="22"/>
                          <w:szCs w:val="22"/>
                        </w:rPr>
                      </w:pPr>
                      <w:r w:rsidRPr="00BB38E7">
                        <w:rPr>
                          <w:rFonts w:ascii="Calibri" w:hAnsi="Calibri"/>
                          <w:color w:val="auto"/>
                          <w:sz w:val="22"/>
                          <w:szCs w:val="22"/>
                        </w:rPr>
                        <w:t>Included</w:t>
                      </w:r>
                    </w:p>
                  </w:txbxContent>
                </v:textbox>
              </v:roundrect>
            </w:pict>
          </mc:Fallback>
        </mc:AlternateContent>
      </w:r>
      <w:r w:rsidRPr="00892A33">
        <w:rPr>
          <w:rFonts w:ascii="Calibri" w:eastAsia="Calibri" w:hAnsi="Calibri" w:cs="Times New Roman"/>
          <w:noProof/>
          <w:color w:val="000000"/>
          <w:kern w:val="28"/>
          <w:sz w:val="22"/>
          <w:szCs w:val="22"/>
          <w:lang w:eastAsia="en-GB"/>
        </w:rPr>
        <mc:AlternateContent>
          <mc:Choice Requires="wps">
            <w:drawing>
              <wp:anchor distT="0" distB="0" distL="114300" distR="114300" simplePos="0" relativeHeight="251679744" behindDoc="0" locked="0" layoutInCell="1" allowOverlap="1" wp14:anchorId="0FCF5A92" wp14:editId="2476CA54">
                <wp:simplePos x="0" y="0"/>
                <wp:positionH relativeFrom="column">
                  <wp:posOffset>1908175</wp:posOffset>
                </wp:positionH>
                <wp:positionV relativeFrom="paragraph">
                  <wp:posOffset>136525</wp:posOffset>
                </wp:positionV>
                <wp:extent cx="1714500" cy="988695"/>
                <wp:effectExtent l="0" t="0" r="19050" b="20955"/>
                <wp:wrapNone/>
                <wp:docPr id="38" name="Rettangolo 38" descr="P1511TB2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988695"/>
                        </a:xfrm>
                        <a:prstGeom prst="rect">
                          <a:avLst/>
                        </a:prstGeom>
                        <a:solidFill>
                          <a:srgbClr val="FFFFFF"/>
                        </a:solidFill>
                        <a:ln w="9525">
                          <a:solidFill>
                            <a:srgbClr val="000000"/>
                          </a:solidFill>
                          <a:miter lim="800000"/>
                          <a:headEnd/>
                          <a:tailEnd/>
                        </a:ln>
                      </wps:spPr>
                      <wps:txbx>
                        <w:txbxContent>
                          <w:p w14:paraId="1B77408A" w14:textId="77777777" w:rsidR="00892A33" w:rsidRPr="00B050FB" w:rsidRDefault="00892A33" w:rsidP="00892A33">
                            <w:pPr>
                              <w:jc w:val="center"/>
                            </w:pPr>
                            <w:r w:rsidRPr="00B050FB">
                              <w:rPr>
                                <w:lang w:val="en-US"/>
                              </w:rPr>
                              <w:t>Studies included in quantitative synthesis (meta-analysis)</w:t>
                            </w:r>
                            <w:r w:rsidRPr="00B050FB">
                              <w:rPr>
                                <w:lang w:val="en-US"/>
                              </w:rPr>
                              <w:br/>
                              <w:t xml:space="preserve">(n =  </w:t>
                            </w:r>
                            <w:r>
                              <w:rPr>
                                <w:lang w:val="en-US"/>
                              </w:rPr>
                              <w:t>49</w:t>
                            </w:r>
                            <w:r w:rsidRPr="00B050FB">
                              <w:rPr>
                                <w:lang w:val="en-US"/>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CF5A92" id="Rettangolo 38" o:spid="_x0000_s1038" alt="&quot;&quot;" style="position:absolute;margin-left:150.25pt;margin-top:10.75pt;width:135pt;height:77.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">
                <v:textbox inset=",7.2pt,,7.2pt">
                  <w:txbxContent>
                    <w:p w14:paraId="1B77408A" w14:textId="77777777" w:rsidR="00892A33" w:rsidRPr="00B050FB" w:rsidRDefault="00892A33" w:rsidP="00892A33">
                      <w:pPr>
                        <w:jc w:val="center"/>
                      </w:pPr>
                      <w:r w:rsidRPr="00B050FB">
                        <w:rPr>
                          <w:lang w:val="en-US"/>
                        </w:rPr>
                        <w:t>Studies included in quantitative synthesis (meta-analysis)</w:t>
                      </w:r>
                      <w:r w:rsidRPr="00B050FB">
                        <w:rPr>
                          <w:lang w:val="en-US"/>
                        </w:rPr>
                        <w:br/>
                        <w:t xml:space="preserve">(n </w:t>
                      </w:r>
                      <w:proofErr w:type="gramStart"/>
                      <w:r w:rsidRPr="00B050FB">
                        <w:rPr>
                          <w:lang w:val="en-US"/>
                        </w:rPr>
                        <w:t xml:space="preserve">=  </w:t>
                      </w:r>
                      <w:r>
                        <w:rPr>
                          <w:lang w:val="en-US"/>
                        </w:rPr>
                        <w:t>49</w:t>
                      </w:r>
                      <w:proofErr w:type="gramEnd"/>
                      <w:r w:rsidRPr="00B050FB">
                        <w:rPr>
                          <w:lang w:val="en-US"/>
                        </w:rPr>
                        <w:t>)</w:t>
                      </w:r>
                    </w:p>
                  </w:txbxContent>
                </v:textbox>
              </v:rect>
            </w:pict>
          </mc:Fallback>
        </mc:AlternateContent>
      </w:r>
    </w:p>
    <w:p w14:paraId="0B2DF139" w14:textId="77777777" w:rsidR="00892A33" w:rsidRPr="00892A33" w:rsidRDefault="00892A33" w:rsidP="00892A33">
      <w:pPr>
        <w:spacing w:after="200" w:line="276" w:lineRule="auto"/>
        <w:rPr>
          <w:rFonts w:ascii="Calibri" w:eastAsia="Calibri" w:hAnsi="Calibri" w:cs="Times New Roman"/>
          <w:sz w:val="22"/>
          <w:szCs w:val="22"/>
        </w:rPr>
      </w:pPr>
    </w:p>
    <w:p w14:paraId="7C8BCBA1" w14:textId="77777777" w:rsidR="00892A33" w:rsidRPr="00892A33" w:rsidRDefault="00892A33" w:rsidP="00892A33">
      <w:pPr>
        <w:spacing w:after="200" w:line="276" w:lineRule="auto"/>
        <w:rPr>
          <w:rFonts w:ascii="Calibri" w:eastAsia="Calibri" w:hAnsi="Calibri" w:cs="Times New Roman"/>
          <w:sz w:val="22"/>
          <w:szCs w:val="22"/>
        </w:rPr>
      </w:pPr>
    </w:p>
    <w:p w14:paraId="1A0FDAF9" w14:textId="77777777" w:rsidR="00892A33" w:rsidRPr="00892A33" w:rsidRDefault="00892A33" w:rsidP="00892A33">
      <w:pPr>
        <w:spacing w:after="200" w:line="276" w:lineRule="auto"/>
        <w:rPr>
          <w:rFonts w:ascii="Calibri" w:eastAsia="Calibri" w:hAnsi="Calibri" w:cs="Times New Roman"/>
          <w:sz w:val="22"/>
          <w:szCs w:val="22"/>
        </w:rPr>
      </w:pPr>
    </w:p>
    <w:p w14:paraId="6D50431E" w14:textId="77777777" w:rsidR="00892A33" w:rsidRPr="00892A33" w:rsidRDefault="00892A33" w:rsidP="00892A33">
      <w:pPr>
        <w:spacing w:after="200" w:line="276" w:lineRule="auto"/>
        <w:rPr>
          <w:rFonts w:ascii="Calibri" w:eastAsia="Calibri" w:hAnsi="Calibri" w:cs="Times New Roman"/>
          <w:sz w:val="22"/>
          <w:szCs w:val="22"/>
        </w:rPr>
      </w:pPr>
    </w:p>
    <w:p w14:paraId="3B2BCCBC" w14:textId="77777777" w:rsidR="00892A33" w:rsidRPr="00892A33" w:rsidRDefault="00892A33" w:rsidP="00892A33">
      <w:pPr>
        <w:tabs>
          <w:tab w:val="left" w:pos="1114"/>
        </w:tabs>
        <w:spacing w:after="200" w:line="276" w:lineRule="auto"/>
        <w:rPr>
          <w:rFonts w:ascii="Calibri" w:eastAsia="Calibri" w:hAnsi="Calibri" w:cs="Times New Roman"/>
          <w:sz w:val="22"/>
          <w:szCs w:val="22"/>
        </w:rPr>
      </w:pPr>
      <w:r w:rsidRPr="00892A33">
        <w:rPr>
          <w:rFonts w:ascii="Calibri" w:eastAsia="Calibri" w:hAnsi="Calibri" w:cs="Times New Roman"/>
          <w:sz w:val="22"/>
          <w:szCs w:val="22"/>
        </w:rPr>
        <w:tab/>
      </w:r>
    </w:p>
    <w:p w14:paraId="1A5A256F" w14:textId="77777777" w:rsidR="00892A33" w:rsidRPr="00892A33" w:rsidRDefault="00892A33" w:rsidP="00892A33">
      <w:pPr>
        <w:spacing w:after="160" w:line="259" w:lineRule="auto"/>
        <w:rPr>
          <w:rFonts w:ascii="Calibri" w:eastAsia="Calibri" w:hAnsi="Calibri" w:cs="Times New Roman"/>
          <w:b/>
          <w:bCs/>
          <w:sz w:val="22"/>
          <w:szCs w:val="22"/>
        </w:rPr>
      </w:pPr>
      <w:r w:rsidRPr="00892A33">
        <w:rPr>
          <w:rFonts w:ascii="Calibri" w:eastAsia="Calibri" w:hAnsi="Calibri" w:cs="Times New Roman"/>
          <w:b/>
          <w:bCs/>
          <w:sz w:val="22"/>
          <w:szCs w:val="22"/>
        </w:rPr>
        <w:br w:type="page"/>
      </w:r>
    </w:p>
    <w:p w14:paraId="0F5AE4B3" w14:textId="77777777" w:rsidR="00892A33" w:rsidRPr="00892A33" w:rsidRDefault="00892A33" w:rsidP="00755272">
      <w:pPr>
        <w:pStyle w:val="Heading1"/>
      </w:pPr>
      <w:r w:rsidRPr="00892A33">
        <w:lastRenderedPageBreak/>
        <w:t>eTable 1. PRISMA checklist</w:t>
      </w:r>
      <w:r w:rsidRPr="00892A33">
        <w:fldChar w:fldCharType="begin" w:fldLock="1"/>
      </w:r>
      <w:r w:rsidRPr="00892A33">
        <w:instrText>ADDIN CSL_CITATION {"citationItems":[{"id":"ITEM-1","itemData":{"DOI":"10.1016/j.jclinepi.2009.06.005","ISSN":"18785921","PMID":"21603045","author":[{"dropping-particle":"","family":"Moher","given":"David","non-dropping-particle":"","parse-names":false,"suffix":""},{"dropping-particle":"","family":"Liberati","given":"Alessandro","non-dropping-particle":"","parse-names":false,"suffix":""},{"dropping-particle":"","family":"Tetzlaff","given":"Jennifer","non-dropping-particle":"","parse-names":false,"suffix":""},{"dropping-particle":"","family":"Altman","given":"Douglas G.","non-dropping-particle":"","parse-names":false,"suffix":""}],"container-title":"Journal of clinical epidemiology","id":"ITEM-1","issue":"10","issued":{"date-parts":[["2009","10"]]},"page":"1006-1012","title":"Preferred reporting items for systematic reviews and meta-analyses: the PRISMA statement","type":"article-journal","volume":"62"},"uris":["http://www.mendeley.com/documents/?uuid=292df841-0ddc-4526-9b54-23f2f923fbb8"]}],"mendeley":{"formattedCitation":"(Moher et al., 2009)","plainTextFormattedCitation":"(Moher et al., 2009)","previouslyFormattedCitation":"(Moher et al., 2009)"},"properties":{"noteIndex":0},"schema":"https://github.com/citation-style-language/schema/raw/master/csl-citation.json"}</w:instrText>
      </w:r>
      <w:r w:rsidRPr="00892A33">
        <w:fldChar w:fldCharType="separate"/>
      </w:r>
      <w:r w:rsidRPr="00892A33">
        <w:rPr>
          <w:noProof/>
        </w:rPr>
        <w:t>(Moher et al., 2009)</w:t>
      </w:r>
      <w:r w:rsidRPr="00892A33">
        <w:fldChar w:fldCharType="end"/>
      </w:r>
    </w:p>
    <w:tbl>
      <w:tblPr>
        <w:tblW w:w="4791" w:type="pct"/>
        <w:tblBorders>
          <w:top w:val="nil"/>
          <w:left w:val="nil"/>
          <w:bottom w:val="nil"/>
          <w:right w:val="nil"/>
        </w:tblBorders>
        <w:tblLook w:val="0000" w:firstRow="0" w:lastRow="0" w:firstColumn="0" w:lastColumn="0" w:noHBand="0" w:noVBand="0"/>
      </w:tblPr>
      <w:tblGrid>
        <w:gridCol w:w="2044"/>
        <w:gridCol w:w="451"/>
        <w:gridCol w:w="6176"/>
        <w:gridCol w:w="6"/>
        <w:gridCol w:w="1340"/>
      </w:tblGrid>
      <w:tr w:rsidR="00892A33" w:rsidRPr="00892A33" w14:paraId="421CD476" w14:textId="77777777" w:rsidTr="000C3C27">
        <w:trPr>
          <w:trHeight w:val="663"/>
        </w:trPr>
        <w:tc>
          <w:tcPr>
            <w:tcW w:w="1020" w:type="pct"/>
            <w:tcBorders>
              <w:top w:val="double" w:sz="5" w:space="0" w:color="000000"/>
              <w:left w:val="single" w:sz="5" w:space="0" w:color="000000"/>
              <w:bottom w:val="double" w:sz="2" w:space="0" w:color="FFFFCC"/>
              <w:right w:val="single" w:sz="5" w:space="0" w:color="000000"/>
            </w:tcBorders>
            <w:shd w:val="clear" w:color="auto" w:fill="63639A"/>
            <w:vAlign w:val="center"/>
          </w:tcPr>
          <w:p w14:paraId="2D04648C" w14:textId="77777777" w:rsidR="00892A33" w:rsidRPr="00892A33" w:rsidRDefault="00892A33" w:rsidP="00892A33">
            <w:pPr>
              <w:widowControl w:val="0"/>
              <w:autoSpaceDE w:val="0"/>
              <w:autoSpaceDN w:val="0"/>
              <w:adjustRightInd w:val="0"/>
              <w:jc w:val="center"/>
              <w:rPr>
                <w:rFonts w:ascii="Times" w:eastAsia="Times New Roman" w:hAnsi="Times" w:cs="Times"/>
                <w:color w:val="FFFFFF"/>
                <w:sz w:val="22"/>
                <w:szCs w:val="22"/>
                <w:lang w:val="en-CA" w:eastAsia="en-CA"/>
              </w:rPr>
            </w:pPr>
            <w:r w:rsidRPr="00892A33">
              <w:rPr>
                <w:rFonts w:ascii="Times" w:eastAsia="Times New Roman" w:hAnsi="Times" w:cs="Times"/>
                <w:b/>
                <w:bCs/>
                <w:color w:val="FFFFFF"/>
                <w:sz w:val="22"/>
                <w:szCs w:val="22"/>
                <w:lang w:val="en-CA" w:eastAsia="en-CA"/>
              </w:rPr>
              <w:t>Section/topic</w:t>
            </w:r>
          </w:p>
        </w:tc>
        <w:tc>
          <w:tcPr>
            <w:tcW w:w="225" w:type="pct"/>
            <w:tcBorders>
              <w:top w:val="double" w:sz="5" w:space="0" w:color="000000"/>
              <w:left w:val="single" w:sz="5" w:space="0" w:color="000000"/>
              <w:bottom w:val="double" w:sz="2" w:space="0" w:color="FFFFCC"/>
              <w:right w:val="single" w:sz="5" w:space="0" w:color="000000"/>
            </w:tcBorders>
            <w:shd w:val="clear" w:color="auto" w:fill="63639A"/>
            <w:vAlign w:val="center"/>
          </w:tcPr>
          <w:p w14:paraId="1C920735" w14:textId="77777777" w:rsidR="00892A33" w:rsidRPr="00892A33" w:rsidRDefault="00892A33" w:rsidP="00892A33">
            <w:pPr>
              <w:widowControl w:val="0"/>
              <w:autoSpaceDE w:val="0"/>
              <w:autoSpaceDN w:val="0"/>
              <w:adjustRightInd w:val="0"/>
              <w:jc w:val="center"/>
              <w:rPr>
                <w:rFonts w:ascii="Times" w:eastAsia="Times New Roman" w:hAnsi="Times" w:cs="Times"/>
                <w:b/>
                <w:bCs/>
                <w:color w:val="FFFFFF"/>
                <w:sz w:val="22"/>
                <w:szCs w:val="22"/>
                <w:lang w:val="en-CA" w:eastAsia="en-CA"/>
              </w:rPr>
            </w:pPr>
            <w:r w:rsidRPr="00892A33">
              <w:rPr>
                <w:rFonts w:ascii="Times" w:eastAsia="Times New Roman" w:hAnsi="Times" w:cs="Times"/>
                <w:b/>
                <w:bCs/>
                <w:color w:val="FFFFFF"/>
                <w:sz w:val="22"/>
                <w:szCs w:val="22"/>
                <w:lang w:val="en-CA" w:eastAsia="en-CA"/>
              </w:rPr>
              <w:t>#</w:t>
            </w:r>
          </w:p>
        </w:tc>
        <w:tc>
          <w:tcPr>
            <w:tcW w:w="3083" w:type="pct"/>
            <w:tcBorders>
              <w:top w:val="double" w:sz="5" w:space="0" w:color="000000"/>
              <w:left w:val="single" w:sz="5" w:space="0" w:color="000000"/>
              <w:bottom w:val="double" w:sz="5" w:space="0" w:color="000000"/>
              <w:right w:val="single" w:sz="5" w:space="0" w:color="000000"/>
            </w:tcBorders>
            <w:shd w:val="clear" w:color="auto" w:fill="63639A"/>
            <w:vAlign w:val="center"/>
          </w:tcPr>
          <w:p w14:paraId="292B4682" w14:textId="77777777" w:rsidR="00892A33" w:rsidRPr="00892A33" w:rsidRDefault="00892A33" w:rsidP="00892A33">
            <w:pPr>
              <w:widowControl w:val="0"/>
              <w:autoSpaceDE w:val="0"/>
              <w:autoSpaceDN w:val="0"/>
              <w:adjustRightInd w:val="0"/>
              <w:jc w:val="center"/>
              <w:rPr>
                <w:rFonts w:ascii="Times" w:eastAsia="Times New Roman" w:hAnsi="Times" w:cs="Times"/>
                <w:color w:val="FFFFFF"/>
                <w:sz w:val="22"/>
                <w:szCs w:val="22"/>
                <w:lang w:val="en-CA" w:eastAsia="en-CA"/>
              </w:rPr>
            </w:pPr>
            <w:r w:rsidRPr="00892A33">
              <w:rPr>
                <w:rFonts w:ascii="Times" w:eastAsia="Times New Roman" w:hAnsi="Times" w:cs="Times"/>
                <w:b/>
                <w:bCs/>
                <w:color w:val="FFFFFF"/>
                <w:sz w:val="22"/>
                <w:szCs w:val="22"/>
                <w:lang w:val="en-CA" w:eastAsia="en-CA"/>
              </w:rPr>
              <w:t>Checklist item</w:t>
            </w:r>
          </w:p>
        </w:tc>
        <w:tc>
          <w:tcPr>
            <w:tcW w:w="672" w:type="pct"/>
            <w:gridSpan w:val="2"/>
            <w:tcBorders>
              <w:top w:val="double" w:sz="5" w:space="0" w:color="000000"/>
              <w:left w:val="single" w:sz="5" w:space="0" w:color="000000"/>
              <w:bottom w:val="double" w:sz="5" w:space="0" w:color="000000"/>
              <w:right w:val="single" w:sz="5" w:space="0" w:color="000000"/>
            </w:tcBorders>
            <w:shd w:val="clear" w:color="auto" w:fill="63639A"/>
            <w:vAlign w:val="center"/>
          </w:tcPr>
          <w:p w14:paraId="7C3CC349" w14:textId="77777777" w:rsidR="00892A33" w:rsidRPr="00892A33" w:rsidRDefault="00892A33" w:rsidP="00892A33">
            <w:pPr>
              <w:widowControl w:val="0"/>
              <w:autoSpaceDE w:val="0"/>
              <w:autoSpaceDN w:val="0"/>
              <w:adjustRightInd w:val="0"/>
              <w:jc w:val="center"/>
              <w:rPr>
                <w:rFonts w:ascii="Times" w:eastAsia="Times New Roman" w:hAnsi="Times" w:cs="Times"/>
                <w:color w:val="FFFFFF"/>
                <w:sz w:val="22"/>
                <w:szCs w:val="22"/>
                <w:lang w:val="en-CA" w:eastAsia="en-CA"/>
              </w:rPr>
            </w:pPr>
            <w:r w:rsidRPr="00892A33">
              <w:rPr>
                <w:rFonts w:ascii="Times" w:eastAsia="Times New Roman" w:hAnsi="Times" w:cs="Times"/>
                <w:b/>
                <w:bCs/>
                <w:color w:val="FFFFFF"/>
                <w:sz w:val="22"/>
                <w:szCs w:val="22"/>
                <w:lang w:val="en-CA" w:eastAsia="en-CA"/>
              </w:rPr>
              <w:t>Reported on page #</w:t>
            </w:r>
          </w:p>
        </w:tc>
      </w:tr>
      <w:tr w:rsidR="00892A33" w:rsidRPr="00892A33" w14:paraId="05345694" w14:textId="77777777" w:rsidTr="000C3C27">
        <w:trPr>
          <w:trHeight w:val="335"/>
        </w:trPr>
        <w:tc>
          <w:tcPr>
            <w:tcW w:w="4331" w:type="pct"/>
            <w:gridSpan w:val="4"/>
            <w:tcBorders>
              <w:top w:val="double" w:sz="5" w:space="0" w:color="000000"/>
              <w:left w:val="single" w:sz="5" w:space="0" w:color="000000"/>
              <w:bottom w:val="single" w:sz="5" w:space="0" w:color="000000"/>
              <w:right w:val="single" w:sz="5" w:space="0" w:color="000000"/>
            </w:tcBorders>
            <w:shd w:val="clear" w:color="auto" w:fill="FFFFCC"/>
            <w:vAlign w:val="center"/>
          </w:tcPr>
          <w:p w14:paraId="670F7FF7"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TITLE</w:t>
            </w:r>
          </w:p>
        </w:tc>
        <w:tc>
          <w:tcPr>
            <w:tcW w:w="669" w:type="pct"/>
            <w:tcBorders>
              <w:top w:val="double" w:sz="5" w:space="0" w:color="000000"/>
              <w:left w:val="single" w:sz="5" w:space="0" w:color="000000"/>
              <w:bottom w:val="single" w:sz="5" w:space="0" w:color="000000"/>
              <w:right w:val="single" w:sz="5" w:space="0" w:color="000000"/>
            </w:tcBorders>
            <w:shd w:val="clear" w:color="auto" w:fill="FFFFCC"/>
            <w:vAlign w:val="center"/>
          </w:tcPr>
          <w:p w14:paraId="58AD2369"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19B9BE54" w14:textId="77777777" w:rsidTr="000C3C27">
        <w:trPr>
          <w:trHeight w:val="323"/>
        </w:trPr>
        <w:tc>
          <w:tcPr>
            <w:tcW w:w="1020" w:type="pct"/>
            <w:tcBorders>
              <w:top w:val="single" w:sz="5" w:space="0" w:color="000000"/>
              <w:left w:val="single" w:sz="5" w:space="0" w:color="000000"/>
              <w:bottom w:val="double" w:sz="2" w:space="0" w:color="FFFFCC"/>
              <w:right w:val="single" w:sz="5" w:space="0" w:color="000000"/>
            </w:tcBorders>
            <w:vAlign w:val="center"/>
          </w:tcPr>
          <w:p w14:paraId="43EA20A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Title</w:t>
            </w:r>
          </w:p>
        </w:tc>
        <w:tc>
          <w:tcPr>
            <w:tcW w:w="225" w:type="pct"/>
            <w:tcBorders>
              <w:top w:val="single" w:sz="5" w:space="0" w:color="000000"/>
              <w:left w:val="single" w:sz="5" w:space="0" w:color="000000"/>
              <w:bottom w:val="double" w:sz="2" w:space="0" w:color="FFFFCC"/>
              <w:right w:val="single" w:sz="5" w:space="0" w:color="000000"/>
            </w:tcBorders>
            <w:vAlign w:val="center"/>
          </w:tcPr>
          <w:p w14:paraId="07F3FCB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w:t>
            </w:r>
          </w:p>
        </w:tc>
        <w:tc>
          <w:tcPr>
            <w:tcW w:w="3083" w:type="pct"/>
            <w:tcBorders>
              <w:top w:val="single" w:sz="5" w:space="0" w:color="000000"/>
              <w:left w:val="single" w:sz="5" w:space="0" w:color="000000"/>
              <w:bottom w:val="double" w:sz="5" w:space="0" w:color="000000"/>
              <w:right w:val="single" w:sz="5" w:space="0" w:color="000000"/>
            </w:tcBorders>
            <w:vAlign w:val="center"/>
          </w:tcPr>
          <w:p w14:paraId="3633B67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Identify the report as a systematic review, meta-analysis, or both.</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78EC3BA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1</w:t>
            </w:r>
          </w:p>
        </w:tc>
      </w:tr>
      <w:tr w:rsidR="00892A33" w:rsidRPr="00892A33" w14:paraId="277F88D0" w14:textId="77777777" w:rsidTr="000C3C27">
        <w:trPr>
          <w:trHeight w:val="335"/>
        </w:trPr>
        <w:tc>
          <w:tcPr>
            <w:tcW w:w="4331" w:type="pct"/>
            <w:gridSpan w:val="4"/>
            <w:tcBorders>
              <w:top w:val="double" w:sz="5" w:space="0" w:color="000000"/>
              <w:left w:val="single" w:sz="5" w:space="0" w:color="000000"/>
              <w:bottom w:val="single" w:sz="5" w:space="0" w:color="000000"/>
              <w:right w:val="single" w:sz="5" w:space="0" w:color="000000"/>
            </w:tcBorders>
            <w:shd w:val="clear" w:color="auto" w:fill="FFFFCC"/>
            <w:vAlign w:val="center"/>
          </w:tcPr>
          <w:p w14:paraId="05C760C7"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ABSTRACT</w:t>
            </w:r>
          </w:p>
        </w:tc>
        <w:tc>
          <w:tcPr>
            <w:tcW w:w="669" w:type="pct"/>
            <w:tcBorders>
              <w:top w:val="double" w:sz="5" w:space="0" w:color="000000"/>
              <w:left w:val="single" w:sz="5" w:space="0" w:color="000000"/>
              <w:bottom w:val="single" w:sz="5" w:space="0" w:color="000000"/>
              <w:right w:val="single" w:sz="5" w:space="0" w:color="000000"/>
            </w:tcBorders>
            <w:shd w:val="clear" w:color="auto" w:fill="FFFFCC"/>
            <w:vAlign w:val="center"/>
          </w:tcPr>
          <w:p w14:paraId="4CD877FA"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2FB06E05" w14:textId="77777777" w:rsidTr="000C3C27">
        <w:trPr>
          <w:trHeight w:val="810"/>
        </w:trPr>
        <w:tc>
          <w:tcPr>
            <w:tcW w:w="1020" w:type="pct"/>
            <w:tcBorders>
              <w:top w:val="single" w:sz="5" w:space="0" w:color="000000"/>
              <w:left w:val="single" w:sz="5" w:space="0" w:color="000000"/>
              <w:bottom w:val="double" w:sz="2" w:space="0" w:color="FFFFCC"/>
              <w:right w:val="single" w:sz="5" w:space="0" w:color="000000"/>
            </w:tcBorders>
            <w:vAlign w:val="center"/>
          </w:tcPr>
          <w:p w14:paraId="62B068FB"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Structured summary</w:t>
            </w:r>
          </w:p>
        </w:tc>
        <w:tc>
          <w:tcPr>
            <w:tcW w:w="225" w:type="pct"/>
            <w:tcBorders>
              <w:top w:val="single" w:sz="5" w:space="0" w:color="000000"/>
              <w:left w:val="single" w:sz="5" w:space="0" w:color="000000"/>
              <w:bottom w:val="double" w:sz="2" w:space="0" w:color="FFFFCC"/>
              <w:right w:val="single" w:sz="5" w:space="0" w:color="000000"/>
            </w:tcBorders>
            <w:vAlign w:val="center"/>
          </w:tcPr>
          <w:p w14:paraId="24B841B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w:t>
            </w:r>
          </w:p>
        </w:tc>
        <w:tc>
          <w:tcPr>
            <w:tcW w:w="3083" w:type="pct"/>
            <w:tcBorders>
              <w:top w:val="single" w:sz="5" w:space="0" w:color="000000"/>
              <w:left w:val="single" w:sz="5" w:space="0" w:color="000000"/>
              <w:bottom w:val="double" w:sz="5" w:space="0" w:color="000000"/>
              <w:right w:val="single" w:sz="5" w:space="0" w:color="000000"/>
            </w:tcBorders>
            <w:vAlign w:val="center"/>
          </w:tcPr>
          <w:p w14:paraId="4BBE163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Provide a structured summary including, as applicable: background; objectives; data sources; study eligibility criteria, participants, and interventions; study appraisal and synthesis methods; results; limitations; conclusions and implications of key findings; systematic review registration number.</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56665AA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2</w:t>
            </w:r>
          </w:p>
        </w:tc>
      </w:tr>
      <w:tr w:rsidR="00892A33" w:rsidRPr="00892A33" w14:paraId="4A0F1564" w14:textId="77777777" w:rsidTr="000C3C27">
        <w:trPr>
          <w:trHeight w:val="335"/>
        </w:trPr>
        <w:tc>
          <w:tcPr>
            <w:tcW w:w="4331" w:type="pct"/>
            <w:gridSpan w:val="4"/>
            <w:tcBorders>
              <w:top w:val="double" w:sz="5" w:space="0" w:color="000000"/>
              <w:left w:val="single" w:sz="5" w:space="0" w:color="000000"/>
              <w:bottom w:val="single" w:sz="5" w:space="0" w:color="000000"/>
              <w:right w:val="single" w:sz="5" w:space="0" w:color="000000"/>
            </w:tcBorders>
            <w:shd w:val="clear" w:color="auto" w:fill="FFFFCC"/>
            <w:vAlign w:val="center"/>
          </w:tcPr>
          <w:p w14:paraId="1E7975E2"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INTRODUCTION</w:t>
            </w:r>
          </w:p>
        </w:tc>
        <w:tc>
          <w:tcPr>
            <w:tcW w:w="669" w:type="pct"/>
            <w:tcBorders>
              <w:top w:val="double" w:sz="5" w:space="0" w:color="000000"/>
              <w:left w:val="single" w:sz="5" w:space="0" w:color="000000"/>
              <w:bottom w:val="single" w:sz="5" w:space="0" w:color="000000"/>
              <w:right w:val="single" w:sz="5" w:space="0" w:color="000000"/>
            </w:tcBorders>
            <w:shd w:val="clear" w:color="auto" w:fill="FFFFCC"/>
            <w:vAlign w:val="center"/>
          </w:tcPr>
          <w:p w14:paraId="34AC1E31"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3C2D70A4" w14:textId="77777777" w:rsidTr="000C3C27">
        <w:trPr>
          <w:trHeight w:val="333"/>
        </w:trPr>
        <w:tc>
          <w:tcPr>
            <w:tcW w:w="1020" w:type="pct"/>
            <w:tcBorders>
              <w:top w:val="single" w:sz="5" w:space="0" w:color="000000"/>
              <w:left w:val="single" w:sz="5" w:space="0" w:color="000000"/>
              <w:bottom w:val="single" w:sz="5" w:space="0" w:color="000000"/>
              <w:right w:val="single" w:sz="5" w:space="0" w:color="000000"/>
            </w:tcBorders>
            <w:vAlign w:val="center"/>
          </w:tcPr>
          <w:p w14:paraId="3FB48421"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Rationale</w:t>
            </w:r>
          </w:p>
        </w:tc>
        <w:tc>
          <w:tcPr>
            <w:tcW w:w="225" w:type="pct"/>
            <w:tcBorders>
              <w:top w:val="single" w:sz="5" w:space="0" w:color="000000"/>
              <w:left w:val="single" w:sz="5" w:space="0" w:color="000000"/>
              <w:bottom w:val="single" w:sz="5" w:space="0" w:color="000000"/>
              <w:right w:val="single" w:sz="5" w:space="0" w:color="000000"/>
            </w:tcBorders>
            <w:vAlign w:val="center"/>
          </w:tcPr>
          <w:p w14:paraId="0B3DC7E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3</w:t>
            </w:r>
          </w:p>
        </w:tc>
        <w:tc>
          <w:tcPr>
            <w:tcW w:w="3083" w:type="pct"/>
            <w:tcBorders>
              <w:top w:val="single" w:sz="5" w:space="0" w:color="000000"/>
              <w:left w:val="single" w:sz="5" w:space="0" w:color="000000"/>
              <w:bottom w:val="single" w:sz="5" w:space="0" w:color="000000"/>
              <w:right w:val="single" w:sz="5" w:space="0" w:color="000000"/>
            </w:tcBorders>
            <w:vAlign w:val="center"/>
          </w:tcPr>
          <w:p w14:paraId="5C2B6BB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the rationale for the review in the context of what is already known.</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08D05A8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3</w:t>
            </w:r>
          </w:p>
        </w:tc>
      </w:tr>
      <w:tr w:rsidR="00892A33" w:rsidRPr="00892A33" w14:paraId="3DA03AEB" w14:textId="77777777" w:rsidTr="000C3C27">
        <w:trPr>
          <w:trHeight w:val="568"/>
        </w:trPr>
        <w:tc>
          <w:tcPr>
            <w:tcW w:w="1020" w:type="pct"/>
            <w:tcBorders>
              <w:top w:val="single" w:sz="5" w:space="0" w:color="000000"/>
              <w:left w:val="single" w:sz="5" w:space="0" w:color="000000"/>
              <w:bottom w:val="double" w:sz="2" w:space="0" w:color="FFFFCC"/>
              <w:right w:val="single" w:sz="5" w:space="0" w:color="000000"/>
            </w:tcBorders>
            <w:vAlign w:val="center"/>
          </w:tcPr>
          <w:p w14:paraId="364712A1"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Objectives</w:t>
            </w:r>
          </w:p>
        </w:tc>
        <w:tc>
          <w:tcPr>
            <w:tcW w:w="225" w:type="pct"/>
            <w:tcBorders>
              <w:top w:val="single" w:sz="5" w:space="0" w:color="000000"/>
              <w:left w:val="single" w:sz="5" w:space="0" w:color="000000"/>
              <w:bottom w:val="double" w:sz="2" w:space="0" w:color="FFFFCC"/>
              <w:right w:val="single" w:sz="5" w:space="0" w:color="000000"/>
            </w:tcBorders>
            <w:vAlign w:val="center"/>
          </w:tcPr>
          <w:p w14:paraId="5FA2762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4</w:t>
            </w:r>
          </w:p>
        </w:tc>
        <w:tc>
          <w:tcPr>
            <w:tcW w:w="3083" w:type="pct"/>
            <w:tcBorders>
              <w:top w:val="single" w:sz="5" w:space="0" w:color="000000"/>
              <w:left w:val="single" w:sz="5" w:space="0" w:color="000000"/>
              <w:bottom w:val="double" w:sz="5" w:space="0" w:color="000000"/>
              <w:right w:val="single" w:sz="5" w:space="0" w:color="000000"/>
            </w:tcBorders>
            <w:vAlign w:val="center"/>
          </w:tcPr>
          <w:p w14:paraId="769C14A1"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Provide an explicit statement of questions being addressed with reference to participants, interventions, comparisons, outcomes, and study design (PICOS).</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5CD0497D"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3</w:t>
            </w:r>
          </w:p>
        </w:tc>
      </w:tr>
      <w:tr w:rsidR="00892A33" w:rsidRPr="00892A33" w14:paraId="5F885741" w14:textId="77777777" w:rsidTr="000C3C27">
        <w:trPr>
          <w:trHeight w:val="335"/>
        </w:trPr>
        <w:tc>
          <w:tcPr>
            <w:tcW w:w="4331" w:type="pct"/>
            <w:gridSpan w:val="4"/>
            <w:tcBorders>
              <w:top w:val="double" w:sz="5" w:space="0" w:color="000000"/>
              <w:left w:val="single" w:sz="5" w:space="0" w:color="000000"/>
              <w:bottom w:val="single" w:sz="5" w:space="0" w:color="000000"/>
              <w:right w:val="single" w:sz="5" w:space="0" w:color="000000"/>
            </w:tcBorders>
            <w:shd w:val="clear" w:color="auto" w:fill="FFFFCC"/>
            <w:vAlign w:val="center"/>
          </w:tcPr>
          <w:p w14:paraId="47012289"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METHODS</w:t>
            </w:r>
          </w:p>
        </w:tc>
        <w:tc>
          <w:tcPr>
            <w:tcW w:w="669" w:type="pct"/>
            <w:tcBorders>
              <w:top w:val="double" w:sz="5" w:space="0" w:color="000000"/>
              <w:left w:val="single" w:sz="5" w:space="0" w:color="000000"/>
              <w:bottom w:val="single" w:sz="5" w:space="0" w:color="000000"/>
              <w:right w:val="single" w:sz="5" w:space="0" w:color="000000"/>
            </w:tcBorders>
            <w:shd w:val="clear" w:color="auto" w:fill="FFFFCC"/>
            <w:vAlign w:val="center"/>
          </w:tcPr>
          <w:p w14:paraId="1196C175"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2458A688"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0C8849D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Protocol and registration</w:t>
            </w:r>
          </w:p>
        </w:tc>
        <w:tc>
          <w:tcPr>
            <w:tcW w:w="225" w:type="pct"/>
            <w:tcBorders>
              <w:top w:val="single" w:sz="5" w:space="0" w:color="000000"/>
              <w:left w:val="single" w:sz="5" w:space="0" w:color="000000"/>
              <w:bottom w:val="single" w:sz="5" w:space="0" w:color="000000"/>
              <w:right w:val="single" w:sz="5" w:space="0" w:color="000000"/>
            </w:tcBorders>
            <w:vAlign w:val="center"/>
          </w:tcPr>
          <w:p w14:paraId="6385357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5</w:t>
            </w:r>
          </w:p>
        </w:tc>
        <w:tc>
          <w:tcPr>
            <w:tcW w:w="3083" w:type="pct"/>
            <w:tcBorders>
              <w:top w:val="single" w:sz="5" w:space="0" w:color="000000"/>
              <w:left w:val="single" w:sz="5" w:space="0" w:color="000000"/>
              <w:bottom w:val="single" w:sz="5" w:space="0" w:color="000000"/>
              <w:right w:val="single" w:sz="5" w:space="0" w:color="000000"/>
            </w:tcBorders>
            <w:vAlign w:val="center"/>
          </w:tcPr>
          <w:p w14:paraId="0860DBD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Indicate if a review protocol exists, if and where it can be accessed (e.g., Web address), and, if available, provide registration information including registration number.</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06DE972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3</w:t>
            </w:r>
          </w:p>
        </w:tc>
      </w:tr>
      <w:tr w:rsidR="00892A33" w:rsidRPr="00892A33" w14:paraId="22B7758A"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77F9653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Eligibility criteria</w:t>
            </w:r>
          </w:p>
        </w:tc>
        <w:tc>
          <w:tcPr>
            <w:tcW w:w="225" w:type="pct"/>
            <w:tcBorders>
              <w:top w:val="single" w:sz="5" w:space="0" w:color="000000"/>
              <w:left w:val="single" w:sz="5" w:space="0" w:color="000000"/>
              <w:bottom w:val="single" w:sz="5" w:space="0" w:color="000000"/>
              <w:right w:val="single" w:sz="5" w:space="0" w:color="000000"/>
            </w:tcBorders>
            <w:vAlign w:val="center"/>
          </w:tcPr>
          <w:p w14:paraId="35AC65C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6</w:t>
            </w:r>
          </w:p>
        </w:tc>
        <w:tc>
          <w:tcPr>
            <w:tcW w:w="3083" w:type="pct"/>
            <w:tcBorders>
              <w:top w:val="single" w:sz="5" w:space="0" w:color="000000"/>
              <w:left w:val="single" w:sz="5" w:space="0" w:color="000000"/>
              <w:bottom w:val="single" w:sz="5" w:space="0" w:color="000000"/>
              <w:right w:val="single" w:sz="5" w:space="0" w:color="000000"/>
            </w:tcBorders>
            <w:vAlign w:val="center"/>
          </w:tcPr>
          <w:p w14:paraId="31C8DD01"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Specify study characteristics (e.g., PICOS, length of follow-up) and report characteristics (e.g., years considered, language, publication status) used as criteria for eligibility, giving rationale.</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01D3502D"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4</w:t>
            </w:r>
          </w:p>
        </w:tc>
      </w:tr>
      <w:tr w:rsidR="00892A33" w:rsidRPr="00892A33" w14:paraId="28016AF0"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7324E28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Information sources</w:t>
            </w:r>
          </w:p>
        </w:tc>
        <w:tc>
          <w:tcPr>
            <w:tcW w:w="225" w:type="pct"/>
            <w:tcBorders>
              <w:top w:val="single" w:sz="5" w:space="0" w:color="000000"/>
              <w:left w:val="single" w:sz="5" w:space="0" w:color="000000"/>
              <w:bottom w:val="single" w:sz="5" w:space="0" w:color="000000"/>
              <w:right w:val="single" w:sz="5" w:space="0" w:color="000000"/>
            </w:tcBorders>
            <w:vAlign w:val="center"/>
          </w:tcPr>
          <w:p w14:paraId="6913837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7</w:t>
            </w:r>
          </w:p>
        </w:tc>
        <w:tc>
          <w:tcPr>
            <w:tcW w:w="3083" w:type="pct"/>
            <w:tcBorders>
              <w:top w:val="single" w:sz="5" w:space="0" w:color="000000"/>
              <w:left w:val="single" w:sz="5" w:space="0" w:color="000000"/>
              <w:bottom w:val="single" w:sz="5" w:space="0" w:color="000000"/>
              <w:right w:val="single" w:sz="5" w:space="0" w:color="000000"/>
            </w:tcBorders>
            <w:vAlign w:val="center"/>
          </w:tcPr>
          <w:p w14:paraId="2CA7B3C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all information sources (e.g., databases with dates of coverage, contact with study authors to identify additional studies) in the search and date last searched.</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38A834E1"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4</w:t>
            </w:r>
          </w:p>
        </w:tc>
      </w:tr>
      <w:tr w:rsidR="00892A33" w:rsidRPr="00892A33" w14:paraId="4EED624E"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597052CD"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Search</w:t>
            </w:r>
          </w:p>
        </w:tc>
        <w:tc>
          <w:tcPr>
            <w:tcW w:w="225" w:type="pct"/>
            <w:tcBorders>
              <w:top w:val="single" w:sz="5" w:space="0" w:color="000000"/>
              <w:left w:val="single" w:sz="5" w:space="0" w:color="000000"/>
              <w:bottom w:val="single" w:sz="5" w:space="0" w:color="000000"/>
              <w:right w:val="single" w:sz="5" w:space="0" w:color="000000"/>
            </w:tcBorders>
            <w:vAlign w:val="center"/>
          </w:tcPr>
          <w:p w14:paraId="4525659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8</w:t>
            </w:r>
          </w:p>
        </w:tc>
        <w:tc>
          <w:tcPr>
            <w:tcW w:w="3083" w:type="pct"/>
            <w:tcBorders>
              <w:top w:val="single" w:sz="5" w:space="0" w:color="000000"/>
              <w:left w:val="single" w:sz="5" w:space="0" w:color="000000"/>
              <w:bottom w:val="single" w:sz="5" w:space="0" w:color="000000"/>
              <w:right w:val="single" w:sz="5" w:space="0" w:color="000000"/>
            </w:tcBorders>
            <w:vAlign w:val="center"/>
          </w:tcPr>
          <w:p w14:paraId="46B7AAB3"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Present full electronic search strategy for at least one database, including any limits used, such that it could be repeated.</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0F1C622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4</w:t>
            </w:r>
          </w:p>
        </w:tc>
      </w:tr>
      <w:tr w:rsidR="00892A33" w:rsidRPr="00892A33" w14:paraId="053F818B"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03E12DC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Study selection</w:t>
            </w:r>
          </w:p>
        </w:tc>
        <w:tc>
          <w:tcPr>
            <w:tcW w:w="225" w:type="pct"/>
            <w:tcBorders>
              <w:top w:val="single" w:sz="5" w:space="0" w:color="000000"/>
              <w:left w:val="single" w:sz="5" w:space="0" w:color="000000"/>
              <w:bottom w:val="single" w:sz="5" w:space="0" w:color="000000"/>
              <w:right w:val="single" w:sz="5" w:space="0" w:color="000000"/>
            </w:tcBorders>
            <w:vAlign w:val="center"/>
          </w:tcPr>
          <w:p w14:paraId="70A59377"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9</w:t>
            </w:r>
          </w:p>
        </w:tc>
        <w:tc>
          <w:tcPr>
            <w:tcW w:w="3083" w:type="pct"/>
            <w:tcBorders>
              <w:top w:val="single" w:sz="5" w:space="0" w:color="000000"/>
              <w:left w:val="single" w:sz="5" w:space="0" w:color="000000"/>
              <w:bottom w:val="single" w:sz="5" w:space="0" w:color="000000"/>
              <w:right w:val="single" w:sz="5" w:space="0" w:color="000000"/>
            </w:tcBorders>
            <w:vAlign w:val="center"/>
          </w:tcPr>
          <w:p w14:paraId="1B171F37"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State the process for selecting studies (i.e., screening, eligibility, included in systematic review, and, if applicable, included in the meta-analysis).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6115328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4</w:t>
            </w:r>
          </w:p>
        </w:tc>
      </w:tr>
      <w:tr w:rsidR="00892A33" w:rsidRPr="00892A33" w14:paraId="3ABE8796"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70595C9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Data collection process</w:t>
            </w:r>
          </w:p>
        </w:tc>
        <w:tc>
          <w:tcPr>
            <w:tcW w:w="225" w:type="pct"/>
            <w:tcBorders>
              <w:top w:val="single" w:sz="5" w:space="0" w:color="000000"/>
              <w:left w:val="single" w:sz="5" w:space="0" w:color="000000"/>
              <w:bottom w:val="single" w:sz="5" w:space="0" w:color="000000"/>
              <w:right w:val="single" w:sz="5" w:space="0" w:color="000000"/>
            </w:tcBorders>
            <w:vAlign w:val="center"/>
          </w:tcPr>
          <w:p w14:paraId="2F41849D"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10</w:t>
            </w:r>
          </w:p>
        </w:tc>
        <w:tc>
          <w:tcPr>
            <w:tcW w:w="3083" w:type="pct"/>
            <w:tcBorders>
              <w:top w:val="single" w:sz="5" w:space="0" w:color="000000"/>
              <w:left w:val="single" w:sz="5" w:space="0" w:color="000000"/>
              <w:bottom w:val="single" w:sz="5" w:space="0" w:color="000000"/>
              <w:right w:val="single" w:sz="5" w:space="0" w:color="000000"/>
            </w:tcBorders>
            <w:vAlign w:val="center"/>
          </w:tcPr>
          <w:p w14:paraId="7F8955C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method of data extraction from reports (e.g., piloted forms, independently, in duplicate) and any processes for obtaining and confirming data from investigators.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52AC657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4</w:t>
            </w:r>
          </w:p>
        </w:tc>
      </w:tr>
      <w:tr w:rsidR="00892A33" w:rsidRPr="00892A33" w14:paraId="16EDE4AC"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3A64662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Data items</w:t>
            </w:r>
          </w:p>
        </w:tc>
        <w:tc>
          <w:tcPr>
            <w:tcW w:w="225" w:type="pct"/>
            <w:tcBorders>
              <w:top w:val="single" w:sz="5" w:space="0" w:color="000000"/>
              <w:left w:val="single" w:sz="5" w:space="0" w:color="000000"/>
              <w:bottom w:val="single" w:sz="5" w:space="0" w:color="000000"/>
              <w:right w:val="single" w:sz="5" w:space="0" w:color="000000"/>
            </w:tcBorders>
            <w:vAlign w:val="center"/>
          </w:tcPr>
          <w:p w14:paraId="38AFA5C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11</w:t>
            </w:r>
          </w:p>
        </w:tc>
        <w:tc>
          <w:tcPr>
            <w:tcW w:w="3083" w:type="pct"/>
            <w:tcBorders>
              <w:top w:val="single" w:sz="5" w:space="0" w:color="000000"/>
              <w:left w:val="single" w:sz="5" w:space="0" w:color="000000"/>
              <w:bottom w:val="single" w:sz="5" w:space="0" w:color="000000"/>
              <w:right w:val="single" w:sz="5" w:space="0" w:color="000000"/>
            </w:tcBorders>
            <w:vAlign w:val="center"/>
          </w:tcPr>
          <w:p w14:paraId="4577CBA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List and define all variables for which data were sought (e.g., PICOS, funding sources) and any assumptions and simplifications made.</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1FCD02B7"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w:t>
            </w:r>
          </w:p>
        </w:tc>
      </w:tr>
      <w:tr w:rsidR="00892A33" w:rsidRPr="00892A33" w14:paraId="0E46E851"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3F6A6B2F"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Risk of bias in individual studies</w:t>
            </w:r>
          </w:p>
        </w:tc>
        <w:tc>
          <w:tcPr>
            <w:tcW w:w="225" w:type="pct"/>
            <w:tcBorders>
              <w:top w:val="single" w:sz="5" w:space="0" w:color="000000"/>
              <w:left w:val="single" w:sz="5" w:space="0" w:color="000000"/>
              <w:bottom w:val="single" w:sz="5" w:space="0" w:color="000000"/>
              <w:right w:val="single" w:sz="5" w:space="0" w:color="000000"/>
            </w:tcBorders>
            <w:vAlign w:val="center"/>
          </w:tcPr>
          <w:p w14:paraId="709EB59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12</w:t>
            </w:r>
          </w:p>
        </w:tc>
        <w:tc>
          <w:tcPr>
            <w:tcW w:w="3083" w:type="pct"/>
            <w:tcBorders>
              <w:top w:val="single" w:sz="5" w:space="0" w:color="000000"/>
              <w:left w:val="single" w:sz="5" w:space="0" w:color="000000"/>
              <w:bottom w:val="single" w:sz="5" w:space="0" w:color="000000"/>
              <w:right w:val="single" w:sz="5" w:space="0" w:color="000000"/>
            </w:tcBorders>
            <w:vAlign w:val="center"/>
          </w:tcPr>
          <w:p w14:paraId="13A9B26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methods used for assessing risk of bias of individual studies (including specification of whether this was done at the study or outcome level), and how this information is to be used in any data synthesis.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702D208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w:t>
            </w:r>
          </w:p>
        </w:tc>
      </w:tr>
      <w:tr w:rsidR="00892A33" w:rsidRPr="00892A33" w14:paraId="04926619" w14:textId="77777777" w:rsidTr="000C3C27">
        <w:trPr>
          <w:trHeight w:val="333"/>
        </w:trPr>
        <w:tc>
          <w:tcPr>
            <w:tcW w:w="1020" w:type="pct"/>
            <w:tcBorders>
              <w:top w:val="single" w:sz="5" w:space="0" w:color="000000"/>
              <w:left w:val="single" w:sz="5" w:space="0" w:color="000000"/>
              <w:bottom w:val="single" w:sz="5" w:space="0" w:color="000000"/>
              <w:right w:val="single" w:sz="5" w:space="0" w:color="000000"/>
            </w:tcBorders>
            <w:vAlign w:val="center"/>
          </w:tcPr>
          <w:p w14:paraId="514B214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Summary measures</w:t>
            </w:r>
          </w:p>
        </w:tc>
        <w:tc>
          <w:tcPr>
            <w:tcW w:w="225" w:type="pct"/>
            <w:tcBorders>
              <w:top w:val="single" w:sz="5" w:space="0" w:color="000000"/>
              <w:left w:val="single" w:sz="5" w:space="0" w:color="000000"/>
              <w:bottom w:val="single" w:sz="5" w:space="0" w:color="000000"/>
              <w:right w:val="single" w:sz="5" w:space="0" w:color="000000"/>
            </w:tcBorders>
            <w:vAlign w:val="center"/>
          </w:tcPr>
          <w:p w14:paraId="4A495173"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13</w:t>
            </w:r>
          </w:p>
        </w:tc>
        <w:tc>
          <w:tcPr>
            <w:tcW w:w="3083" w:type="pct"/>
            <w:tcBorders>
              <w:top w:val="single" w:sz="5" w:space="0" w:color="000000"/>
              <w:left w:val="single" w:sz="5" w:space="0" w:color="000000"/>
              <w:bottom w:val="single" w:sz="5" w:space="0" w:color="000000"/>
              <w:right w:val="single" w:sz="5" w:space="0" w:color="000000"/>
            </w:tcBorders>
            <w:vAlign w:val="center"/>
          </w:tcPr>
          <w:p w14:paraId="79C697B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State the principal summary measures (e.g., risk ratio, difference in means).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52B8549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w:t>
            </w:r>
          </w:p>
        </w:tc>
      </w:tr>
      <w:tr w:rsidR="00892A33" w:rsidRPr="00892A33" w14:paraId="54128C92" w14:textId="77777777" w:rsidTr="000C3C27">
        <w:trPr>
          <w:trHeight w:val="580"/>
        </w:trPr>
        <w:tc>
          <w:tcPr>
            <w:tcW w:w="1020" w:type="pct"/>
            <w:tcBorders>
              <w:top w:val="single" w:sz="5" w:space="0" w:color="000000"/>
              <w:left w:val="single" w:sz="5" w:space="0" w:color="000000"/>
              <w:bottom w:val="single" w:sz="5" w:space="0" w:color="000000"/>
              <w:right w:val="single" w:sz="5" w:space="0" w:color="000000"/>
            </w:tcBorders>
            <w:vAlign w:val="center"/>
          </w:tcPr>
          <w:p w14:paraId="7F6391DD"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Synthesis of results</w:t>
            </w:r>
          </w:p>
        </w:tc>
        <w:tc>
          <w:tcPr>
            <w:tcW w:w="225" w:type="pct"/>
            <w:tcBorders>
              <w:top w:val="single" w:sz="5" w:space="0" w:color="000000"/>
              <w:left w:val="single" w:sz="5" w:space="0" w:color="000000"/>
              <w:bottom w:val="single" w:sz="5" w:space="0" w:color="000000"/>
              <w:right w:val="single" w:sz="5" w:space="0" w:color="000000"/>
            </w:tcBorders>
            <w:vAlign w:val="center"/>
          </w:tcPr>
          <w:p w14:paraId="29DFC1C0"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14</w:t>
            </w:r>
          </w:p>
        </w:tc>
        <w:tc>
          <w:tcPr>
            <w:tcW w:w="3083" w:type="pct"/>
            <w:tcBorders>
              <w:top w:val="single" w:sz="5" w:space="0" w:color="000000"/>
              <w:left w:val="single" w:sz="5" w:space="0" w:color="000000"/>
              <w:bottom w:val="single" w:sz="5" w:space="0" w:color="000000"/>
              <w:right w:val="single" w:sz="5" w:space="0" w:color="000000"/>
            </w:tcBorders>
            <w:vAlign w:val="center"/>
          </w:tcPr>
          <w:p w14:paraId="08189CF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the methods of handling data and combining results of studies, if done, including measures of consistency (e.g., I</w:t>
            </w:r>
            <w:r w:rsidRPr="00892A33">
              <w:rPr>
                <w:rFonts w:ascii="Times" w:eastAsia="Times New Roman" w:hAnsi="Times" w:cs="Times"/>
                <w:color w:val="000000"/>
                <w:sz w:val="20"/>
                <w:szCs w:val="20"/>
                <w:vertAlign w:val="superscript"/>
                <w:lang w:val="en-CA" w:eastAsia="en-CA"/>
              </w:rPr>
              <w:t>2</w:t>
            </w:r>
            <w:r w:rsidRPr="00892A33">
              <w:rPr>
                <w:rFonts w:ascii="Times" w:eastAsia="Times New Roman" w:hAnsi="Times" w:cs="Times"/>
                <w:color w:val="000000"/>
                <w:sz w:val="13"/>
                <w:szCs w:val="13"/>
                <w:lang w:val="en-CA" w:eastAsia="en-CA"/>
              </w:rPr>
              <w:t xml:space="preserve">) </w:t>
            </w:r>
            <w:r w:rsidRPr="00892A33">
              <w:rPr>
                <w:rFonts w:ascii="Times" w:eastAsia="Times New Roman" w:hAnsi="Times" w:cs="Times"/>
                <w:color w:val="000000"/>
                <w:sz w:val="20"/>
                <w:szCs w:val="20"/>
                <w:lang w:val="en-CA" w:eastAsia="en-CA"/>
              </w:rPr>
              <w:t>for each meta-analysis.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334AB51B"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w:t>
            </w:r>
          </w:p>
        </w:tc>
      </w:tr>
      <w:tr w:rsidR="00892A33" w:rsidRPr="00892A33" w14:paraId="64D3313E" w14:textId="77777777" w:rsidTr="000C3C27">
        <w:trPr>
          <w:trHeight w:val="575"/>
        </w:trPr>
        <w:tc>
          <w:tcPr>
            <w:tcW w:w="1020" w:type="pct"/>
            <w:tcBorders>
              <w:top w:val="double" w:sz="5" w:space="0" w:color="000000"/>
              <w:left w:val="single" w:sz="5" w:space="0" w:color="000000"/>
              <w:bottom w:val="single" w:sz="5" w:space="0" w:color="000000"/>
              <w:right w:val="single" w:sz="5" w:space="0" w:color="000000"/>
            </w:tcBorders>
            <w:vAlign w:val="center"/>
          </w:tcPr>
          <w:p w14:paraId="66A7ACFB"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Risk of bias across studies</w:t>
            </w:r>
          </w:p>
        </w:tc>
        <w:tc>
          <w:tcPr>
            <w:tcW w:w="225" w:type="pct"/>
            <w:tcBorders>
              <w:top w:val="double" w:sz="5" w:space="0" w:color="000000"/>
              <w:left w:val="single" w:sz="5" w:space="0" w:color="000000"/>
              <w:bottom w:val="single" w:sz="5" w:space="0" w:color="000000"/>
              <w:right w:val="single" w:sz="5" w:space="0" w:color="000000"/>
            </w:tcBorders>
            <w:vAlign w:val="center"/>
          </w:tcPr>
          <w:p w14:paraId="49A40142" w14:textId="77777777" w:rsidR="00892A33" w:rsidRPr="00892A33" w:rsidRDefault="00892A33" w:rsidP="00892A33">
            <w:pPr>
              <w:widowControl w:val="0"/>
              <w:autoSpaceDE w:val="0"/>
              <w:autoSpaceDN w:val="0"/>
              <w:adjustRightInd w:val="0"/>
              <w:spacing w:before="40" w:after="40"/>
              <w:ind w:left="-127" w:firstLine="127"/>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15</w:t>
            </w:r>
          </w:p>
        </w:tc>
        <w:tc>
          <w:tcPr>
            <w:tcW w:w="3083" w:type="pct"/>
            <w:tcBorders>
              <w:top w:val="double" w:sz="5" w:space="0" w:color="000000"/>
              <w:left w:val="single" w:sz="5" w:space="0" w:color="000000"/>
              <w:bottom w:val="single" w:sz="5" w:space="0" w:color="000000"/>
              <w:right w:val="single" w:sz="5" w:space="0" w:color="000000"/>
            </w:tcBorders>
            <w:vAlign w:val="center"/>
          </w:tcPr>
          <w:p w14:paraId="33D1264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Specify any assessment of risk of bias that may affect the cumulative evidence (e.g., publication bias, selective reporting within studies).</w:t>
            </w:r>
          </w:p>
        </w:tc>
        <w:tc>
          <w:tcPr>
            <w:tcW w:w="672" w:type="pct"/>
            <w:gridSpan w:val="2"/>
            <w:tcBorders>
              <w:top w:val="double" w:sz="5" w:space="0" w:color="000000"/>
              <w:left w:val="single" w:sz="5" w:space="0" w:color="000000"/>
              <w:bottom w:val="single" w:sz="5" w:space="0" w:color="000000"/>
              <w:right w:val="single" w:sz="5" w:space="0" w:color="000000"/>
            </w:tcBorders>
            <w:vAlign w:val="center"/>
          </w:tcPr>
          <w:p w14:paraId="79B661CF"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w:t>
            </w:r>
          </w:p>
        </w:tc>
      </w:tr>
      <w:tr w:rsidR="00892A33" w:rsidRPr="00892A33" w14:paraId="6C7DE785" w14:textId="77777777" w:rsidTr="000C3C27">
        <w:trPr>
          <w:trHeight w:val="568"/>
        </w:trPr>
        <w:tc>
          <w:tcPr>
            <w:tcW w:w="1020" w:type="pct"/>
            <w:tcBorders>
              <w:top w:val="single" w:sz="5" w:space="0" w:color="000000"/>
              <w:left w:val="single" w:sz="5" w:space="0" w:color="000000"/>
              <w:bottom w:val="double" w:sz="2" w:space="0" w:color="FFFFCC"/>
              <w:right w:val="single" w:sz="5" w:space="0" w:color="000000"/>
            </w:tcBorders>
            <w:vAlign w:val="center"/>
          </w:tcPr>
          <w:p w14:paraId="1514F8D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Additional analyses</w:t>
            </w:r>
          </w:p>
        </w:tc>
        <w:tc>
          <w:tcPr>
            <w:tcW w:w="225" w:type="pct"/>
            <w:tcBorders>
              <w:top w:val="single" w:sz="5" w:space="0" w:color="000000"/>
              <w:left w:val="single" w:sz="5" w:space="0" w:color="000000"/>
              <w:bottom w:val="double" w:sz="2" w:space="0" w:color="FFFFCC"/>
              <w:right w:val="single" w:sz="5" w:space="0" w:color="000000"/>
            </w:tcBorders>
            <w:vAlign w:val="center"/>
          </w:tcPr>
          <w:p w14:paraId="609BC18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16</w:t>
            </w:r>
          </w:p>
        </w:tc>
        <w:tc>
          <w:tcPr>
            <w:tcW w:w="3083" w:type="pct"/>
            <w:tcBorders>
              <w:top w:val="single" w:sz="5" w:space="0" w:color="000000"/>
              <w:left w:val="single" w:sz="5" w:space="0" w:color="000000"/>
              <w:bottom w:val="double" w:sz="5" w:space="0" w:color="000000"/>
              <w:right w:val="single" w:sz="5" w:space="0" w:color="000000"/>
            </w:tcBorders>
            <w:vAlign w:val="center"/>
          </w:tcPr>
          <w:p w14:paraId="525C14F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methods of additional analyses (e.g., sensitivity or subgroup analyses, meta-regression), if done, indicating which were pre-specified.</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319CEEB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w:t>
            </w:r>
          </w:p>
        </w:tc>
      </w:tr>
      <w:tr w:rsidR="00892A33" w:rsidRPr="00892A33" w14:paraId="70C8F915" w14:textId="77777777" w:rsidTr="000C3C27">
        <w:trPr>
          <w:trHeight w:val="335"/>
        </w:trPr>
        <w:tc>
          <w:tcPr>
            <w:tcW w:w="4328"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3527D6BF"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RESULTS</w:t>
            </w:r>
          </w:p>
        </w:tc>
        <w:tc>
          <w:tcPr>
            <w:tcW w:w="672" w:type="pct"/>
            <w:gridSpan w:val="2"/>
            <w:tcBorders>
              <w:top w:val="double" w:sz="5" w:space="0" w:color="000000"/>
              <w:left w:val="single" w:sz="5" w:space="0" w:color="000000"/>
              <w:bottom w:val="single" w:sz="5" w:space="0" w:color="000000"/>
              <w:right w:val="single" w:sz="5" w:space="0" w:color="000000"/>
            </w:tcBorders>
            <w:shd w:val="clear" w:color="auto" w:fill="FFFFCC"/>
            <w:vAlign w:val="center"/>
          </w:tcPr>
          <w:p w14:paraId="546639EC"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3206E2AD"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69089F7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Study selection</w:t>
            </w:r>
          </w:p>
        </w:tc>
        <w:tc>
          <w:tcPr>
            <w:tcW w:w="225" w:type="pct"/>
            <w:tcBorders>
              <w:top w:val="single" w:sz="5" w:space="0" w:color="000000"/>
              <w:left w:val="single" w:sz="5" w:space="0" w:color="000000"/>
              <w:bottom w:val="single" w:sz="5" w:space="0" w:color="000000"/>
              <w:right w:val="single" w:sz="5" w:space="0" w:color="000000"/>
            </w:tcBorders>
            <w:vAlign w:val="center"/>
          </w:tcPr>
          <w:p w14:paraId="0ADAE71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17</w:t>
            </w:r>
          </w:p>
        </w:tc>
        <w:tc>
          <w:tcPr>
            <w:tcW w:w="3083" w:type="pct"/>
            <w:tcBorders>
              <w:top w:val="single" w:sz="5" w:space="0" w:color="000000"/>
              <w:left w:val="single" w:sz="5" w:space="0" w:color="000000"/>
              <w:bottom w:val="single" w:sz="5" w:space="0" w:color="000000"/>
              <w:right w:val="single" w:sz="5" w:space="0" w:color="000000"/>
            </w:tcBorders>
            <w:vAlign w:val="center"/>
          </w:tcPr>
          <w:p w14:paraId="0AE0E43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 xml:space="preserve">Give numbers of studies screened, assessed for eligibility, and included in the review, with reasons for exclusions at each stage, ideally with a flow </w:t>
            </w:r>
            <w:r w:rsidRPr="00892A33">
              <w:rPr>
                <w:rFonts w:ascii="Times" w:eastAsia="Times New Roman" w:hAnsi="Times" w:cs="Times"/>
                <w:color w:val="000000"/>
                <w:sz w:val="20"/>
                <w:szCs w:val="20"/>
                <w:lang w:val="en-CA" w:eastAsia="en-CA"/>
              </w:rPr>
              <w:lastRenderedPageBreak/>
              <w:t>diagram.</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709F803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lastRenderedPageBreak/>
              <w:t>5</w:t>
            </w:r>
          </w:p>
        </w:tc>
      </w:tr>
      <w:tr w:rsidR="00892A33" w:rsidRPr="00892A33" w14:paraId="1C0180B2"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4D32C3E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Study characteristics</w:t>
            </w:r>
          </w:p>
        </w:tc>
        <w:tc>
          <w:tcPr>
            <w:tcW w:w="225" w:type="pct"/>
            <w:tcBorders>
              <w:top w:val="single" w:sz="5" w:space="0" w:color="000000"/>
              <w:left w:val="single" w:sz="5" w:space="0" w:color="000000"/>
              <w:bottom w:val="single" w:sz="5" w:space="0" w:color="000000"/>
              <w:right w:val="single" w:sz="5" w:space="0" w:color="000000"/>
            </w:tcBorders>
            <w:vAlign w:val="center"/>
          </w:tcPr>
          <w:p w14:paraId="2F92C34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18</w:t>
            </w:r>
          </w:p>
        </w:tc>
        <w:tc>
          <w:tcPr>
            <w:tcW w:w="3083" w:type="pct"/>
            <w:tcBorders>
              <w:top w:val="single" w:sz="5" w:space="0" w:color="000000"/>
              <w:left w:val="single" w:sz="5" w:space="0" w:color="000000"/>
              <w:bottom w:val="single" w:sz="5" w:space="0" w:color="000000"/>
              <w:right w:val="single" w:sz="5" w:space="0" w:color="000000"/>
            </w:tcBorders>
            <w:vAlign w:val="center"/>
          </w:tcPr>
          <w:p w14:paraId="2C5A110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For each study, present characteristics for which data were extracted (e.g., study size, PICOS, follow-up period) and provide the citations.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164CD12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 eTable 1</w:t>
            </w:r>
          </w:p>
        </w:tc>
      </w:tr>
      <w:tr w:rsidR="00892A33" w:rsidRPr="00892A33" w14:paraId="28F3A045" w14:textId="77777777" w:rsidTr="000C3C27">
        <w:trPr>
          <w:trHeight w:val="333"/>
        </w:trPr>
        <w:tc>
          <w:tcPr>
            <w:tcW w:w="1020" w:type="pct"/>
            <w:tcBorders>
              <w:top w:val="single" w:sz="5" w:space="0" w:color="000000"/>
              <w:left w:val="single" w:sz="5" w:space="0" w:color="000000"/>
              <w:bottom w:val="single" w:sz="5" w:space="0" w:color="000000"/>
              <w:right w:val="single" w:sz="5" w:space="0" w:color="000000"/>
            </w:tcBorders>
            <w:vAlign w:val="center"/>
          </w:tcPr>
          <w:p w14:paraId="00B2DBE0"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Risk of bias within studies</w:t>
            </w:r>
          </w:p>
        </w:tc>
        <w:tc>
          <w:tcPr>
            <w:tcW w:w="225" w:type="pct"/>
            <w:tcBorders>
              <w:top w:val="single" w:sz="5" w:space="0" w:color="000000"/>
              <w:left w:val="single" w:sz="5" w:space="0" w:color="000000"/>
              <w:bottom w:val="single" w:sz="5" w:space="0" w:color="000000"/>
              <w:right w:val="single" w:sz="5" w:space="0" w:color="000000"/>
            </w:tcBorders>
            <w:vAlign w:val="center"/>
          </w:tcPr>
          <w:p w14:paraId="68A9BE1F"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19</w:t>
            </w:r>
          </w:p>
        </w:tc>
        <w:tc>
          <w:tcPr>
            <w:tcW w:w="3083" w:type="pct"/>
            <w:tcBorders>
              <w:top w:val="single" w:sz="5" w:space="0" w:color="000000"/>
              <w:left w:val="single" w:sz="5" w:space="0" w:color="000000"/>
              <w:bottom w:val="single" w:sz="5" w:space="0" w:color="000000"/>
              <w:right w:val="single" w:sz="5" w:space="0" w:color="000000"/>
            </w:tcBorders>
            <w:vAlign w:val="center"/>
          </w:tcPr>
          <w:p w14:paraId="52EF895F"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Present data on risk of bias of each study and, if available, any outcome level assessment (see item 12).</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4A75EC3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5-7, eTable 6, eFigure1</w:t>
            </w:r>
          </w:p>
        </w:tc>
      </w:tr>
      <w:tr w:rsidR="00892A33" w:rsidRPr="00892A33" w14:paraId="0E8D76CA"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255849F0"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Results of individual studies</w:t>
            </w:r>
          </w:p>
        </w:tc>
        <w:tc>
          <w:tcPr>
            <w:tcW w:w="225" w:type="pct"/>
            <w:tcBorders>
              <w:top w:val="single" w:sz="5" w:space="0" w:color="000000"/>
              <w:left w:val="single" w:sz="5" w:space="0" w:color="000000"/>
              <w:bottom w:val="single" w:sz="5" w:space="0" w:color="000000"/>
              <w:right w:val="single" w:sz="5" w:space="0" w:color="000000"/>
            </w:tcBorders>
            <w:vAlign w:val="center"/>
          </w:tcPr>
          <w:p w14:paraId="471951FB"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20</w:t>
            </w:r>
          </w:p>
        </w:tc>
        <w:tc>
          <w:tcPr>
            <w:tcW w:w="3083" w:type="pct"/>
            <w:tcBorders>
              <w:top w:val="single" w:sz="5" w:space="0" w:color="000000"/>
              <w:left w:val="single" w:sz="5" w:space="0" w:color="000000"/>
              <w:bottom w:val="single" w:sz="5" w:space="0" w:color="000000"/>
              <w:right w:val="single" w:sz="5" w:space="0" w:color="000000"/>
            </w:tcBorders>
            <w:vAlign w:val="center"/>
          </w:tcPr>
          <w:p w14:paraId="316AE333"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For all outcomes considered (benefits or harms), present, for each study: (a) simple summary data for each intervention group (b) effect estimates and confidence intervals, ideally with a forest plot.</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6C9AED46"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5, figure 2 to 5</w:t>
            </w:r>
          </w:p>
        </w:tc>
      </w:tr>
      <w:tr w:rsidR="00892A33" w:rsidRPr="00892A33" w14:paraId="30A7FC7C" w14:textId="77777777" w:rsidTr="000C3C27">
        <w:trPr>
          <w:trHeight w:val="335"/>
        </w:trPr>
        <w:tc>
          <w:tcPr>
            <w:tcW w:w="1020" w:type="pct"/>
            <w:tcBorders>
              <w:top w:val="single" w:sz="5" w:space="0" w:color="000000"/>
              <w:left w:val="single" w:sz="5" w:space="0" w:color="000000"/>
              <w:bottom w:val="single" w:sz="5" w:space="0" w:color="000000"/>
              <w:right w:val="single" w:sz="5" w:space="0" w:color="000000"/>
            </w:tcBorders>
            <w:vAlign w:val="center"/>
          </w:tcPr>
          <w:p w14:paraId="6412EDA3"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Synthesis of results</w:t>
            </w:r>
          </w:p>
        </w:tc>
        <w:tc>
          <w:tcPr>
            <w:tcW w:w="225" w:type="pct"/>
            <w:tcBorders>
              <w:top w:val="single" w:sz="5" w:space="0" w:color="000000"/>
              <w:left w:val="single" w:sz="5" w:space="0" w:color="000000"/>
              <w:bottom w:val="single" w:sz="5" w:space="0" w:color="000000"/>
              <w:right w:val="single" w:sz="5" w:space="0" w:color="000000"/>
            </w:tcBorders>
            <w:vAlign w:val="center"/>
          </w:tcPr>
          <w:p w14:paraId="45336047"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21</w:t>
            </w:r>
          </w:p>
        </w:tc>
        <w:tc>
          <w:tcPr>
            <w:tcW w:w="3083" w:type="pct"/>
            <w:tcBorders>
              <w:top w:val="single" w:sz="5" w:space="0" w:color="000000"/>
              <w:left w:val="single" w:sz="5" w:space="0" w:color="000000"/>
              <w:bottom w:val="single" w:sz="5" w:space="0" w:color="000000"/>
              <w:right w:val="single" w:sz="5" w:space="0" w:color="000000"/>
            </w:tcBorders>
            <w:vAlign w:val="center"/>
          </w:tcPr>
          <w:p w14:paraId="5F016A5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Present results of each meta-analysis done, including confidence intervals and measures of consistency.</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545A8B8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 xml:space="preserve">5, figure 2, 4 </w:t>
            </w:r>
          </w:p>
        </w:tc>
      </w:tr>
      <w:tr w:rsidR="00892A33" w:rsidRPr="00892A33" w14:paraId="2C5AAEA0" w14:textId="77777777" w:rsidTr="000C3C27">
        <w:trPr>
          <w:trHeight w:val="333"/>
        </w:trPr>
        <w:tc>
          <w:tcPr>
            <w:tcW w:w="1020" w:type="pct"/>
            <w:tcBorders>
              <w:top w:val="single" w:sz="5" w:space="0" w:color="000000"/>
              <w:left w:val="single" w:sz="5" w:space="0" w:color="000000"/>
              <w:bottom w:val="single" w:sz="5" w:space="0" w:color="000000"/>
              <w:right w:val="single" w:sz="5" w:space="0" w:color="000000"/>
            </w:tcBorders>
            <w:vAlign w:val="center"/>
          </w:tcPr>
          <w:p w14:paraId="378DE23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Risk of bias across studies</w:t>
            </w:r>
          </w:p>
        </w:tc>
        <w:tc>
          <w:tcPr>
            <w:tcW w:w="225" w:type="pct"/>
            <w:tcBorders>
              <w:top w:val="single" w:sz="5" w:space="0" w:color="000000"/>
              <w:left w:val="single" w:sz="5" w:space="0" w:color="000000"/>
              <w:bottom w:val="single" w:sz="5" w:space="0" w:color="000000"/>
              <w:right w:val="single" w:sz="5" w:space="0" w:color="000000"/>
            </w:tcBorders>
            <w:vAlign w:val="center"/>
          </w:tcPr>
          <w:p w14:paraId="592CF2AF"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22</w:t>
            </w:r>
          </w:p>
        </w:tc>
        <w:tc>
          <w:tcPr>
            <w:tcW w:w="3083" w:type="pct"/>
            <w:tcBorders>
              <w:top w:val="single" w:sz="5" w:space="0" w:color="000000"/>
              <w:left w:val="single" w:sz="5" w:space="0" w:color="000000"/>
              <w:bottom w:val="single" w:sz="5" w:space="0" w:color="000000"/>
              <w:right w:val="single" w:sz="5" w:space="0" w:color="000000"/>
            </w:tcBorders>
            <w:vAlign w:val="center"/>
          </w:tcPr>
          <w:p w14:paraId="2C670A1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Present results of any assessment of risk of bias across studies (see Item 15).</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07FA675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7, eTable 6, eFigure 1</w:t>
            </w:r>
          </w:p>
        </w:tc>
      </w:tr>
      <w:tr w:rsidR="00892A33" w:rsidRPr="00892A33" w14:paraId="02EFEC1D" w14:textId="77777777" w:rsidTr="000C3C27">
        <w:trPr>
          <w:trHeight w:val="393"/>
        </w:trPr>
        <w:tc>
          <w:tcPr>
            <w:tcW w:w="1020" w:type="pct"/>
            <w:tcBorders>
              <w:top w:val="single" w:sz="5" w:space="0" w:color="000000"/>
              <w:left w:val="single" w:sz="5" w:space="0" w:color="000000"/>
              <w:bottom w:val="double" w:sz="2" w:space="0" w:color="FFFFCC"/>
              <w:right w:val="single" w:sz="5" w:space="0" w:color="000000"/>
            </w:tcBorders>
            <w:vAlign w:val="center"/>
          </w:tcPr>
          <w:p w14:paraId="2DE9F0F0"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Additional analysis</w:t>
            </w:r>
          </w:p>
        </w:tc>
        <w:tc>
          <w:tcPr>
            <w:tcW w:w="225" w:type="pct"/>
            <w:tcBorders>
              <w:top w:val="single" w:sz="5" w:space="0" w:color="000000"/>
              <w:left w:val="single" w:sz="5" w:space="0" w:color="000000"/>
              <w:bottom w:val="double" w:sz="2" w:space="0" w:color="FFFFCC"/>
              <w:right w:val="single" w:sz="5" w:space="0" w:color="000000"/>
            </w:tcBorders>
            <w:vAlign w:val="center"/>
          </w:tcPr>
          <w:p w14:paraId="02CD059A"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23</w:t>
            </w:r>
          </w:p>
        </w:tc>
        <w:tc>
          <w:tcPr>
            <w:tcW w:w="3083" w:type="pct"/>
            <w:tcBorders>
              <w:top w:val="single" w:sz="5" w:space="0" w:color="000000"/>
              <w:left w:val="single" w:sz="5" w:space="0" w:color="000000"/>
              <w:bottom w:val="double" w:sz="5" w:space="0" w:color="000000"/>
              <w:right w:val="single" w:sz="5" w:space="0" w:color="000000"/>
            </w:tcBorders>
            <w:vAlign w:val="center"/>
          </w:tcPr>
          <w:p w14:paraId="0E5C9354"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Give results of additional analyses, if done (e.g., sensitivity or subgroup analyses, meta-regression [see Item 16]).</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108CC1B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6,7, eFigure 2-8</w:t>
            </w:r>
          </w:p>
        </w:tc>
      </w:tr>
      <w:tr w:rsidR="00892A33" w:rsidRPr="00892A33" w14:paraId="67C6E09A" w14:textId="77777777" w:rsidTr="000C3C27">
        <w:trPr>
          <w:trHeight w:val="335"/>
        </w:trPr>
        <w:tc>
          <w:tcPr>
            <w:tcW w:w="4328"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4941C038"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DISCUSSION</w:t>
            </w:r>
          </w:p>
        </w:tc>
        <w:tc>
          <w:tcPr>
            <w:tcW w:w="672" w:type="pct"/>
            <w:gridSpan w:val="2"/>
            <w:tcBorders>
              <w:top w:val="double" w:sz="5" w:space="0" w:color="000000"/>
              <w:left w:val="single" w:sz="5" w:space="0" w:color="000000"/>
              <w:bottom w:val="single" w:sz="5" w:space="0" w:color="000000"/>
              <w:right w:val="single" w:sz="5" w:space="0" w:color="000000"/>
            </w:tcBorders>
            <w:shd w:val="clear" w:color="auto" w:fill="FFFFCC"/>
            <w:vAlign w:val="center"/>
          </w:tcPr>
          <w:p w14:paraId="7A77FA36"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79D27EEC"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53A35ED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Summary of evidence</w:t>
            </w:r>
          </w:p>
        </w:tc>
        <w:tc>
          <w:tcPr>
            <w:tcW w:w="225" w:type="pct"/>
            <w:tcBorders>
              <w:top w:val="single" w:sz="5" w:space="0" w:color="000000"/>
              <w:left w:val="single" w:sz="5" w:space="0" w:color="000000"/>
              <w:bottom w:val="single" w:sz="5" w:space="0" w:color="000000"/>
              <w:right w:val="single" w:sz="5" w:space="0" w:color="000000"/>
            </w:tcBorders>
            <w:vAlign w:val="center"/>
          </w:tcPr>
          <w:p w14:paraId="3D7B4C3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24</w:t>
            </w:r>
          </w:p>
        </w:tc>
        <w:tc>
          <w:tcPr>
            <w:tcW w:w="3083" w:type="pct"/>
            <w:tcBorders>
              <w:top w:val="single" w:sz="5" w:space="0" w:color="000000"/>
              <w:left w:val="single" w:sz="5" w:space="0" w:color="000000"/>
              <w:bottom w:val="single" w:sz="5" w:space="0" w:color="000000"/>
              <w:right w:val="single" w:sz="5" w:space="0" w:color="000000"/>
            </w:tcBorders>
            <w:vAlign w:val="center"/>
          </w:tcPr>
          <w:p w14:paraId="3E2753C3"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Summarize the main findings including the strength of evidence for each main outcome; consider their relevance to key groups (e.g., healthcare providers, users, and policy makers).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05C536C3"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7,8</w:t>
            </w:r>
          </w:p>
        </w:tc>
      </w:tr>
      <w:tr w:rsidR="00892A33" w:rsidRPr="00892A33" w14:paraId="60C8649E" w14:textId="77777777" w:rsidTr="000C3C27">
        <w:trPr>
          <w:trHeight w:val="578"/>
        </w:trPr>
        <w:tc>
          <w:tcPr>
            <w:tcW w:w="1020" w:type="pct"/>
            <w:tcBorders>
              <w:top w:val="single" w:sz="5" w:space="0" w:color="000000"/>
              <w:left w:val="single" w:sz="5" w:space="0" w:color="000000"/>
              <w:bottom w:val="single" w:sz="5" w:space="0" w:color="000000"/>
              <w:right w:val="single" w:sz="5" w:space="0" w:color="000000"/>
            </w:tcBorders>
            <w:vAlign w:val="center"/>
          </w:tcPr>
          <w:p w14:paraId="1B5C2AC2"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Limitations</w:t>
            </w:r>
          </w:p>
        </w:tc>
        <w:tc>
          <w:tcPr>
            <w:tcW w:w="225" w:type="pct"/>
            <w:tcBorders>
              <w:top w:val="single" w:sz="5" w:space="0" w:color="000000"/>
              <w:left w:val="single" w:sz="5" w:space="0" w:color="000000"/>
              <w:bottom w:val="single" w:sz="5" w:space="0" w:color="000000"/>
              <w:right w:val="single" w:sz="5" w:space="0" w:color="000000"/>
            </w:tcBorders>
            <w:vAlign w:val="center"/>
          </w:tcPr>
          <w:p w14:paraId="39E1143E"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25</w:t>
            </w:r>
          </w:p>
        </w:tc>
        <w:tc>
          <w:tcPr>
            <w:tcW w:w="3083" w:type="pct"/>
            <w:tcBorders>
              <w:top w:val="single" w:sz="5" w:space="0" w:color="000000"/>
              <w:left w:val="single" w:sz="5" w:space="0" w:color="000000"/>
              <w:bottom w:val="single" w:sz="5" w:space="0" w:color="000000"/>
              <w:right w:val="single" w:sz="5" w:space="0" w:color="000000"/>
            </w:tcBorders>
            <w:vAlign w:val="center"/>
          </w:tcPr>
          <w:p w14:paraId="0AD2581B"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Discuss limitations at study and outcome level (e.g., risk of bias), and at review-level (e.g., incomplete retrieval of identified research, reporting bias).</w:t>
            </w:r>
          </w:p>
        </w:tc>
        <w:tc>
          <w:tcPr>
            <w:tcW w:w="672" w:type="pct"/>
            <w:gridSpan w:val="2"/>
            <w:tcBorders>
              <w:top w:val="single" w:sz="5" w:space="0" w:color="000000"/>
              <w:left w:val="single" w:sz="5" w:space="0" w:color="000000"/>
              <w:bottom w:val="single" w:sz="5" w:space="0" w:color="000000"/>
              <w:right w:val="single" w:sz="5" w:space="0" w:color="000000"/>
            </w:tcBorders>
            <w:vAlign w:val="center"/>
          </w:tcPr>
          <w:p w14:paraId="428AC58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9</w:t>
            </w:r>
          </w:p>
        </w:tc>
      </w:tr>
      <w:tr w:rsidR="00892A33" w:rsidRPr="00892A33" w14:paraId="22105405" w14:textId="77777777" w:rsidTr="000C3C27">
        <w:trPr>
          <w:trHeight w:val="420"/>
        </w:trPr>
        <w:tc>
          <w:tcPr>
            <w:tcW w:w="1020" w:type="pct"/>
            <w:tcBorders>
              <w:top w:val="single" w:sz="5" w:space="0" w:color="000000"/>
              <w:left w:val="single" w:sz="5" w:space="0" w:color="000000"/>
              <w:bottom w:val="double" w:sz="2" w:space="0" w:color="FFFFCC"/>
              <w:right w:val="single" w:sz="5" w:space="0" w:color="000000"/>
            </w:tcBorders>
            <w:vAlign w:val="center"/>
          </w:tcPr>
          <w:p w14:paraId="02C8F16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Conclusions</w:t>
            </w:r>
          </w:p>
        </w:tc>
        <w:tc>
          <w:tcPr>
            <w:tcW w:w="225" w:type="pct"/>
            <w:tcBorders>
              <w:top w:val="single" w:sz="5" w:space="0" w:color="000000"/>
              <w:left w:val="single" w:sz="5" w:space="0" w:color="000000"/>
              <w:bottom w:val="double" w:sz="2" w:space="0" w:color="FFFFCC"/>
              <w:right w:val="single" w:sz="5" w:space="0" w:color="000000"/>
            </w:tcBorders>
            <w:vAlign w:val="center"/>
          </w:tcPr>
          <w:p w14:paraId="71E25E8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26</w:t>
            </w:r>
          </w:p>
        </w:tc>
        <w:tc>
          <w:tcPr>
            <w:tcW w:w="3083" w:type="pct"/>
            <w:tcBorders>
              <w:top w:val="single" w:sz="5" w:space="0" w:color="000000"/>
              <w:left w:val="single" w:sz="5" w:space="0" w:color="000000"/>
              <w:bottom w:val="double" w:sz="5" w:space="0" w:color="000000"/>
              <w:right w:val="single" w:sz="5" w:space="0" w:color="000000"/>
            </w:tcBorders>
            <w:vAlign w:val="center"/>
          </w:tcPr>
          <w:p w14:paraId="1452286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Provide a general interpretation of the results in the context of other evidence, and implications for future research.</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2EE4FED1"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9</w:t>
            </w:r>
          </w:p>
        </w:tc>
      </w:tr>
      <w:tr w:rsidR="00892A33" w:rsidRPr="00892A33" w14:paraId="309433EE" w14:textId="77777777" w:rsidTr="000C3C27">
        <w:trPr>
          <w:trHeight w:val="333"/>
        </w:trPr>
        <w:tc>
          <w:tcPr>
            <w:tcW w:w="4328" w:type="pct"/>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7741137" w14:textId="77777777" w:rsidR="00892A33" w:rsidRPr="00892A33" w:rsidRDefault="00892A33" w:rsidP="00892A33">
            <w:pPr>
              <w:widowControl w:val="0"/>
              <w:autoSpaceDE w:val="0"/>
              <w:autoSpaceDN w:val="0"/>
              <w:adjustRightInd w:val="0"/>
              <w:jc w:val="center"/>
              <w:rPr>
                <w:rFonts w:ascii="Times" w:eastAsia="Times New Roman" w:hAnsi="Times" w:cs="Times"/>
                <w:color w:val="000000"/>
                <w:sz w:val="22"/>
                <w:szCs w:val="22"/>
                <w:lang w:val="en-CA" w:eastAsia="en-CA"/>
              </w:rPr>
            </w:pPr>
            <w:r w:rsidRPr="00892A33">
              <w:rPr>
                <w:rFonts w:ascii="Times" w:eastAsia="Times New Roman" w:hAnsi="Times" w:cs="Times"/>
                <w:b/>
                <w:bCs/>
                <w:color w:val="000000"/>
                <w:sz w:val="22"/>
                <w:szCs w:val="22"/>
                <w:lang w:val="en-CA" w:eastAsia="en-CA"/>
              </w:rPr>
              <w:t>FUNDING</w:t>
            </w:r>
          </w:p>
        </w:tc>
        <w:tc>
          <w:tcPr>
            <w:tcW w:w="672" w:type="pct"/>
            <w:gridSpan w:val="2"/>
            <w:tcBorders>
              <w:top w:val="double" w:sz="5" w:space="0" w:color="000000"/>
              <w:left w:val="single" w:sz="5" w:space="0" w:color="000000"/>
              <w:bottom w:val="single" w:sz="5" w:space="0" w:color="000000"/>
              <w:right w:val="single" w:sz="5" w:space="0" w:color="000000"/>
            </w:tcBorders>
            <w:shd w:val="clear" w:color="auto" w:fill="FFFFCC"/>
            <w:vAlign w:val="center"/>
          </w:tcPr>
          <w:p w14:paraId="6AC55D2B" w14:textId="77777777" w:rsidR="00892A33" w:rsidRPr="00892A33" w:rsidRDefault="00892A33" w:rsidP="00892A33">
            <w:pPr>
              <w:widowControl w:val="0"/>
              <w:autoSpaceDE w:val="0"/>
              <w:autoSpaceDN w:val="0"/>
              <w:adjustRightInd w:val="0"/>
              <w:jc w:val="center"/>
              <w:rPr>
                <w:rFonts w:ascii="Times" w:eastAsia="Times New Roman" w:hAnsi="Times" w:cs="Times"/>
                <w:lang w:val="en-CA" w:eastAsia="en-CA"/>
              </w:rPr>
            </w:pPr>
          </w:p>
        </w:tc>
      </w:tr>
      <w:tr w:rsidR="00892A33" w:rsidRPr="00892A33" w14:paraId="42142A52" w14:textId="77777777" w:rsidTr="000C3C27">
        <w:trPr>
          <w:trHeight w:val="570"/>
        </w:trPr>
        <w:tc>
          <w:tcPr>
            <w:tcW w:w="1020" w:type="pct"/>
            <w:tcBorders>
              <w:top w:val="single" w:sz="5" w:space="0" w:color="000000"/>
              <w:left w:val="single" w:sz="5" w:space="0" w:color="000000"/>
              <w:bottom w:val="double" w:sz="5" w:space="0" w:color="000000"/>
              <w:right w:val="single" w:sz="5" w:space="0" w:color="000000"/>
            </w:tcBorders>
            <w:vAlign w:val="center"/>
          </w:tcPr>
          <w:p w14:paraId="40990E4C"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Funding</w:t>
            </w:r>
          </w:p>
        </w:tc>
        <w:tc>
          <w:tcPr>
            <w:tcW w:w="225" w:type="pct"/>
            <w:tcBorders>
              <w:top w:val="single" w:sz="5" w:space="0" w:color="000000"/>
              <w:left w:val="single" w:sz="5" w:space="0" w:color="000000"/>
              <w:bottom w:val="double" w:sz="5" w:space="0" w:color="000000"/>
              <w:right w:val="single" w:sz="5" w:space="0" w:color="000000"/>
            </w:tcBorders>
            <w:vAlign w:val="center"/>
          </w:tcPr>
          <w:p w14:paraId="4AC65579"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27</w:t>
            </w:r>
          </w:p>
        </w:tc>
        <w:tc>
          <w:tcPr>
            <w:tcW w:w="3083" w:type="pct"/>
            <w:tcBorders>
              <w:top w:val="single" w:sz="5" w:space="0" w:color="000000"/>
              <w:left w:val="single" w:sz="5" w:space="0" w:color="000000"/>
              <w:bottom w:val="double" w:sz="5" w:space="0" w:color="000000"/>
              <w:right w:val="single" w:sz="5" w:space="0" w:color="000000"/>
            </w:tcBorders>
            <w:vAlign w:val="center"/>
          </w:tcPr>
          <w:p w14:paraId="35C9D0F5"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color w:val="000000"/>
                <w:sz w:val="20"/>
                <w:szCs w:val="20"/>
                <w:lang w:val="en-CA" w:eastAsia="en-CA"/>
              </w:rPr>
            </w:pPr>
            <w:r w:rsidRPr="00892A33">
              <w:rPr>
                <w:rFonts w:ascii="Times" w:eastAsia="Times New Roman" w:hAnsi="Times" w:cs="Times"/>
                <w:color w:val="000000"/>
                <w:sz w:val="20"/>
                <w:szCs w:val="20"/>
                <w:lang w:val="en-CA" w:eastAsia="en-CA"/>
              </w:rPr>
              <w:t>Describe sources of funding for the systematic review and other support (e.g., supply of data); role of funders for the systematic review.</w:t>
            </w:r>
          </w:p>
        </w:tc>
        <w:tc>
          <w:tcPr>
            <w:tcW w:w="672" w:type="pct"/>
            <w:gridSpan w:val="2"/>
            <w:tcBorders>
              <w:top w:val="single" w:sz="5" w:space="0" w:color="000000"/>
              <w:left w:val="single" w:sz="5" w:space="0" w:color="000000"/>
              <w:bottom w:val="double" w:sz="5" w:space="0" w:color="000000"/>
              <w:right w:val="single" w:sz="5" w:space="0" w:color="000000"/>
            </w:tcBorders>
            <w:vAlign w:val="center"/>
          </w:tcPr>
          <w:p w14:paraId="1A622438" w14:textId="77777777" w:rsidR="00892A33" w:rsidRPr="00892A33" w:rsidRDefault="00892A33" w:rsidP="00892A33">
            <w:pPr>
              <w:widowControl w:val="0"/>
              <w:autoSpaceDE w:val="0"/>
              <w:autoSpaceDN w:val="0"/>
              <w:adjustRightInd w:val="0"/>
              <w:spacing w:before="40" w:after="40"/>
              <w:jc w:val="center"/>
              <w:rPr>
                <w:rFonts w:ascii="Times" w:eastAsia="Times New Roman" w:hAnsi="Times" w:cs="Times"/>
                <w:lang w:val="en-CA" w:eastAsia="en-CA"/>
              </w:rPr>
            </w:pPr>
            <w:r w:rsidRPr="00892A33">
              <w:rPr>
                <w:rFonts w:ascii="Times" w:eastAsia="Times New Roman" w:hAnsi="Times" w:cs="Times"/>
                <w:lang w:val="en-CA" w:eastAsia="en-CA"/>
              </w:rPr>
              <w:t>9</w:t>
            </w:r>
          </w:p>
        </w:tc>
      </w:tr>
    </w:tbl>
    <w:p w14:paraId="1AA86B8D" w14:textId="77777777" w:rsidR="00892A33" w:rsidRPr="00892A33" w:rsidRDefault="00892A33" w:rsidP="00892A33">
      <w:pPr>
        <w:widowControl w:val="0"/>
        <w:autoSpaceDE w:val="0"/>
        <w:autoSpaceDN w:val="0"/>
        <w:adjustRightInd w:val="0"/>
        <w:spacing w:line="183" w:lineRule="atLeast"/>
        <w:jc w:val="both"/>
        <w:rPr>
          <w:rFonts w:ascii="Calibri" w:eastAsia="Times New Roman" w:hAnsi="Calibri" w:cs="Calibri"/>
          <w:color w:val="000000"/>
          <w:lang w:val="en-CA" w:eastAsia="en-CA"/>
        </w:rPr>
      </w:pPr>
      <w:r w:rsidRPr="00892A33">
        <w:rPr>
          <w:rFonts w:ascii="Times" w:eastAsia="Times New Roman" w:hAnsi="Times" w:cs="Times"/>
          <w:i/>
          <w:iCs/>
          <w:sz w:val="16"/>
          <w:szCs w:val="16"/>
          <w:lang w:val="en-CA" w:eastAsia="en-CA"/>
        </w:rPr>
        <w:t xml:space="preserve">From: </w:t>
      </w:r>
      <w:r w:rsidRPr="00892A33">
        <w:rPr>
          <w:rFonts w:ascii="Times" w:eastAsia="Times New Roman" w:hAnsi="Times" w:cs="Times"/>
          <w:sz w:val="16"/>
          <w:szCs w:val="16"/>
          <w:lang w:val="en-CA" w:eastAsia="en-CA"/>
        </w:rPr>
        <w:t xml:space="preserve"> Moher D, Liberati A, Tetzlaff J, Altman DG, The PRISMA Group (2009). Preferred Reporting Items for Systematic Reviews and Meta-Analyses: The PRISMA Statement. </w:t>
      </w:r>
      <w:r w:rsidRPr="00892A33">
        <w:rPr>
          <w:rFonts w:ascii="Times" w:eastAsia="Times New Roman" w:hAnsi="Times" w:cs="Times"/>
          <w:sz w:val="16"/>
          <w:szCs w:val="16"/>
          <w:lang w:val="da-DK" w:eastAsia="en-CA"/>
        </w:rPr>
        <w:t xml:space="preserve">PLoS Med 6(7): e1000097. doi:10.1371/journal.pmed1000097 </w:t>
      </w:r>
    </w:p>
    <w:p w14:paraId="4A32B8F1" w14:textId="77777777" w:rsidR="00892A33" w:rsidRPr="00892A33" w:rsidRDefault="00892A33" w:rsidP="00892A33">
      <w:pPr>
        <w:spacing w:after="160" w:line="259" w:lineRule="auto"/>
        <w:rPr>
          <w:rFonts w:ascii="Calibri" w:eastAsia="Calibri" w:hAnsi="Calibri" w:cs="Times New Roman"/>
          <w:b/>
          <w:bCs/>
          <w:sz w:val="22"/>
          <w:szCs w:val="22"/>
        </w:rPr>
      </w:pPr>
    </w:p>
    <w:p w14:paraId="16EDE2A6" w14:textId="77777777" w:rsidR="00892A33" w:rsidRPr="00892A33" w:rsidRDefault="00892A33" w:rsidP="00755272">
      <w:pPr>
        <w:pStyle w:val="Heading1"/>
      </w:pPr>
      <w:r w:rsidRPr="00892A33">
        <w:br w:type="page"/>
      </w:r>
      <w:r w:rsidRPr="00892A33">
        <w:lastRenderedPageBreak/>
        <w:t>eTable 2. MOOSE Checklist for Meta-analyses of Observational studies</w:t>
      </w:r>
      <w:r w:rsidRPr="00892A33">
        <w:fldChar w:fldCharType="begin" w:fldLock="1"/>
      </w:r>
      <w:r w:rsidRPr="00892A33">
        <w:instrText>ADDIN CSL_CITATION {"citationItems":[{"id":"ITEM-1","itemData":{"DOI":"10.1001/jama.283.15.2008","ISSN":"00987484","PMID":"10789670","abstract":"Objective: Because of the pressure for timely, informed decisions in public health and clinical practice and the explosion of information in the scientific literature, research results must be synthesized. Meta-analyses are increasingly used to address this problem, and they often evaluate observational studies. A workshop was held in Atlanta, Ga, in April 1997, to examine the reporting of meta-analyses of observational studies and to make recommendations to aid authors, reviewers, editors, and readers. Participants: Twenty-seven participants were selected by a steering committee, based on expertise in clinical practice, trials, statistics, epidemiology, social sciences, and biomedical editing. Deliberations of the workshop were open to other interested scientists. Funding for this activity was provided by the Centers for Disease Control and Prevention. Evidence: We conducted a systematic review of the published literature on the conduct and reporting of meta-analyses in observational studies using MEDLINE, Educational Research Information Center (ERIC), PsycLIT, and the Current Index to Statistics. We also examined reference lists of the 32 studies retrieved and contacted experts in the field. Participants were assigned to small-group discussions on the subjects of bias, searching and abstracting, heterogeneity, study categorization, and statistical methods. Consensus Process: From the material presented at the workshop, the authors developed a checklist summarizing recommendations for reporting meta-analyses of observational studies. The checklist and supporting evidence were circulated to all conference attendees and additional experts. All suggestions for revisions were addressed. Conclusions: The proposed checklist contains specifications for reporting of meta-analyses of observational studies in epidemiology, including background, search strategy, methods, results, discussion, and conclusion. Use of the checklist should improve the usefulness of meta-analyses for authors, reviewers, editors, readers, and decision makers. An evaluation plan is suggested and research areas are explored.","author":[{"dropping-particle":"","family":"Stroup","given":"Donna F.","non-dropping-particle":"","parse-names":false,"suffix":""},{"dropping-particle":"","family":"Berlin","given":"Jesse A.","non-dropping-particle":"","parse-names":false,"suffix":""},{"dropping-particle":"","family":"Morton","given":"Sally C.","non-dropping-particle":"","parse-names":false,"suffix":""},{"dropping-particle":"","family":"Olkin","given":"Ingram","non-dropping-particle":"","parse-names":false,"suffix":""},{"dropping-particle":"","family":"Williamson","given":"G. David","non-dropping-particle":"","parse-names":false,"suffix":""},{"dropping-particle":"","family":"Rennie","given":"Drummond","non-dropping-particle":"","parse-names":false,"suffix":""},{"dropping-particle":"","family":"Moher","given":"David","non-dropping-particle":"","parse-names":false,"suffix":""},{"dropping-particle":"","family":"Becker","given":"Betsy J.","non-dropping-particle":"","parse-names":false,"suffix":""},{"dropping-particle":"","family":"Sipe","given":"Theresa Ann","non-dropping-particle":"","parse-names":false,"suffix":""},{"dropping-particle":"","family":"Thacker","given":"Stephen B.","non-dropping-particle":"","parse-names":false,"suffix":""}],"container-title":"Journal of the American Medical Association","id":"ITEM-1","issue":"15","issued":{"date-parts":[["2000","4"]]},"page":"2008-2012","publisher":"American Medical Association","title":"Meta-analysis of observational studies in epidemiology: A proposal for reporting","type":"article-journal","volume":"283"},"uris":["http://www.mendeley.com/documents/?uuid=8146a82a-b198-450a-9856-98bc30b617df"]}],"mendeley":{"formattedCitation":"(Stroup et al., 2000)","plainTextFormattedCitation":"(Stroup et al., 2000)","previouslyFormattedCitation":"(Stroup et al., 2000)"},"properties":{"noteIndex":0},"schema":"https://github.com/citation-style-language/schema/raw/master/csl-citation.json"}</w:instrText>
      </w:r>
      <w:r w:rsidRPr="00892A33">
        <w:fldChar w:fldCharType="separate"/>
      </w:r>
      <w:r w:rsidRPr="00892A33">
        <w:rPr>
          <w:noProof/>
        </w:rPr>
        <w:t>(Stroup et al., 2000)</w:t>
      </w:r>
      <w:r w:rsidRPr="00892A33">
        <w:fldChar w:fldCharType="end"/>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162"/>
        <w:gridCol w:w="8062"/>
        <w:gridCol w:w="1232"/>
      </w:tblGrid>
      <w:tr w:rsidR="00892A33" w:rsidRPr="00892A33" w14:paraId="32A11E25" w14:textId="77777777" w:rsidTr="000C3C27">
        <w:trPr>
          <w:trHeight w:val="691"/>
        </w:trPr>
        <w:tc>
          <w:tcPr>
            <w:tcW w:w="556" w:type="pct"/>
            <w:shd w:val="clear" w:color="auto" w:fill="D9D9D9"/>
            <w:vAlign w:val="center"/>
          </w:tcPr>
          <w:p w14:paraId="3F1CBFC3" w14:textId="77777777" w:rsidR="00892A33" w:rsidRPr="00892A33" w:rsidRDefault="00892A33" w:rsidP="00892A33">
            <w:pPr>
              <w:widowControl w:val="0"/>
              <w:autoSpaceDE w:val="0"/>
              <w:autoSpaceDN w:val="0"/>
              <w:spacing w:before="6"/>
              <w:jc w:val="center"/>
              <w:rPr>
                <w:rFonts w:ascii="Arial" w:eastAsia="Arial" w:hAnsi="Arial" w:cs="Arial"/>
                <w:b/>
                <w:sz w:val="19"/>
                <w:szCs w:val="22"/>
                <w:lang w:val="en-US"/>
              </w:rPr>
            </w:pPr>
          </w:p>
          <w:p w14:paraId="4CF5844A" w14:textId="77777777" w:rsidR="00892A33" w:rsidRPr="00892A33" w:rsidRDefault="00892A33" w:rsidP="00892A33">
            <w:pPr>
              <w:widowControl w:val="0"/>
              <w:autoSpaceDE w:val="0"/>
              <w:autoSpaceDN w:val="0"/>
              <w:spacing w:before="1"/>
              <w:ind w:left="203" w:right="200"/>
              <w:jc w:val="center"/>
              <w:rPr>
                <w:rFonts w:ascii="Arial" w:eastAsia="Arial" w:hAnsi="Arial" w:cs="Arial"/>
                <w:b/>
                <w:sz w:val="20"/>
                <w:szCs w:val="22"/>
                <w:lang w:val="en-US"/>
              </w:rPr>
            </w:pPr>
            <w:r w:rsidRPr="00892A33">
              <w:rPr>
                <w:rFonts w:ascii="Arial" w:eastAsia="Arial" w:hAnsi="Arial" w:cs="Arial"/>
                <w:b/>
                <w:sz w:val="20"/>
                <w:szCs w:val="22"/>
                <w:lang w:val="en-US"/>
              </w:rPr>
              <w:t>Item No</w:t>
            </w:r>
          </w:p>
        </w:tc>
        <w:tc>
          <w:tcPr>
            <w:tcW w:w="3855" w:type="pct"/>
            <w:shd w:val="clear" w:color="auto" w:fill="D9D9D9"/>
            <w:vAlign w:val="center"/>
          </w:tcPr>
          <w:p w14:paraId="01E0ECAB" w14:textId="77777777" w:rsidR="00892A33" w:rsidRPr="00892A33" w:rsidRDefault="00892A33" w:rsidP="00892A33">
            <w:pPr>
              <w:widowControl w:val="0"/>
              <w:autoSpaceDE w:val="0"/>
              <w:autoSpaceDN w:val="0"/>
              <w:spacing w:before="6"/>
              <w:jc w:val="center"/>
              <w:rPr>
                <w:rFonts w:ascii="Arial" w:eastAsia="Arial" w:hAnsi="Arial" w:cs="Arial"/>
                <w:b/>
                <w:sz w:val="19"/>
                <w:szCs w:val="22"/>
                <w:lang w:val="en-US"/>
              </w:rPr>
            </w:pPr>
          </w:p>
          <w:p w14:paraId="2CE4112C" w14:textId="77777777" w:rsidR="00892A33" w:rsidRPr="00892A33" w:rsidRDefault="00892A33" w:rsidP="00892A33">
            <w:pPr>
              <w:widowControl w:val="0"/>
              <w:autoSpaceDE w:val="0"/>
              <w:autoSpaceDN w:val="0"/>
              <w:spacing w:before="1"/>
              <w:ind w:left="3190" w:right="3182"/>
              <w:jc w:val="center"/>
              <w:rPr>
                <w:rFonts w:ascii="Arial" w:eastAsia="Arial" w:hAnsi="Arial" w:cs="Arial"/>
                <w:b/>
                <w:sz w:val="20"/>
                <w:szCs w:val="22"/>
                <w:lang w:val="en-US"/>
              </w:rPr>
            </w:pPr>
            <w:r w:rsidRPr="00892A33">
              <w:rPr>
                <w:rFonts w:ascii="Arial" w:eastAsia="Arial" w:hAnsi="Arial" w:cs="Arial"/>
                <w:b/>
                <w:sz w:val="20"/>
                <w:szCs w:val="22"/>
                <w:lang w:val="en-US"/>
              </w:rPr>
              <w:t>Recommendation</w:t>
            </w:r>
          </w:p>
        </w:tc>
        <w:tc>
          <w:tcPr>
            <w:tcW w:w="589" w:type="pct"/>
            <w:shd w:val="clear" w:color="auto" w:fill="D9D9D9"/>
            <w:vAlign w:val="center"/>
          </w:tcPr>
          <w:p w14:paraId="44738F8A" w14:textId="77777777" w:rsidR="00892A33" w:rsidRPr="00892A33" w:rsidRDefault="00892A33" w:rsidP="00892A33">
            <w:pPr>
              <w:widowControl w:val="0"/>
              <w:autoSpaceDE w:val="0"/>
              <w:autoSpaceDN w:val="0"/>
              <w:spacing w:line="225" w:lineRule="exact"/>
              <w:ind w:left="243" w:hanging="51"/>
              <w:jc w:val="center"/>
              <w:rPr>
                <w:rFonts w:ascii="Arial" w:eastAsia="Arial" w:hAnsi="Arial" w:cs="Arial"/>
                <w:b/>
                <w:sz w:val="20"/>
                <w:szCs w:val="22"/>
                <w:lang w:val="en-US"/>
              </w:rPr>
            </w:pPr>
            <w:r w:rsidRPr="00892A33">
              <w:rPr>
                <w:rFonts w:ascii="Arial" w:eastAsia="Arial" w:hAnsi="Arial" w:cs="Arial"/>
                <w:b/>
                <w:sz w:val="20"/>
                <w:szCs w:val="22"/>
                <w:lang w:val="en-US"/>
              </w:rPr>
              <w:t>Reported</w:t>
            </w:r>
          </w:p>
          <w:p w14:paraId="205687B6" w14:textId="77777777" w:rsidR="00892A33" w:rsidRPr="00892A33" w:rsidRDefault="00892A33" w:rsidP="00892A33">
            <w:pPr>
              <w:widowControl w:val="0"/>
              <w:autoSpaceDE w:val="0"/>
              <w:autoSpaceDN w:val="0"/>
              <w:spacing w:line="230" w:lineRule="atLeast"/>
              <w:ind w:left="497" w:right="209" w:hanging="255"/>
              <w:jc w:val="center"/>
              <w:rPr>
                <w:rFonts w:ascii="Arial" w:eastAsia="Arial" w:hAnsi="Arial" w:cs="Arial"/>
                <w:b/>
                <w:sz w:val="20"/>
                <w:szCs w:val="22"/>
                <w:lang w:val="en-US"/>
              </w:rPr>
            </w:pPr>
            <w:r w:rsidRPr="00892A33">
              <w:rPr>
                <w:rFonts w:ascii="Arial" w:eastAsia="Arial" w:hAnsi="Arial" w:cs="Arial"/>
                <w:b/>
                <w:sz w:val="20"/>
                <w:szCs w:val="22"/>
                <w:lang w:val="en-US"/>
              </w:rPr>
              <w:t>on Page No</w:t>
            </w:r>
          </w:p>
        </w:tc>
      </w:tr>
      <w:tr w:rsidR="00892A33" w:rsidRPr="00892A33" w14:paraId="3FD86CEF" w14:textId="77777777" w:rsidTr="000C3C27">
        <w:trPr>
          <w:trHeight w:val="405"/>
        </w:trPr>
        <w:tc>
          <w:tcPr>
            <w:tcW w:w="5000" w:type="pct"/>
            <w:gridSpan w:val="3"/>
            <w:shd w:val="clear" w:color="auto" w:fill="F1F1F1"/>
            <w:vAlign w:val="center"/>
          </w:tcPr>
          <w:p w14:paraId="6A0E40CA" w14:textId="77777777" w:rsidR="00892A33" w:rsidRPr="00892A33" w:rsidRDefault="00892A33" w:rsidP="00892A33">
            <w:pPr>
              <w:widowControl w:val="0"/>
              <w:autoSpaceDE w:val="0"/>
              <w:autoSpaceDN w:val="0"/>
              <w:spacing w:before="86"/>
              <w:ind w:left="107"/>
              <w:jc w:val="center"/>
              <w:rPr>
                <w:rFonts w:ascii="Arial" w:eastAsia="Arial" w:hAnsi="Arial" w:cs="Arial"/>
                <w:sz w:val="20"/>
                <w:szCs w:val="22"/>
                <w:lang w:val="en-US"/>
              </w:rPr>
            </w:pPr>
            <w:r w:rsidRPr="00892A33">
              <w:rPr>
                <w:rFonts w:ascii="Arial" w:eastAsia="Arial" w:hAnsi="Arial" w:cs="Arial"/>
                <w:sz w:val="20"/>
                <w:szCs w:val="22"/>
                <w:lang w:val="en-US"/>
              </w:rPr>
              <w:t>Reporting of background should include</w:t>
            </w:r>
          </w:p>
        </w:tc>
      </w:tr>
      <w:tr w:rsidR="00892A33" w:rsidRPr="00892A33" w14:paraId="66E3EFC2" w14:textId="77777777" w:rsidTr="000C3C27">
        <w:trPr>
          <w:trHeight w:val="350"/>
        </w:trPr>
        <w:tc>
          <w:tcPr>
            <w:tcW w:w="556" w:type="pct"/>
            <w:vAlign w:val="center"/>
          </w:tcPr>
          <w:p w14:paraId="6CD7E7B6"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1</w:t>
            </w:r>
          </w:p>
        </w:tc>
        <w:tc>
          <w:tcPr>
            <w:tcW w:w="3855" w:type="pct"/>
            <w:vAlign w:val="center"/>
          </w:tcPr>
          <w:p w14:paraId="31E1179F"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Problem definition</w:t>
            </w:r>
          </w:p>
        </w:tc>
        <w:tc>
          <w:tcPr>
            <w:tcW w:w="589" w:type="pct"/>
            <w:vAlign w:val="center"/>
          </w:tcPr>
          <w:p w14:paraId="2353F4D2"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11B00447" w14:textId="77777777" w:rsidTr="000C3C27">
        <w:trPr>
          <w:trHeight w:val="350"/>
        </w:trPr>
        <w:tc>
          <w:tcPr>
            <w:tcW w:w="556" w:type="pct"/>
            <w:vAlign w:val="center"/>
          </w:tcPr>
          <w:p w14:paraId="5171CCA7"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2</w:t>
            </w:r>
          </w:p>
        </w:tc>
        <w:tc>
          <w:tcPr>
            <w:tcW w:w="3855" w:type="pct"/>
            <w:vAlign w:val="center"/>
          </w:tcPr>
          <w:p w14:paraId="15C50115"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Hypothesis statement</w:t>
            </w:r>
          </w:p>
        </w:tc>
        <w:tc>
          <w:tcPr>
            <w:tcW w:w="589" w:type="pct"/>
            <w:vAlign w:val="center"/>
          </w:tcPr>
          <w:p w14:paraId="41C73102"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74B51A5C" w14:textId="77777777" w:rsidTr="000C3C27">
        <w:trPr>
          <w:trHeight w:val="350"/>
        </w:trPr>
        <w:tc>
          <w:tcPr>
            <w:tcW w:w="556" w:type="pct"/>
            <w:vAlign w:val="center"/>
          </w:tcPr>
          <w:p w14:paraId="28A0D682"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3</w:t>
            </w:r>
          </w:p>
        </w:tc>
        <w:tc>
          <w:tcPr>
            <w:tcW w:w="3855" w:type="pct"/>
            <w:vAlign w:val="center"/>
          </w:tcPr>
          <w:p w14:paraId="3D521457"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Description of study outcome(s)</w:t>
            </w:r>
          </w:p>
        </w:tc>
        <w:tc>
          <w:tcPr>
            <w:tcW w:w="589" w:type="pct"/>
            <w:vAlign w:val="center"/>
          </w:tcPr>
          <w:p w14:paraId="10E322A7"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66D0E16C" w14:textId="77777777" w:rsidTr="000C3C27">
        <w:trPr>
          <w:trHeight w:val="350"/>
        </w:trPr>
        <w:tc>
          <w:tcPr>
            <w:tcW w:w="556" w:type="pct"/>
            <w:vAlign w:val="center"/>
          </w:tcPr>
          <w:p w14:paraId="62C13661"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4</w:t>
            </w:r>
          </w:p>
        </w:tc>
        <w:tc>
          <w:tcPr>
            <w:tcW w:w="3855" w:type="pct"/>
            <w:vAlign w:val="center"/>
          </w:tcPr>
          <w:p w14:paraId="295003ED"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Type of exposure or intervention used</w:t>
            </w:r>
          </w:p>
        </w:tc>
        <w:tc>
          <w:tcPr>
            <w:tcW w:w="589" w:type="pct"/>
            <w:vAlign w:val="center"/>
          </w:tcPr>
          <w:p w14:paraId="7DB36905"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7D4DF902" w14:textId="77777777" w:rsidTr="000C3C27">
        <w:trPr>
          <w:trHeight w:val="350"/>
        </w:trPr>
        <w:tc>
          <w:tcPr>
            <w:tcW w:w="556" w:type="pct"/>
            <w:vAlign w:val="center"/>
          </w:tcPr>
          <w:p w14:paraId="7664C8C5"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5</w:t>
            </w:r>
          </w:p>
        </w:tc>
        <w:tc>
          <w:tcPr>
            <w:tcW w:w="3855" w:type="pct"/>
            <w:vAlign w:val="center"/>
          </w:tcPr>
          <w:p w14:paraId="137713EC"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Type of study designs used</w:t>
            </w:r>
          </w:p>
        </w:tc>
        <w:tc>
          <w:tcPr>
            <w:tcW w:w="589" w:type="pct"/>
            <w:vAlign w:val="center"/>
          </w:tcPr>
          <w:p w14:paraId="5A43FD01"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4B1B8AE6" w14:textId="77777777" w:rsidTr="000C3C27">
        <w:trPr>
          <w:trHeight w:val="350"/>
        </w:trPr>
        <w:tc>
          <w:tcPr>
            <w:tcW w:w="556" w:type="pct"/>
            <w:vAlign w:val="center"/>
          </w:tcPr>
          <w:p w14:paraId="3356C647"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6</w:t>
            </w:r>
          </w:p>
        </w:tc>
        <w:tc>
          <w:tcPr>
            <w:tcW w:w="3855" w:type="pct"/>
            <w:vAlign w:val="center"/>
          </w:tcPr>
          <w:p w14:paraId="230151B5"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Study population</w:t>
            </w:r>
          </w:p>
        </w:tc>
        <w:tc>
          <w:tcPr>
            <w:tcW w:w="589" w:type="pct"/>
            <w:vAlign w:val="center"/>
          </w:tcPr>
          <w:p w14:paraId="04A86446"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46A84648" w14:textId="77777777" w:rsidTr="000C3C27">
        <w:trPr>
          <w:trHeight w:val="443"/>
        </w:trPr>
        <w:tc>
          <w:tcPr>
            <w:tcW w:w="5000" w:type="pct"/>
            <w:gridSpan w:val="3"/>
            <w:shd w:val="clear" w:color="auto" w:fill="F1F1F1"/>
            <w:vAlign w:val="center"/>
          </w:tcPr>
          <w:p w14:paraId="7AAC7F9B" w14:textId="77777777" w:rsidR="00892A33" w:rsidRPr="00892A33" w:rsidRDefault="00892A33" w:rsidP="00892A33">
            <w:pPr>
              <w:widowControl w:val="0"/>
              <w:autoSpaceDE w:val="0"/>
              <w:autoSpaceDN w:val="0"/>
              <w:spacing w:before="105"/>
              <w:ind w:left="107"/>
              <w:jc w:val="center"/>
              <w:rPr>
                <w:rFonts w:ascii="Arial" w:eastAsia="Arial" w:hAnsi="Arial" w:cs="Arial"/>
                <w:sz w:val="20"/>
                <w:szCs w:val="22"/>
                <w:lang w:val="en-US"/>
              </w:rPr>
            </w:pPr>
            <w:r w:rsidRPr="00892A33">
              <w:rPr>
                <w:rFonts w:ascii="Arial" w:eastAsia="Arial" w:hAnsi="Arial" w:cs="Arial"/>
                <w:sz w:val="20"/>
                <w:szCs w:val="22"/>
                <w:lang w:val="en-US"/>
              </w:rPr>
              <w:t>Reporting of search strategy should include</w:t>
            </w:r>
          </w:p>
        </w:tc>
      </w:tr>
      <w:tr w:rsidR="00892A33" w:rsidRPr="00892A33" w14:paraId="43CFDF76" w14:textId="77777777" w:rsidTr="000C3C27">
        <w:trPr>
          <w:trHeight w:val="350"/>
        </w:trPr>
        <w:tc>
          <w:tcPr>
            <w:tcW w:w="556" w:type="pct"/>
            <w:vAlign w:val="center"/>
          </w:tcPr>
          <w:p w14:paraId="409D246E"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7</w:t>
            </w:r>
          </w:p>
        </w:tc>
        <w:tc>
          <w:tcPr>
            <w:tcW w:w="3855" w:type="pct"/>
            <w:vAlign w:val="center"/>
          </w:tcPr>
          <w:p w14:paraId="678B557E"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Qualifications of searchers (eg, librarians and investigators)</w:t>
            </w:r>
          </w:p>
        </w:tc>
        <w:tc>
          <w:tcPr>
            <w:tcW w:w="589" w:type="pct"/>
            <w:vAlign w:val="center"/>
          </w:tcPr>
          <w:p w14:paraId="675BB231"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w:t>
            </w:r>
          </w:p>
        </w:tc>
      </w:tr>
      <w:tr w:rsidR="00892A33" w:rsidRPr="00892A33" w14:paraId="16F08369" w14:textId="77777777" w:rsidTr="000C3C27">
        <w:trPr>
          <w:trHeight w:val="350"/>
        </w:trPr>
        <w:tc>
          <w:tcPr>
            <w:tcW w:w="556" w:type="pct"/>
            <w:vAlign w:val="center"/>
          </w:tcPr>
          <w:p w14:paraId="18BC8DA8"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8</w:t>
            </w:r>
          </w:p>
        </w:tc>
        <w:tc>
          <w:tcPr>
            <w:tcW w:w="3855" w:type="pct"/>
            <w:vAlign w:val="center"/>
          </w:tcPr>
          <w:p w14:paraId="14932D11"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Search strategy, including time period included in the synthesis and key words</w:t>
            </w:r>
          </w:p>
        </w:tc>
        <w:tc>
          <w:tcPr>
            <w:tcW w:w="589" w:type="pct"/>
            <w:vAlign w:val="center"/>
          </w:tcPr>
          <w:p w14:paraId="6D34A024"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w:t>
            </w:r>
          </w:p>
        </w:tc>
      </w:tr>
      <w:tr w:rsidR="00892A33" w:rsidRPr="00892A33" w14:paraId="0E34AEBD" w14:textId="77777777" w:rsidTr="000C3C27">
        <w:trPr>
          <w:trHeight w:val="350"/>
        </w:trPr>
        <w:tc>
          <w:tcPr>
            <w:tcW w:w="556" w:type="pct"/>
            <w:vAlign w:val="center"/>
          </w:tcPr>
          <w:p w14:paraId="23EE1037" w14:textId="77777777" w:rsidR="00892A33" w:rsidRPr="00892A33" w:rsidRDefault="00892A33" w:rsidP="00892A33">
            <w:pPr>
              <w:widowControl w:val="0"/>
              <w:autoSpaceDE w:val="0"/>
              <w:autoSpaceDN w:val="0"/>
              <w:spacing w:before="57"/>
              <w:ind w:left="7"/>
              <w:jc w:val="center"/>
              <w:rPr>
                <w:rFonts w:ascii="Arial" w:eastAsia="Arial" w:hAnsi="Arial" w:cs="Arial"/>
                <w:sz w:val="20"/>
                <w:szCs w:val="22"/>
                <w:lang w:val="en-US"/>
              </w:rPr>
            </w:pPr>
            <w:r w:rsidRPr="00892A33">
              <w:rPr>
                <w:rFonts w:ascii="Arial" w:eastAsia="Arial" w:hAnsi="Arial" w:cs="Arial"/>
                <w:w w:val="99"/>
                <w:sz w:val="20"/>
                <w:szCs w:val="22"/>
                <w:lang w:val="en-US"/>
              </w:rPr>
              <w:t>9</w:t>
            </w:r>
          </w:p>
        </w:tc>
        <w:tc>
          <w:tcPr>
            <w:tcW w:w="3855" w:type="pct"/>
            <w:vAlign w:val="center"/>
          </w:tcPr>
          <w:p w14:paraId="7EF0C2E0"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Effort to include all available studies, including contact with authors</w:t>
            </w:r>
          </w:p>
        </w:tc>
        <w:tc>
          <w:tcPr>
            <w:tcW w:w="589" w:type="pct"/>
            <w:vAlign w:val="center"/>
          </w:tcPr>
          <w:p w14:paraId="757114B7"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5</w:t>
            </w:r>
          </w:p>
        </w:tc>
      </w:tr>
      <w:tr w:rsidR="00892A33" w:rsidRPr="00892A33" w14:paraId="18C56741" w14:textId="77777777" w:rsidTr="000C3C27">
        <w:trPr>
          <w:trHeight w:val="350"/>
        </w:trPr>
        <w:tc>
          <w:tcPr>
            <w:tcW w:w="556" w:type="pct"/>
            <w:vAlign w:val="center"/>
          </w:tcPr>
          <w:p w14:paraId="16203EB0"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10</w:t>
            </w:r>
          </w:p>
        </w:tc>
        <w:tc>
          <w:tcPr>
            <w:tcW w:w="3855" w:type="pct"/>
            <w:vAlign w:val="center"/>
          </w:tcPr>
          <w:p w14:paraId="6E1197FD"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Databases and registries searched</w:t>
            </w:r>
          </w:p>
        </w:tc>
        <w:tc>
          <w:tcPr>
            <w:tcW w:w="589" w:type="pct"/>
            <w:vAlign w:val="center"/>
          </w:tcPr>
          <w:p w14:paraId="3400ABA3"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w:t>
            </w:r>
          </w:p>
        </w:tc>
      </w:tr>
      <w:tr w:rsidR="00892A33" w:rsidRPr="00892A33" w14:paraId="4859B808" w14:textId="77777777" w:rsidTr="000C3C27">
        <w:trPr>
          <w:trHeight w:val="350"/>
        </w:trPr>
        <w:tc>
          <w:tcPr>
            <w:tcW w:w="556" w:type="pct"/>
            <w:vAlign w:val="center"/>
          </w:tcPr>
          <w:p w14:paraId="6816F6B0"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11</w:t>
            </w:r>
          </w:p>
        </w:tc>
        <w:tc>
          <w:tcPr>
            <w:tcW w:w="3855" w:type="pct"/>
            <w:vAlign w:val="center"/>
          </w:tcPr>
          <w:p w14:paraId="5402A21E"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Search software used, name and version, including special features used (eg, explosion)</w:t>
            </w:r>
          </w:p>
        </w:tc>
        <w:tc>
          <w:tcPr>
            <w:tcW w:w="589" w:type="pct"/>
            <w:vAlign w:val="center"/>
          </w:tcPr>
          <w:p w14:paraId="04122D1F"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w:t>
            </w:r>
          </w:p>
        </w:tc>
      </w:tr>
      <w:tr w:rsidR="00892A33" w:rsidRPr="00892A33" w14:paraId="42F81FFF" w14:textId="77777777" w:rsidTr="000C3C27">
        <w:trPr>
          <w:trHeight w:val="350"/>
        </w:trPr>
        <w:tc>
          <w:tcPr>
            <w:tcW w:w="556" w:type="pct"/>
            <w:vAlign w:val="center"/>
          </w:tcPr>
          <w:p w14:paraId="34F5E678"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12</w:t>
            </w:r>
          </w:p>
        </w:tc>
        <w:tc>
          <w:tcPr>
            <w:tcW w:w="3855" w:type="pct"/>
            <w:vAlign w:val="center"/>
          </w:tcPr>
          <w:p w14:paraId="58976215"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Use of hand searching (eg, reference lists of obtained articles)</w:t>
            </w:r>
          </w:p>
        </w:tc>
        <w:tc>
          <w:tcPr>
            <w:tcW w:w="589" w:type="pct"/>
            <w:vAlign w:val="center"/>
          </w:tcPr>
          <w:p w14:paraId="429AAD53"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3,4</w:t>
            </w:r>
          </w:p>
        </w:tc>
      </w:tr>
      <w:tr w:rsidR="00892A33" w:rsidRPr="00892A33" w14:paraId="489B6B4E" w14:textId="77777777" w:rsidTr="000C3C27">
        <w:trPr>
          <w:trHeight w:val="350"/>
        </w:trPr>
        <w:tc>
          <w:tcPr>
            <w:tcW w:w="556" w:type="pct"/>
            <w:vAlign w:val="center"/>
          </w:tcPr>
          <w:p w14:paraId="43F0411E"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13</w:t>
            </w:r>
          </w:p>
        </w:tc>
        <w:tc>
          <w:tcPr>
            <w:tcW w:w="3855" w:type="pct"/>
            <w:vAlign w:val="center"/>
          </w:tcPr>
          <w:p w14:paraId="72FF00AD"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List of citations located and those excluded, including justification</w:t>
            </w:r>
          </w:p>
        </w:tc>
        <w:tc>
          <w:tcPr>
            <w:tcW w:w="589" w:type="pct"/>
            <w:vAlign w:val="center"/>
          </w:tcPr>
          <w:p w14:paraId="3BC9D273"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5, eTable 1, 4</w:t>
            </w:r>
          </w:p>
        </w:tc>
      </w:tr>
      <w:tr w:rsidR="00892A33" w:rsidRPr="00892A33" w14:paraId="07692E42" w14:textId="77777777" w:rsidTr="000C3C27">
        <w:trPr>
          <w:trHeight w:val="350"/>
        </w:trPr>
        <w:tc>
          <w:tcPr>
            <w:tcW w:w="556" w:type="pct"/>
            <w:vAlign w:val="center"/>
          </w:tcPr>
          <w:p w14:paraId="0D706DE6"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14</w:t>
            </w:r>
          </w:p>
        </w:tc>
        <w:tc>
          <w:tcPr>
            <w:tcW w:w="3855" w:type="pct"/>
            <w:vAlign w:val="center"/>
          </w:tcPr>
          <w:p w14:paraId="2D34CCE0"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Method of addressing articles published in languages other than English</w:t>
            </w:r>
          </w:p>
        </w:tc>
        <w:tc>
          <w:tcPr>
            <w:tcW w:w="589" w:type="pct"/>
            <w:vAlign w:val="center"/>
          </w:tcPr>
          <w:p w14:paraId="5DA46951"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68F93F40" w14:textId="77777777" w:rsidTr="000C3C27">
        <w:trPr>
          <w:trHeight w:val="350"/>
        </w:trPr>
        <w:tc>
          <w:tcPr>
            <w:tcW w:w="556" w:type="pct"/>
            <w:vAlign w:val="center"/>
          </w:tcPr>
          <w:p w14:paraId="692047AE"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15</w:t>
            </w:r>
          </w:p>
        </w:tc>
        <w:tc>
          <w:tcPr>
            <w:tcW w:w="3855" w:type="pct"/>
            <w:vAlign w:val="center"/>
          </w:tcPr>
          <w:p w14:paraId="166AD6C6"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Method of handling abstracts and unpublished studies</w:t>
            </w:r>
          </w:p>
        </w:tc>
        <w:tc>
          <w:tcPr>
            <w:tcW w:w="589" w:type="pct"/>
            <w:vAlign w:val="center"/>
          </w:tcPr>
          <w:p w14:paraId="1BBE2760"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2BC650D8" w14:textId="77777777" w:rsidTr="000C3C27">
        <w:trPr>
          <w:trHeight w:val="350"/>
        </w:trPr>
        <w:tc>
          <w:tcPr>
            <w:tcW w:w="556" w:type="pct"/>
            <w:vAlign w:val="center"/>
          </w:tcPr>
          <w:p w14:paraId="3CFC6EFD"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16</w:t>
            </w:r>
          </w:p>
        </w:tc>
        <w:tc>
          <w:tcPr>
            <w:tcW w:w="3855" w:type="pct"/>
            <w:vAlign w:val="center"/>
          </w:tcPr>
          <w:p w14:paraId="3B3AB99A"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Description of any contact with authors</w:t>
            </w:r>
          </w:p>
        </w:tc>
        <w:tc>
          <w:tcPr>
            <w:tcW w:w="589" w:type="pct"/>
            <w:vAlign w:val="center"/>
          </w:tcPr>
          <w:p w14:paraId="56EF0CAE"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w:t>
            </w:r>
          </w:p>
        </w:tc>
      </w:tr>
      <w:tr w:rsidR="00892A33" w:rsidRPr="00892A33" w14:paraId="26C085B6" w14:textId="77777777" w:rsidTr="000C3C27">
        <w:trPr>
          <w:trHeight w:val="400"/>
        </w:trPr>
        <w:tc>
          <w:tcPr>
            <w:tcW w:w="5000" w:type="pct"/>
            <w:gridSpan w:val="3"/>
            <w:shd w:val="clear" w:color="auto" w:fill="F1F1F1"/>
            <w:vAlign w:val="center"/>
          </w:tcPr>
          <w:p w14:paraId="72183BF1" w14:textId="77777777" w:rsidR="00892A33" w:rsidRPr="00892A33" w:rsidRDefault="00892A33" w:rsidP="00892A33">
            <w:pPr>
              <w:widowControl w:val="0"/>
              <w:autoSpaceDE w:val="0"/>
              <w:autoSpaceDN w:val="0"/>
              <w:spacing w:before="83"/>
              <w:ind w:left="107"/>
              <w:jc w:val="center"/>
              <w:rPr>
                <w:rFonts w:ascii="Arial" w:eastAsia="Arial" w:hAnsi="Arial" w:cs="Arial"/>
                <w:sz w:val="20"/>
                <w:szCs w:val="22"/>
                <w:lang w:val="en-US"/>
              </w:rPr>
            </w:pPr>
            <w:r w:rsidRPr="00892A33">
              <w:rPr>
                <w:rFonts w:ascii="Arial" w:eastAsia="Arial" w:hAnsi="Arial" w:cs="Arial"/>
                <w:sz w:val="20"/>
                <w:szCs w:val="22"/>
                <w:lang w:val="en-US"/>
              </w:rPr>
              <w:t>Reporting of methods should include</w:t>
            </w:r>
          </w:p>
        </w:tc>
      </w:tr>
      <w:tr w:rsidR="00892A33" w:rsidRPr="00892A33" w14:paraId="61061AC8" w14:textId="77777777" w:rsidTr="000C3C27">
        <w:trPr>
          <w:trHeight w:val="460"/>
        </w:trPr>
        <w:tc>
          <w:tcPr>
            <w:tcW w:w="556" w:type="pct"/>
            <w:vAlign w:val="center"/>
          </w:tcPr>
          <w:p w14:paraId="42D66604" w14:textId="77777777" w:rsidR="00892A33" w:rsidRPr="00892A33" w:rsidRDefault="00892A33" w:rsidP="00892A33">
            <w:pPr>
              <w:widowControl w:val="0"/>
              <w:autoSpaceDE w:val="0"/>
              <w:autoSpaceDN w:val="0"/>
              <w:spacing w:before="112"/>
              <w:ind w:left="203" w:right="196"/>
              <w:jc w:val="center"/>
              <w:rPr>
                <w:rFonts w:ascii="Arial" w:eastAsia="Arial" w:hAnsi="Arial" w:cs="Arial"/>
                <w:sz w:val="20"/>
                <w:szCs w:val="22"/>
                <w:lang w:val="en-US"/>
              </w:rPr>
            </w:pPr>
            <w:r w:rsidRPr="00892A33">
              <w:rPr>
                <w:rFonts w:ascii="Arial" w:eastAsia="Arial" w:hAnsi="Arial" w:cs="Arial"/>
                <w:sz w:val="20"/>
                <w:szCs w:val="22"/>
                <w:lang w:val="en-US"/>
              </w:rPr>
              <w:t>17</w:t>
            </w:r>
          </w:p>
        </w:tc>
        <w:tc>
          <w:tcPr>
            <w:tcW w:w="3855" w:type="pct"/>
            <w:vAlign w:val="center"/>
          </w:tcPr>
          <w:p w14:paraId="36148B8F" w14:textId="77777777" w:rsidR="00892A33" w:rsidRPr="00892A33" w:rsidRDefault="00892A33" w:rsidP="00892A33">
            <w:pPr>
              <w:widowControl w:val="0"/>
              <w:autoSpaceDE w:val="0"/>
              <w:autoSpaceDN w:val="0"/>
              <w:spacing w:before="1" w:line="230" w:lineRule="exact"/>
              <w:ind w:left="108"/>
              <w:jc w:val="center"/>
              <w:rPr>
                <w:rFonts w:ascii="Arial" w:eastAsia="Arial" w:hAnsi="Arial" w:cs="Arial"/>
                <w:sz w:val="20"/>
                <w:szCs w:val="22"/>
                <w:lang w:val="en-US"/>
              </w:rPr>
            </w:pPr>
            <w:r w:rsidRPr="00892A33">
              <w:rPr>
                <w:rFonts w:ascii="Arial" w:eastAsia="Arial" w:hAnsi="Arial" w:cs="Arial"/>
                <w:sz w:val="20"/>
                <w:szCs w:val="22"/>
                <w:lang w:val="en-US"/>
              </w:rPr>
              <w:t>Description of relevance or appropriateness of studies assembled for assessing the hypothesis to be tested</w:t>
            </w:r>
          </w:p>
        </w:tc>
        <w:tc>
          <w:tcPr>
            <w:tcW w:w="589" w:type="pct"/>
            <w:vAlign w:val="center"/>
          </w:tcPr>
          <w:p w14:paraId="4D3ABA33"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3</w:t>
            </w:r>
          </w:p>
        </w:tc>
      </w:tr>
      <w:tr w:rsidR="00892A33" w:rsidRPr="00892A33" w14:paraId="6AF26DBA" w14:textId="77777777" w:rsidTr="000C3C27">
        <w:trPr>
          <w:trHeight w:val="460"/>
        </w:trPr>
        <w:tc>
          <w:tcPr>
            <w:tcW w:w="556" w:type="pct"/>
            <w:vAlign w:val="center"/>
          </w:tcPr>
          <w:p w14:paraId="423E45D8" w14:textId="77777777" w:rsidR="00892A33" w:rsidRPr="00892A33" w:rsidRDefault="00892A33" w:rsidP="00892A33">
            <w:pPr>
              <w:widowControl w:val="0"/>
              <w:autoSpaceDE w:val="0"/>
              <w:autoSpaceDN w:val="0"/>
              <w:spacing w:before="112"/>
              <w:ind w:left="203" w:right="196"/>
              <w:jc w:val="center"/>
              <w:rPr>
                <w:rFonts w:ascii="Arial" w:eastAsia="Arial" w:hAnsi="Arial" w:cs="Arial"/>
                <w:sz w:val="20"/>
                <w:szCs w:val="22"/>
                <w:lang w:val="en-US"/>
              </w:rPr>
            </w:pPr>
            <w:r w:rsidRPr="00892A33">
              <w:rPr>
                <w:rFonts w:ascii="Arial" w:eastAsia="Arial" w:hAnsi="Arial" w:cs="Arial"/>
                <w:sz w:val="20"/>
                <w:szCs w:val="22"/>
                <w:lang w:val="en-US"/>
              </w:rPr>
              <w:t>18</w:t>
            </w:r>
          </w:p>
        </w:tc>
        <w:tc>
          <w:tcPr>
            <w:tcW w:w="3855" w:type="pct"/>
            <w:vAlign w:val="center"/>
          </w:tcPr>
          <w:p w14:paraId="6A0A4B7A" w14:textId="77777777" w:rsidR="00892A33" w:rsidRPr="00892A33" w:rsidRDefault="00892A33" w:rsidP="00892A33">
            <w:pPr>
              <w:widowControl w:val="0"/>
              <w:autoSpaceDE w:val="0"/>
              <w:autoSpaceDN w:val="0"/>
              <w:spacing w:line="230" w:lineRule="exact"/>
              <w:ind w:left="108" w:right="1158"/>
              <w:jc w:val="center"/>
              <w:rPr>
                <w:rFonts w:ascii="Arial" w:eastAsia="Arial" w:hAnsi="Arial" w:cs="Arial"/>
                <w:sz w:val="20"/>
                <w:szCs w:val="22"/>
                <w:lang w:val="en-US"/>
              </w:rPr>
            </w:pPr>
            <w:r w:rsidRPr="00892A33">
              <w:rPr>
                <w:rFonts w:ascii="Arial" w:eastAsia="Arial" w:hAnsi="Arial" w:cs="Arial"/>
                <w:sz w:val="20"/>
                <w:szCs w:val="22"/>
                <w:lang w:val="en-US"/>
              </w:rPr>
              <w:t>Rationale for the selection and coding of data (eg, sound clinical principles or convenience)</w:t>
            </w:r>
          </w:p>
        </w:tc>
        <w:tc>
          <w:tcPr>
            <w:tcW w:w="589" w:type="pct"/>
            <w:vAlign w:val="center"/>
          </w:tcPr>
          <w:p w14:paraId="27FE899F"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w:t>
            </w:r>
          </w:p>
        </w:tc>
      </w:tr>
      <w:tr w:rsidR="00892A33" w:rsidRPr="00892A33" w14:paraId="4C126F33" w14:textId="77777777" w:rsidTr="000C3C27">
        <w:trPr>
          <w:trHeight w:val="460"/>
        </w:trPr>
        <w:tc>
          <w:tcPr>
            <w:tcW w:w="556" w:type="pct"/>
            <w:vAlign w:val="center"/>
          </w:tcPr>
          <w:p w14:paraId="71687805" w14:textId="77777777" w:rsidR="00892A33" w:rsidRPr="00892A33" w:rsidRDefault="00892A33" w:rsidP="00892A33">
            <w:pPr>
              <w:widowControl w:val="0"/>
              <w:autoSpaceDE w:val="0"/>
              <w:autoSpaceDN w:val="0"/>
              <w:spacing w:before="112"/>
              <w:ind w:left="203" w:right="196"/>
              <w:jc w:val="center"/>
              <w:rPr>
                <w:rFonts w:ascii="Arial" w:eastAsia="Arial" w:hAnsi="Arial" w:cs="Arial"/>
                <w:sz w:val="20"/>
                <w:szCs w:val="22"/>
                <w:lang w:val="en-US"/>
              </w:rPr>
            </w:pPr>
            <w:r w:rsidRPr="00892A33">
              <w:rPr>
                <w:rFonts w:ascii="Arial" w:eastAsia="Arial" w:hAnsi="Arial" w:cs="Arial"/>
                <w:sz w:val="20"/>
                <w:szCs w:val="22"/>
                <w:lang w:val="en-US"/>
              </w:rPr>
              <w:t>19</w:t>
            </w:r>
          </w:p>
        </w:tc>
        <w:tc>
          <w:tcPr>
            <w:tcW w:w="3855" w:type="pct"/>
            <w:vAlign w:val="center"/>
          </w:tcPr>
          <w:p w14:paraId="4FD156F8" w14:textId="77777777" w:rsidR="00892A33" w:rsidRPr="00892A33" w:rsidRDefault="00892A33" w:rsidP="00892A33">
            <w:pPr>
              <w:widowControl w:val="0"/>
              <w:autoSpaceDE w:val="0"/>
              <w:autoSpaceDN w:val="0"/>
              <w:spacing w:line="230" w:lineRule="exact"/>
              <w:ind w:left="108"/>
              <w:jc w:val="center"/>
              <w:rPr>
                <w:rFonts w:ascii="Arial" w:eastAsia="Arial" w:hAnsi="Arial" w:cs="Arial"/>
                <w:sz w:val="20"/>
                <w:szCs w:val="22"/>
                <w:lang w:val="en-US"/>
              </w:rPr>
            </w:pPr>
            <w:r w:rsidRPr="00892A33">
              <w:rPr>
                <w:rFonts w:ascii="Arial" w:eastAsia="Arial" w:hAnsi="Arial" w:cs="Arial"/>
                <w:sz w:val="20"/>
                <w:szCs w:val="22"/>
                <w:lang w:val="en-US"/>
              </w:rPr>
              <w:t>Documentation of how data were classified and coded (eg, multiple raters, blinding and interrater reliability)</w:t>
            </w:r>
          </w:p>
        </w:tc>
        <w:tc>
          <w:tcPr>
            <w:tcW w:w="589" w:type="pct"/>
            <w:vAlign w:val="center"/>
          </w:tcPr>
          <w:p w14:paraId="2D024B60"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5</w:t>
            </w:r>
          </w:p>
        </w:tc>
      </w:tr>
      <w:tr w:rsidR="00892A33" w:rsidRPr="00892A33" w14:paraId="52AB3138" w14:textId="77777777" w:rsidTr="000C3C27">
        <w:trPr>
          <w:trHeight w:val="458"/>
        </w:trPr>
        <w:tc>
          <w:tcPr>
            <w:tcW w:w="556" w:type="pct"/>
            <w:vAlign w:val="center"/>
          </w:tcPr>
          <w:p w14:paraId="7A40E2BF" w14:textId="77777777" w:rsidR="00892A33" w:rsidRPr="00892A33" w:rsidRDefault="00892A33" w:rsidP="00892A33">
            <w:pPr>
              <w:widowControl w:val="0"/>
              <w:autoSpaceDE w:val="0"/>
              <w:autoSpaceDN w:val="0"/>
              <w:spacing w:before="112"/>
              <w:ind w:left="203" w:right="196"/>
              <w:jc w:val="center"/>
              <w:rPr>
                <w:rFonts w:ascii="Arial" w:eastAsia="Arial" w:hAnsi="Arial" w:cs="Arial"/>
                <w:sz w:val="20"/>
                <w:szCs w:val="22"/>
                <w:lang w:val="en-US"/>
              </w:rPr>
            </w:pPr>
            <w:r w:rsidRPr="00892A33">
              <w:rPr>
                <w:rFonts w:ascii="Arial" w:eastAsia="Arial" w:hAnsi="Arial" w:cs="Arial"/>
                <w:sz w:val="20"/>
                <w:szCs w:val="22"/>
                <w:lang w:val="en-US"/>
              </w:rPr>
              <w:t>20</w:t>
            </w:r>
          </w:p>
        </w:tc>
        <w:tc>
          <w:tcPr>
            <w:tcW w:w="3855" w:type="pct"/>
            <w:vAlign w:val="center"/>
          </w:tcPr>
          <w:p w14:paraId="2647B6D2" w14:textId="77777777" w:rsidR="00892A33" w:rsidRPr="00892A33" w:rsidRDefault="00892A33" w:rsidP="00892A33">
            <w:pPr>
              <w:widowControl w:val="0"/>
              <w:autoSpaceDE w:val="0"/>
              <w:autoSpaceDN w:val="0"/>
              <w:spacing w:line="230" w:lineRule="exact"/>
              <w:ind w:left="108"/>
              <w:jc w:val="center"/>
              <w:rPr>
                <w:rFonts w:ascii="Arial" w:eastAsia="Arial" w:hAnsi="Arial" w:cs="Arial"/>
                <w:sz w:val="20"/>
                <w:szCs w:val="22"/>
                <w:lang w:val="en-US"/>
              </w:rPr>
            </w:pPr>
            <w:r w:rsidRPr="00892A33">
              <w:rPr>
                <w:rFonts w:ascii="Arial" w:eastAsia="Arial" w:hAnsi="Arial" w:cs="Arial"/>
                <w:sz w:val="20"/>
                <w:szCs w:val="22"/>
                <w:lang w:val="en-US"/>
              </w:rPr>
              <w:t>Assessment of confounding (eg, comparability of cases and controls in studies where appropriate)</w:t>
            </w:r>
          </w:p>
        </w:tc>
        <w:tc>
          <w:tcPr>
            <w:tcW w:w="589" w:type="pct"/>
            <w:vAlign w:val="center"/>
          </w:tcPr>
          <w:p w14:paraId="283D4C77"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5</w:t>
            </w:r>
          </w:p>
        </w:tc>
      </w:tr>
      <w:tr w:rsidR="00892A33" w:rsidRPr="00892A33" w14:paraId="35DE982A" w14:textId="77777777" w:rsidTr="000C3C27">
        <w:trPr>
          <w:trHeight w:val="458"/>
        </w:trPr>
        <w:tc>
          <w:tcPr>
            <w:tcW w:w="556" w:type="pct"/>
            <w:vAlign w:val="center"/>
          </w:tcPr>
          <w:p w14:paraId="0C8C0FD5" w14:textId="77777777" w:rsidR="00892A33" w:rsidRPr="00892A33" w:rsidRDefault="00892A33" w:rsidP="00892A33">
            <w:pPr>
              <w:widowControl w:val="0"/>
              <w:autoSpaceDE w:val="0"/>
              <w:autoSpaceDN w:val="0"/>
              <w:spacing w:before="112"/>
              <w:ind w:left="203" w:right="196"/>
              <w:jc w:val="center"/>
              <w:rPr>
                <w:rFonts w:ascii="Arial" w:eastAsia="Arial" w:hAnsi="Arial" w:cs="Arial"/>
                <w:sz w:val="20"/>
                <w:szCs w:val="22"/>
                <w:lang w:val="en-US"/>
              </w:rPr>
            </w:pPr>
            <w:r w:rsidRPr="00892A33">
              <w:rPr>
                <w:rFonts w:ascii="Arial" w:eastAsia="Arial" w:hAnsi="Arial" w:cs="Arial"/>
                <w:sz w:val="20"/>
                <w:szCs w:val="22"/>
                <w:lang w:val="en-US"/>
              </w:rPr>
              <w:t>21</w:t>
            </w:r>
          </w:p>
        </w:tc>
        <w:tc>
          <w:tcPr>
            <w:tcW w:w="3855" w:type="pct"/>
            <w:vAlign w:val="center"/>
          </w:tcPr>
          <w:p w14:paraId="744813BA" w14:textId="77777777" w:rsidR="00892A33" w:rsidRPr="00892A33" w:rsidRDefault="00892A33" w:rsidP="00892A33">
            <w:pPr>
              <w:widowControl w:val="0"/>
              <w:autoSpaceDE w:val="0"/>
              <w:autoSpaceDN w:val="0"/>
              <w:spacing w:before="2" w:line="228" w:lineRule="exact"/>
              <w:ind w:left="108"/>
              <w:jc w:val="center"/>
              <w:rPr>
                <w:rFonts w:ascii="Arial" w:eastAsia="Arial" w:hAnsi="Arial" w:cs="Arial"/>
                <w:sz w:val="20"/>
                <w:szCs w:val="22"/>
                <w:lang w:val="en-US"/>
              </w:rPr>
            </w:pPr>
            <w:r w:rsidRPr="00892A33">
              <w:rPr>
                <w:rFonts w:ascii="Arial" w:eastAsia="Arial" w:hAnsi="Arial" w:cs="Arial"/>
                <w:sz w:val="20"/>
                <w:szCs w:val="22"/>
                <w:lang w:val="en-US"/>
              </w:rPr>
              <w:t>Assessment of study quality, including blinding of quality assessors, stratification or regression on possible predictors of study results</w:t>
            </w:r>
          </w:p>
        </w:tc>
        <w:tc>
          <w:tcPr>
            <w:tcW w:w="589" w:type="pct"/>
            <w:vAlign w:val="center"/>
          </w:tcPr>
          <w:p w14:paraId="0C29AD00"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4, 5</w:t>
            </w:r>
          </w:p>
        </w:tc>
      </w:tr>
      <w:tr w:rsidR="00892A33" w:rsidRPr="00892A33" w14:paraId="6BCD51DC" w14:textId="77777777" w:rsidTr="000C3C27">
        <w:trPr>
          <w:trHeight w:val="350"/>
        </w:trPr>
        <w:tc>
          <w:tcPr>
            <w:tcW w:w="556" w:type="pct"/>
            <w:vAlign w:val="center"/>
          </w:tcPr>
          <w:p w14:paraId="378061D1"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22</w:t>
            </w:r>
          </w:p>
        </w:tc>
        <w:tc>
          <w:tcPr>
            <w:tcW w:w="3855" w:type="pct"/>
            <w:vAlign w:val="center"/>
          </w:tcPr>
          <w:p w14:paraId="5335719B"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Assessment of heterogeneity</w:t>
            </w:r>
          </w:p>
        </w:tc>
        <w:tc>
          <w:tcPr>
            <w:tcW w:w="589" w:type="pct"/>
            <w:vAlign w:val="center"/>
          </w:tcPr>
          <w:p w14:paraId="4454299D"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5</w:t>
            </w:r>
          </w:p>
        </w:tc>
      </w:tr>
      <w:tr w:rsidR="00892A33" w:rsidRPr="00892A33" w14:paraId="0E7E56A3" w14:textId="77777777" w:rsidTr="000C3C27">
        <w:trPr>
          <w:trHeight w:val="921"/>
        </w:trPr>
        <w:tc>
          <w:tcPr>
            <w:tcW w:w="556" w:type="pct"/>
            <w:vAlign w:val="center"/>
          </w:tcPr>
          <w:p w14:paraId="3ECA5F5B" w14:textId="77777777" w:rsidR="00892A33" w:rsidRPr="00892A33" w:rsidRDefault="00892A33" w:rsidP="00892A33">
            <w:pPr>
              <w:widowControl w:val="0"/>
              <w:autoSpaceDE w:val="0"/>
              <w:autoSpaceDN w:val="0"/>
              <w:spacing w:before="9"/>
              <w:jc w:val="center"/>
              <w:rPr>
                <w:rFonts w:ascii="Arial" w:eastAsia="Arial" w:hAnsi="Arial" w:cs="Arial"/>
                <w:b/>
                <w:sz w:val="29"/>
                <w:szCs w:val="22"/>
                <w:lang w:val="en-US"/>
              </w:rPr>
            </w:pPr>
          </w:p>
          <w:p w14:paraId="74B8F867" w14:textId="77777777" w:rsidR="00892A33" w:rsidRPr="00892A33" w:rsidRDefault="00892A33" w:rsidP="00892A33">
            <w:pPr>
              <w:widowControl w:val="0"/>
              <w:autoSpaceDE w:val="0"/>
              <w:autoSpaceDN w:val="0"/>
              <w:ind w:left="203" w:right="196"/>
              <w:jc w:val="center"/>
              <w:rPr>
                <w:rFonts w:ascii="Arial" w:eastAsia="Arial" w:hAnsi="Arial" w:cs="Arial"/>
                <w:sz w:val="20"/>
                <w:szCs w:val="22"/>
                <w:lang w:val="en-US"/>
              </w:rPr>
            </w:pPr>
            <w:r w:rsidRPr="00892A33">
              <w:rPr>
                <w:rFonts w:ascii="Arial" w:eastAsia="Arial" w:hAnsi="Arial" w:cs="Arial"/>
                <w:sz w:val="20"/>
                <w:szCs w:val="22"/>
                <w:lang w:val="en-US"/>
              </w:rPr>
              <w:t>23</w:t>
            </w:r>
          </w:p>
        </w:tc>
        <w:tc>
          <w:tcPr>
            <w:tcW w:w="3855" w:type="pct"/>
            <w:vAlign w:val="center"/>
          </w:tcPr>
          <w:p w14:paraId="771E7928" w14:textId="77777777" w:rsidR="00892A33" w:rsidRPr="00892A33" w:rsidRDefault="00892A33" w:rsidP="00892A33">
            <w:pPr>
              <w:widowControl w:val="0"/>
              <w:autoSpaceDE w:val="0"/>
              <w:autoSpaceDN w:val="0"/>
              <w:spacing w:line="230" w:lineRule="exact"/>
              <w:ind w:left="108" w:right="154"/>
              <w:jc w:val="center"/>
              <w:rPr>
                <w:rFonts w:ascii="Arial" w:eastAsia="Arial" w:hAnsi="Arial" w:cs="Arial"/>
                <w:sz w:val="20"/>
                <w:szCs w:val="22"/>
                <w:lang w:val="en-US"/>
              </w:rPr>
            </w:pPr>
            <w:r w:rsidRPr="00892A33">
              <w:rPr>
                <w:rFonts w:ascii="Arial" w:eastAsia="Arial" w:hAnsi="Arial" w:cs="Arial"/>
                <w:sz w:val="20"/>
                <w:szCs w:val="22"/>
                <w:lang w:val="en-US"/>
              </w:rPr>
              <w:t>Description of statistical methods (eg, complete description of fixed or random effects models, justification of whether the chosen models account for predictors of study results, dose-response models, or cumulative meta-analysis) in sufficient detail to be replicated</w:t>
            </w:r>
          </w:p>
        </w:tc>
        <w:tc>
          <w:tcPr>
            <w:tcW w:w="589" w:type="pct"/>
            <w:vAlign w:val="center"/>
          </w:tcPr>
          <w:p w14:paraId="671AE98B"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p>
        </w:tc>
      </w:tr>
      <w:tr w:rsidR="00892A33" w:rsidRPr="00892A33" w14:paraId="1262F626" w14:textId="77777777" w:rsidTr="000C3C27">
        <w:trPr>
          <w:trHeight w:val="350"/>
        </w:trPr>
        <w:tc>
          <w:tcPr>
            <w:tcW w:w="556" w:type="pct"/>
            <w:vAlign w:val="center"/>
          </w:tcPr>
          <w:p w14:paraId="1FCE563A"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24</w:t>
            </w:r>
          </w:p>
        </w:tc>
        <w:tc>
          <w:tcPr>
            <w:tcW w:w="3855" w:type="pct"/>
            <w:vAlign w:val="center"/>
          </w:tcPr>
          <w:p w14:paraId="49CEAC96" w14:textId="77777777" w:rsidR="00892A33" w:rsidRPr="00892A33" w:rsidRDefault="00892A33" w:rsidP="00892A33">
            <w:pPr>
              <w:widowControl w:val="0"/>
              <w:autoSpaceDE w:val="0"/>
              <w:autoSpaceDN w:val="0"/>
              <w:spacing w:before="57"/>
              <w:ind w:left="108"/>
              <w:jc w:val="center"/>
              <w:rPr>
                <w:rFonts w:ascii="Arial" w:eastAsia="Arial" w:hAnsi="Arial" w:cs="Arial"/>
                <w:sz w:val="20"/>
                <w:szCs w:val="22"/>
                <w:lang w:val="en-US"/>
              </w:rPr>
            </w:pPr>
            <w:r w:rsidRPr="00892A33">
              <w:rPr>
                <w:rFonts w:ascii="Arial" w:eastAsia="Arial" w:hAnsi="Arial" w:cs="Arial"/>
                <w:sz w:val="20"/>
                <w:szCs w:val="22"/>
                <w:lang w:val="en-US"/>
              </w:rPr>
              <w:t>Provision of appropriate tables and graphics</w:t>
            </w:r>
          </w:p>
        </w:tc>
        <w:tc>
          <w:tcPr>
            <w:tcW w:w="589" w:type="pct"/>
            <w:vAlign w:val="center"/>
          </w:tcPr>
          <w:p w14:paraId="18BFD534"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eTable 3-6, eFigure 1-8</w:t>
            </w:r>
          </w:p>
        </w:tc>
      </w:tr>
      <w:tr w:rsidR="00892A33" w:rsidRPr="00892A33" w14:paraId="351E1271" w14:textId="77777777" w:rsidTr="000C3C27">
        <w:trPr>
          <w:trHeight w:val="431"/>
        </w:trPr>
        <w:tc>
          <w:tcPr>
            <w:tcW w:w="5000" w:type="pct"/>
            <w:gridSpan w:val="3"/>
            <w:shd w:val="clear" w:color="auto" w:fill="F1F1F1"/>
            <w:vAlign w:val="center"/>
          </w:tcPr>
          <w:p w14:paraId="7989C381" w14:textId="77777777" w:rsidR="00892A33" w:rsidRPr="00892A33" w:rsidRDefault="00892A33" w:rsidP="00892A33">
            <w:pPr>
              <w:widowControl w:val="0"/>
              <w:autoSpaceDE w:val="0"/>
              <w:autoSpaceDN w:val="0"/>
              <w:spacing w:before="98"/>
              <w:ind w:left="107"/>
              <w:jc w:val="center"/>
              <w:rPr>
                <w:rFonts w:ascii="Arial" w:eastAsia="Arial" w:hAnsi="Arial" w:cs="Arial"/>
                <w:sz w:val="20"/>
                <w:szCs w:val="22"/>
                <w:lang w:val="en-US"/>
              </w:rPr>
            </w:pPr>
            <w:r w:rsidRPr="00892A33">
              <w:rPr>
                <w:rFonts w:ascii="Arial" w:eastAsia="Arial" w:hAnsi="Arial" w:cs="Arial"/>
                <w:sz w:val="20"/>
                <w:szCs w:val="22"/>
                <w:lang w:val="en-US"/>
              </w:rPr>
              <w:t>Reporting of results should include</w:t>
            </w:r>
          </w:p>
        </w:tc>
      </w:tr>
      <w:tr w:rsidR="00892A33" w:rsidRPr="00892A33" w14:paraId="6CBDB795" w14:textId="77777777" w:rsidTr="000C3C27">
        <w:trPr>
          <w:trHeight w:val="350"/>
        </w:trPr>
        <w:tc>
          <w:tcPr>
            <w:tcW w:w="556" w:type="pct"/>
            <w:vAlign w:val="center"/>
          </w:tcPr>
          <w:p w14:paraId="5DB64627" w14:textId="77777777" w:rsidR="00892A33" w:rsidRPr="00892A33" w:rsidRDefault="00892A33" w:rsidP="00892A33">
            <w:pPr>
              <w:widowControl w:val="0"/>
              <w:autoSpaceDE w:val="0"/>
              <w:autoSpaceDN w:val="0"/>
              <w:spacing w:before="59"/>
              <w:ind w:left="203" w:right="196"/>
              <w:jc w:val="center"/>
              <w:rPr>
                <w:rFonts w:ascii="Arial" w:eastAsia="Arial" w:hAnsi="Arial" w:cs="Arial"/>
                <w:sz w:val="20"/>
                <w:szCs w:val="22"/>
                <w:lang w:val="en-US"/>
              </w:rPr>
            </w:pPr>
            <w:r w:rsidRPr="00892A33">
              <w:rPr>
                <w:rFonts w:ascii="Arial" w:eastAsia="Arial" w:hAnsi="Arial" w:cs="Arial"/>
                <w:sz w:val="20"/>
                <w:szCs w:val="22"/>
                <w:lang w:val="en-US"/>
              </w:rPr>
              <w:t>25</w:t>
            </w:r>
          </w:p>
        </w:tc>
        <w:tc>
          <w:tcPr>
            <w:tcW w:w="3855" w:type="pct"/>
            <w:vAlign w:val="center"/>
          </w:tcPr>
          <w:p w14:paraId="34AE1C7D" w14:textId="77777777" w:rsidR="00892A33" w:rsidRPr="00892A33" w:rsidRDefault="00892A33" w:rsidP="00892A33">
            <w:pPr>
              <w:widowControl w:val="0"/>
              <w:autoSpaceDE w:val="0"/>
              <w:autoSpaceDN w:val="0"/>
              <w:spacing w:before="59"/>
              <w:ind w:left="108"/>
              <w:jc w:val="center"/>
              <w:rPr>
                <w:rFonts w:ascii="Arial" w:eastAsia="Arial" w:hAnsi="Arial" w:cs="Arial"/>
                <w:sz w:val="20"/>
                <w:szCs w:val="22"/>
                <w:lang w:val="en-US"/>
              </w:rPr>
            </w:pPr>
            <w:r w:rsidRPr="00892A33">
              <w:rPr>
                <w:rFonts w:ascii="Arial" w:eastAsia="Arial" w:hAnsi="Arial" w:cs="Arial"/>
                <w:sz w:val="20"/>
                <w:szCs w:val="22"/>
                <w:lang w:val="en-US"/>
              </w:rPr>
              <w:t>Graphic summarizing individual study estimates and overall estimate</w:t>
            </w:r>
          </w:p>
        </w:tc>
        <w:tc>
          <w:tcPr>
            <w:tcW w:w="589" w:type="pct"/>
            <w:vAlign w:val="center"/>
          </w:tcPr>
          <w:p w14:paraId="1687A47B"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Figures 2-4</w:t>
            </w:r>
          </w:p>
        </w:tc>
      </w:tr>
      <w:tr w:rsidR="00892A33" w:rsidRPr="00892A33" w14:paraId="5956EB12" w14:textId="77777777" w:rsidTr="000C3C27">
        <w:trPr>
          <w:trHeight w:val="350"/>
        </w:trPr>
        <w:tc>
          <w:tcPr>
            <w:tcW w:w="556" w:type="pct"/>
            <w:vAlign w:val="center"/>
          </w:tcPr>
          <w:p w14:paraId="4538B21C" w14:textId="77777777" w:rsidR="00892A33" w:rsidRPr="00892A33" w:rsidRDefault="00892A33" w:rsidP="00892A33">
            <w:pPr>
              <w:widowControl w:val="0"/>
              <w:autoSpaceDE w:val="0"/>
              <w:autoSpaceDN w:val="0"/>
              <w:spacing w:before="59"/>
              <w:ind w:left="203" w:right="196"/>
              <w:jc w:val="center"/>
              <w:rPr>
                <w:rFonts w:ascii="Arial" w:eastAsia="Arial" w:hAnsi="Arial" w:cs="Arial"/>
                <w:sz w:val="20"/>
                <w:szCs w:val="22"/>
                <w:lang w:val="en-US"/>
              </w:rPr>
            </w:pPr>
            <w:r w:rsidRPr="00892A33">
              <w:rPr>
                <w:rFonts w:ascii="Arial" w:eastAsia="Arial" w:hAnsi="Arial" w:cs="Arial"/>
                <w:sz w:val="20"/>
                <w:szCs w:val="22"/>
                <w:lang w:val="en-US"/>
              </w:rPr>
              <w:t>26</w:t>
            </w:r>
          </w:p>
        </w:tc>
        <w:tc>
          <w:tcPr>
            <w:tcW w:w="3855" w:type="pct"/>
            <w:vAlign w:val="center"/>
          </w:tcPr>
          <w:p w14:paraId="2B15B410" w14:textId="77777777" w:rsidR="00892A33" w:rsidRPr="00892A33" w:rsidRDefault="00892A33" w:rsidP="00892A33">
            <w:pPr>
              <w:widowControl w:val="0"/>
              <w:autoSpaceDE w:val="0"/>
              <w:autoSpaceDN w:val="0"/>
              <w:spacing w:before="59"/>
              <w:ind w:left="108"/>
              <w:jc w:val="center"/>
              <w:rPr>
                <w:rFonts w:ascii="Arial" w:eastAsia="Arial" w:hAnsi="Arial" w:cs="Arial"/>
                <w:sz w:val="20"/>
                <w:szCs w:val="22"/>
                <w:lang w:val="en-US"/>
              </w:rPr>
            </w:pPr>
            <w:r w:rsidRPr="00892A33">
              <w:rPr>
                <w:rFonts w:ascii="Arial" w:eastAsia="Arial" w:hAnsi="Arial" w:cs="Arial"/>
                <w:sz w:val="20"/>
                <w:szCs w:val="22"/>
                <w:lang w:val="en-US"/>
              </w:rPr>
              <w:t>Table giving descriptive information for each study included</w:t>
            </w:r>
          </w:p>
        </w:tc>
        <w:tc>
          <w:tcPr>
            <w:tcW w:w="589" w:type="pct"/>
            <w:vAlign w:val="center"/>
          </w:tcPr>
          <w:p w14:paraId="7AA9A61F"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eTable 1</w:t>
            </w:r>
          </w:p>
        </w:tc>
      </w:tr>
      <w:tr w:rsidR="00892A33" w:rsidRPr="00892A33" w14:paraId="7B99CA77" w14:textId="77777777" w:rsidTr="000C3C27">
        <w:trPr>
          <w:trHeight w:val="350"/>
        </w:trPr>
        <w:tc>
          <w:tcPr>
            <w:tcW w:w="556" w:type="pct"/>
            <w:vAlign w:val="center"/>
          </w:tcPr>
          <w:p w14:paraId="7684FC75" w14:textId="77777777" w:rsidR="00892A33" w:rsidRPr="00892A33" w:rsidRDefault="00892A33" w:rsidP="00892A33">
            <w:pPr>
              <w:widowControl w:val="0"/>
              <w:autoSpaceDE w:val="0"/>
              <w:autoSpaceDN w:val="0"/>
              <w:spacing w:before="59"/>
              <w:ind w:left="203" w:right="196"/>
              <w:jc w:val="center"/>
              <w:rPr>
                <w:rFonts w:ascii="Arial" w:eastAsia="Arial" w:hAnsi="Arial" w:cs="Arial"/>
                <w:sz w:val="20"/>
                <w:szCs w:val="22"/>
                <w:lang w:val="en-US"/>
              </w:rPr>
            </w:pPr>
            <w:r w:rsidRPr="00892A33">
              <w:rPr>
                <w:rFonts w:ascii="Arial" w:eastAsia="Arial" w:hAnsi="Arial" w:cs="Arial"/>
                <w:sz w:val="20"/>
                <w:szCs w:val="22"/>
                <w:lang w:val="en-US"/>
              </w:rPr>
              <w:t>27</w:t>
            </w:r>
          </w:p>
        </w:tc>
        <w:tc>
          <w:tcPr>
            <w:tcW w:w="3855" w:type="pct"/>
            <w:vAlign w:val="center"/>
          </w:tcPr>
          <w:p w14:paraId="66D61C6C" w14:textId="77777777" w:rsidR="00892A33" w:rsidRPr="00892A33" w:rsidRDefault="00892A33" w:rsidP="00892A33">
            <w:pPr>
              <w:widowControl w:val="0"/>
              <w:autoSpaceDE w:val="0"/>
              <w:autoSpaceDN w:val="0"/>
              <w:spacing w:before="59"/>
              <w:ind w:left="108"/>
              <w:jc w:val="center"/>
              <w:rPr>
                <w:rFonts w:ascii="Arial" w:eastAsia="Arial" w:hAnsi="Arial" w:cs="Arial"/>
                <w:sz w:val="20"/>
                <w:szCs w:val="22"/>
                <w:lang w:val="en-US"/>
              </w:rPr>
            </w:pPr>
            <w:r w:rsidRPr="00892A33">
              <w:rPr>
                <w:rFonts w:ascii="Arial" w:eastAsia="Arial" w:hAnsi="Arial" w:cs="Arial"/>
                <w:sz w:val="20"/>
                <w:szCs w:val="22"/>
                <w:lang w:val="en-US"/>
              </w:rPr>
              <w:t>Results of sensitivity testing (eg, subgroup analysis)</w:t>
            </w:r>
          </w:p>
        </w:tc>
        <w:tc>
          <w:tcPr>
            <w:tcW w:w="589" w:type="pct"/>
            <w:vAlign w:val="center"/>
          </w:tcPr>
          <w:p w14:paraId="3F0D4841"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 xml:space="preserve">5-7, Figure 3,5 eFigures 2-8 </w:t>
            </w:r>
          </w:p>
        </w:tc>
      </w:tr>
      <w:tr w:rsidR="00892A33" w:rsidRPr="00892A33" w14:paraId="2A035D89" w14:textId="77777777" w:rsidTr="000C3C27">
        <w:trPr>
          <w:trHeight w:val="352"/>
        </w:trPr>
        <w:tc>
          <w:tcPr>
            <w:tcW w:w="556" w:type="pct"/>
            <w:vAlign w:val="center"/>
          </w:tcPr>
          <w:p w14:paraId="55F923CD" w14:textId="77777777" w:rsidR="00892A33" w:rsidRPr="00892A33" w:rsidRDefault="00892A33" w:rsidP="00892A33">
            <w:pPr>
              <w:widowControl w:val="0"/>
              <w:autoSpaceDE w:val="0"/>
              <w:autoSpaceDN w:val="0"/>
              <w:spacing w:before="59"/>
              <w:ind w:left="203" w:right="196"/>
              <w:jc w:val="center"/>
              <w:rPr>
                <w:rFonts w:ascii="Arial" w:eastAsia="Arial" w:hAnsi="Arial" w:cs="Arial"/>
                <w:sz w:val="20"/>
                <w:szCs w:val="22"/>
                <w:lang w:val="en-US"/>
              </w:rPr>
            </w:pPr>
            <w:r w:rsidRPr="00892A33">
              <w:rPr>
                <w:rFonts w:ascii="Arial" w:eastAsia="Arial" w:hAnsi="Arial" w:cs="Arial"/>
                <w:sz w:val="20"/>
                <w:szCs w:val="22"/>
                <w:lang w:val="en-US"/>
              </w:rPr>
              <w:t>28</w:t>
            </w:r>
          </w:p>
        </w:tc>
        <w:tc>
          <w:tcPr>
            <w:tcW w:w="3855" w:type="pct"/>
            <w:vAlign w:val="center"/>
          </w:tcPr>
          <w:p w14:paraId="51DF50F4" w14:textId="77777777" w:rsidR="00892A33" w:rsidRPr="00892A33" w:rsidRDefault="00892A33" w:rsidP="00892A33">
            <w:pPr>
              <w:widowControl w:val="0"/>
              <w:autoSpaceDE w:val="0"/>
              <w:autoSpaceDN w:val="0"/>
              <w:spacing w:before="59"/>
              <w:ind w:left="108"/>
              <w:jc w:val="center"/>
              <w:rPr>
                <w:rFonts w:ascii="Arial" w:eastAsia="Arial" w:hAnsi="Arial" w:cs="Arial"/>
                <w:sz w:val="20"/>
                <w:szCs w:val="22"/>
                <w:lang w:val="en-US"/>
              </w:rPr>
            </w:pPr>
            <w:r w:rsidRPr="00892A33">
              <w:rPr>
                <w:rFonts w:ascii="Arial" w:eastAsia="Arial" w:hAnsi="Arial" w:cs="Arial"/>
                <w:sz w:val="20"/>
                <w:szCs w:val="22"/>
                <w:lang w:val="en-US"/>
              </w:rPr>
              <w:t>Indication of statistical uncertainty of findings</w:t>
            </w:r>
          </w:p>
        </w:tc>
        <w:tc>
          <w:tcPr>
            <w:tcW w:w="589" w:type="pct"/>
            <w:vAlign w:val="center"/>
          </w:tcPr>
          <w:p w14:paraId="7F31868A" w14:textId="77777777" w:rsidR="00892A33" w:rsidRPr="00892A33" w:rsidRDefault="00892A33" w:rsidP="00892A33">
            <w:pPr>
              <w:widowControl w:val="0"/>
              <w:autoSpaceDE w:val="0"/>
              <w:autoSpaceDN w:val="0"/>
              <w:jc w:val="center"/>
              <w:rPr>
                <w:rFonts w:ascii="Times New Roman" w:eastAsia="Arial" w:hAnsi="Arial" w:cs="Arial"/>
                <w:sz w:val="20"/>
                <w:szCs w:val="22"/>
                <w:lang w:val="en-US"/>
              </w:rPr>
            </w:pPr>
            <w:r w:rsidRPr="00892A33">
              <w:rPr>
                <w:rFonts w:ascii="Times New Roman" w:eastAsia="Arial" w:hAnsi="Arial" w:cs="Arial"/>
                <w:sz w:val="20"/>
                <w:szCs w:val="22"/>
                <w:lang w:val="en-US"/>
              </w:rPr>
              <w:t>5-7, Table 2,3,4</w:t>
            </w:r>
          </w:p>
        </w:tc>
      </w:tr>
    </w:tbl>
    <w:tbl>
      <w:tblPr>
        <w:tblpPr w:leftFromText="141" w:rightFromText="141" w:vertAnchor="text" w:horzAnchor="margin" w:tblpY="67"/>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162"/>
        <w:gridCol w:w="8062"/>
        <w:gridCol w:w="1232"/>
      </w:tblGrid>
      <w:tr w:rsidR="00892A33" w:rsidRPr="00892A33" w14:paraId="72C7B941" w14:textId="77777777" w:rsidTr="000C3C27">
        <w:trPr>
          <w:trHeight w:val="688"/>
        </w:trPr>
        <w:tc>
          <w:tcPr>
            <w:tcW w:w="556" w:type="pct"/>
            <w:shd w:val="clear" w:color="auto" w:fill="D9D9D9"/>
          </w:tcPr>
          <w:p w14:paraId="5E281EEB" w14:textId="77777777" w:rsidR="00892A33" w:rsidRPr="00892A33" w:rsidRDefault="00892A33" w:rsidP="00892A33">
            <w:pPr>
              <w:widowControl w:val="0"/>
              <w:autoSpaceDE w:val="0"/>
              <w:autoSpaceDN w:val="0"/>
              <w:spacing w:before="6"/>
              <w:rPr>
                <w:rFonts w:ascii="Arial" w:eastAsia="Arial" w:hAnsi="Arial" w:cs="Arial"/>
                <w:b/>
                <w:sz w:val="19"/>
                <w:szCs w:val="22"/>
                <w:lang w:val="en-US"/>
              </w:rPr>
            </w:pPr>
          </w:p>
          <w:p w14:paraId="44370885" w14:textId="77777777" w:rsidR="00892A33" w:rsidRPr="00892A33" w:rsidRDefault="00892A33" w:rsidP="00892A33">
            <w:pPr>
              <w:widowControl w:val="0"/>
              <w:autoSpaceDE w:val="0"/>
              <w:autoSpaceDN w:val="0"/>
              <w:ind w:left="203" w:right="200"/>
              <w:jc w:val="center"/>
              <w:rPr>
                <w:rFonts w:ascii="Arial" w:eastAsia="Arial" w:hAnsi="Arial" w:cs="Arial"/>
                <w:b/>
                <w:sz w:val="20"/>
                <w:szCs w:val="22"/>
                <w:lang w:val="en-US"/>
              </w:rPr>
            </w:pPr>
            <w:r w:rsidRPr="00892A33">
              <w:rPr>
                <w:rFonts w:ascii="Arial" w:eastAsia="Arial" w:hAnsi="Arial" w:cs="Arial"/>
                <w:b/>
                <w:sz w:val="20"/>
                <w:szCs w:val="22"/>
                <w:lang w:val="en-US"/>
              </w:rPr>
              <w:t>Item No</w:t>
            </w:r>
          </w:p>
        </w:tc>
        <w:tc>
          <w:tcPr>
            <w:tcW w:w="3855" w:type="pct"/>
            <w:shd w:val="clear" w:color="auto" w:fill="D9D9D9"/>
          </w:tcPr>
          <w:p w14:paraId="0E4EA66B" w14:textId="77777777" w:rsidR="00892A33" w:rsidRPr="00892A33" w:rsidRDefault="00892A33" w:rsidP="00892A33">
            <w:pPr>
              <w:widowControl w:val="0"/>
              <w:autoSpaceDE w:val="0"/>
              <w:autoSpaceDN w:val="0"/>
              <w:spacing w:before="6"/>
              <w:rPr>
                <w:rFonts w:ascii="Arial" w:eastAsia="Arial" w:hAnsi="Arial" w:cs="Arial"/>
                <w:b/>
                <w:sz w:val="19"/>
                <w:szCs w:val="22"/>
                <w:lang w:val="en-US"/>
              </w:rPr>
            </w:pPr>
          </w:p>
          <w:p w14:paraId="7A531103" w14:textId="77777777" w:rsidR="00892A33" w:rsidRPr="00892A33" w:rsidRDefault="00892A33" w:rsidP="00892A33">
            <w:pPr>
              <w:widowControl w:val="0"/>
              <w:autoSpaceDE w:val="0"/>
              <w:autoSpaceDN w:val="0"/>
              <w:ind w:left="3190" w:right="3182"/>
              <w:jc w:val="center"/>
              <w:rPr>
                <w:rFonts w:ascii="Arial" w:eastAsia="Arial" w:hAnsi="Arial" w:cs="Arial"/>
                <w:b/>
                <w:sz w:val="20"/>
                <w:szCs w:val="22"/>
                <w:lang w:val="en-US"/>
              </w:rPr>
            </w:pPr>
            <w:r w:rsidRPr="00892A33">
              <w:rPr>
                <w:rFonts w:ascii="Arial" w:eastAsia="Arial" w:hAnsi="Arial" w:cs="Arial"/>
                <w:b/>
                <w:sz w:val="20"/>
                <w:szCs w:val="22"/>
                <w:lang w:val="en-US"/>
              </w:rPr>
              <w:t>Recommendation</w:t>
            </w:r>
          </w:p>
        </w:tc>
        <w:tc>
          <w:tcPr>
            <w:tcW w:w="589" w:type="pct"/>
            <w:shd w:val="clear" w:color="auto" w:fill="D9D9D9"/>
          </w:tcPr>
          <w:p w14:paraId="5FC09E7E" w14:textId="77777777" w:rsidR="00892A33" w:rsidRPr="00892A33" w:rsidRDefault="00892A33" w:rsidP="00892A33">
            <w:pPr>
              <w:widowControl w:val="0"/>
              <w:autoSpaceDE w:val="0"/>
              <w:autoSpaceDN w:val="0"/>
              <w:spacing w:line="225" w:lineRule="exact"/>
              <w:ind w:left="243" w:hanging="51"/>
              <w:rPr>
                <w:rFonts w:ascii="Arial" w:eastAsia="Arial" w:hAnsi="Arial" w:cs="Arial"/>
                <w:b/>
                <w:sz w:val="20"/>
                <w:szCs w:val="22"/>
                <w:lang w:val="en-US"/>
              </w:rPr>
            </w:pPr>
            <w:r w:rsidRPr="00892A33">
              <w:rPr>
                <w:rFonts w:ascii="Arial" w:eastAsia="Arial" w:hAnsi="Arial" w:cs="Arial"/>
                <w:b/>
                <w:sz w:val="20"/>
                <w:szCs w:val="22"/>
                <w:lang w:val="en-US"/>
              </w:rPr>
              <w:t>Reported</w:t>
            </w:r>
          </w:p>
          <w:p w14:paraId="7B8D3218" w14:textId="77777777" w:rsidR="00892A33" w:rsidRPr="00892A33" w:rsidRDefault="00892A33" w:rsidP="00892A33">
            <w:pPr>
              <w:widowControl w:val="0"/>
              <w:autoSpaceDE w:val="0"/>
              <w:autoSpaceDN w:val="0"/>
              <w:spacing w:before="5" w:line="228" w:lineRule="exact"/>
              <w:ind w:left="497" w:right="209" w:hanging="255"/>
              <w:rPr>
                <w:rFonts w:ascii="Arial" w:eastAsia="Arial" w:hAnsi="Arial" w:cs="Arial"/>
                <w:b/>
                <w:sz w:val="20"/>
                <w:szCs w:val="22"/>
                <w:lang w:val="en-US"/>
              </w:rPr>
            </w:pPr>
            <w:r w:rsidRPr="00892A33">
              <w:rPr>
                <w:rFonts w:ascii="Arial" w:eastAsia="Arial" w:hAnsi="Arial" w:cs="Arial"/>
                <w:b/>
                <w:sz w:val="20"/>
                <w:szCs w:val="22"/>
                <w:lang w:val="en-US"/>
              </w:rPr>
              <w:t>on Page No</w:t>
            </w:r>
          </w:p>
        </w:tc>
      </w:tr>
      <w:tr w:rsidR="00892A33" w:rsidRPr="00892A33" w14:paraId="68333817" w14:textId="77777777" w:rsidTr="000C3C27">
        <w:trPr>
          <w:trHeight w:val="434"/>
        </w:trPr>
        <w:tc>
          <w:tcPr>
            <w:tcW w:w="5000" w:type="pct"/>
            <w:gridSpan w:val="3"/>
            <w:shd w:val="clear" w:color="auto" w:fill="F1F1F1"/>
          </w:tcPr>
          <w:p w14:paraId="731ADA3C" w14:textId="77777777" w:rsidR="00892A33" w:rsidRPr="00892A33" w:rsidRDefault="00892A33" w:rsidP="00892A33">
            <w:pPr>
              <w:widowControl w:val="0"/>
              <w:autoSpaceDE w:val="0"/>
              <w:autoSpaceDN w:val="0"/>
              <w:spacing w:before="100"/>
              <w:ind w:left="107"/>
              <w:rPr>
                <w:rFonts w:ascii="Arial" w:eastAsia="Arial" w:hAnsi="Arial" w:cs="Arial"/>
                <w:sz w:val="20"/>
                <w:szCs w:val="22"/>
                <w:lang w:val="en-US"/>
              </w:rPr>
            </w:pPr>
            <w:r w:rsidRPr="00892A33">
              <w:rPr>
                <w:rFonts w:ascii="Arial" w:eastAsia="Arial" w:hAnsi="Arial" w:cs="Arial"/>
                <w:sz w:val="20"/>
                <w:szCs w:val="22"/>
                <w:lang w:val="en-US"/>
              </w:rPr>
              <w:t>Reporting of discussion should include</w:t>
            </w:r>
          </w:p>
        </w:tc>
      </w:tr>
      <w:tr w:rsidR="00892A33" w:rsidRPr="00892A33" w14:paraId="1995AAC1" w14:textId="77777777" w:rsidTr="000C3C27">
        <w:trPr>
          <w:trHeight w:val="350"/>
        </w:trPr>
        <w:tc>
          <w:tcPr>
            <w:tcW w:w="556" w:type="pct"/>
          </w:tcPr>
          <w:p w14:paraId="0FFBB3C8"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29</w:t>
            </w:r>
          </w:p>
        </w:tc>
        <w:tc>
          <w:tcPr>
            <w:tcW w:w="3855" w:type="pct"/>
          </w:tcPr>
          <w:p w14:paraId="462CC8F0" w14:textId="77777777" w:rsidR="00892A33" w:rsidRPr="00892A33" w:rsidRDefault="00892A33" w:rsidP="00892A33">
            <w:pPr>
              <w:widowControl w:val="0"/>
              <w:autoSpaceDE w:val="0"/>
              <w:autoSpaceDN w:val="0"/>
              <w:spacing w:before="57"/>
              <w:ind w:left="108"/>
              <w:rPr>
                <w:rFonts w:ascii="Arial" w:eastAsia="Arial" w:hAnsi="Arial" w:cs="Arial"/>
                <w:sz w:val="20"/>
                <w:szCs w:val="22"/>
                <w:lang w:val="en-US"/>
              </w:rPr>
            </w:pPr>
            <w:r w:rsidRPr="00892A33">
              <w:rPr>
                <w:rFonts w:ascii="Arial" w:eastAsia="Arial" w:hAnsi="Arial" w:cs="Arial"/>
                <w:sz w:val="20"/>
                <w:szCs w:val="22"/>
                <w:lang w:val="en-US"/>
              </w:rPr>
              <w:t>Quantitative assessment of bias (eg, publication bias)</w:t>
            </w:r>
          </w:p>
        </w:tc>
        <w:tc>
          <w:tcPr>
            <w:tcW w:w="589" w:type="pct"/>
          </w:tcPr>
          <w:p w14:paraId="3F256B64"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7-9</w:t>
            </w:r>
          </w:p>
        </w:tc>
      </w:tr>
      <w:tr w:rsidR="00892A33" w:rsidRPr="00892A33" w14:paraId="68FC9383" w14:textId="77777777" w:rsidTr="000C3C27">
        <w:trPr>
          <w:trHeight w:val="350"/>
        </w:trPr>
        <w:tc>
          <w:tcPr>
            <w:tcW w:w="556" w:type="pct"/>
          </w:tcPr>
          <w:p w14:paraId="1DC47646"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30</w:t>
            </w:r>
          </w:p>
        </w:tc>
        <w:tc>
          <w:tcPr>
            <w:tcW w:w="3855" w:type="pct"/>
          </w:tcPr>
          <w:p w14:paraId="14FA0BD6" w14:textId="77777777" w:rsidR="00892A33" w:rsidRPr="00892A33" w:rsidRDefault="00892A33" w:rsidP="00892A33">
            <w:pPr>
              <w:widowControl w:val="0"/>
              <w:autoSpaceDE w:val="0"/>
              <w:autoSpaceDN w:val="0"/>
              <w:spacing w:before="57"/>
              <w:ind w:left="108"/>
              <w:rPr>
                <w:rFonts w:ascii="Arial" w:eastAsia="Arial" w:hAnsi="Arial" w:cs="Arial"/>
                <w:sz w:val="20"/>
                <w:szCs w:val="22"/>
                <w:lang w:val="en-US"/>
              </w:rPr>
            </w:pPr>
            <w:r w:rsidRPr="00892A33">
              <w:rPr>
                <w:rFonts w:ascii="Arial" w:eastAsia="Arial" w:hAnsi="Arial" w:cs="Arial"/>
                <w:sz w:val="20"/>
                <w:szCs w:val="22"/>
                <w:lang w:val="en-US"/>
              </w:rPr>
              <w:t>Justification for exclusion (eg, exclusion of non-English language citations)</w:t>
            </w:r>
          </w:p>
        </w:tc>
        <w:tc>
          <w:tcPr>
            <w:tcW w:w="589" w:type="pct"/>
          </w:tcPr>
          <w:p w14:paraId="57A4D141"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7-9</w:t>
            </w:r>
          </w:p>
        </w:tc>
      </w:tr>
      <w:tr w:rsidR="00892A33" w:rsidRPr="00892A33" w14:paraId="4C903692" w14:textId="77777777" w:rsidTr="000C3C27">
        <w:trPr>
          <w:trHeight w:val="350"/>
        </w:trPr>
        <w:tc>
          <w:tcPr>
            <w:tcW w:w="556" w:type="pct"/>
          </w:tcPr>
          <w:p w14:paraId="3CB3EDD2"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31</w:t>
            </w:r>
          </w:p>
        </w:tc>
        <w:tc>
          <w:tcPr>
            <w:tcW w:w="3855" w:type="pct"/>
          </w:tcPr>
          <w:p w14:paraId="5DB753F9" w14:textId="77777777" w:rsidR="00892A33" w:rsidRPr="00892A33" w:rsidRDefault="00892A33" w:rsidP="00892A33">
            <w:pPr>
              <w:widowControl w:val="0"/>
              <w:autoSpaceDE w:val="0"/>
              <w:autoSpaceDN w:val="0"/>
              <w:spacing w:before="57"/>
              <w:ind w:left="108"/>
              <w:rPr>
                <w:rFonts w:ascii="Arial" w:eastAsia="Arial" w:hAnsi="Arial" w:cs="Arial"/>
                <w:sz w:val="20"/>
                <w:szCs w:val="22"/>
                <w:lang w:val="en-US"/>
              </w:rPr>
            </w:pPr>
            <w:r w:rsidRPr="00892A33">
              <w:rPr>
                <w:rFonts w:ascii="Arial" w:eastAsia="Arial" w:hAnsi="Arial" w:cs="Arial"/>
                <w:sz w:val="20"/>
                <w:szCs w:val="22"/>
                <w:lang w:val="en-US"/>
              </w:rPr>
              <w:t>Assessment of quality of included studies</w:t>
            </w:r>
          </w:p>
        </w:tc>
        <w:tc>
          <w:tcPr>
            <w:tcW w:w="589" w:type="pct"/>
          </w:tcPr>
          <w:p w14:paraId="5D1D6A9F"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7-9, eTable 6</w:t>
            </w:r>
          </w:p>
        </w:tc>
      </w:tr>
      <w:tr w:rsidR="00892A33" w:rsidRPr="00892A33" w14:paraId="7BA9169E" w14:textId="77777777" w:rsidTr="000C3C27">
        <w:trPr>
          <w:trHeight w:val="366"/>
        </w:trPr>
        <w:tc>
          <w:tcPr>
            <w:tcW w:w="5000" w:type="pct"/>
            <w:gridSpan w:val="3"/>
            <w:shd w:val="clear" w:color="auto" w:fill="F1F1F1"/>
          </w:tcPr>
          <w:p w14:paraId="538A4C97" w14:textId="77777777" w:rsidR="00892A33" w:rsidRPr="00892A33" w:rsidRDefault="00892A33" w:rsidP="00892A33">
            <w:pPr>
              <w:widowControl w:val="0"/>
              <w:autoSpaceDE w:val="0"/>
              <w:autoSpaceDN w:val="0"/>
              <w:spacing w:before="66"/>
              <w:ind w:left="107"/>
              <w:rPr>
                <w:rFonts w:ascii="Arial" w:eastAsia="Arial" w:hAnsi="Arial" w:cs="Arial"/>
                <w:sz w:val="20"/>
                <w:szCs w:val="22"/>
                <w:lang w:val="en-US"/>
              </w:rPr>
            </w:pPr>
            <w:r w:rsidRPr="00892A33">
              <w:rPr>
                <w:rFonts w:ascii="Arial" w:eastAsia="Arial" w:hAnsi="Arial" w:cs="Arial"/>
                <w:sz w:val="20"/>
                <w:szCs w:val="22"/>
                <w:lang w:val="en-US"/>
              </w:rPr>
              <w:t>Reporting of conclusions should include</w:t>
            </w:r>
          </w:p>
        </w:tc>
      </w:tr>
      <w:tr w:rsidR="00892A33" w:rsidRPr="00892A33" w14:paraId="6467068A" w14:textId="77777777" w:rsidTr="000C3C27">
        <w:trPr>
          <w:trHeight w:val="350"/>
        </w:trPr>
        <w:tc>
          <w:tcPr>
            <w:tcW w:w="556" w:type="pct"/>
          </w:tcPr>
          <w:p w14:paraId="20D59C78"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32</w:t>
            </w:r>
          </w:p>
        </w:tc>
        <w:tc>
          <w:tcPr>
            <w:tcW w:w="3855" w:type="pct"/>
          </w:tcPr>
          <w:p w14:paraId="3DE05ED1" w14:textId="77777777" w:rsidR="00892A33" w:rsidRPr="00892A33" w:rsidRDefault="00892A33" w:rsidP="00892A33">
            <w:pPr>
              <w:widowControl w:val="0"/>
              <w:autoSpaceDE w:val="0"/>
              <w:autoSpaceDN w:val="0"/>
              <w:spacing w:before="57"/>
              <w:ind w:left="108"/>
              <w:rPr>
                <w:rFonts w:ascii="Arial" w:eastAsia="Arial" w:hAnsi="Arial" w:cs="Arial"/>
                <w:sz w:val="20"/>
                <w:szCs w:val="22"/>
                <w:lang w:val="en-US"/>
              </w:rPr>
            </w:pPr>
            <w:r w:rsidRPr="00892A33">
              <w:rPr>
                <w:rFonts w:ascii="Arial" w:eastAsia="Arial" w:hAnsi="Arial" w:cs="Arial"/>
                <w:sz w:val="20"/>
                <w:szCs w:val="22"/>
                <w:lang w:val="en-US"/>
              </w:rPr>
              <w:t>Consideration of alternative explanations for observed results</w:t>
            </w:r>
          </w:p>
        </w:tc>
        <w:tc>
          <w:tcPr>
            <w:tcW w:w="589" w:type="pct"/>
          </w:tcPr>
          <w:p w14:paraId="63A24CBE"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7-8</w:t>
            </w:r>
          </w:p>
        </w:tc>
      </w:tr>
      <w:tr w:rsidR="00892A33" w:rsidRPr="00892A33" w14:paraId="332214BA" w14:textId="77777777" w:rsidTr="000C3C27">
        <w:trPr>
          <w:trHeight w:val="460"/>
        </w:trPr>
        <w:tc>
          <w:tcPr>
            <w:tcW w:w="556" w:type="pct"/>
          </w:tcPr>
          <w:p w14:paraId="5F72BD17" w14:textId="77777777" w:rsidR="00892A33" w:rsidRPr="00892A33" w:rsidRDefault="00892A33" w:rsidP="00892A33">
            <w:pPr>
              <w:widowControl w:val="0"/>
              <w:autoSpaceDE w:val="0"/>
              <w:autoSpaceDN w:val="0"/>
              <w:spacing w:before="112"/>
              <w:ind w:left="203" w:right="196"/>
              <w:jc w:val="center"/>
              <w:rPr>
                <w:rFonts w:ascii="Arial" w:eastAsia="Arial" w:hAnsi="Arial" w:cs="Arial"/>
                <w:sz w:val="20"/>
                <w:szCs w:val="22"/>
                <w:lang w:val="en-US"/>
              </w:rPr>
            </w:pPr>
            <w:r w:rsidRPr="00892A33">
              <w:rPr>
                <w:rFonts w:ascii="Arial" w:eastAsia="Arial" w:hAnsi="Arial" w:cs="Arial"/>
                <w:sz w:val="20"/>
                <w:szCs w:val="22"/>
                <w:lang w:val="en-US"/>
              </w:rPr>
              <w:t>33</w:t>
            </w:r>
          </w:p>
        </w:tc>
        <w:tc>
          <w:tcPr>
            <w:tcW w:w="3855" w:type="pct"/>
          </w:tcPr>
          <w:p w14:paraId="4FCCF6D8" w14:textId="77777777" w:rsidR="00892A33" w:rsidRPr="00892A33" w:rsidRDefault="00892A33" w:rsidP="00892A33">
            <w:pPr>
              <w:widowControl w:val="0"/>
              <w:autoSpaceDE w:val="0"/>
              <w:autoSpaceDN w:val="0"/>
              <w:spacing w:line="230" w:lineRule="exact"/>
              <w:ind w:left="98"/>
              <w:rPr>
                <w:rFonts w:ascii="Arial" w:eastAsia="Arial" w:hAnsi="Arial" w:cs="Arial"/>
                <w:sz w:val="20"/>
                <w:szCs w:val="22"/>
                <w:lang w:val="en-US"/>
              </w:rPr>
            </w:pPr>
            <w:r w:rsidRPr="00892A33">
              <w:rPr>
                <w:rFonts w:ascii="Arial" w:eastAsia="Arial" w:hAnsi="Arial" w:cs="Arial"/>
                <w:sz w:val="20"/>
                <w:szCs w:val="22"/>
                <w:lang w:val="en-US"/>
              </w:rPr>
              <w:t>Generalization of the conclusions (ie, appropriate for the data presented and within the domain of the literature review)</w:t>
            </w:r>
          </w:p>
        </w:tc>
        <w:tc>
          <w:tcPr>
            <w:tcW w:w="589" w:type="pct"/>
          </w:tcPr>
          <w:p w14:paraId="05268DFF"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7-8</w:t>
            </w:r>
          </w:p>
        </w:tc>
      </w:tr>
      <w:tr w:rsidR="00892A33" w:rsidRPr="00892A33" w14:paraId="4CD21D87" w14:textId="77777777" w:rsidTr="000C3C27">
        <w:trPr>
          <w:trHeight w:val="350"/>
        </w:trPr>
        <w:tc>
          <w:tcPr>
            <w:tcW w:w="556" w:type="pct"/>
          </w:tcPr>
          <w:p w14:paraId="3D81FA0A"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34</w:t>
            </w:r>
          </w:p>
        </w:tc>
        <w:tc>
          <w:tcPr>
            <w:tcW w:w="3855" w:type="pct"/>
          </w:tcPr>
          <w:p w14:paraId="3E621CA3" w14:textId="77777777" w:rsidR="00892A33" w:rsidRPr="00892A33" w:rsidRDefault="00892A33" w:rsidP="00892A33">
            <w:pPr>
              <w:widowControl w:val="0"/>
              <w:autoSpaceDE w:val="0"/>
              <w:autoSpaceDN w:val="0"/>
              <w:spacing w:before="57"/>
              <w:ind w:left="108"/>
              <w:rPr>
                <w:rFonts w:ascii="Arial" w:eastAsia="Arial" w:hAnsi="Arial" w:cs="Arial"/>
                <w:sz w:val="20"/>
                <w:szCs w:val="22"/>
                <w:lang w:val="en-US"/>
              </w:rPr>
            </w:pPr>
            <w:r w:rsidRPr="00892A33">
              <w:rPr>
                <w:rFonts w:ascii="Arial" w:eastAsia="Arial" w:hAnsi="Arial" w:cs="Arial"/>
                <w:sz w:val="20"/>
                <w:szCs w:val="22"/>
                <w:lang w:val="en-US"/>
              </w:rPr>
              <w:t>Guidelines for future research</w:t>
            </w:r>
          </w:p>
        </w:tc>
        <w:tc>
          <w:tcPr>
            <w:tcW w:w="589" w:type="pct"/>
          </w:tcPr>
          <w:p w14:paraId="54F16C3C"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8</w:t>
            </w:r>
          </w:p>
        </w:tc>
      </w:tr>
      <w:tr w:rsidR="00892A33" w:rsidRPr="00892A33" w14:paraId="568BF87A" w14:textId="77777777" w:rsidTr="000C3C27">
        <w:trPr>
          <w:trHeight w:val="350"/>
        </w:trPr>
        <w:tc>
          <w:tcPr>
            <w:tcW w:w="556" w:type="pct"/>
          </w:tcPr>
          <w:p w14:paraId="33C394D1" w14:textId="77777777" w:rsidR="00892A33" w:rsidRPr="00892A33" w:rsidRDefault="00892A33" w:rsidP="00892A33">
            <w:pPr>
              <w:widowControl w:val="0"/>
              <w:autoSpaceDE w:val="0"/>
              <w:autoSpaceDN w:val="0"/>
              <w:spacing w:before="57"/>
              <w:ind w:left="203" w:right="196"/>
              <w:jc w:val="center"/>
              <w:rPr>
                <w:rFonts w:ascii="Arial" w:eastAsia="Arial" w:hAnsi="Arial" w:cs="Arial"/>
                <w:sz w:val="20"/>
                <w:szCs w:val="22"/>
                <w:lang w:val="en-US"/>
              </w:rPr>
            </w:pPr>
            <w:r w:rsidRPr="00892A33">
              <w:rPr>
                <w:rFonts w:ascii="Arial" w:eastAsia="Arial" w:hAnsi="Arial" w:cs="Arial"/>
                <w:sz w:val="20"/>
                <w:szCs w:val="22"/>
                <w:lang w:val="en-US"/>
              </w:rPr>
              <w:t>35</w:t>
            </w:r>
          </w:p>
        </w:tc>
        <w:tc>
          <w:tcPr>
            <w:tcW w:w="3855" w:type="pct"/>
          </w:tcPr>
          <w:p w14:paraId="7130E86B" w14:textId="77777777" w:rsidR="00892A33" w:rsidRPr="00892A33" w:rsidRDefault="00892A33" w:rsidP="00892A33">
            <w:pPr>
              <w:widowControl w:val="0"/>
              <w:autoSpaceDE w:val="0"/>
              <w:autoSpaceDN w:val="0"/>
              <w:spacing w:before="57"/>
              <w:ind w:left="108"/>
              <w:rPr>
                <w:rFonts w:ascii="Arial" w:eastAsia="Arial" w:hAnsi="Arial" w:cs="Arial"/>
                <w:sz w:val="20"/>
                <w:szCs w:val="22"/>
                <w:lang w:val="en-US"/>
              </w:rPr>
            </w:pPr>
            <w:r w:rsidRPr="00892A33">
              <w:rPr>
                <w:rFonts w:ascii="Arial" w:eastAsia="Arial" w:hAnsi="Arial" w:cs="Arial"/>
                <w:sz w:val="20"/>
                <w:szCs w:val="22"/>
                <w:lang w:val="en-US"/>
              </w:rPr>
              <w:t>Disclosure of funding source</w:t>
            </w:r>
          </w:p>
        </w:tc>
        <w:tc>
          <w:tcPr>
            <w:tcW w:w="589" w:type="pct"/>
          </w:tcPr>
          <w:p w14:paraId="7C51508C" w14:textId="77777777" w:rsidR="00892A33" w:rsidRPr="00892A33" w:rsidRDefault="00892A33" w:rsidP="00892A33">
            <w:pPr>
              <w:widowControl w:val="0"/>
              <w:autoSpaceDE w:val="0"/>
              <w:autoSpaceDN w:val="0"/>
              <w:rPr>
                <w:rFonts w:ascii="Times New Roman" w:eastAsia="Arial" w:hAnsi="Arial" w:cs="Arial"/>
                <w:sz w:val="18"/>
                <w:szCs w:val="22"/>
                <w:lang w:val="en-US"/>
              </w:rPr>
            </w:pPr>
            <w:r w:rsidRPr="00892A33">
              <w:rPr>
                <w:rFonts w:ascii="Times New Roman" w:eastAsia="Arial" w:hAnsi="Arial" w:cs="Arial"/>
                <w:sz w:val="18"/>
                <w:szCs w:val="22"/>
                <w:lang w:val="en-US"/>
              </w:rPr>
              <w:t>9</w:t>
            </w:r>
          </w:p>
        </w:tc>
      </w:tr>
    </w:tbl>
    <w:p w14:paraId="52C856A2" w14:textId="77777777" w:rsidR="00892A33" w:rsidRPr="00892A33" w:rsidRDefault="00892A33" w:rsidP="00892A33">
      <w:pPr>
        <w:spacing w:after="160" w:line="259" w:lineRule="auto"/>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br w:type="page"/>
      </w:r>
    </w:p>
    <w:p w14:paraId="6AB0576C" w14:textId="77777777" w:rsidR="00892A33" w:rsidRPr="00892A33" w:rsidRDefault="00892A33" w:rsidP="00755272">
      <w:pPr>
        <w:pStyle w:val="Heading1"/>
        <w:rPr>
          <w:lang w:eastAsia="it-IT"/>
        </w:rPr>
      </w:pPr>
      <w:r w:rsidRPr="00892A33">
        <w:rPr>
          <w:lang w:eastAsia="it-IT"/>
        </w:rPr>
        <w:lastRenderedPageBreak/>
        <w:t>Search strategy</w:t>
      </w:r>
    </w:p>
    <w:p w14:paraId="0A16AA85" w14:textId="77777777" w:rsidR="00892A33" w:rsidRPr="00892A33" w:rsidRDefault="00892A33" w:rsidP="00892A33">
      <w:pPr>
        <w:spacing w:after="160" w:line="259" w:lineRule="auto"/>
        <w:jc w:val="both"/>
        <w:rPr>
          <w:rFonts w:ascii="Times New Roman" w:eastAsia="Times New Roman" w:hAnsi="Times New Roman" w:cs="Times New Roman"/>
          <w:b/>
          <w:bCs/>
          <w:i/>
          <w:iCs/>
          <w:sz w:val="20"/>
          <w:szCs w:val="20"/>
          <w:lang w:eastAsia="it-IT"/>
        </w:rPr>
      </w:pPr>
      <w:r w:rsidRPr="00892A33">
        <w:rPr>
          <w:rFonts w:ascii="Times New Roman" w:eastAsia="Times New Roman" w:hAnsi="Times New Roman" w:cs="Times New Roman"/>
          <w:b/>
          <w:bCs/>
          <w:i/>
          <w:iCs/>
          <w:sz w:val="20"/>
          <w:szCs w:val="20"/>
          <w:lang w:eastAsia="it-IT"/>
        </w:rPr>
        <w:t>PubMed/MEDLINE</w:t>
      </w:r>
    </w:p>
    <w:p w14:paraId="22987374" w14:textId="77777777" w:rsidR="00892A33" w:rsidRPr="00892A33" w:rsidRDefault="00892A33" w:rsidP="00892A33">
      <w:pPr>
        <w:spacing w:after="160"/>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(((("bipolar disorder"[mesh])) or (bipolar or bipolar depression[title/abstract] or bipolar disorder[title/abstract] or mania[title/abstract] or hypomania[title/abstract]))) and (((("c-reactive protein"[mesh]) or crp or tnf or "tumor necrosis factor-alpha"[mesh]) or IL1 or IL-1 or "interleukin-1"[mesh]) or "interleukin-6"[mesh] OR IL-6 OR IL6))</w:t>
      </w:r>
    </w:p>
    <w:p w14:paraId="4D91F963" w14:textId="77777777" w:rsidR="00892A33" w:rsidRPr="00892A33" w:rsidRDefault="00892A33" w:rsidP="00892A33">
      <w:pPr>
        <w:spacing w:after="160" w:line="259" w:lineRule="auto"/>
        <w:jc w:val="both"/>
        <w:rPr>
          <w:rFonts w:ascii="Times New Roman" w:eastAsia="Times New Roman" w:hAnsi="Times New Roman" w:cs="Times New Roman"/>
          <w:b/>
          <w:bCs/>
          <w:i/>
          <w:iCs/>
          <w:sz w:val="20"/>
          <w:szCs w:val="20"/>
          <w:lang w:eastAsia="it-IT"/>
        </w:rPr>
      </w:pPr>
      <w:r w:rsidRPr="00892A33">
        <w:rPr>
          <w:rFonts w:ascii="Times New Roman" w:eastAsia="Times New Roman" w:hAnsi="Times New Roman" w:cs="Times New Roman"/>
          <w:b/>
          <w:bCs/>
          <w:i/>
          <w:iCs/>
          <w:sz w:val="20"/>
          <w:szCs w:val="20"/>
          <w:lang w:eastAsia="it-IT"/>
        </w:rPr>
        <w:t>PsycINFO</w:t>
      </w:r>
    </w:p>
    <w:p w14:paraId="74193968"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1: C-reactive protein.mp.</w:t>
      </w:r>
    </w:p>
    <w:p w14:paraId="06BC40F2"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2: CRP.mp.</w:t>
      </w:r>
    </w:p>
    <w:p w14:paraId="7F14489F"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3: Interleukin-6.mp.</w:t>
      </w:r>
    </w:p>
    <w:p w14:paraId="4832EB41"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4: IL-6.mp.</w:t>
      </w:r>
    </w:p>
    <w:p w14:paraId="6478013D"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5: exp Tumor Necrosis Factor/</w:t>
      </w:r>
    </w:p>
    <w:p w14:paraId="6AD47F30"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6: IL-1.mp.</w:t>
      </w:r>
    </w:p>
    <w:p w14:paraId="75204234"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7: Interleukin-1.mp.</w:t>
      </w:r>
    </w:p>
    <w:p w14:paraId="7198C923"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8: #1 or #2 or #3 or #4 or #5 or #6 or #7</w:t>
      </w:r>
    </w:p>
    <w:p w14:paraId="0D69347C"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9: exp Bipolar Disorder/</w:t>
      </w:r>
    </w:p>
    <w:p w14:paraId="180F3AC3"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10: bipolar depression.mp.</w:t>
      </w:r>
    </w:p>
    <w:p w14:paraId="1B4E09C8"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11: exp Mania/</w:t>
      </w:r>
    </w:p>
    <w:p w14:paraId="1BDA0750"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12: exp Hypomania/</w:t>
      </w:r>
    </w:p>
    <w:p w14:paraId="165750BF"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13: #9 or #10 or #11 or #12</w:t>
      </w:r>
    </w:p>
    <w:p w14:paraId="2EC16A35" w14:textId="77777777" w:rsidR="00892A33" w:rsidRPr="00892A33" w:rsidRDefault="00892A33" w:rsidP="00892A33">
      <w:pPr>
        <w:spacing w:after="160" w:line="259" w:lineRule="auto"/>
        <w:jc w:val="both"/>
        <w:rPr>
          <w:rFonts w:ascii="Times New Roman" w:eastAsia="Times New Roman" w:hAnsi="Times New Roman" w:cs="Times New Roman"/>
          <w:sz w:val="20"/>
          <w:szCs w:val="20"/>
          <w:lang w:eastAsia="it-IT"/>
        </w:rPr>
      </w:pPr>
      <w:r w:rsidRPr="00892A33">
        <w:rPr>
          <w:rFonts w:ascii="Times New Roman" w:eastAsia="Times New Roman" w:hAnsi="Times New Roman" w:cs="Times New Roman"/>
          <w:sz w:val="20"/>
          <w:szCs w:val="20"/>
          <w:lang w:eastAsia="it-IT"/>
        </w:rPr>
        <w:t>Search 14: #8 and #13</w:t>
      </w:r>
    </w:p>
    <w:p w14:paraId="4D143D48" w14:textId="77777777" w:rsidR="00892A33" w:rsidRPr="00892A33" w:rsidRDefault="00892A33" w:rsidP="00892A33">
      <w:pPr>
        <w:spacing w:after="160" w:line="259" w:lineRule="auto"/>
        <w:rPr>
          <w:rFonts w:ascii="Calibri" w:eastAsia="Calibri" w:hAnsi="Calibri" w:cs="Times New Roman"/>
          <w:b/>
          <w:bCs/>
          <w:sz w:val="22"/>
          <w:szCs w:val="22"/>
        </w:rPr>
        <w:sectPr w:rsidR="00892A33" w:rsidRPr="00892A33" w:rsidSect="0043255D">
          <w:footerReference w:type="default" r:id="rId10"/>
          <w:pgSz w:w="11906" w:h="16838"/>
          <w:pgMar w:top="720" w:right="720" w:bottom="720" w:left="720" w:header="708" w:footer="708" w:gutter="0"/>
          <w:cols w:space="708"/>
          <w:docGrid w:linePitch="360"/>
        </w:sectPr>
      </w:pPr>
    </w:p>
    <w:p w14:paraId="1C7FDEAE" w14:textId="60E47EED" w:rsidR="00892A33" w:rsidRPr="00892A33" w:rsidRDefault="00892A33" w:rsidP="00755272">
      <w:pPr>
        <w:pStyle w:val="Heading1"/>
      </w:pPr>
      <w:r w:rsidRPr="00892A33">
        <w:lastRenderedPageBreak/>
        <w:t>eTable 4. List of excluded studies after full-text assessment, with reason for exclusion.</w:t>
      </w:r>
    </w:p>
    <w:tbl>
      <w:tblPr>
        <w:tblW w:w="5000" w:type="pct"/>
        <w:tblCellMar>
          <w:left w:w="70" w:type="dxa"/>
          <w:right w:w="70" w:type="dxa"/>
        </w:tblCellMar>
        <w:tblLook w:val="04A0" w:firstRow="1" w:lastRow="0" w:firstColumn="1" w:lastColumn="0" w:noHBand="0" w:noVBand="1"/>
      </w:tblPr>
      <w:tblGrid>
        <w:gridCol w:w="4169"/>
        <w:gridCol w:w="11229"/>
      </w:tblGrid>
      <w:tr w:rsidR="00892A33" w:rsidRPr="00892A33" w14:paraId="315A6482" w14:textId="77777777" w:rsidTr="000C3C27">
        <w:trPr>
          <w:trHeight w:val="356"/>
        </w:trPr>
        <w:tc>
          <w:tcPr>
            <w:tcW w:w="1476" w:type="pct"/>
            <w:tcBorders>
              <w:top w:val="nil"/>
              <w:left w:val="nil"/>
              <w:bottom w:val="nil"/>
              <w:right w:val="nil"/>
            </w:tcBorders>
            <w:shd w:val="clear" w:color="000000" w:fill="D9D9D9"/>
            <w:noWrap/>
            <w:vAlign w:val="bottom"/>
            <w:hideMark/>
          </w:tcPr>
          <w:p w14:paraId="708E85C9" w14:textId="77777777" w:rsidR="00892A33" w:rsidRPr="00892A33" w:rsidRDefault="00892A33" w:rsidP="00892A33">
            <w:pPr>
              <w:jc w:val="center"/>
              <w:rPr>
                <w:rFonts w:ascii="Times New Roman" w:eastAsia="Times New Roman" w:hAnsi="Times New Roman" w:cs="Times New Roman"/>
                <w:b/>
                <w:bCs/>
                <w:color w:val="000000"/>
                <w:sz w:val="18"/>
                <w:szCs w:val="18"/>
                <w:lang w:eastAsia="it-IT"/>
              </w:rPr>
            </w:pPr>
            <w:r w:rsidRPr="00892A33">
              <w:rPr>
                <w:rFonts w:ascii="Times New Roman" w:eastAsia="Times New Roman" w:hAnsi="Times New Roman" w:cs="Times New Roman"/>
                <w:b/>
                <w:bCs/>
                <w:color w:val="000000"/>
                <w:sz w:val="18"/>
                <w:szCs w:val="18"/>
                <w:lang w:eastAsia="it-IT"/>
              </w:rPr>
              <w:t>Author, year</w:t>
            </w:r>
          </w:p>
        </w:tc>
        <w:tc>
          <w:tcPr>
            <w:tcW w:w="3524" w:type="pct"/>
            <w:tcBorders>
              <w:top w:val="nil"/>
              <w:left w:val="nil"/>
              <w:bottom w:val="nil"/>
              <w:right w:val="nil"/>
            </w:tcBorders>
            <w:shd w:val="clear" w:color="000000" w:fill="D9D9D9"/>
            <w:noWrap/>
            <w:vAlign w:val="bottom"/>
            <w:hideMark/>
          </w:tcPr>
          <w:p w14:paraId="26AF6249" w14:textId="77777777" w:rsidR="00892A33" w:rsidRPr="00892A33" w:rsidRDefault="00892A33" w:rsidP="00892A33">
            <w:pPr>
              <w:jc w:val="center"/>
              <w:rPr>
                <w:rFonts w:ascii="Times New Roman" w:eastAsia="Times New Roman" w:hAnsi="Times New Roman" w:cs="Times New Roman"/>
                <w:b/>
                <w:bCs/>
                <w:color w:val="000000"/>
                <w:sz w:val="18"/>
                <w:szCs w:val="18"/>
                <w:lang w:eastAsia="it-IT"/>
              </w:rPr>
            </w:pPr>
            <w:r w:rsidRPr="00892A33">
              <w:rPr>
                <w:rFonts w:ascii="Times New Roman" w:eastAsia="Times New Roman" w:hAnsi="Times New Roman" w:cs="Times New Roman"/>
                <w:b/>
                <w:bCs/>
                <w:color w:val="000000"/>
                <w:sz w:val="18"/>
                <w:szCs w:val="18"/>
                <w:lang w:eastAsia="it-IT"/>
              </w:rPr>
              <w:t>Reason(s)</w:t>
            </w:r>
          </w:p>
        </w:tc>
      </w:tr>
      <w:tr w:rsidR="00892A33" w:rsidRPr="00892A33" w14:paraId="79C5B1E0" w14:textId="77777777" w:rsidTr="000C3C27">
        <w:trPr>
          <w:trHeight w:val="20"/>
        </w:trPr>
        <w:tc>
          <w:tcPr>
            <w:tcW w:w="1476" w:type="pct"/>
            <w:tcBorders>
              <w:top w:val="nil"/>
              <w:left w:val="nil"/>
              <w:bottom w:val="nil"/>
              <w:right w:val="nil"/>
            </w:tcBorders>
            <w:shd w:val="clear" w:color="000000" w:fill="FFFFFF"/>
            <w:noWrap/>
            <w:vAlign w:val="bottom"/>
            <w:hideMark/>
          </w:tcPr>
          <w:p w14:paraId="73CEAED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eastAsia="it-IT"/>
              </w:rPr>
              <w:t xml:space="preserve">Lotrich, 2014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eastAsia="it-IT"/>
              </w:rPr>
              <w:instrText>ADDIN CSL_CITATION {"citationItems":[{"id":"ITEM-1","itemData":{"DOI":"10.1002/gps.4048","ISSN":"08856230","author":[{"dropping-particle":"","family":"Lotrich","given":"Francis E.","non-dropping-particle":"","parse-names":false,"suffix":""},{"dropping-particle":"","family":"Butters","given":"Meryl A.","non-dropping-particle":"","parse-names":false,"suffix":""},{"dropping-particle":"","family":"Aizenstein","given":"Howard","non-dropping-particle":"","parse-names":false,"suffix":""},{"dropping-particle":"","family":"Marron","given":"Megan M.","non-dropping-particle":"","parse-names":false,"suffix":""},{"dropping-particle":"","family":"Reynolds","given":"Charles F.","non-dropping-particle":"","parse-names":false,"suffix":""},{"dropping-particle":"","family":"Gildengers","given":"Ariel G.","non-dropping-particle":"","parse-names":false,"suffix":""}],"container-title":"International Journal of Geriatric Psychiatry","id":"ITEM-1","issue":"6","issued":{"date-parts":[["2014","6"]]},"page":"635-644","title":"The relationship between interleukin-1 receptor antagonist and cognitive function in older adults with bipolar disorder","type":"article-journal","volume":"29"},"uris":["http://www.mendeley.com/documents/?uuid=37261ee7-cfbe-47e3-a468-08e6ec5909d1","http://www.mendeley.com/documents/?uuid=728d236f-9148-425f-8cbb-e8945989c40a","http://www.mendeley.com/documents/?uuid=766cd54e-2f75-46e2-96d0-5b45cecf0c15"]}],"mendeley":{"formattedCitation":"(Lotrich et al., 2014)","plainTextFormattedCitation":"(Lotrich et al., 2014)","previouslyFormattedCitation":"(Lotrich et al., 2014)"},"properties":{"noteIndex":0},"schema":"https://github.com/citation-style-language/schema/raw/master/csl-citation.json"}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(Lotrich et al., 2014)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B1618E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Assay IL1RA only</w:t>
            </w:r>
          </w:p>
        </w:tc>
      </w:tr>
      <w:tr w:rsidR="00892A33" w:rsidRPr="00892A33" w14:paraId="5C79257B" w14:textId="77777777" w:rsidTr="000C3C27">
        <w:trPr>
          <w:trHeight w:val="20"/>
        </w:trPr>
        <w:tc>
          <w:tcPr>
            <w:tcW w:w="1476" w:type="pct"/>
            <w:tcBorders>
              <w:top w:val="nil"/>
              <w:left w:val="nil"/>
              <w:bottom w:val="nil"/>
              <w:right w:val="nil"/>
            </w:tcBorders>
            <w:shd w:val="clear" w:color="000000" w:fill="FFFFFF"/>
            <w:noWrap/>
            <w:vAlign w:val="bottom"/>
            <w:hideMark/>
          </w:tcPr>
          <w:p w14:paraId="3045D06B"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Siwek,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10.1007/s12035-016-0124-8","ISSN":"0893-7648","author":[{"dropping-particle":"","family":"Siwek","given":"Marcin","non-dropping-particle":"","parse-names":false,"suffix":""},{"dropping-particle":"","family":"Sowa-Kućma","given":"Magdalena","non-dropping-particle":"","parse-names":false,"suffix":""},{"dropping-particle":"","family":"Styczeń","given":"Krzysztof","non-dropping-particle":"","parse-names":false,"suffix":""},{"dropping-particle":"","family":"Misztak","given":"Paulina","non-dropping-particle":"","parse-names":false,"suffix":""},{"dropping-particle":"","family":"Nowak","given":"Rafał J.","non-dropping-particle":"","parse-names":false,"suffix":""},{"dropping-particle":"","family":"Szewczyk","given":"Bernadeta","non-dropping-particle":"","parse-names":false,"suffix":""},{"dropping-particle":"","family":"Dudek","given":"Dominika","non-dropping-particle":"","parse-names":false,"suffix":""},{"dropping-particle":"","family":"Rybakowski","given":"Janusz K.","non-dropping-particle":"","parse-names":false,"suffix":""},{"dropping-particle":"","family":"Nowak","given":"Gabriel","non-dropping-particle":"","parse-names":false,"suffix":""},{"dropping-particle":"","family":"Maes","given":"Michael","non-dropping-particle":"","parse-names":false,"suffix":""}],"container-title":"Molecular Neurobiology","id":"ITEM-1","issue":"8","issued":{"date-parts":[["2017","10"]]},"page":"5883-5893","title":"Associations of Serum Cytokine Receptor Levels with Melancholia, Staging of Illness, Depressive and Manic Phases, and Severity of Depression in Bipolar Disorder","type":"article-journal","volume":"54"},"uris":["http://www.mendeley.com/documents/?uuid=ed28804d-cfee-488b-8b4a-29bfe53e81d0","http://www.mendeley.com/documents/?uuid=efa805dd-b488-4d7e-857a-ff14fa45e5c3","http://www.mendeley.com/documents/?uuid=82e6015a-b84e-4ec0-bec3-1798ba079362"]}],"mendeley":{"formattedCitation":"(Siwek et al., 2017)","plainTextFormattedCitation":"(Siwek et al., 2017)","previouslyFormattedCitation":"(Siwek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(Siwek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1595E09"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Assayed IL and TNF receptors</w:t>
            </w:r>
          </w:p>
        </w:tc>
      </w:tr>
      <w:tr w:rsidR="00892A33" w:rsidRPr="00892A33" w14:paraId="5591C9A7" w14:textId="77777777" w:rsidTr="000C3C27">
        <w:trPr>
          <w:trHeight w:val="20"/>
        </w:trPr>
        <w:tc>
          <w:tcPr>
            <w:tcW w:w="1476" w:type="pct"/>
            <w:tcBorders>
              <w:top w:val="nil"/>
              <w:left w:val="nil"/>
              <w:bottom w:val="nil"/>
              <w:right w:val="nil"/>
            </w:tcBorders>
            <w:shd w:val="clear" w:color="000000" w:fill="FFFFFF"/>
            <w:noWrap/>
            <w:vAlign w:val="bottom"/>
            <w:hideMark/>
          </w:tcPr>
          <w:p w14:paraId="2E9FD1F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Tsai, 2014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bdi.12240","ISSN":"13985647","author":[{"dropping-particle":"","family":"Tsai","given":"Shang-Ying","non-dropping-particle":"","parse-names":false,"suffix":""},{"dropping-particle":"","family":"Chung","given":"Kuo-Hsuan","non-dropping-particle":"","parse-names":false,"suffix":""},{"dropping-particle":"","family":"Huang","given":"Shou-Hung","non-dropping-particle":"","parse-names":false,"suffix":""},{"dropping-particle":"","family":"Chen","given":"Pao-Huan","non-dropping-particle":"","parse-names":false,"suffix":""},{"dropping-particle":"","family":"Lee","given":"Hsin-Chien","non-dropping-particle":"","parse-names":false,"suffix":""},{"dropping-particle":"","family":"Kuo","given":"Chian-Jue","non-dropping-particle":"","parse-names":false,"suffix":""}],"container-title":"Bipolar Disorders","id":"ITEM-1","issue":"8","issued":{"date-parts":[["2014","12"]]},"page":"800-808","title":"Persistent inflammation and its relationship to leptin and insulin in phases of bipolar disorder from acute depression to full remission","type":"article-journal","volume":"16"},"uris":["http://www.mendeley.com/documents/?uuid=9642e517-44f3-4374-966a-1eec4e320ee7","http://www.mendeley.com/documents/?uuid=22f4f97a-9771-4bbd-9a31-822d78b5c431","http://www.mendeley.com/documents/?uuid=b76653cf-af62-4f1a-b087-e23bab20867b"]}],"mendeley":{"formattedCitation":"(Tsai et al., 2014)","plainTextFormattedCitation":"(Tsai et al., 2014)","previouslyFormattedCitation":"(Tsai et al., 2014)"},"properties":{"noteIndex":0},"schema":"https://github.com/citation-style-language/schema/raw/master/csl-citation.json"}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(Tsai et al., 2014)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4463CA8"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Assayed IL and TNF receptors</w:t>
            </w:r>
          </w:p>
        </w:tc>
      </w:tr>
      <w:tr w:rsidR="00892A33" w:rsidRPr="00892A33" w14:paraId="1AE70905" w14:textId="77777777" w:rsidTr="000C3C27">
        <w:trPr>
          <w:trHeight w:val="20"/>
        </w:trPr>
        <w:tc>
          <w:tcPr>
            <w:tcW w:w="1476" w:type="pct"/>
            <w:tcBorders>
              <w:top w:val="nil"/>
              <w:left w:val="nil"/>
              <w:bottom w:val="nil"/>
              <w:right w:val="nil"/>
            </w:tcBorders>
            <w:shd w:val="clear" w:color="000000" w:fill="FFFFFF"/>
            <w:noWrap/>
            <w:vAlign w:val="bottom"/>
            <w:hideMark/>
          </w:tcPr>
          <w:p w14:paraId="54F1F69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Tsai, 1999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S0006-3223(98)00159-0","ISSN":"00063223","author":[{"dropping-particle":"","family":"Tsai","given":"Shang-Ying","non-dropping-particle":"","parse-names":false,"suffix":""},{"dropping-particle":"","family":"Chen","given":"Kun-Po","non-dropping-particle":"","parse-names":false,"suffix":""},{"dropping-particle":"","family":"Yang","given":"Yi-Yuan","non-dropping-particle":"","parse-names":false,"suffix":""},{"dropping-particle":"","family":"Chen","given":"Chiao-Chicy","non-dropping-particle":"","parse-names":false,"suffix":""},{"dropping-particle":"","family":"Lee","given":"Ju-Chin","non-dropping-particle":"","parse-names":false,"suffix":""},{"dropping-particle":"","family":"Singh","given":"Vijendra K","non-dropping-particle":"","parse-names":false,"suffix":""},{"dropping-particle":"","family":"Leu","given":"Sy-Jye C","non-dropping-particle":"","parse-names":false,"suffix":""}],"container-title":"Biological Psychiatry","id":"ITEM-1","issue":"8","issued":{"date-parts":[["1999","4"]]},"page":"989-994","title":"Activation of indices of cell-mediated immunity in bipolar mania","type":"article-journal","volume":"45"},"uris":["http://www.mendeley.com/documents/?uuid=a338d6fd-c2df-4722-b28d-2f792a70fa44","http://www.mendeley.com/documents/?uuid=7ad6c366-4fe4-4db8-95aa-551e31699319","http://www.mendeley.com/documents/?uuid=f3423e61-2a73-4637-875f-45e68e6e8f00"]}],"mendeley":{"formattedCitation":"(Tsai et al., 1999)","plainTextFormattedCitation":"(Tsai et al., 1999)","previouslyFormattedCitation":"(Tsai et al., 1999)"},"properties":{"noteIndex":0},"schema":"https://github.com/citation-style-language/schema/raw/master/csl-citation.json"}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(Tsai et al., 1999)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18DE069"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Assayed sIL2-R and sIL-6R</w:t>
            </w:r>
          </w:p>
        </w:tc>
      </w:tr>
      <w:tr w:rsidR="00892A33" w:rsidRPr="00892A33" w14:paraId="21487D07" w14:textId="77777777" w:rsidTr="000C3C27">
        <w:trPr>
          <w:trHeight w:val="20"/>
        </w:trPr>
        <w:tc>
          <w:tcPr>
            <w:tcW w:w="1476" w:type="pct"/>
            <w:tcBorders>
              <w:top w:val="nil"/>
              <w:left w:val="nil"/>
              <w:bottom w:val="nil"/>
              <w:right w:val="nil"/>
            </w:tcBorders>
            <w:shd w:val="clear" w:color="000000" w:fill="FFFFFF"/>
            <w:noWrap/>
            <w:vAlign w:val="bottom"/>
            <w:hideMark/>
          </w:tcPr>
          <w:p w14:paraId="2C51B55F"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{"citationItems":[{"id":"ITEM-1","itemData":{"DOI":"10.1002/hup.2450","ISSN":"08856222","author":[{"dropping-particle":"","family":"Teixeira","given":"Antonio L.","non-dropping-particle":"","parse-names":false,"suffix":""},{"dropping-particle":"","family":"Souza","given":"Rafael T.","non-dropping-particle":"de","parse-names":false,"suffix":""},{"dropping-particle":"V.","family":"Zanetti","given":"Marcus","non-dropping-particle":"","parse-names":false,"suffix":""},{"dropping-particle":"","family":"Brunoni","given":"Andre R.","non-dropping-particle":"","parse-names":false,"suffix":""},{"dropping-particle":"","family":"Busatto","given":"Geraldo F.","non-dropping-particle":"","parse-names":false,"suffix":""},{"dropping-particle":"","family":"Zarate","given":"Carlos A.","non-dropping-particle":"","parse-names":false,"suffix":""},{"dropping-particle":"","family":"Gattaz","given":"Wagner F.","non-dropping-particle":"","parse-names":false,"suffix":""},{"dropping-particle":"","family":"Machado-Vieira","given":"Rodrigo","non-dropping-particle":"","parse-names":false,"suffix":""}],"container-title":"Human Psychopharmacology: Clinical and Experimental","id":"ITEM-1","issue":"1","issued":{"date-parts":[["2015","1"]]},"page":"52-56","title":"Increased plasma levels of soluble TNF receptors 1 and 2 in bipolar depression and impact of lithium treatment","type":"article-journal","volume":"30"},"uris":["http://www.mendeley.com/documents/?uuid=fcda1e65-b21b-4a5f-b574-4ed1f75ae6e3","http://www.mendeley.com/documents/?uuid=c581ac73-0789-41f1-846e-afaa5ea733c5","http://www.mendeley.com/documents/?uuid=95611202-4a30-4489-8a04-b4fe73a70017"]}],"mendeley":{"formattedCitation":"(Teixeira et al., 2015)","plainTextFormattedCitation":"(Teixeira et al., 2015)","previouslyFormattedCitation":"(Teixeira et al., 2015)"},"properties":{"noteIndex":0},"schema":"https://github.com/citation-style-language/schema/raw/master/csl-citation.json"}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(Teixeira et al., 2015)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5A7CBF6"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Assayed Slouble receptors of TNF</w:t>
            </w:r>
          </w:p>
        </w:tc>
      </w:tr>
      <w:tr w:rsidR="00892A33" w:rsidRPr="00892A33" w14:paraId="2EC07517" w14:textId="77777777" w:rsidTr="000C3C27">
        <w:trPr>
          <w:trHeight w:val="20"/>
        </w:trPr>
        <w:tc>
          <w:tcPr>
            <w:tcW w:w="1476" w:type="pct"/>
            <w:tcBorders>
              <w:top w:val="nil"/>
              <w:left w:val="nil"/>
              <w:bottom w:val="nil"/>
              <w:right w:val="nil"/>
            </w:tcBorders>
            <w:shd w:val="clear" w:color="000000" w:fill="FFFFFF"/>
            <w:noWrap/>
            <w:vAlign w:val="bottom"/>
            <w:hideMark/>
          </w:tcPr>
          <w:p w14:paraId="74F1352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Sowa-Kucma, 2018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npbp.2017.08.024","ISSN":"02785846","author":[{"dropping-particle":"","family":"Sowa-Kućma","given":"Magdalena","non-dropping-particle":"","parse-names":false,"suffix":""},{"dropping-particle":"","family":"Styczeń","given":"Krzysztof","non-dropping-particle":"","parse-names":false,"suffix":""},{"dropping-particle":"","family":"Siwek","given":"Marcin","non-dropping-particle":"","parse-names":false,"suffix":""},{"dropping-particle":"","family":"Misztak","given":"Paulina","non-dropping-particle":"","parse-names":false,"suffix":""},{"dropping-particle":"","family":"Nowak","given":"Rafał J.","non-dropping-particle":"","parse-names":false,"suffix":""},{"dropping-particle":"","family":"Dudek","given":"Dominika","non-dropping-particle":"","parse-names":false,"suffix":""},{"dropping-particle":"","family":"Rybakowski","given":"Janusz K.","non-dropping-particle":"","parse-names":false,"suffix":""},{"dropping-particle":"","family":"Nowak","given":"Gabriel","non-dropping-particle":"","parse-names":false,"suffix":""},{"dropping-particle":"","family":"Maes","given":"Michael","non-dropping-particle":"","parse-names":false,"suffix":""}],"container-title":"Progress in Neuro-Psychopharmacology and Biological Psychiatry","id":"ITEM-1","issued":{"date-parts":[["2018","2"]]},"page":"372-383","title":"Are there differences in lipid peroxidation and immune biomarkers between major depression and bipolar disorder: Effects of melancholia, atypical depression, severity of illness, episode number, suicidal ideation and prior suicide attempts","type":"article-journal","volume":"81"},"uris":["http://www.mendeley.com/documents/?uuid=a6a8dbbb-a870-4c0d-a87b-09fc194d9b1e","http://www.mendeley.com/documents/?uuid=47cca772-1e6f-4317-9cd7-034d03b46673","http://www.mendeley.com/documents/?uuid=b9927c60-2e4d-4b0b-b8ea-2b83a3c6e42c"]}],"mendeley":{"formattedCitation":"(Sowa-Kućma et al., 2018)","plainTextFormattedCitation":"(Sowa-Kućma et al., 2018)","previouslyFormattedCitation":"(Sowa-Kućma et al., 2018)"},"properties":{"noteIndex":0},"schema":"https://github.com/citation-style-language/schema/raw/master/csl-citation.json"}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(Sowa-Kućma et al., 2018)</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491218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Assayed soluble receptors</w:t>
            </w:r>
          </w:p>
        </w:tc>
      </w:tr>
      <w:tr w:rsidR="00892A33" w:rsidRPr="00892A33" w14:paraId="31DAF17A" w14:textId="77777777" w:rsidTr="000C3C27">
        <w:trPr>
          <w:trHeight w:val="20"/>
        </w:trPr>
        <w:tc>
          <w:tcPr>
            <w:tcW w:w="1476" w:type="pct"/>
            <w:tcBorders>
              <w:top w:val="nil"/>
              <w:left w:val="nil"/>
              <w:bottom w:val="nil"/>
              <w:right w:val="nil"/>
            </w:tcBorders>
            <w:shd w:val="clear" w:color="000000" w:fill="FFFFFF"/>
            <w:noWrap/>
            <w:vAlign w:val="bottom"/>
            <w:hideMark/>
          </w:tcPr>
          <w:p w14:paraId="2858B18C"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Tsai, 2001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{"citationItems":[{"id":"ITEM-1","itemData":{"DOI":"10.1016/S0165-0327(00)00252-4","ISSN":"01650327","author":[{"dropping-particle":"","family":"Tsai","given":"Shang-Ying M.","non-dropping-particle":"","parse-names":false,"suffix":""},{"dropping-particle":"","family":"Yang","given":"Yi-Yuan","non-dropping-particle":"","parse-names":false,"suffix":""},{"dropping-particle":"","family":"Kuo","given":"Chian-Jue","non-dropping-particle":"","parse-names":false,"suffix":""},{"dropping-particle":"","family":"Chen","given":"Chiao-Chicy","non-dropping-particle":"","parse-names":false,"suffix":""},{"dropping-particle":"","family":"Leu","given":"Sy-Jye C.","non-dropping-particle":"","parse-names":false,"suffix":""}],"container-title":"Journal of Affective Disorders","id":"ITEM-1","issue":"2-3","issued":{"date-parts":[["2001","5"]]},"page":"185-193","title":"Effects of symptomatic severity on elevation of plasma soluble interleukin-2 receptor in bipolar mania","type":"article-journal","volume":"64"},"uris":["http://www.mendeley.com/documents/?uuid=5b9d16d1-e683-40b8-9c9d-6d73f9e1076e","http://www.mendeley.com/documents/?uuid=cfe4aeba-3e1b-44a3-a581-feaad38a057d","http://www.mendeley.com/documents/?uuid=6e47e393-34ed-4056-9c18-dc2e94a41aad"]}],"mendeley":{"formattedCitation":"(Tsai et al., 2001)","plainTextFormattedCitation":"(Tsai et al., 2001)","previouslyFormattedCitation":"(Tsai et al., 2001)"},"properties":{"noteIndex":0},"schema":"https://github.com/citation-style-language/schema/raw/master/csl-citation.json"}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(Tsai et al., 2001)</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DA0188E"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Assayes sIL2-R</w:t>
            </w:r>
          </w:p>
        </w:tc>
      </w:tr>
      <w:tr w:rsidR="00892A33" w:rsidRPr="00892A33" w14:paraId="3CD833D1" w14:textId="77777777" w:rsidTr="000C3C27">
        <w:trPr>
          <w:trHeight w:val="20"/>
        </w:trPr>
        <w:tc>
          <w:tcPr>
            <w:tcW w:w="1476" w:type="pct"/>
            <w:tcBorders>
              <w:top w:val="nil"/>
              <w:left w:val="nil"/>
              <w:bottom w:val="nil"/>
              <w:right w:val="nil"/>
            </w:tcBorders>
            <w:shd w:val="clear" w:color="000000" w:fill="FFFFFF"/>
            <w:noWrap/>
            <w:vAlign w:val="bottom"/>
            <w:hideMark/>
          </w:tcPr>
          <w:p w14:paraId="376EB2C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Dickerson,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chres.2017.05.005","ISSN":"01651781","author":[{"dropping-particle":"","family":"Dickerson","given":"Faith","non-dropping-particle":"","parse-names":false,"suffix":""},{"dropping-particle":"","family":"Adamos","given":"Maria","non-dropping-particle":"","parse-names":false,"suffix":""},{"dropping-particle":"","family":"Katsafanas","given":"Emily","non-dropping-particle":"","parse-names":false,"suffix":""},{"dropping-particle":"","family":"Khushalani","given":"Sunil","non-dropping-particle":"","parse-names":false,"suffix":""},{"dropping-particle":"","family":"Origoni","given":"Andrea","non-dropping-particle":"","parse-names":false,"suffix":""},{"dropping-particle":"","family":"Savage","given":"Christina","non-dropping-particle":"","parse-names":false,"suffix":""},{"dropping-particle":"","family":"Schweinfurth","given":"Lucy","non-dropping-particle":"","parse-names":false,"suffix":""},{"dropping-particle":"","family":"Stallings","given":"Cassie","non-dropping-particle":"","parse-names":false,"suffix":""},{"dropping-particle":"","family":"Sweeney","given":"Kevin","non-dropping-particle":"","parse-names":false,"suffix":""},{"dropping-particle":"","family":"Alaedini","given":"Armin","non-dropping-particle":"","parse-names":false,"suffix":""},{"dropping-particle":"","family":"Uhde","given":"Melanie","non-dropping-particle":"","parse-names":false,"suffix":""},{"dropping-particle":"","family":"Severance","given":"Emily","non-dropping-particle":"","parse-names":false,"suffix":""},{"dropping-particle":"","family":"Wilcox","given":"Holly C.","non-dropping-particle":"","parse-names":false,"suffix":""},{"dropping-particle":"","family":"Yolken","given":"Robert","non-dropping-particle":"","parse-names":false,"suffix":""}],"container-title":"Psychiatry Research","id":"ITEM-1","issued":{"date-parts":[["2017","9"]]},"page":"8-12","title":"The association between immune markers and recent suicide attempts in patients with serious mental illness: A pilot study","type":"article-journal","volume":"255"},"uris":["http://www.mendeley.com/documents/?uuid=22ef50d5-5744-4350-8dcd-dfc069b96125","http://www.mendeley.com/documents/?uuid=c787777b-89f0-4559-96e9-83f9b8309f6e","http://www.mendeley.com/documents/?uuid=7eeaf27c-4f5c-4b01-bba7-1646f8e37786"]}],"mendeley":{"formattedCitation":"(Dickerson et al., 2017)","plainTextFormattedCitation":"(Dickerson et al., 2017)","previouslyFormattedCitation":"(Dickerson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(Dickerson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2CCC835C"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Association between suicide attempt and levels of markers of gastrointestinal inflammation</w:t>
            </w:r>
          </w:p>
        </w:tc>
      </w:tr>
      <w:tr w:rsidR="00892A33" w:rsidRPr="00892A33" w14:paraId="0180C57A" w14:textId="77777777" w:rsidTr="000C3C27">
        <w:trPr>
          <w:trHeight w:val="20"/>
        </w:trPr>
        <w:tc>
          <w:tcPr>
            <w:tcW w:w="1476" w:type="pct"/>
            <w:tcBorders>
              <w:top w:val="nil"/>
              <w:left w:val="nil"/>
              <w:bottom w:val="nil"/>
              <w:right w:val="nil"/>
            </w:tcBorders>
            <w:shd w:val="clear" w:color="000000" w:fill="FFFFFF"/>
            <w:noWrap/>
            <w:vAlign w:val="bottom"/>
            <w:hideMark/>
          </w:tcPr>
          <w:p w14:paraId="4D48B92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Tsai,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bdi.12570","ISSN":"13985647","author":[{"dropping-particle":"","family":"Tsai","given":"Shang-Ying","non-dropping-particle":"","parse-names":false,"suffix":""},{"dropping-particle":"","family":"Chung","given":"Kuo-Hsuan","non-dropping-particle":"","parse-names":false,"suffix":""},{"dropping-particle":"","family":"Chen","given":"Pao-Huan","non-dropping-particle":"","parse-names":false,"suffix":""}],"container-title":"Bipolar Disorders","id":"ITEM-1","issue":"8","issued":{"date-parts":[["2017","12"]]},"page":"708-709","title":"Levels of interleukin-6 and high-sensitivity C-reactive protein reflecting mania severity in bipolar disorder","type":"article-journal","volume":"19"},"uris":["http://www.mendeley.com/documents/?uuid=75a94b70-9c49-440b-a26c-655e656209e8","http://www.mendeley.com/documents/?uuid=25f1c1d3-712e-48c4-b4a1-a40b42fbec8c","http://www.mendeley.com/documents/?uuid=b81ef9dc-032b-4a4b-8399-9b88dc1fc229"]}],"mendeley":{"formattedCitation":"(Tsai et al., 2017)","plainTextFormattedCitation":"(Tsai et al., 2017)","previouslyFormattedCitation":"(Tsai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(Tsai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9F32FE1"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Case report</w:t>
            </w:r>
          </w:p>
        </w:tc>
      </w:tr>
      <w:tr w:rsidR="00892A33" w:rsidRPr="00892A33" w14:paraId="78AA7ABF" w14:textId="77777777" w:rsidTr="000C3C27">
        <w:trPr>
          <w:trHeight w:val="20"/>
        </w:trPr>
        <w:tc>
          <w:tcPr>
            <w:tcW w:w="1476" w:type="pct"/>
            <w:tcBorders>
              <w:top w:val="nil"/>
              <w:left w:val="nil"/>
              <w:bottom w:val="nil"/>
              <w:right w:val="nil"/>
            </w:tcBorders>
            <w:shd w:val="clear" w:color="000000" w:fill="FFFFFF"/>
            <w:noWrap/>
            <w:vAlign w:val="bottom"/>
            <w:hideMark/>
          </w:tcPr>
          <w:p w14:paraId="44247AD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Brietzke, 2010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j.1399-5618.2010.00822.x","ISSN":"13985647","author":[{"dropping-particle":"","family":"Brietzke","given":"Elisa","non-dropping-particle":"","parse-names":false,"suffix":""},{"dropping-particle":"","family":"Teixeira","given":"Antônio Lúcio","non-dropping-particle":"","parse-names":false,"suffix":""}],"container-title":"Bipolar Disorders","id":"ITEM-1","issue":"4","issued":{"date-parts":[["2010","6"]]},"page":"453-454","title":"Similar immune profile in bipolar disorder and schizophrenia: selective increase in soluble tumor necrosis factor receptor I and von Willebrand factor","type":"article-journal","volume":"12"},"uris":["http://www.mendeley.com/documents/?uuid=13a4ba8c-39b1-43ae-8272-6fb9729f2db5","http://www.mendeley.com/documents/?uuid=798cd7dc-c249-4c31-bdc4-4ad2101196c7","http://www.mendeley.com/documents/?uuid=bfe1513d-ff56-4335-a2ce-84c72518179b"]}],"mendeley":{"formattedCitation":"(Brietzke and Teixeira, 2010)","plainTextFormattedCitation":"(Brietzke and Teixeira, 2010)","previouslyFormattedCitation":"(Brietzke and Teixeira, 2010)"},"properties":{"noteIndex":0},"schema":"https://github.com/citation-style-language/schema/raw/master/csl-citation.json"}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(Brietzke and Teixeira, 2010)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6885ED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Comment to HOPE study</w:t>
            </w:r>
          </w:p>
        </w:tc>
      </w:tr>
      <w:tr w:rsidR="00892A33" w:rsidRPr="00892A33" w14:paraId="62003336" w14:textId="77777777" w:rsidTr="000C3C27">
        <w:trPr>
          <w:trHeight w:val="20"/>
        </w:trPr>
        <w:tc>
          <w:tcPr>
            <w:tcW w:w="1476" w:type="pct"/>
            <w:tcBorders>
              <w:top w:val="nil"/>
              <w:left w:val="nil"/>
              <w:bottom w:val="nil"/>
              <w:right w:val="nil"/>
            </w:tcBorders>
            <w:shd w:val="clear" w:color="000000" w:fill="FFFFFF"/>
            <w:noWrap/>
            <w:vAlign w:val="bottom"/>
            <w:hideMark/>
          </w:tcPr>
          <w:p w14:paraId="3F33F72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Aguglia,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10.3389/fpsyt.2019.00070","ISSN":"1664-0640","author":[{"dropping-particle":"","family":"Aguglia","given":"Andrea","non-dropping-particle":"","parse-names":false,"suffix":""},{"dropping-particle":"","family":"Solano","given":"Paola","non-dropping-particle":"","parse-names":false,"suffix":""},{"dropping-particle":"","family":"Giacomini","given":"Gabriele","non-dropping-particle":"","parse-names":false,"suffix":""},{"dropping-particle":"","family":"Caprino","given":"Matilde","non-dropping-particle":"","parse-names":false,"suffix":""},{"dropping-particle":"","family":"Conigliaro","given":"Claudia","non-dropping-particle":"","parse-names":false,"suffix":""},{"dropping-particle":"","family":"Romano","given":"Miroslav","non-dropping-particle":"","parse-names":false,"suffix":""},{"dropping-particle":"","family":"Aguglia","given":"Eugenio","non-dropping-particle":"","parse-names":false,"suffix":""},{"dropping-particle":"","family":"Serafini","given":"Gianluca","non-dropping-particle":"","parse-names":false,"suffix":""},{"dropping-particle":"","family":"Amore","given":"Mario","non-dropping-particle":"","parse-names":false,"suffix":""}],"container-title":"Frontiers in Psychiatry","id":"ITEM-1","issued":{"date-parts":[["2019","3"]]},"title":"The Association Between Dyslipidemia and Lethality of Suicide Attempts: A Case-Control Study","type":"article-journal","volume":"10"},"uris":["http://www.mendeley.com/documents/?uuid=4202db8e-374e-4ead-90c5-e27e9f1199a0","http://www.mendeley.com/documents/?uuid=4dfed576-cda9-4483-9312-021d9bde2be8","http://www.mendeley.com/documents/?uuid=ba639025-42d3-4201-b46c-eb1fbcc3c702"]}],"mendeley":{"formattedCitation":"(Aguglia et al., 2019)","plainTextFormattedCitation":"(Aguglia et al., 2019)","previouslyFormattedCitation":"(Aguglia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(Aguglia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79CB608"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compares high vs low lethality of suicidal attempts</w:t>
            </w:r>
          </w:p>
        </w:tc>
      </w:tr>
      <w:tr w:rsidR="00892A33" w:rsidRPr="00892A33" w14:paraId="05AFB03F" w14:textId="77777777" w:rsidTr="000C3C27">
        <w:trPr>
          <w:trHeight w:val="20"/>
        </w:trPr>
        <w:tc>
          <w:tcPr>
            <w:tcW w:w="1476" w:type="pct"/>
            <w:tcBorders>
              <w:top w:val="nil"/>
              <w:left w:val="nil"/>
              <w:bottom w:val="nil"/>
              <w:right w:val="nil"/>
            </w:tcBorders>
            <w:shd w:val="clear" w:color="000000" w:fill="FFFFFF"/>
            <w:noWrap/>
            <w:vAlign w:val="bottom"/>
            <w:hideMark/>
          </w:tcPr>
          <w:p w14:paraId="3CB98472" w14:textId="77777777" w:rsidR="00892A33" w:rsidRPr="00892A33" w:rsidRDefault="00892A33" w:rsidP="00892A33">
            <w:pPr>
              <w:jc w:val="center"/>
              <w:rPr>
                <w:rFonts w:ascii="Times New Roman" w:eastAsia="Times New Roman" w:hAnsi="Times New Roman" w:cs="Times New Roman"/>
                <w:sz w:val="18"/>
                <w:szCs w:val="18"/>
                <w:lang w:val="it-IT" w:eastAsia="it-IT"/>
              </w:rPr>
            </w:pPr>
            <w:r w:rsidRPr="00892A33">
              <w:rPr>
                <w:rFonts w:ascii="Times New Roman" w:eastAsia="Times New Roman" w:hAnsi="Times New Roman" w:cs="Times New Roman"/>
                <w:sz w:val="18"/>
                <w:szCs w:val="18"/>
                <w:lang w:val="it-IT" w:eastAsia="it-IT"/>
              </w:rPr>
              <w:t xml:space="preserve">Brunoni, 2020 </w:t>
            </w:r>
            <w:r w:rsidRPr="00892A33">
              <w:rPr>
                <w:rFonts w:ascii="Times New Roman" w:eastAsia="Times New Roman" w:hAnsi="Times New Roman" w:cs="Times New Roman"/>
                <w:sz w:val="18"/>
                <w:szCs w:val="18"/>
                <w:lang w:val="it-IT" w:eastAsia="it-IT"/>
              </w:rPr>
              <w:fldChar w:fldCharType="begin" w:fldLock="1"/>
            </w:r>
            <w:r w:rsidRPr="00892A33">
              <w:rPr>
                <w:rFonts w:ascii="Times New Roman" w:eastAsia="Times New Roman" w:hAnsi="Times New Roman" w:cs="Times New Roman"/>
                <w:sz w:val="18"/>
                <w:szCs w:val="18"/>
                <w:lang w:val="it-IT" w:eastAsia="it-IT"/>
              </w:rPr>
              <w:instrText>ADDIN CSL_CITATION {"citationItems":[{"id":"ITEM-1","itemData":{"DOI":"10.1016/j.jad.2019.10.037","ISSN":"01650327","author":[{"dropping-particle":"","family":"Brunoni","given":"Andre R.","non-dropping-particle":"","parse-names":false,"suffix":""},{"dropping-particle":"","family":"Supasitthumrong","given":"Thitiporn","non-dropping-particle":"","parse-names":false,"suffix":""},{"dropping-particle":"","family":"Teixeira","given":"Antonio Lucio","non-dropping-particle":"","parse-names":false,"suffix":""},{"dropping-particle":"","family":"Vieira","given":"Erica LM","non-dropping-particle":"","parse-names":false,"suffix":""},{"dropping-particle":"","family":"Gattaz","given":"Wagner F.","non-dropping-particle":"","parse-names":false,"suffix":""},{"dropping-particle":"","family":"Benseñor","given":"Isabela M","non-dropping-particle":"","parse-names":false,"suffix":""},{"dropping-particle":"","family":"Lotufo","given":"Paulo A","non-dropping-particle":"","parse-names":false,"suffix":""},{"dropping-particle":"","family":"Lafer","given":"Beny","non-dropping-particle":"","parse-names":false,"suffix":""},{"dropping-particle":"","family":"Berk","given":"Michael","non-dropping-particle":"","parse-names":false,"suffix":""},{"dropping-particle":"","family":"Carvalho","given":"Andre F.","non-dropping-particle":"","parse-names":false,"suffix":""},{"dropping-particle":"","family":"Maes","given":"Michael","non-dropping-particle":"","parse-names":false,"suffix":""}],"container-title":"Journal of Affective Disorders","id":"ITEM-1","issued":{"date-parts":[["2020","2"]]},"page":"8-15","title":"Differences in the immune-inflammatory profiles of unipolar and bipolar depression","type":"article-journal","volume":"262"},"uris":["http://www.mendeley.com/documents/?uuid=4e952cfd-e6eb-428c-b46f-701bde639ff7","http://www.mendeley.com/documents/?uuid=6fcea55e-a30d-4ba4-9846-688793b15f07","http://www.mendeley.com/documents/?uuid=36c2baa1-840b-4a8d-aa61-9ead5fdd2f14"]}],"mendeley":{"formattedCitation":"(Brunoni et al., 2020)","plainTextFormattedCitation":"(Brunoni et al., 2020)","previouslyFormattedCitation":"(Brunoni et al., 2020)"},"properties":{"noteIndex":0},"schema":"https://github.com/citation-style-language/schema/raw/master/csl-citation.json"}</w:instrText>
            </w:r>
            <w:r w:rsidRPr="00892A33">
              <w:rPr>
                <w:rFonts w:ascii="Times New Roman" w:eastAsia="Times New Roman" w:hAnsi="Times New Roman" w:cs="Times New Roman"/>
                <w:sz w:val="18"/>
                <w:szCs w:val="18"/>
                <w:lang w:val="it-IT" w:eastAsia="it-IT"/>
              </w:rPr>
              <w:fldChar w:fldCharType="separate"/>
            </w:r>
            <w:r w:rsidRPr="00892A33">
              <w:rPr>
                <w:rFonts w:ascii="Times New Roman" w:eastAsia="Times New Roman" w:hAnsi="Times New Roman" w:cs="Times New Roman"/>
                <w:noProof/>
                <w:sz w:val="18"/>
                <w:szCs w:val="18"/>
                <w:lang w:val="it-IT" w:eastAsia="it-IT"/>
              </w:rPr>
              <w:t>(Brunoni et al., 2020)</w:t>
            </w:r>
            <w:r w:rsidRPr="00892A33">
              <w:rPr>
                <w:rFonts w:ascii="Times New Roman" w:eastAsia="Times New Roman" w:hAnsi="Times New Roman" w:cs="Times New Roman"/>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41ADD7C" w14:textId="77777777" w:rsidR="00892A33" w:rsidRPr="00892A33" w:rsidRDefault="00892A33" w:rsidP="00892A33">
            <w:pPr>
              <w:jc w:val="center"/>
              <w:rPr>
                <w:rFonts w:ascii="Times New Roman" w:eastAsia="Times New Roman" w:hAnsi="Times New Roman" w:cs="Times New Roman"/>
                <w:sz w:val="18"/>
                <w:szCs w:val="18"/>
                <w:lang w:eastAsia="it-IT"/>
              </w:rPr>
            </w:pPr>
            <w:r w:rsidRPr="00892A33">
              <w:rPr>
                <w:rFonts w:ascii="Times New Roman" w:eastAsia="Times New Roman" w:hAnsi="Times New Roman" w:cs="Times New Roman"/>
                <w:sz w:val="18"/>
                <w:szCs w:val="18"/>
                <w:lang w:eastAsia="it-IT"/>
              </w:rPr>
              <w:t>control group MDD - no healthy ctrl</w:t>
            </w:r>
          </w:p>
        </w:tc>
      </w:tr>
      <w:tr w:rsidR="00892A33" w:rsidRPr="00892A33" w14:paraId="1DF6365B" w14:textId="77777777" w:rsidTr="000C3C27">
        <w:trPr>
          <w:trHeight w:val="20"/>
        </w:trPr>
        <w:tc>
          <w:tcPr>
            <w:tcW w:w="1476" w:type="pct"/>
            <w:tcBorders>
              <w:top w:val="nil"/>
              <w:left w:val="nil"/>
              <w:bottom w:val="nil"/>
              <w:right w:val="nil"/>
            </w:tcBorders>
            <w:shd w:val="clear" w:color="000000" w:fill="FFFFFF"/>
            <w:noWrap/>
            <w:vAlign w:val="bottom"/>
            <w:hideMark/>
          </w:tcPr>
          <w:p w14:paraId="40091E5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Kunz, 2011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{"citationItems":[{"id":"ITEM-1","itemData":{"DOI":"10.1590/S1516-44462011000300010","ISSN":"1809-452X","abstract":"OBJECTIVE: Previous reports suggest that cytokines act as potential mediators of the interaction between the immune and neuroendocrine systems, and that a proinflammatory state may be associated with bipolar disorder and schizophrenia. The aim is to compare cytokine levels in both disorders. METHOD: Twenty euthymic bipolar disorder patients, 53 chronic stabilized schizophrenia patients and 80 healthy controls were recruited. Subjects were all non-smokers and non-obese. Cytokines TNF-α, IL-6, and IL-10 were examined by sandwich ELISA. RESULTS: IL-6 levels were increased in schizophrenia patients when compared to controls (p &lt; 0.0001) and euthymic bipolar disorder patients (p &lt; 0.0001). IL-6 levels were no different in controls compared to euthymic bipolar disorder patients (p = 0.357). IL-10 was lower in controls compared to schizophrenia patients (p = 0.001) or to bipolar disorder patients (p = 0.004). There was no significant difference in TNF-α serum levels among the groups (p = 0.284). Gender-based classification did not significantly alter these findings, and no correlation was found between the antipsychotic dose administered and cytokine levels in patients with schizophrenia. DISCUSSION: These findings evidence a chronic immune activation in schizophrenia. Bipolar disorder seems to present an episode-related inflammatory syndrome. Increased anti-inflammatory factor IL-10 in bipolar disorder and schizophrenia suggests different patterns of inflammatory balance between these two disorders. Results further support the need to investigate cytokines as possible biomarkers of disease activity or treatment response.","author":[{"dropping-particle":"","family":"Kunz","given":"Mauricio","non-dropping-particle":"","parse-names":false,"suffix":""},{"dropping-particle":"","family":"Ceresér","given":"Keila Maria","non-dropping-particle":"","parse-names":false,"suffix":""},{"dropping-particle":"","family":"Goi","given":"Pedro Domingues","non-dropping-particle":"","parse-names":false,"suffix":""},{"dropping-particle":"","family":"Fries","given":"Gabriel Rodrigo","non-dropping-particle":"","parse-names":false,"suffix":""},{"dropping-particle":"","family":"Teixeira","given":"Antonio L.","non-dropping-particle":"","parse-names":false,"suffix":""},{"dropping-particle":"","family":"Fernandes","given":"Brisa Simões","non-dropping-particle":"","parse-names":false,"suffix":""},{"dropping-particle":"","family":"Belmonte-de-Abreu","given":"Paulo Silva","non-dropping-particle":"","parse-names":false,"suffix":""},{"dropping-particle":"","family":"Kauer-Sant'Anna","given":"Márcia","non-dropping-particle":"","parse-names":false,"suffix":""},{"dropping-particle":"","family":"Kapczinski","given":"Flavio","non-dropping-particle":"","parse-names":false,"suffix":""},{"dropping-particle":"","family":"Gama","given":"Clarissa Severino","non-dropping-particle":"","parse-names":false,"suffix":""}],"container-title":"Revista Brasileira de Psiquiatria","id":"ITEM-1","issue":"3","issued":{"date-parts":[["2011","3"]]},"page":"268-274","title":"Serum levels of IL-6, IL-10 and TNF-α in patients with bipolar disorder and schizophrenia: differences in pro- and anti-inflammatory balance","type":"article-journal","volume":"33"},"uris":["http://www.mendeley.com/documents/?uuid=e8fc3f42-52e5-4656-b911-2040c2c77ea5","http://www.mendeley.com/documents/?uuid=4b449b0a-741f-4e92-bf4c-89254067ee88","http://www.mendeley.com/documents/?uuid=e8aa92f9-a1ff-4938-b86e-6105e05a88f5"]}],"mendeley":{"formattedCitation":"(Kunz et al., 2011)","plainTextFormattedCitation":"(Kunz et al., 2011)","previouslyFormattedCitation":"(Kunz et al., 2011)"},"properties":{"noteIndex":0},"schema":"https://github.com/citation-style-language/schema/raw/master/csl-citation.json"}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(Kunz et al., 2011)</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8DD5442"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Excluded, Diagnosis made by clinical interview. Only healthy controls received non-patient version od SCID</w:t>
            </w:r>
          </w:p>
        </w:tc>
      </w:tr>
      <w:tr w:rsidR="00892A33" w:rsidRPr="00892A33" w14:paraId="620EDDA8" w14:textId="77777777" w:rsidTr="000C3C27">
        <w:trPr>
          <w:trHeight w:val="20"/>
        </w:trPr>
        <w:tc>
          <w:tcPr>
            <w:tcW w:w="1476" w:type="pct"/>
            <w:tcBorders>
              <w:top w:val="nil"/>
              <w:left w:val="nil"/>
              <w:bottom w:val="nil"/>
              <w:right w:val="nil"/>
            </w:tcBorders>
            <w:shd w:val="clear" w:color="000000" w:fill="FFFFFF"/>
            <w:noWrap/>
            <w:vAlign w:val="bottom"/>
            <w:hideMark/>
          </w:tcPr>
          <w:p w14:paraId="098FF46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Cingi Yirun,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{"citationItems":[{"id":"ITEM-1","itemData":{"DOI":"10.1016/j.psychres.2017.07.067","ISSN":"01651781","author":[{"dropping-particle":"","family":"Cingi Yirün","given":"Merve","non-dropping-particle":"","parse-names":false,"suffix":""},{"dropping-particle":"","family":"Yirün","given":"Onur","non-dropping-particle":"","parse-names":false,"suffix":""},{"dropping-particle":"","family":"Ünal","given":"Kübranur","non-dropping-particle":"","parse-names":false,"suffix":""},{"dropping-particle":"","family":"Yüksel","given":"Rabia Nazik","non-dropping-particle":"","parse-names":false,"suffix":""},{"dropping-particle":"","family":"Altunsoy","given":"Neslihan","non-dropping-particle":"","parse-names":false,"suffix":""},{"dropping-particle":"","family":"Tatlidil Yaylaci","given":"Elif","non-dropping-particle":"","parse-names":false,"suffix":""},{"dropping-particle":"","family":"Aydemir","given":"Makbule Çiğdem","non-dropping-particle":"","parse-names":false,"suffix":""},{"dropping-particle":"","family":"Göka","given":"Erol","non-dropping-particle":"","parse-names":false,"suffix":""}],"container-title":"Psychiatry Research","id":"ITEM-1","issued":{"date-parts":[["2017","11"]]},"page":"338-345","title":"Serum TNF-related weak inducer of apoptosis (TWEAK) and TNF-related apoptosis-inducing ligand (TRAIL) levels of patients with bipolar disorder in manic episode, in remission and healthy controls","type":"article-journal","volume":"257"},"uris":["http://www.mendeley.com/documents/?uuid=05f9988e-e9e9-4b7a-a1dd-7c23b8e480b5","http://www.mendeley.com/documents/?uuid=ce0aa98f-cd9e-4b5b-ade2-223b1175e3b3","http://www.mendeley.com/documents/?uuid=02baae5a-b2b6-407d-a6ef-c2c25c7c6085"]}],"mendeley":{"formattedCitation":"(Cingi Yirün et al., 2017)","plainTextFormattedCitation":"(Cingi Yirün et al., 2017)","previouslyFormattedCitation":"(Cingi Yirün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(Cingi Yirün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29F3DB2"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Excluded, Measured TWEAK and TRAIL and not TNF directly.</w:t>
            </w:r>
          </w:p>
        </w:tc>
      </w:tr>
      <w:tr w:rsidR="00892A33" w:rsidRPr="00892A33" w14:paraId="4ACDD810" w14:textId="77777777" w:rsidTr="000C3C27">
        <w:trPr>
          <w:trHeight w:val="20"/>
        </w:trPr>
        <w:tc>
          <w:tcPr>
            <w:tcW w:w="1476" w:type="pct"/>
            <w:tcBorders>
              <w:top w:val="nil"/>
              <w:left w:val="nil"/>
              <w:bottom w:val="nil"/>
              <w:right w:val="nil"/>
            </w:tcBorders>
            <w:shd w:val="clear" w:color="000000" w:fill="FFFFFF"/>
            <w:noWrap/>
            <w:vAlign w:val="bottom"/>
            <w:hideMark/>
          </w:tcPr>
          <w:p w14:paraId="6F5A69F1"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 xml:space="preserve">Wollenhaupt-Aguiar, 2020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eastAsia="it-IT"/>
              </w:rPr>
              <w:instrText>ADDIN CSL_CITATION {"citationItems":[{"id":"ITEM-1","itemData":{"DOI":"10.1177/0004867419888027","ISSN":"0004-8674","author":[{"dropping-particle":"","family":"Wollenhaupt-Aguiar","given":"Bianca","non-dropping-particle":"","parse-names":false,"suffix":""},{"dropping-particle":"","family":"Librenza-Garcia","given":"Diego","non-dropping-particle":"","parse-names":false,"suffix":""},{"dropping-particle":"","family":"Bristot","given":"Giovana","non-dropping-particle":"","parse-names":false,"suffix":""},{"dropping-particle":"","family":"Przybylski","given":"Laura","non-dropping-particle":"","parse-names":false,"suffix":""},{"dropping-particle":"","family":"Stertz","given":"Laura","non-dropping-particle":"","parse-names":false,"suffix":""},{"dropping-particle":"","family":"Kubiachi Burque","given":"Renan","non-dropping-particle":"","parse-names":false,"suffix":""},{"dropping-particle":"","family":"Ceresér","given":"Keila Mendes","non-dropping-particle":"","parse-names":false,"suffix":""},{"dropping-particle":"","family":"Spanemberg","given":"Lucas","non-dropping-particle":"","parse-names":false,"suffix":""},{"dropping-particle":"","family":"Caldieraro","given":"Marco Antônio","non-dropping-particle":"","parse-names":false,"suffix":""},{"dropping-particle":"","family":"Frey","given":"Benicio N","non-dropping-particle":"","parse-names":false,"suffix":""},{"dropping-particle":"","family":"Fleck","given":"Marcelo P","non-dropping-particle":"","parse-names":false,"suffix":""},{"dropping-particle":"","family":"Kauer-Sant’Anna","given":"Marcia","non-dropping-particle":"","parse-names":false,"suffix":""},{"dropping-particle":"","family":"Passos","given":"Ives Cavalcante","non-dropping-particle":"","parse-names":false,"suffix":""},{"dropping-particle":"","family":"Kapczinski","given":"Flavio","non-dropping-particle":"","parse-names":false,"suffix":""}],"container-title":"Australian &amp; New Zealand Journal of Psychiatry","id":"ITEM-1","issue":"4","issued":{"date-parts":[["2020","4"]]},"page":"393-401","title":"Differential biomarker signatures in unipolar and bipolar depression: A machine learning approach","type":"article-journal","volume":"54"},"uris":["http://www.mendeley.com/documents/?uuid=aa20b5c4-9b6d-401d-bc45-54cd16780cbf","http://www.mendeley.com/documents/?uuid=be9defd3-aa36-4f64-85b1-c5b68236b204","http://www.mendeley.com/documents/?uuid=7fb63dbc-aa57-42c8-b4c8-53b4f30ade1b"]}],"mendeley":{"formattedCitation":"(Wollenhaupt-Aguiar et al., 2020)","plainTextFormattedCitation":"(Wollenhaupt-Aguiar et al., 2020)","previouslyFormattedCitation":"(Wollenhaupt-Aguiar et al., 2020)"},"properties":{"noteIndex":0},"schema":"https://github.com/citation-style-language/schema/raw/master/csl-citation.json"}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eastAsia="it-IT"/>
              </w:rPr>
              <w:t>(Wollenhaupt-Aguiar et al., 2020)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A9F42AD"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Excluded. ML approach to differentiate Unipolar from bipolar Depression.</w:t>
            </w:r>
          </w:p>
        </w:tc>
      </w:tr>
      <w:tr w:rsidR="00892A33" w:rsidRPr="00892A33" w14:paraId="0F13A832" w14:textId="77777777" w:rsidTr="000C3C27">
        <w:trPr>
          <w:trHeight w:val="20"/>
        </w:trPr>
        <w:tc>
          <w:tcPr>
            <w:tcW w:w="1476" w:type="pct"/>
            <w:tcBorders>
              <w:top w:val="nil"/>
              <w:left w:val="nil"/>
              <w:bottom w:val="nil"/>
              <w:right w:val="nil"/>
            </w:tcBorders>
            <w:shd w:val="clear" w:color="000000" w:fill="FFFFFF"/>
            <w:noWrap/>
            <w:vAlign w:val="bottom"/>
            <w:hideMark/>
          </w:tcPr>
          <w:p w14:paraId="55E6C95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Maes, 1995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0022-3956(94)00049-W","ISSN":"00223956","author":[{"dropping-particle":"","family":"Maes","given":"Michael","non-dropping-particle":"","parse-names":false,"suffix":""},{"dropping-particle":"","family":"Bosmans","given":"Eugène","non-dropping-particle":"","parse-names":false,"suffix":""},{"dropping-particle":"","family":"Calabrese","given":"Joseph","non-dropping-particle":"","parse-names":false,"suffix":""},{"dropping-particle":"","family":"Smith","given":"Ronald","non-dropping-particle":"","parse-names":false,"suffix":""},{"dropping-particle":"","family":"Meltzer","given":"Herbert Y.","non-dropping-particle":"","parse-names":false,"suffix":""}],"container-title":"Journal of Psychiatric Research","id":"ITEM-1","issue":"2","issued":{"date-parts":[["1995","3"]]},"page":"141-152","title":"Interleukin-2 and interleukin-6 in schizophrenia and mania: Effects of neuroleptics and mood stabilizers","type":"article-journal","volume":"29"},"uris":["http://www.mendeley.com/documents/?uuid=b88608c9-6765-4da9-83b2-bd65dc468ff5","http://www.mendeley.com/documents/?uuid=d798bd23-9920-4013-a39d-778104779539","http://www.mendeley.com/documents/?uuid=66d63776-beb8-491e-8904-b6b66d275960"]}],"mendeley":{"formattedCitation":"(Maes et al., 1995)","plainTextFormattedCitation":"(Maes et al., 1995)","previouslyFormattedCitation":"(Maes et al., 1995)"},"properties":{"noteIndex":0},"schema":"https://github.com/citation-style-language/schema/raw/master/csl-citation.json"}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(Maes et al., 1995)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11C6B4D2"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Excluded. No formal diagnosis of Bipolar Disorder. Patients in acute phase of Mania and symptoms as measured by Schedule for Affective Disorders and Schizophrenia.</w:t>
            </w:r>
          </w:p>
        </w:tc>
      </w:tr>
      <w:tr w:rsidR="00892A33" w:rsidRPr="00892A33" w14:paraId="4B9A4C88" w14:textId="77777777" w:rsidTr="000C3C27">
        <w:trPr>
          <w:trHeight w:val="20"/>
        </w:trPr>
        <w:tc>
          <w:tcPr>
            <w:tcW w:w="1476" w:type="pct"/>
            <w:tcBorders>
              <w:top w:val="nil"/>
              <w:left w:val="nil"/>
              <w:bottom w:val="nil"/>
              <w:right w:val="nil"/>
            </w:tcBorders>
            <w:shd w:val="clear" w:color="000000" w:fill="FFFFFF"/>
            <w:noWrap/>
            <w:vAlign w:val="bottom"/>
            <w:hideMark/>
          </w:tcPr>
          <w:p w14:paraId="002839B8"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Liu, 2004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neuroim.2004.01.006","ISSN":"01655728","author":[{"dropping-particle":"","family":"Liu","given":"Hsing-Cheng","non-dropping-particle":"","parse-names":false,"suffix":""},{"dropping-particle":"","family":"Yang","given":"Yi-Yuan","non-dropping-particle":"","parse-names":false,"suffix":""},{"dropping-particle":"","family":"Chou","given":"Yech-Mei","non-dropping-particle":"","parse-names":false,"suffix":""},{"dropping-particle":"","family":"Chen","given":"Kun-Po","non-dropping-particle":"","parse-names":false,"suffix":""},{"dropping-particle":"","family":"Shen","given":"Winston W","non-dropping-particle":"","parse-names":false,"suffix":""},{"dropping-particle":"","family":"Leu","given":"Sy-Jye","non-dropping-particle":"","parse-names":false,"suffix":""}],"container-title":"Journal of Neuroimmunology","id":"ITEM-1","issue":"1-2","issued":{"date-parts":[["2004","5"]]},"page":"116-122","title":"Immunologic variables in acute mania of bipolar disorder","type":"article-journal","volume":"150"},"uris":["http://www.mendeley.com/documents/?uuid=f70e0f6c-cf84-4c9f-8280-f16ef1b5a4db","http://www.mendeley.com/documents/?uuid=fbc28f71-cb7c-4aaf-a89d-73c4f0a4b1a7","http://www.mendeley.com/documents/?uuid=c21de3d4-9198-4fb4-a55c-7552ab0d2c41"]}],"mendeley":{"formattedCitation":"(Liu et al., 2004)","plainTextFormattedCitation":"(Liu et al., 2004)","previouslyFormattedCitation":"(Liu et al., 2004)"},"properties":{"noteIndex":0},"schema":"https://github.com/citation-style-language/schema/raw/master/csl-citation.json"}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(Liu et al., 2004)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223AFA1F"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 xml:space="preserve">Failed to meet our inclusion criteria: not even one of our protocol determined cytokines </w:t>
            </w:r>
          </w:p>
        </w:tc>
      </w:tr>
      <w:tr w:rsidR="00892A33" w:rsidRPr="00892A33" w14:paraId="5B9B6FBF" w14:textId="77777777" w:rsidTr="000C3C27">
        <w:trPr>
          <w:trHeight w:val="20"/>
        </w:trPr>
        <w:tc>
          <w:tcPr>
            <w:tcW w:w="1476" w:type="pct"/>
            <w:tcBorders>
              <w:top w:val="nil"/>
              <w:left w:val="nil"/>
              <w:bottom w:val="nil"/>
              <w:right w:val="nil"/>
            </w:tcBorders>
            <w:shd w:val="clear" w:color="000000" w:fill="FFFFFF"/>
            <w:noWrap/>
            <w:vAlign w:val="bottom"/>
            <w:hideMark/>
          </w:tcPr>
          <w:p w14:paraId="7976DA6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Ghafouri-Fard,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2019.06.028","ISSN":"01650327","author":[{"dropping-particle":"","family":"Ghafouri-Fard","given":"Soudeh","non-dropping-particle":"","parse-names":false,"suffix":""},{"dropping-particle":"","family":"Oskooei","given":"Vahid Kholghi","non-dropping-particle":"","parse-names":false,"suffix":""},{"dropping-particle":"","family":"Omrani","given":"Mir Davood","non-dropping-particle":"","parse-names":false,"suffix":""},{"dropping-particle":"","family":"Taheri","given":"Mohammad","non-dropping-particle":"","parse-names":false,"suffix":""}],"container-title":"Journal of Affective Disorders","id":"ITEM-1","issued":{"date-parts":[["2019","9"]]},"page":"578-583","title":"Dysregulation of cytokine coding genes in peripheral blood of bipolar patients","type":"article-journal","volume":"256"},"uris":["http://www.mendeley.com/documents/?uuid=99d412d9-6a98-4693-af9f-9c10ffed203e","http://www.mendeley.com/documents/?uuid=63b4c8fc-470e-4551-b4b8-7acf4575111d","http://www.mendeley.com/documents/?uuid=962ba667-40fc-4599-a47d-17598dbb9b88"]}],"mendeley":{"formattedCitation":"(Ghafouri-Fard et al., 2019)","plainTextFormattedCitation":"(Ghafouri-Fard et al., 2019)","previouslyFormattedCitation":"(Ghafouri-Fard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(Ghafouri-Fard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FA5182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genetic expression evaluation</w:t>
            </w:r>
          </w:p>
        </w:tc>
      </w:tr>
      <w:tr w:rsidR="00892A33" w:rsidRPr="00892A33" w14:paraId="430C7879" w14:textId="77777777" w:rsidTr="000C3C27">
        <w:trPr>
          <w:trHeight w:val="20"/>
        </w:trPr>
        <w:tc>
          <w:tcPr>
            <w:tcW w:w="1476" w:type="pct"/>
            <w:tcBorders>
              <w:top w:val="nil"/>
              <w:left w:val="nil"/>
              <w:bottom w:val="nil"/>
              <w:right w:val="nil"/>
            </w:tcBorders>
            <w:shd w:val="clear" w:color="000000" w:fill="FFFFFF"/>
            <w:noWrap/>
            <w:vAlign w:val="bottom"/>
            <w:hideMark/>
          </w:tcPr>
          <w:p w14:paraId="751AD058"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Monfrim, 2014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bdi.12214","ISSN":"13985647","author":[{"dropping-particle":"","family":"Monfrim","given":"Xênia","non-dropping-particle":"","parse-names":false,"suffix":""},{"dropping-particle":"","family":"Gazal","given":"Marta","non-dropping-particle":"","parse-names":false,"suffix":""},{"dropping-particle":"","family":"Leon","given":"Pâmela B","non-dropping-particle":"De","parse-names":false,"suffix":""},{"dropping-particle":"","family":"Quevedo","given":"Luciana","non-dropping-particle":"","parse-names":false,"suffix":""},{"dropping-particle":"","family":"Souza","given":"Luciano D","non-dropping-particle":"","parse-names":false,"suffix":""},{"dropping-particle":"","family":"Jansen","given":"Karen","non-dropping-particle":"","parse-names":false,"suffix":""},{"dropping-particle":"","family":"Oses","given":"Jean P","non-dropping-particle":"","parse-names":false,"suffix":""},{"dropping-particle":"","family":"Pinheiro","given":"Ricardo T","non-dropping-particle":"","parse-names":false,"suffix":""},{"dropping-particle":"","family":"Silva","given":"Ricardo A","non-dropping-particle":"","parse-names":false,"suffix":""},{"dropping-particle":"","family":"Lara","given":"Diogo R","non-dropping-particle":"","parse-names":false,"suffix":""},{"dropping-particle":"","family":"Ghisleni","given":"Gabriele","non-dropping-particle":"","parse-names":false,"suffix":""},{"dropping-particle":"","family":"Spessato","given":"Barbara","non-dropping-particle":"","parse-names":false,"suffix":""},{"dropping-particle":"","family":"Kaster","given":"Manuella P","non-dropping-particle":"","parse-names":false,"suffix":""}],"container-title":"Bipolar Disorders","id":"ITEM-1","issue":"7","issued":{"date-parts":[["2014","11"]]},"page":"741-747","title":"Immune dysfunction in bipolar disorder and suicide risk: is there an association between peripheral corticotropin-releasing hormone and interleukin-1β?","type":"article-journal","volume":"16"},"uris":["http://www.mendeley.com/documents/?uuid=5517ace7-55f4-4b43-b3af-5e89ea351b27","http://www.mendeley.com/documents/?uuid=54527248-5ceb-41c2-a7a1-0def36afaecc","http://www.mendeley.com/documents/?uuid=8f51fcde-03da-42ce-a822-69fd17039d63"]}],"mendeley":{"formattedCitation":"(Monfrim et al., 2014)","plainTextFormattedCitation":"(Monfrim et al., 2014)","previouslyFormattedCitation":"(Monfrim et al., 2014)"},"properties":{"noteIndex":0},"schema":"https://github.com/citation-style-language/schema/raw/master/csl-citation.json"}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(Monfrim et al., 2014)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20B7B7A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IL-B assayed</w:t>
            </w:r>
          </w:p>
        </w:tc>
      </w:tr>
      <w:tr w:rsidR="00892A33" w:rsidRPr="00892A33" w14:paraId="0FD64EC3" w14:textId="77777777" w:rsidTr="000C3C27">
        <w:trPr>
          <w:trHeight w:val="20"/>
        </w:trPr>
        <w:tc>
          <w:tcPr>
            <w:tcW w:w="1476" w:type="pct"/>
            <w:tcBorders>
              <w:top w:val="nil"/>
              <w:left w:val="nil"/>
              <w:bottom w:val="nil"/>
              <w:right w:val="nil"/>
            </w:tcBorders>
            <w:shd w:val="clear" w:color="000000" w:fill="FFFFFF"/>
            <w:noWrap/>
            <w:vAlign w:val="bottom"/>
            <w:hideMark/>
          </w:tcPr>
          <w:p w14:paraId="5076A3C1"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Mota, 2013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psychires.2013.08.020","ISSN":"00223956","author":[{"dropping-particle":"","family":"Mota","given":"Rosana","non-dropping-particle":"","parse-names":false,"suffix":""},{"dropping-particle":"","family":"Gazal","given":"Marta","non-dropping-particle":"","parse-names":false,"suffix":""},{"dropping-particle":"","family":"Acosta","given":"Bruna A.","non-dropping-particle":"","parse-names":false,"suffix":""},{"dropping-particle":"","family":"Leon","given":"Pâmela B.","non-dropping-particle":"de","parse-names":false,"suffix":""},{"dropping-particle":"","family":"Jansen","given":"Karen","non-dropping-particle":"","parse-names":false,"suffix":""},{"dropping-particle":"","family":"Pinheiro","given":"Ricardo T.","non-dropping-particle":"","parse-names":false,"suffix":""},{"dropping-particle":"","family":"Souza","given":"Luciano D.","non-dropping-particle":"","parse-names":false,"suffix":""},{"dropping-particle":"","family":"Silva","given":"Ricardo A.","non-dropping-particle":"","parse-names":false,"suffix":""},{"dropping-particle":"","family":"Oses","given":"Jean P.","non-dropping-particle":"","parse-names":false,"suffix":""},{"dropping-particle":"","family":"Quevedo","given":"Luciana","non-dropping-particle":"","parse-names":false,"suffix":""},{"dropping-particle":"","family":"Lara","given":"Diogo R.","non-dropping-particle":"","parse-names":false,"suffix":""},{"dropping-particle":"","family":"Ghisleni","given":"Gabriele","non-dropping-particle":"","parse-names":false,"suffix":""},{"dropping-particle":"","family":"Kaster","given":"Manuella P.","non-dropping-particle":"","parse-names":false,"suffix":""}],"container-title":"Journal of Psychiatric Research","id":"ITEM-1","issue":"12","issued":{"date-parts":[["2013","12"]]},"page":"2011-2014","title":"Interleukin-1β is associated with depressive episode in major depression but not in bipolar disorder","type":"article-journal","volume":"47"},"uris":["http://www.mendeley.com/documents/?uuid=79e7488b-0cb6-4bf3-bcc8-777505c0c68b","http://www.mendeley.com/documents/?uuid=0c51f543-a5d8-46ff-933e-0924e257b06d","http://www.mendeley.com/documents/?uuid=10d6ec19-8616-4b59-b3ee-b5cff39f7876"]}],"mendeley":{"formattedCitation":"(Mota et al., 2013)","plainTextFormattedCitation":"(Mota et al., 2013)","previouslyFormattedCitation":"(Mota et al., 2013)"},"properties":{"noteIndex":0},"schema":"https://github.com/citation-style-language/schema/raw/master/csl-citation.json"}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(Mota et al., 2013)</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2750F3B"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IL-B assayed</w:t>
            </w:r>
          </w:p>
        </w:tc>
      </w:tr>
      <w:tr w:rsidR="00892A33" w:rsidRPr="00892A33" w14:paraId="49F717B8" w14:textId="77777777" w:rsidTr="000C3C27">
        <w:trPr>
          <w:trHeight w:val="20"/>
        </w:trPr>
        <w:tc>
          <w:tcPr>
            <w:tcW w:w="1476" w:type="pct"/>
            <w:tcBorders>
              <w:top w:val="nil"/>
              <w:left w:val="nil"/>
              <w:bottom w:val="nil"/>
              <w:right w:val="nil"/>
            </w:tcBorders>
            <w:shd w:val="clear" w:color="000000" w:fill="FFFFFF"/>
            <w:noWrap/>
            <w:vAlign w:val="bottom"/>
            <w:hideMark/>
          </w:tcPr>
          <w:p w14:paraId="2B9839E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Soderlund, 2011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10.1503/jpn.100080","ISSN":"11804882","author":[{"dropping-particle":"","family":"Söderlund","given":"Johan","non-dropping-particle":"","parse-names":false,"suffix":""},{"dropping-particle":"","family":"Olsson","given":"Sara","non-dropping-particle":"","parse-names":false,"suffix":""},{"dropping-particle":"","family":"Samuelsson","given":"Martin","non-dropping-particle":"","parse-names":false,"suffix":""},{"dropping-particle":"","family":"Walther-Jallow","given":"Lilian","non-dropping-particle":"","parse-names":false,"suffix":""},{"dropping-particle":"","family":"Johansson","given":"Christian","non-dropping-particle":"","parse-names":false,"suffix":""},{"dropping-particle":"","family":"Erhardt","given":"Sophie","non-dropping-particle":"","parse-names":false,"suffix":""},{"dropping-particle":"","family":"Landén","given":"Mikael","non-dropping-particle":"","parse-names":false,"suffix":""},{"dropping-particle":"","family":"Engberg","given":"Göran","non-dropping-particle":"","parse-names":false,"suffix":""}],"container-title":"Journal of Psychiatry &amp; Neuroscience","id":"ITEM-1","issue":"2","issued":{"date-parts":[["2011","3"]]},"page":"114-118","title":"Elevation of cerebrospinal fluid interleukin-1β in bipolar disorder","type":"article-journal","volume":"36"},"uris":["http://www.mendeley.com/documents/?uuid=8bfe5c2d-efe2-4d5b-9469-566144592e18","http://www.mendeley.com/documents/?uuid=a4de6a79-3d1f-4ea9-a41b-b96d13c2f2c2","http://www.mendeley.com/documents/?uuid=00b1e608-056f-467c-bdfb-39802d9415e6"]}],"mendeley":{"formattedCitation":"(Söderlund et al., 2011)","plainTextFormattedCitation":"(Söderlund et al., 2011)","previouslyFormattedCitation":"(Söderlund et al., 2011)"},"properties":{"noteIndex":0},"schema":"https://github.com/citation-style-language/schema/raw/master/csl-citation.json"}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(Söderlund et al., 2011)</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9F2FD96"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IL-B assayed</w:t>
            </w:r>
          </w:p>
        </w:tc>
      </w:tr>
      <w:tr w:rsidR="00892A33" w:rsidRPr="00892A33" w14:paraId="0155907A" w14:textId="77777777" w:rsidTr="000C3C27">
        <w:trPr>
          <w:trHeight w:val="20"/>
        </w:trPr>
        <w:tc>
          <w:tcPr>
            <w:tcW w:w="1476" w:type="pct"/>
            <w:tcBorders>
              <w:top w:val="nil"/>
              <w:left w:val="nil"/>
              <w:bottom w:val="nil"/>
              <w:right w:val="nil"/>
            </w:tcBorders>
            <w:shd w:val="clear" w:color="000000" w:fill="FFFFFF"/>
            <w:noWrap/>
            <w:vAlign w:val="bottom"/>
            <w:hideMark/>
          </w:tcPr>
          <w:p w14:paraId="2755B87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Ascoli,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{"citationItems":[{"id":"ITEM-1","itemData":{"DOI":"10.1186/s40345-019-0148-x","ISSN":"2194-7511","author":[{"dropping-particle":"","family":"Ascoli","given":"Bruna M.","non-dropping-particle":"","parse-names":false,"suffix":""},{"dropping-particle":"","family":"Parisi","given":"Mariana M.","non-dropping-particle":"","parse-names":false,"suffix":""},{"dropping-particle":"","family":"Bristot","given":"Giovana","non-dropping-particle":"","parse-names":false,"suffix":""},{"dropping-particle":"","family":"Antqueviezc","given":"Bárbara","non-dropping-particle":"","parse-names":false,"suffix":""},{"dropping-particle":"","family":"Géa","given":"Luiza P.","non-dropping-particle":"","parse-names":false,"suffix":""},{"dropping-particle":"","family":"Colombo","given":"Rafael","non-dropping-particle":"","parse-names":false,"suffix":""},{"dropping-particle":"","family":"Kapczinski","given":"Flávio","non-dropping-particle":"","parse-names":false,"suffix":""},{"dropping-particle":"","family":"Guma","given":"Fátima Theresinha Costa Rodrigues","non-dropping-particle":"","parse-names":false,"suffix":""},{"dropping-particle":"","family":"Brietzke","given":"Elisa","non-dropping-particle":"","parse-names":false,"suffix":""},{"dropping-particle":"","family":"Barbé-Tuana","given":"Florencia M.","non-dropping-particle":"","parse-names":false,"suffix":""},{"dropping-particle":"","family":"Rosa","given":"Adriane R.","non-dropping-particle":"","parse-names":false,"suffix":""}],"container-title":"International Journal of Bipolar Disorders","id":"ITEM-1","issue":"1","issued":{"date-parts":[["2019","12"]]},"page":"13","title":"Attenuated inflammatory response of monocyte-derived macrophage from patients with BD: a preliminary report","type":"article-journal","volume":"7"},"uris":["http://www.mendeley.com/documents/?uuid=aa8876e4-56d7-45bf-9329-cecd7a92f296","http://www.mendeley.com/documents/?uuid=e40ec09e-1553-4193-92cf-cb0185f4f34f","http://www.mendeley.com/documents/?uuid=b1717a06-c369-4110-a08e-7d1e2e9a15d7"]}],"mendeley":{"formattedCitation":"(Ascoli et al., 2019)","plainTextFormattedCitation":"(Ascoli et al., 2019)","previouslyFormattedCitation":"(Ascoli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(Ascoli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1E92D08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In vitro study</w:t>
            </w:r>
          </w:p>
        </w:tc>
      </w:tr>
      <w:tr w:rsidR="00892A33" w:rsidRPr="00892A33" w14:paraId="0545537A" w14:textId="77777777" w:rsidTr="000C3C27">
        <w:trPr>
          <w:trHeight w:val="20"/>
        </w:trPr>
        <w:tc>
          <w:tcPr>
            <w:tcW w:w="1476" w:type="pct"/>
            <w:tcBorders>
              <w:top w:val="nil"/>
              <w:left w:val="nil"/>
              <w:bottom w:val="nil"/>
              <w:right w:val="nil"/>
            </w:tcBorders>
            <w:shd w:val="clear" w:color="000000" w:fill="FFFFFF"/>
            <w:noWrap/>
            <w:vAlign w:val="bottom"/>
            <w:hideMark/>
          </w:tcPr>
          <w:p w14:paraId="4A9440DB"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Do Prado, 2013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{"citationItems":[{"id":"ITEM-1","itemData":{"DOI":"10.1016/j.psyneuen.2012.08.005","ISSN":"03064530","author":[{"dropping-particle":"","family":"Prado","given":"Carine Hartmann","non-dropping-particle":"do","parse-names":false,"suffix":""},{"dropping-particle":"","family":"Rizzo","given":"Lucas Bortolotto","non-dropping-particle":"","parse-names":false,"suffix":""},{"dropping-particle":"","family":"Wieck","given":"Andréa","non-dropping-particle":"","parse-names":false,"suffix":""},{"dropping-particle":"","family":"Lopes","given":"Rodrigo Pestana","non-dropping-particle":"","parse-names":false,"suffix":""},{"dropping-particle":"","family":"Teixeira","given":"Antonio L.","non-dropping-particle":"","parse-names":false,"suffix":""},{"dropping-particle":"","family":"Grassi-Oliveira","given":"Rodrigo","non-dropping-particle":"","parse-names":false,"suffix":""},{"dropping-particle":"","family":"Bauer","given":"Moisés Evandro","non-dropping-particle":"","parse-names":false,"suffix":""}],"container-title":"Psychoneuroendocrinology","id":"ITEM-1","issue":"5","issued":{"date-parts":[["2013","5"]]},"page":"667-676","title":"Reduced regulatory T cells are associated with higher levels of Th1/TH17 cytokines and activated MAPK in type 1 bipolar disorder","type":"article-journal","volume":"38"},"uris":["http://www.mendeley.com/documents/?uuid=8f34a3fa-af41-42c4-aa67-6d2c6003cc4e","http://www.mendeley.com/documents/?uuid=6d56f96e-5a90-455f-abb6-63a715ce4163","http://www.mendeley.com/documents/?uuid=1c798bd9-d67d-4069-936f-f12f374d47b3"]}],"mendeley":{"formattedCitation":"(do Prado et al., 2013)","plainTextFormattedCitation":"(do Prado et al., 2013)","previouslyFormattedCitation":"(do Prado et al., 2013)"},"properties":{"noteIndex":0},"schema":"https://github.com/citation-style-language/schema/raw/master/csl-citation.json"}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(do Prado et al., 2013)</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488F5A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In vitro study</w:t>
            </w:r>
          </w:p>
        </w:tc>
      </w:tr>
      <w:tr w:rsidR="00892A33" w:rsidRPr="00892A33" w14:paraId="4F41B78C" w14:textId="77777777" w:rsidTr="000C3C27">
        <w:trPr>
          <w:trHeight w:val="20"/>
        </w:trPr>
        <w:tc>
          <w:tcPr>
            <w:tcW w:w="1476" w:type="pct"/>
            <w:tcBorders>
              <w:top w:val="nil"/>
              <w:left w:val="nil"/>
              <w:bottom w:val="nil"/>
              <w:right w:val="nil"/>
            </w:tcBorders>
            <w:shd w:val="clear" w:color="000000" w:fill="FFFFFF"/>
            <w:noWrap/>
            <w:vAlign w:val="bottom"/>
            <w:hideMark/>
          </w:tcPr>
          <w:p w14:paraId="4FA02531"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Drexhage, 2011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{"citationItems":[{"id":"ITEM-1","itemData":{"DOI":"10.1016/j.bbi.2011.03.013","ISSN":"08891591","author":[{"dropping-particle":"","family":"Drexhage","given":"Roosmarijn C.","non-dropping-particle":"","parse-names":false,"suffix":""},{"dropping-particle":"","family":"Hoogenboezem","given":"Thomas H.","non-dropping-particle":"","parse-names":false,"suffix":""},{"dropping-particle":"","family":"Versnel","given":"Marjan A.","non-dropping-particle":"","parse-names":false,"suffix":""},{"dropping-particle":"","family":"Berghout","given":"Arie","non-dropping-particle":"","parse-names":false,"suffix":""},{"dropping-particle":"","family":"Nolen","given":"Willem A.","non-dropping-particle":"","parse-names":false,"suffix":""},{"dropping-particle":"","family":"Drexhage","given":"Hemmo A.","non-dropping-particle":"","parse-names":false,"suffix":""}],"container-title":"Brain, Behavior, and Immunity","id":"ITEM-1","issue":"6","issued":{"date-parts":[["2011","8"]]},"page":"1206-1213","title":"The activation of monocyte and T cell networks in patients with bipolar disorder","type":"article-journal","volume":"25"},"uris":["http://www.mendeley.com/documents/?uuid=aa62f79a-af67-41d5-ada7-208f317060c3","http://www.mendeley.com/documents/?uuid=c5809e40-27ff-42fc-9341-078adecd1d85","http://www.mendeley.com/documents/?uuid=6be92099-8e6b-48e4-a587-4a90bb6b6b4c"]}],"mendeley":{"formattedCitation":"(Drexhage et al., 2011)","plainTextFormattedCitation":"(Drexhage et al., 2011)","previouslyFormattedCitation":"(Drexhage et al., 2011)"},"properties":{"noteIndex":0},"schema":"https://github.com/citation-style-language/schema/raw/master/csl-citation.json"}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(Drexhage et al., 2011)</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DBFB9A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in vitro study</w:t>
            </w:r>
          </w:p>
        </w:tc>
      </w:tr>
      <w:tr w:rsidR="00892A33" w:rsidRPr="00892A33" w14:paraId="2D9A58DF" w14:textId="77777777" w:rsidTr="000C3C27">
        <w:trPr>
          <w:trHeight w:val="20"/>
        </w:trPr>
        <w:tc>
          <w:tcPr>
            <w:tcW w:w="1476" w:type="pct"/>
            <w:tcBorders>
              <w:top w:val="nil"/>
              <w:left w:val="nil"/>
              <w:bottom w:val="nil"/>
              <w:right w:val="nil"/>
            </w:tcBorders>
            <w:shd w:val="clear" w:color="000000" w:fill="FFFFFF"/>
            <w:noWrap/>
            <w:vAlign w:val="bottom"/>
            <w:hideMark/>
          </w:tcPr>
          <w:p w14:paraId="272B501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Knijff, 2007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{"citationItems":[{"id":"ITEM-1","itemData":{"DOI":"10.1111/j.1399-5618.2007.00444.x","ISSN":"1398-5647","author":[{"dropping-particle":"","family":"Knijff","given":"Esther M","non-dropping-particle":"","parse-names":false,"suffix":""},{"dropping-particle":"","family":"Nadine Breunis","given":"M","non-dropping-particle":"","parse-names":false,"suffix":""},{"dropping-particle":"","family":"Kupka","given":"Ralph W","non-dropping-particle":"","parse-names":false,"suffix":""},{"dropping-particle":"","family":"Wit","given":"Harm J","non-dropping-particle":"de","parse-names":false,"suffix":""},{"dropping-particle":"","family":"Ruwhof","given":"Cindy","non-dropping-particle":"","parse-names":false,"suffix":""},{"dropping-particle":"","family":"Akkerhuis","given":"Grard W","non-dropping-particle":"","parse-names":false,"suffix":""},{"dropping-particle":"","family":"Nolen","given":"Willem A","non-dropping-particle":"","parse-names":false,"suffix":""},{"dropping-particle":"","family":"Drexhage","given":"Hemmo A","non-dropping-particle":"","parse-names":false,"suffix":""}],"container-title":"Bipolar Disorders","id":"ITEM-1","issue":"7","issued":{"date-parts":[["2007","11"]]},"page":"743-753","title":"An imbalance in the production of IL-1β and IL-6 by monocytes of bipolar patients: restoration by lithium treatment","type":"article-journal","volume":"9"},"uris":["http://www.mendeley.com/documents/?uuid=abaf65d3-7f16-4a88-9a3d-23ea55b8213a","http://www.mendeley.com/documents/?uuid=f8cf275f-cc9c-4fe0-a153-975218fa1458","http://www.mendeley.com/documents/?uuid=2da1fc28-f97f-4939-a6aa-55c176417fa6"]}],"mendeley":{"formattedCitation":"(Knijff et al., 2007)","plainTextFormattedCitation":"(Knijff et al., 2007)","previouslyFormattedCitation":"(Knijff et al., 2007)"},"properties":{"noteIndex":0},"schema":"https://github.com/citation-style-language/schema/raw/master/csl-citation.json"}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(Knijff et al., 2007)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3ABB70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In vitro study</w:t>
            </w:r>
          </w:p>
        </w:tc>
      </w:tr>
      <w:tr w:rsidR="00892A33" w:rsidRPr="00892A33" w14:paraId="77A58040" w14:textId="77777777" w:rsidTr="000C3C27">
        <w:trPr>
          <w:trHeight w:val="20"/>
        </w:trPr>
        <w:tc>
          <w:tcPr>
            <w:tcW w:w="1476" w:type="pct"/>
            <w:tcBorders>
              <w:top w:val="nil"/>
              <w:left w:val="nil"/>
              <w:bottom w:val="nil"/>
              <w:right w:val="nil"/>
            </w:tcBorders>
            <w:shd w:val="clear" w:color="000000" w:fill="FFFFFF"/>
            <w:noWrap/>
            <w:vAlign w:val="bottom"/>
            <w:hideMark/>
          </w:tcPr>
          <w:p w14:paraId="1550331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Munkhol,, 2013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psychires.2013.05.018","ISSN":"00223956","author":[{"dropping-particle":"","family":"Munkholm","given":"Klaus","non-dropping-particle":"","parse-names":false,"suffix":""},{"dropping-particle":"","family":"Braüner","given":"Julie Vestergaard","non-dropping-particle":"","parse-names":false,"suffix":""},{"dropping-particle":"","family":"Kessing","given":"Lars Vedel","non-dropping-particle":"","parse-names":false,"suffix":""},{"dropping-particle":"","family":"Vinberg","given":"Maj","non-dropping-particle":"","parse-names":false,"suffix":""}],"container-title":"Journal of Psychiatric Research","id":"ITEM-1","issue":"9","issued":{"date-parts":[["2013","9"]]},"page":"1119-1133","title":"Cytokines in bipolar disorder vs. healthy control subjects: A systematic review and meta-analysis","type":"article-journal","volume":"47"},"uris":["http://www.mendeley.com/documents/?uuid=7dde9396-c372-46b6-bfb2-4f6fe6050bfa","http://www.mendeley.com/documents/?uuid=7664d54b-e06d-497c-9739-8c59690a3b43","http://www.mendeley.com/documents/?uuid=c6a2c6fa-a643-483a-9fe9-96a443f00e54"]}],"mendeley":{"formattedCitation":"(Munkholm et al., 2013)","plainTextFormattedCitation":"(Munkholm et al., 2013)","previouslyFormattedCitation":"(Munkholm et al., 2013)"},"properties":{"noteIndex":0},"schema":"https://github.com/citation-style-language/schema/raw/master/csl-citation.json"}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(Munkholm et al., 2013)</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0C599AE"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Meta-analysis</w:t>
            </w:r>
          </w:p>
        </w:tc>
      </w:tr>
      <w:tr w:rsidR="00892A33" w:rsidRPr="00892A33" w14:paraId="779828BA" w14:textId="77777777" w:rsidTr="000C3C27">
        <w:trPr>
          <w:trHeight w:val="455"/>
        </w:trPr>
        <w:tc>
          <w:tcPr>
            <w:tcW w:w="1476" w:type="pct"/>
            <w:tcBorders>
              <w:top w:val="nil"/>
              <w:left w:val="nil"/>
              <w:bottom w:val="nil"/>
              <w:right w:val="nil"/>
            </w:tcBorders>
            <w:shd w:val="clear" w:color="FFFFFF" w:fill="FFFFFF"/>
            <w:noWrap/>
            <w:vAlign w:val="bottom"/>
            <w:hideMark/>
          </w:tcPr>
          <w:p w14:paraId="2336018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Bond, 2016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{"citationItems":[{"id":"ITEM-1","itemData":{"DOI":"10.1016/j.psyneuen.2015.12.012","ISSN":"18733360","PMID":"26731572","abstract":"Bipolar I disorder (BD) is associated with increased inflammation, which is believed to be central to disease etiology and progression. However, BD patients also have high rates of obesity, itself an inflammatory condition, and the relative contributions of mood illness and obesity to inflammation are unknown. Moreover, the impact of inflammation on clinical illness course has not been well studied. The objectives of this analysis were therefore: (1) to determine if inflammation in BD is mood illness-related or secondary to elevated body mass index (BMI), and (2) to investigate the impact of inflammation on prospectively-ascertained relapse into depression and mania. We measured the serum levels of 7 inflammatory cytokines (TNF-α, γ-interferon, monocyte chemoattractant protein-[MCP-1], IL-1α, IL-2, IL-6, and IL-8) and 2 anti-inflammatory cytokines (IL-and IL-10) in 52 early-stage BD patients and 22 healthy subjects. In patients, a multivariate multiple regression model that controlled for psychotropic medications found that higher BMI, but not recent (past-6-month) mood episodes, predicted greater inflammatory cytokines (= .05). Healthy subjects also had a BMI-related increase in inflammatory cytokines (&lt; .01), but it was counter-balanced by a compensatory increase in anti-inflammatory cytokines (= .02), reducing their total inflammatory burden from higher BMI. In patients, linear regression showed that two inflammatory cytokines predicted depressive relapse in the 12 months after cytokine measurement: IL-1α (&lt; .01) and MCP-(&lt; .01). These results suggest that elevated BMI is a significant contributor to inflammation in BD, more so even than recent mood illness severity. They also point to inflammation as an important predictor of illness course, particularly depressive relapse.","author":[{"dropping-particle":"","family":"Bond","given":"David J.","non-dropping-particle":"","parse-names":false,"suffix":""},{"dropping-particle":"","family":"Andreazza","given":"Ana C.","non-dropping-particle":"","parse-names":false,"suffix":""},{"dropping-particle":"","family":"Hughes","given":"John","non-dropping-particle":"","parse-names":false,"suffix":""},{"dropping-particle":"","family":"Dhanoa","given":"Taj","non-dropping-particle":"","parse-names":false,"suffix":""},{"dropping-particle":"","family":"Torres","given":"Ivan J.","non-dropping-particle":"","parse-names":false,"suffix":""},{"dropping-particle":"","family":"Kozicky","given":"Jan Marie","non-dropping-particle":"","parse-names":false,"suffix":""},{"dropping-particle":"","family":"Young","given":"L. Trevor","non-dropping-particle":"","parse-names":false,"suffix":""},{"dropping-particle":"","family":"Lam","given":"Raymond W.","non-dropping-particle":"","parse-names":false,"suffix":""},{"dropping-particle":"","family":"Yatham","given":"Lakshmi N.","non-dropping-particle":"","parse-names":false,"suffix":""}],"container-title":"Psychoneuroendocrinology","id":"ITEM-1","issued":{"date-parts":[["2016","3"]]},"page":"76-83","publisher":"Elsevier Ltd","title":"Association of peripheral inflammation with body mass index and depressive relapse in bipolar disorder","type":"article-journal","volume":"65"},"uris":["http://www.mendeley.com/documents/?uuid=817a9a36-387b-3681-96f7-1cf76c1862e8","http://www.mendeley.com/documents/?uuid=0157da56-59ec-4ea2-a32f-f53f0e5f2ac0"]}],"mendeley":{"formattedCitation":"(Bond et al., 2016)","plainTextFormattedCitation":"(Bond et al., 2016)","previouslyFormattedCitation":"(Bond et al., 2016)"},"properties":{"noteIndex":0},"schema":"https://github.com/citation-style-language/schema/raw/master/csl-citation.json"}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(Bond et al., 2016)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FFFFFF" w:fill="FFFFFF"/>
            <w:noWrap/>
            <w:vAlign w:val="bottom"/>
            <w:hideMark/>
          </w:tcPr>
          <w:p w14:paraId="69E454DA"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available data comparing cytokines levels between pts and controls at baseline</w:t>
            </w:r>
          </w:p>
        </w:tc>
      </w:tr>
      <w:tr w:rsidR="00892A33" w:rsidRPr="00892A33" w14:paraId="44BAD66B" w14:textId="77777777" w:rsidTr="000C3C27">
        <w:trPr>
          <w:trHeight w:val="20"/>
        </w:trPr>
        <w:tc>
          <w:tcPr>
            <w:tcW w:w="1476" w:type="pct"/>
            <w:tcBorders>
              <w:top w:val="nil"/>
              <w:left w:val="nil"/>
              <w:bottom w:val="nil"/>
              <w:right w:val="nil"/>
            </w:tcBorders>
            <w:shd w:val="clear" w:color="000000" w:fill="FFFFFF"/>
            <w:noWrap/>
            <w:vAlign w:val="bottom"/>
            <w:hideMark/>
          </w:tcPr>
          <w:p w14:paraId="235F593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Aas, 2020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neuen.2019.104558","ISSN":"03064530","author":[{"dropping-particle":"","family":"Aas","given":"Monica","non-dropping-particle":"","parse-names":false,"suffix":""},{"dropping-particle":"","family":"Vecchio","given":"Costanza","non-dropping-particle":"","parse-names":false,"suffix":""},{"dropping-particle":"","family":"Pauls","given":"Astrid","non-dropping-particle":"","parse-names":false,"suffix":""},{"dropping-particle":"","family":"Mehta","given":"Mitul","non-dropping-particle":"","parse-names":false,"suffix":""},{"dropping-particle":"","family":"Williams","given":"Steve","non-dropping-particle":"","parse-names":false,"suffix":""},{"dropping-particle":"","family":"Hazelgrove","given":"Katie","non-dropping-particle":"","parse-names":false,"suffix":""},{"dropping-particle":"","family":"Biaggi","given":"Alessandra","non-dropping-particle":"","parse-names":false,"suffix":""},{"dropping-particle":"","family":"Pawlby","given":"Susan","non-dropping-particle":"","parse-names":false,"suffix":""},{"dropping-particle":"","family":"Conroy","given":"Susan","non-dropping-particle":"","parse-names":false,"suffix":""},{"dropping-particle":"","family":"Seneviratne","given":"Gertrude","non-dropping-particle":"","parse-names":false,"suffix":""},{"dropping-particle":"","family":"Mondelli","given":"Valeria","non-dropping-particle":"","parse-names":false,"suffix":""},{"dropping-particle":"","family":"Pariante","given":"Carmine M.","non-dropping-particle":"","parse-names":false,"suffix":""},{"dropping-particle":"","family":"Dazzan","given":"Paola","non-dropping-particle":"","parse-names":false,"suffix":""}],"container-title":"Psychoneuroendocrinology","id":"ITEM-1","issued":{"date-parts":[["2020","3"]]},"page":"104558","title":"Biological stress response in women at risk of postpartum psychosis: The role of life events and inflammation","type":"article-journal","volume":"113"},"uris":["http://www.mendeley.com/documents/?uuid=0881d33e-6e73-46e3-999f-7ccf7e3c0b8c","http://www.mendeley.com/documents/?uuid=2d28618f-0d7d-4b5a-b7b4-755690dc5d1a","http://www.mendeley.com/documents/?uuid=703b6cd2-fd71-4ef4-a931-9d38e04534b2"]}],"mendeley":{"formattedCitation":"(Aas et al., 2020)","plainTextFormattedCitation":"(Aas et al., 2020)","previouslyFormattedCitation":"(Aas et al., 2020)"},"properties":{"noteIndex":0},"schema":"https://github.com/citation-style-language/schema/raw/master/csl-citation.json"}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(Aas et al., 2020)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1BEF41C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BD only</w:t>
            </w:r>
          </w:p>
        </w:tc>
      </w:tr>
      <w:tr w:rsidR="00892A33" w:rsidRPr="00892A33" w14:paraId="249A92D5" w14:textId="77777777" w:rsidTr="000C3C27">
        <w:trPr>
          <w:trHeight w:val="20"/>
        </w:trPr>
        <w:tc>
          <w:tcPr>
            <w:tcW w:w="1476" w:type="pct"/>
            <w:tcBorders>
              <w:top w:val="nil"/>
              <w:left w:val="nil"/>
              <w:bottom w:val="nil"/>
              <w:right w:val="nil"/>
            </w:tcBorders>
            <w:shd w:val="clear" w:color="000000" w:fill="FFFFFF"/>
            <w:noWrap/>
            <w:vAlign w:val="bottom"/>
            <w:hideMark/>
          </w:tcPr>
          <w:p w14:paraId="4EC0950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Benedetti, 2002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S0278-5846(02)00255-5","ISSN":"02785846","author":[{"dropping-particle":"","family":"Benedetti","given":"Francesco","non-dropping-particle":"","parse-names":false,"suffix":""},{"dropping-particle":"","family":"Lucca","given":"Adelio","non-dropping-particle":"","parse-names":false,"suffix":""},{"dropping-particle":"","family":"Brambilla","given":"Francesca","non-dropping-particle":"","parse-names":false,"suffix":""},{"dropping-particle":"","family":"Colombo","given":"Cristina","non-dropping-particle":"","parse-names":false,"suffix":""},{"dropping-particle":"","family":"Smeraldi","given":"Enrico","non-dropping-particle":"","parse-names":false,"suffix":""}],"container-title":"Progress in Neuro-Psychopharmacology and Biological Psychiatry","id":"ITEM-1","issue":"6","issued":{"date-parts":[["2002","10"]]},"page":"1167-1170","title":"Interleukine-6 serum levels correlate with response to antidepressant sleep deprivation and sleep phase advance","type":"article-journal","volume":"26"},"uris":["http://www.mendeley.com/documents/?uuid=653f5a0a-2e03-4cc2-a46d-0b038d8ef269","http://www.mendeley.com/documents/?uuid=7aeac825-f9f1-4e43-9756-0f2771a352cb","http://www.mendeley.com/documents/?uuid=5440b2a4-ca8f-49dc-911d-0e8f6a9b830c"]}],"mendeley":{"formattedCitation":"(Benedetti et al., 2002)","plainTextFormattedCitation":"(Benedetti et al., 2002)","previouslyFormattedCitation":"(Benedetti et al., 2002)"},"properties":{"noteIndex":0},"schema":"https://github.com/citation-style-language/schema/raw/master/csl-citation.json"}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(Benedetti et al., 2002)</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D21CBF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 group</w:t>
            </w:r>
          </w:p>
        </w:tc>
      </w:tr>
      <w:tr w:rsidR="00892A33" w:rsidRPr="00892A33" w14:paraId="0F19A018" w14:textId="77777777" w:rsidTr="000C3C27">
        <w:trPr>
          <w:trHeight w:val="20"/>
        </w:trPr>
        <w:tc>
          <w:tcPr>
            <w:tcW w:w="1476" w:type="pct"/>
            <w:tcBorders>
              <w:top w:val="nil"/>
              <w:left w:val="nil"/>
              <w:bottom w:val="nil"/>
              <w:right w:val="nil"/>
            </w:tcBorders>
            <w:shd w:val="clear" w:color="000000" w:fill="FFFFFF"/>
            <w:noWrap/>
            <w:vAlign w:val="bottom"/>
            <w:hideMark/>
          </w:tcPr>
          <w:p w14:paraId="58FFAF86"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Goldestein, 2015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{"citationItems":[{"id":"ITEM-1","itemData":{"DOI":"10.4088/JCP.14m09395","ISSN":"0160-6689","author":[{"dropping-particle":"","family":"Goldstein","given":"Benjamin I.","non-dropping-particle":"","parse-names":false,"suffix":""},{"dropping-particle":"","family":"Lotrich","given":"Francis","non-dropping-particle":"","parse-names":false,"suffix":""},{"dropping-particle":"","family":"Axelson","given":"David A.","non-dropping-particle":"","parse-names":false,"suffix":""},{"dropping-particle":"","family":"Gill","given":"Mary Kay","non-dropping-particle":"","parse-names":false,"suffix":""},{"dropping-particle":"","family":"Hower","given":"Heather","non-dropping-particle":"","parse-names":false,"suffix":""},{"dropping-particle":"","family":"Goldstein","given":"Tina R.","non-dropping-particle":"","parse-names":false,"suffix":""},{"dropping-particle":"","family":"Fan","given":"Jieyu","non-dropping-particle":"","parse-names":false,"suffix":""},{"dropping-particle":"","family":"Yen","given":"Shirley","non-dropping-particle":"","parse-names":false,"suffix":""},{"dropping-particle":"","family":"Diler","given":"Rasim","non-dropping-particle":"","parse-names":false,"suffix":""},{"dropping-particle":"","family":"Dickstein","given":"Daniel","non-dropping-particle":"","parse-names":false,"suffix":""},{"dropping-particle":"","family":"Strober","given":"Michael A.","non-dropping-particle":"","parse-names":false,"suffix":""},{"dropping-particle":"","family":"Iyengar","given":"Satish","non-dropping-particle":"","parse-names":false,"suffix":""},{"dropping-particle":"","family":"Ryan","given":"Neal D.","non-dropping-particle":"","parse-names":false,"suffix":""},{"dropping-particle":"","family":"Keller","given":"Martin B.","non-dropping-particle":"","parse-names":false,"suffix":""},{"dropping-particle":"","family":"Birmaher","given":"Boris","non-dropping-particle":"","parse-names":false,"suffix":""}],"container-title":"The Journal of Clinical Psychiatry","id":"ITEM-1","issue":"11","issued":{"date-parts":[["2015","11"]]},"page":"1556-1563","title":"Inflammatory Markers Among Adolescents and Young Adults With Bipolar Spectrum Disorders","type":"article-journal","volume":"76"},"uris":["http://www.mendeley.com/documents/?uuid=f573fded-1e62-47d6-a272-8857f5dbf7dc","http://www.mendeley.com/documents/?uuid=908520b0-666d-47cd-8b96-f2feb22e18e9","http://www.mendeley.com/documents/?uuid=08c5d119-f95c-4422-8cf6-107431e52dde"]}],"mendeley":{"formattedCitation":"(Goldstein et al., 2015)","plainTextFormattedCitation":"(Goldstein et al., 2015)","previouslyFormattedCitation":"(Goldstein et al., 2015)"},"properties":{"noteIndex":0},"schema":"https://github.com/citation-style-language/schema/raw/master/csl-citation.json"}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(Goldstein et al., 2015)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3FD7FB8"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 group</w:t>
            </w:r>
          </w:p>
        </w:tc>
      </w:tr>
      <w:tr w:rsidR="00892A33" w:rsidRPr="00892A33" w14:paraId="0D735E6D" w14:textId="77777777" w:rsidTr="000C3C27">
        <w:trPr>
          <w:trHeight w:val="20"/>
        </w:trPr>
        <w:tc>
          <w:tcPr>
            <w:tcW w:w="1476" w:type="pct"/>
            <w:tcBorders>
              <w:top w:val="nil"/>
              <w:left w:val="nil"/>
              <w:bottom w:val="nil"/>
              <w:right w:val="nil"/>
            </w:tcBorders>
            <w:shd w:val="clear" w:color="000000" w:fill="FFFFFF"/>
            <w:noWrap/>
            <w:vAlign w:val="bottom"/>
            <w:hideMark/>
          </w:tcPr>
          <w:p w14:paraId="651F81EC"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Pedrotti Moreira, 2019</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{"citationItems":[{"id":"ITEM-1","itemData":{"DOI":"10.1111/pcn.12896","ISSN":"1323-1316","author":[{"dropping-particle":"","family":"Pedrotti Moreira","given":"Fernanda","non-dropping-particle":"","parse-names":false,"suffix":""},{"dropping-particle":"","family":"Cardoso","given":"Taiane C.","non-dropping-particle":"","parse-names":false,"suffix":""},{"dropping-particle":"","family":"Mondin","given":"Thaíse C.","non-dropping-particle":"","parse-names":false,"suffix":""},{"dropping-particle":"","family":"Wiener","given":"Carolina D.","non-dropping-particle":"","parse-names":false,"suffix":""},{"dropping-particle":"","family":"Mattos Souza","given":"Luciano D.","non-dropping-particle":"de","parse-names":false,"suffix":""},{"dropping-particle":"","family":"Oses","given":"Jean P.","non-dropping-particle":"","parse-names":false,"suffix":""},{"dropping-particle":"","family":"Jansen","given":"Karen","non-dropping-particle":"","parse-names":false,"suffix":""},{"dropping-particle":"","family":"Silva","given":"Ricardo A.","non-dropping-particle":"","parse-names":false,"suffix":""}],"container-title":"Psychiatry and Clinical Neurosciences","id":"ITEM-1","issue":"9","issued":{"date-parts":[["2019","9"]]},"page":"590-593","title":"Serum level of nerve growth factor is a potential biomarker of conversion to bipolar disorder in women with major depressive disorder","type":"article-journal","volume":"73"},"uris":["http://www.mendeley.com/documents/?uuid=98879dd2-e9f5-4962-a9e6-8ec3b9432bdc","http://www.mendeley.com/documents/?uuid=54d4c281-b7e1-4e98-9855-9ca37763602e","http://www.mendeley.com/documents/?uuid=b1931891-1c30-4327-aa71-55d458c0cf51"]}],"mendeley":{"formattedCitation":"(Pedrotti Moreira et al., 2019)","plainTextFormattedCitation":"(Pedrotti Moreira et al., 2019)","previouslyFormattedCitation":"(Pedrotti Moreira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(Pedrotti Moreira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4C82656"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 group</w:t>
            </w:r>
          </w:p>
        </w:tc>
      </w:tr>
      <w:tr w:rsidR="00892A33" w:rsidRPr="00892A33" w14:paraId="4EBBA229" w14:textId="77777777" w:rsidTr="000C3C27">
        <w:trPr>
          <w:trHeight w:val="20"/>
        </w:trPr>
        <w:tc>
          <w:tcPr>
            <w:tcW w:w="1476" w:type="pct"/>
            <w:tcBorders>
              <w:top w:val="nil"/>
              <w:left w:val="nil"/>
              <w:bottom w:val="nil"/>
              <w:right w:val="nil"/>
            </w:tcBorders>
            <w:shd w:val="clear" w:color="000000" w:fill="FFFFFF"/>
            <w:noWrap/>
            <w:vAlign w:val="bottom"/>
            <w:hideMark/>
          </w:tcPr>
          <w:p w14:paraId="1DFA436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Bai, 2020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10.1186/s12974-020-1724-9","ISSN":"1742-2094","author":[{"dropping-particle":"","family":"Bai","given":"Ya-Mei","non-dropping-particle":"","parse-names":false,"suffix":""},{"dropping-particle":"","family":"Chen","given":"Mu-Hong","non-dropping-particle":"","parse-names":false,"suffix":""},{"dropping-particle":"","family":"Hsu","given":"Ju-Wei","non-dropping-particle":"","parse-names":false,"suffix":""},{"dropping-particle":"","family":"Huang","given":"Kai-Lin","non-dropping-particle":"","parse-names":false,"suffix":""},{"dropping-particle":"","family":"Tu","given":"Pei-Chi","non-dropping-particle":"","parse-names":false,"suffix":""},{"dropping-particle":"","family":"Chang","given":"Wan-Chen","non-dropping-particle":"","parse-names":false,"suffix":""},{"dropping-particle":"","family":"Su","given":"Tung-Ping","non-dropping-particle":"","parse-names":false,"suffix":""},{"dropping-particle":"","family":"Li","given":"Cheng Ta","non-dropping-particle":"","parse-names":false,"suffix":""},{"dropping-particle":"","family":"Lin","given":"Wei-Chen","non-dropping-particle":"","parse-names":false,"suffix":""},{"dropping-particle":"","family":"Tsai","given":"Shih-Jen","non-dropping-particle":"","parse-names":false,"suffix":""}],"container-title":"Journal of Neuroinflammation","id":"ITEM-1","issue":"1","issued":{"date-parts":[["2020","12"]]},"page":"42","title":"A comparison study of metabolic profiles, immunity, and brain gray matter volumes between patients with bipolar disorder and depressive disorder","type":"article-journal","volume":"17"},"uris":["http://www.mendeley.com/documents/?uuid=490e3592-e49e-4b2d-a1f5-ab8dde3a09bf","http://www.mendeley.com/documents/?uuid=30db2f8b-3158-4951-9efe-c49857651554","http://www.mendeley.com/documents/?uuid=f5d78e1a-eea1-4c17-935e-aebc5538527d"]}],"mendeley":{"formattedCitation":"(Bai et al., 2020)","plainTextFormattedCitation":"(Bai et al., 2020)","previouslyFormattedCitation":"(Bai et al., 2020)"},"properties":{"noteIndex":0},"schema":"https://github.com/citation-style-language/schema/raw/master/csl-citation.json"}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(Bai et al., 2020)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24F7BA8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controls included</w:t>
            </w:r>
          </w:p>
        </w:tc>
      </w:tr>
      <w:tr w:rsidR="00892A33" w:rsidRPr="00892A33" w14:paraId="4EB6513D" w14:textId="77777777" w:rsidTr="000C3C27">
        <w:trPr>
          <w:trHeight w:val="20"/>
        </w:trPr>
        <w:tc>
          <w:tcPr>
            <w:tcW w:w="1476" w:type="pct"/>
            <w:tcBorders>
              <w:top w:val="nil"/>
              <w:left w:val="nil"/>
              <w:bottom w:val="nil"/>
              <w:right w:val="nil"/>
            </w:tcBorders>
            <w:shd w:val="clear" w:color="000000" w:fill="FFFFFF"/>
            <w:noWrap/>
            <w:vAlign w:val="bottom"/>
            <w:hideMark/>
          </w:tcPr>
          <w:p w14:paraId="0F48E5E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Chung, 2013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10.1159/000353613","ISSN":"1423-0224","author":[{"dropping-particle":"","family":"Chung","given":"Kuo-Hsuan","non-dropping-particle":"","parse-names":false,"suffix":""},{"dropping-particle":"","family":"Huang","given":"Shou-Hung","non-dropping-particle":"","parse-names":false,"suffix":""},{"dropping-particle":"","family":"Wu","given":"Jui-Yu","non-dropping-particle":"","parse-names":false,"suffix":""},{"dropping-particle":"","family":"Chen","given":"Pao-Huan","non-dropping-particle":"","parse-names":false,"suffix":""},{"dropping-particle":"","family":"Hsu","given":"Jung-Lung","non-dropping-particle":"","parse-names":false,"suffix":""},{"dropping-particle":"","family":"Tsai","given":"Shang-Ying","non-dropping-particle":"","parse-names":false,"suffix":""}],"container-title":"Neuropsychobiology","id":"ITEM-1","issue":"3","issued":{"date-parts":[["2013"]]},"page":"168-173","title":"The Link between High-Sensitivity C-Reactive Protein and Orbitofrontal Cortex in Euthymic Bipolar Disorder","type":"article-journal","volume":"68"},"uris":["http://www.mendeley.com/documents/?uuid=3c6cb260-92a4-4257-8037-5bbaed58066f","http://www.mendeley.com/documents/?uuid=1b89520b-48f0-4d15-ac60-c1237dc33f22","http://www.mendeley.com/documents/?uuid=7d4319e3-2982-4c0c-9d53-84963db866a6"]}],"mendeley":{"formattedCitation":"(Chung et al., 2013)","plainTextFormattedCitation":"(Chung et al., 2013)","previouslyFormattedCitation":"(Chung et al., 2013)"},"properties":{"noteIndex":0},"schema":"https://github.com/citation-style-language/schema/raw/master/csl-citation.json"}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(Chung et al., 2013)</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AA95F3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controls included</w:t>
            </w:r>
          </w:p>
        </w:tc>
      </w:tr>
      <w:tr w:rsidR="00892A33" w:rsidRPr="00892A33" w14:paraId="4353147A" w14:textId="77777777" w:rsidTr="000C3C27">
        <w:trPr>
          <w:trHeight w:val="20"/>
        </w:trPr>
        <w:tc>
          <w:tcPr>
            <w:tcW w:w="1476" w:type="pct"/>
            <w:tcBorders>
              <w:top w:val="nil"/>
              <w:left w:val="nil"/>
              <w:bottom w:val="nil"/>
              <w:right w:val="nil"/>
            </w:tcBorders>
            <w:shd w:val="clear" w:color="000000" w:fill="FFFFFF"/>
            <w:noWrap/>
            <w:vAlign w:val="bottom"/>
            <w:hideMark/>
          </w:tcPr>
          <w:p w14:paraId="43577B0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Dickerson, 2013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2013.04.039","ISSN":"01650327","author":[{"dropping-particle":"","family":"Dickerson","given":"Faith","non-dropping-particle":"","parse-names":false,"suffix":""},{"dropping-particle":"","family":"Stallings","given":"Cassie","non-dropping-particle":"","parse-names":false,"suffix":""},{"dropping-particle":"","family":"Origoni","given":"Andrea","non-dropping-particle":"","parse-names":false,"suffix":""},{"dropping-particle":"","family":"Vaughan","given":"Crystal","non-dropping-particle":"","parse-names":false,"suffix":""},{"dropping-particle":"","family":"Khushalani","given":"Sunil","non-dropping-particle":"","parse-names":false,"suffix":""},{"dropping-particle":"","family":"Yolken","given":"Robert","non-dropping-particle":"","parse-names":false,"suffix":""}],"container-title":"Journal of Affective Disorders","id":"ITEM-1","issue":"2","issued":{"date-parts":[["2013","9"]]},"page":"456-459","title":"Elevated C-reactive protein and cognitive deficits in individuals with bipolar disorder","type":"article-journal","volume":"150"},"uris":["http://www.mendeley.com/documents/?uuid=50e599e3-27d7-447e-8cc7-7efce5d9e87f","http://www.mendeley.com/documents/?uuid=a4f05a6d-d3e0-4a47-87a5-e2c804534267","http://www.mendeley.com/documents/?uuid=9bc9cc7f-8bf2-4fef-822d-38c0e0e9e0f5"]}],"mendeley":{"formattedCitation":"(Dickerson et al., 2013)","plainTextFormattedCitation":"(Dickerson et al., 2013)","previouslyFormattedCitation":"(Dickerson et al., 2013)"},"properties":{"noteIndex":0},"schema":"https://github.com/citation-style-language/schema/raw/master/csl-citation.json"}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(Dickerson et al., 2013)</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E17D50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controls included</w:t>
            </w:r>
          </w:p>
        </w:tc>
      </w:tr>
      <w:tr w:rsidR="00892A33" w:rsidRPr="00892A33" w14:paraId="2759F1FC" w14:textId="77777777" w:rsidTr="000C3C27">
        <w:trPr>
          <w:trHeight w:val="20"/>
        </w:trPr>
        <w:tc>
          <w:tcPr>
            <w:tcW w:w="1476" w:type="pct"/>
            <w:tcBorders>
              <w:top w:val="nil"/>
              <w:left w:val="nil"/>
              <w:bottom w:val="nil"/>
              <w:right w:val="nil"/>
            </w:tcBorders>
            <w:shd w:val="clear" w:color="000000" w:fill="FFFFFF"/>
            <w:noWrap/>
            <w:vAlign w:val="bottom"/>
            <w:hideMark/>
          </w:tcPr>
          <w:p w14:paraId="65455DF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Guloksuz, 2012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2012.04.044","ISSN":"01650327","author":[{"dropping-particle":"","family":"Guloksuz","given":"Sinan","non-dropping-particle":"","parse-names":false,"suffix":""},{"dropping-particle":"","family":"Altinbas","given":"Kursat","non-dropping-particle":"","parse-names":false,"suffix":""},{"dropping-particle":"","family":"Aktas Cetin","given":"Esin","non-dropping-particle":"","parse-names":false,"suffix":""},{"dropping-particle":"","family":"Kenis","given":"Gunter","non-dropping-particle":"","parse-names":false,"suffix":""},{"dropping-particle":"","family":"Bilgic Gazioglu","given":"Sema","non-dropping-particle":"","parse-names":false,"suffix":""},{"dropping-particle":"","family":"Deniz","given":"Gunnur","non-dropping-particle":"","parse-names":false,"suffix":""},{"dropping-particle":"","family":"Oral","given":"E. Timucin","non-dropping-particle":"","parse-names":false,"suffix":""},{"dropping-particle":"","family":"Os","given":"Jim","non-dropping-particle":"van","parse-names":false,"suffix":""}],"container-title":"Journal of Affective Disorders","id":"ITEM-1","issue":"1-3","issued":{"date-parts":[["2012","12"]]},"page":"148-152","title":"Evidence for an association between tumor necrosis factor-alpha levels and lithium response","type":"article-journal","volume":"143"},"uris":["http://www.mendeley.com/documents/?uuid=29d3e626-75ae-4633-a5b6-c8d0baf278eb","http://www.mendeley.com/documents/?uuid=88aa13e2-5f6e-4326-9527-aac3df21cc44","http://www.mendeley.com/documents/?uuid=0412486d-24a8-4f92-b465-a1179290b8ee"]}],"mendeley":{"formattedCitation":"(Guloksuz et al., 2012)","plainTextFormattedCitation":"(Guloksuz et al., 2012)","previouslyFormattedCitation":"(Guloksuz et al., 2012)"},"properties":{"noteIndex":0},"schema":"https://github.com/citation-style-language/schema/raw/master/csl-citation.json"}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(Guloksuz et al., 2012)</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133B2A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controls included</w:t>
            </w:r>
          </w:p>
        </w:tc>
      </w:tr>
      <w:tr w:rsidR="00892A33" w:rsidRPr="00892A33" w14:paraId="1AF5282A" w14:textId="77777777" w:rsidTr="000C3C27">
        <w:trPr>
          <w:trHeight w:val="20"/>
        </w:trPr>
        <w:tc>
          <w:tcPr>
            <w:tcW w:w="1476" w:type="pct"/>
            <w:tcBorders>
              <w:top w:val="nil"/>
              <w:left w:val="nil"/>
              <w:bottom w:val="nil"/>
              <w:right w:val="nil"/>
            </w:tcBorders>
            <w:shd w:val="clear" w:color="000000" w:fill="FFFFFF"/>
            <w:noWrap/>
            <w:vAlign w:val="bottom"/>
            <w:hideMark/>
          </w:tcPr>
          <w:p w14:paraId="40A51C4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Kargar, 2014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10.4414/smw.2014.13880","ISSN":"1424-7860","author":[{"dropping-particle":"","family":"Kargar","given":"M","non-dropping-particle":"","parse-names":false,"suffix":""},{"dropping-particle":"","family":"Yousefi","given":"A","non-dropping-particle":"","parse-names":false,"suffix":""},{"dropping-particle":"","family":"Mojtahedzadeh","given":"M","non-dropping-particle":"","parse-names":false,"suffix":""},{"dropping-particle":"","family":"Akhondzadeh","given":"S","non-dropping-particle":"","parse-names":false,"suffix":""},{"dropping-particle":"","family":"Artounian","given":"V","non-dropping-particle":"","parse-names":false,"suffix":""},{"dropping-particle":"","family":"Abdollahi","given":"A","non-dropping-particle":"","parse-names":false,"suffix":""},{"dropping-particle":"","family":"Ahmadvand","given":"A","non-dropping-particle":"","parse-names":false,"suffix":""},{"dropping-particle":"","family":"Ghaeli","given":"P","non-dropping-particle":"","parse-names":false,"suffix":""}],"container-title":"Swiss Medical Weekly","id":"ITEM-1","issued":{"date-parts":[["2014","2"]]},"title":"Effects of celecoxib on inflammatory markers in bipolar patients undergoing electroconvulsive therapy: a placebo-controlled, double-blind, randomised study","type":"article-journal"},"uris":["http://www.mendeley.com/documents/?uuid=0c020dec-805d-4ce4-bbf7-cf3ea337bdfe","http://www.mendeley.com/documents/?uuid=7054daef-27a3-4a30-af44-2e59d8713083","http://www.mendeley.com/documents/?uuid=734905ca-182f-49e6-83ec-fab470c3069a"]}],"mendeley":{"formattedCitation":"(Kargar et al., 2014)","plainTextFormattedCitation":"(Kargar et al., 2014)","previouslyFormattedCitation":"(Kargar et al., 2014)"},"properties":{"noteIndex":0},"schema":"https://github.com/citation-style-language/schema/raw/master/csl-citation.json"}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(Kargar et al., 2014)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193B81F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controls included</w:t>
            </w:r>
          </w:p>
        </w:tc>
      </w:tr>
      <w:tr w:rsidR="00892A33" w:rsidRPr="00892A33" w14:paraId="4895C43F" w14:textId="77777777" w:rsidTr="000C3C27">
        <w:trPr>
          <w:trHeight w:val="20"/>
        </w:trPr>
        <w:tc>
          <w:tcPr>
            <w:tcW w:w="1476" w:type="pct"/>
            <w:tcBorders>
              <w:top w:val="nil"/>
              <w:left w:val="nil"/>
              <w:bottom w:val="nil"/>
              <w:right w:val="nil"/>
            </w:tcBorders>
            <w:shd w:val="clear" w:color="000000" w:fill="FFFFFF"/>
            <w:noWrap/>
            <w:vAlign w:val="bottom"/>
            <w:hideMark/>
          </w:tcPr>
          <w:p w14:paraId="4A12816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Dolsen, 2018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{"citationItems":[{"id":"ITEM-1","itemData":{"DOI":"10.1097/PSY.0000000000000529","ISSN":"0033-3174","author":[{"dropping-particle":"","family":"Dolsen","given":"Michael R.","non-dropping-particle":"","parse-names":false,"suffix":""},{"dropping-particle":"","family":"Soehner","given":"Adriane M.","non-dropping-particle":"","parse-names":false,"suffix":""},{"dropping-particle":"","family":"Harvey","given":"Allison G.","non-dropping-particle":"","parse-names":false,"suffix":""}],"container-title":"Psychosomatic Medicine","id":"ITEM-1","issue":"1","issued":{"date-parts":[["2018","1"]]},"page":"87-94","title":"Proinflammatory Cytokines, Mood, and Sleep in Interepisode Bipolar Disorder and Insomnia","type":"article-journal","volume":"80"},"uris":["http://www.mendeley.com/documents/?uuid=3c0d53d0-2cfc-414f-8364-920f1a323d03","http://www.mendeley.com/documents/?uuid=15b8625f-58b1-4aaf-9037-575c1aca331e","http://www.mendeley.com/documents/?uuid=d25c587f-873a-413b-b2a7-199d421edd13"]}],"mendeley":{"formattedCitation":"(Dolsen et al., 2018)","plainTextFormattedCitation":"(Dolsen et al., 2018)","previouslyFormattedCitation":"(Dolsen et al., 2018)"},"properties":{"noteIndex":0},"schema":"https://github.com/citation-style-language/schema/raw/master/csl-citation.json"}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(Dolsen et al., 2018)</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2FB952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reliable control group</w:t>
            </w:r>
          </w:p>
        </w:tc>
      </w:tr>
      <w:tr w:rsidR="00892A33" w:rsidRPr="00892A33" w14:paraId="46E032B2" w14:textId="77777777" w:rsidTr="000C3C27">
        <w:trPr>
          <w:trHeight w:val="20"/>
        </w:trPr>
        <w:tc>
          <w:tcPr>
            <w:tcW w:w="1476" w:type="pct"/>
            <w:tcBorders>
              <w:top w:val="nil"/>
              <w:left w:val="nil"/>
              <w:bottom w:val="nil"/>
              <w:right w:val="nil"/>
            </w:tcBorders>
            <w:shd w:val="clear" w:color="000000" w:fill="FFFFFF"/>
            <w:noWrap/>
            <w:vAlign w:val="bottom"/>
            <w:hideMark/>
          </w:tcPr>
          <w:p w14:paraId="34967EE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Hope, 2013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schres.2012.12.023","ISSN":"09209964","author":[{"dropping-particle":"","family":"Hope","given":"Sigrun","non-dropping-particle":"","parse-names":false,"suffix":""},{"dropping-particle":"","family":"Ueland","given":"Thor","non-dropping-particle":"","parse-names":false,"suffix":""},{"dropping-particle":"","family":"Steen","given":"Nils Eiel","non-dropping-particle":"","parse-names":false,"suffix":""},{"dropping-particle":"","family":"Dieset","given":"Ingrid","non-dropping-particle":"","parse-names":false,"suffix":""},{"dropping-particle":"","family":"Lorentzen","given":"Steinar","non-dropping-particle":"","parse-names":false,"suffix":""},{"dropping-particle":"","family":"Berg","given":"Akiah O.","non-dropping-particle":"","parse-names":false,"suffix":""},{"dropping-particle":"","family":"Agartz","given":"Ingrid","non-dropping-particle":"","parse-names":false,"suffix":""},{"dropping-particle":"","family":"Aukrust","given":"Pål","non-dropping-particle":"","parse-names":false,"suffix":""},{"dropping-particle":"","family":"Andreassen","given":"Ole A.","non-dropping-particle":"","parse-names":false,"suffix":""}],"container-title":"Schizophrenia Research","id":"ITEM-1","issue":"1-3","issued":{"date-parts":[["2013","4"]]},"page":"36-42","title":"Interleukin 1 receptor antagonist and soluble tumor necrosis factor receptor 1 are associated with general severity and psychotic symptoms in schizophrenia and bipolar disorder","type":"article-journal","volume":"145"},"uris":["http://www.mendeley.com/documents/?uuid=2418cea6-2aa8-44f2-88f1-43f0b6a30930","http://www.mendeley.com/documents/?uuid=0158b8bd-d462-435c-9a50-648af6e78b29","http://www.mendeley.com/documents/?uuid=7508ffab-be95-49fa-a673-61cdebb53412"]}],"mendeley":{"formattedCitation":"(Hope et al., 2013)","plainTextFormattedCitation":"(Hope et al., 2013)","previouslyFormattedCitation":"(Hope et al., 2013)"},"properties":{"noteIndex":0},"schema":"https://github.com/citation-style-language/schema/raw/master/csl-citation.json"}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(Hope et al., 2013)</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C8E36F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reliable control group</w:t>
            </w:r>
          </w:p>
        </w:tc>
      </w:tr>
      <w:tr w:rsidR="00892A33" w:rsidRPr="00892A33" w14:paraId="7EF86502" w14:textId="77777777" w:rsidTr="000C3C27">
        <w:trPr>
          <w:trHeight w:val="20"/>
        </w:trPr>
        <w:tc>
          <w:tcPr>
            <w:tcW w:w="1476" w:type="pct"/>
            <w:tcBorders>
              <w:top w:val="nil"/>
              <w:left w:val="nil"/>
              <w:bottom w:val="nil"/>
              <w:right w:val="nil"/>
            </w:tcBorders>
            <w:shd w:val="clear" w:color="000000" w:fill="FFFFFF"/>
            <w:noWrap/>
            <w:vAlign w:val="bottom"/>
            <w:hideMark/>
          </w:tcPr>
          <w:p w14:paraId="2205A5A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Morch, 2016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{"citationItems":[{"id":"ITEM-1","itemData":{"DOI":"10.1016/j.psyneuen.2016.02.011","ISSN":"03064530","author":[{"dropping-particle":"","family":"Mørch","given":"Ragni H.","non-dropping-particle":"","parse-names":false,"suffix":""},{"dropping-particle":"","family":"Dieset","given":"Ingrid","non-dropping-particle":"","parse-names":false,"suffix":""},{"dropping-particle":"","family":"Færden","given":"Ann","non-dropping-particle":"","parse-names":false,"suffix":""},{"dropping-particle":"","family":"Hope","given":"Sigrun","non-dropping-particle":"","parse-names":false,"suffix":""},{"dropping-particle":"","family":"Aas","given":"Monica","non-dropping-particle":"","parse-names":false,"suffix":""},{"dropping-particle":"","family":"Nerhus","given":"Mari","non-dropping-particle":"","parse-names":false,"suffix":""},{"dropping-particle":"","family":"Gardsjord","given":"Erlend S.","non-dropping-particle":"","parse-names":false,"suffix":""},{"dropping-particle":"","family":"Joa","given":"Inge","non-dropping-particle":"","parse-names":false,"suffix":""},{"dropping-particle":"","family":"Morken","given":"Gunnar","non-dropping-particle":"","parse-names":false,"suffix":""},{"dropping-particle":"","family":"Agartz","given":"Ingrid","non-dropping-particle":"","parse-names":false,"suffix":""},{"dropping-particle":"","family":"Aukrust","given":"Pål","non-dropping-particle":"","parse-names":false,"suffix":""},{"dropping-particle":"","family":"Djurovic","given":"Srdjan","non-dropping-particle":"","parse-names":false,"suffix":""},{"dropping-particle":"","family":"Melle","given":"Ingrid","non-dropping-particle":"","parse-names":false,"suffix":""},{"dropping-particle":"","family":"Ueland","given":"Thor","non-dropping-particle":"","parse-names":false,"suffix":""},{"dropping-particle":"","family":"Andreassen","given":"Ole A.","non-dropping-particle":"","parse-names":false,"suffix":""}],"container-title":"Psychoneuroendocrinology","id":"ITEM-1","issued":{"date-parts":[["2016","5"]]},"page":"189-197","title":"Inflammatory evidence for the psychosis continuum model","type":"article-journal","volume":"67"},"uris":["http://www.mendeley.com/documents/?uuid=9cd00cf3-3cd5-4352-a439-b55409957ab7","http://www.mendeley.com/documents/?uuid=17d7e96b-4308-4315-8253-812f5a8be160","http://www.mendeley.com/documents/?uuid=d66228e6-a0d8-42c0-942a-c1c474b0c983"]}],"mendeley":{"formattedCitation":"(Mørch et al., 2016)","plainTextFormattedCitation":"(Mørch et al., 2016)","previouslyFormattedCitation":"(Mørch et al., 2016)"},"properties":{"noteIndex":0},"schema":"https://github.com/citation-style-language/schema/raw/master/csl-citation.json"}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(Mørch et al., 2016)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DB04949"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val="pt-BR" w:eastAsia="it-IT"/>
              </w:rPr>
              <w:t xml:space="preserve">No seprate data for bipolar disorder. </w:t>
            </w:r>
            <w:r w:rsidRPr="00892A33">
              <w:rPr>
                <w:rFonts w:ascii="Times New Roman" w:eastAsia="Times New Roman" w:hAnsi="Times New Roman" w:cs="Times New Roman"/>
                <w:color w:val="000000"/>
                <w:sz w:val="18"/>
                <w:szCs w:val="18"/>
                <w:lang w:eastAsia="it-IT"/>
              </w:rPr>
              <w:t>Patients with MDD, Bipolar Disorder were grouped together in "affective disorder" group for analysis.</w:t>
            </w:r>
          </w:p>
        </w:tc>
      </w:tr>
      <w:tr w:rsidR="00892A33" w:rsidRPr="00892A33" w14:paraId="410412DE" w14:textId="77777777" w:rsidTr="000C3C27">
        <w:trPr>
          <w:trHeight w:val="20"/>
        </w:trPr>
        <w:tc>
          <w:tcPr>
            <w:tcW w:w="1476" w:type="pct"/>
            <w:tcBorders>
              <w:top w:val="nil"/>
              <w:left w:val="nil"/>
              <w:bottom w:val="nil"/>
              <w:right w:val="nil"/>
            </w:tcBorders>
            <w:shd w:val="clear" w:color="000000" w:fill="FFFFFF"/>
            <w:noWrap/>
            <w:vAlign w:val="bottom"/>
            <w:hideMark/>
          </w:tcPr>
          <w:p w14:paraId="1A4808B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lastRenderedPageBreak/>
              <w:t xml:space="preserve">Morch,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{"citationItems":[{"id":"ITEM-1","itemData":{"DOI":"10.1111/acps.12783","ISSN":"0001690X","author":[{"dropping-particle":"","family":"Mørch","given":"R. H.","non-dropping-particle":"","parse-names":false,"suffix":""},{"dropping-particle":"","family":"Dieset","given":"I.","non-dropping-particle":"","parse-names":false,"suffix":""},{"dropping-particle":"","family":"Faerden","given":"A.","non-dropping-particle":"","parse-names":false,"suffix":""},{"dropping-particle":"","family":"Hope","given":"S.","non-dropping-particle":"","parse-names":false,"suffix":""},{"dropping-particle":"","family":"Aas","given":"M.","non-dropping-particle":"","parse-names":false,"suffix":""},{"dropping-particle":"","family":"Nerhus","given":"M.","non-dropping-particle":"","parse-names":false,"suffix":""},{"dropping-particle":"","family":"Gardsjord","given":"E. S.","non-dropping-particle":"","parse-names":false,"suffix":""},{"dropping-particle":"","family":"Haram","given":"M.","non-dropping-particle":"","parse-names":false,"suffix":""},{"dropping-particle":"","family":"Falk","given":"R. S.","non-dropping-particle":"","parse-names":false,"suffix":""},{"dropping-particle":"","family":"Joa","given":"I.","non-dropping-particle":"","parse-names":false,"suffix":""},{"dropping-particle":"","family":"Morken","given":"G.","non-dropping-particle":"","parse-names":false,"suffix":""},{"dropping-particle":"","family":"Agartz","given":"I.","non-dropping-particle":"","parse-names":false,"suffix":""},{"dropping-particle":"","family":"Aukrust","given":"P.","non-dropping-particle":"","parse-names":false,"suffix":""},{"dropping-particle":"","family":"Djurovic","given":"S.","non-dropping-particle":"","parse-names":false,"suffix":""},{"dropping-particle":"","family":"Melle","given":"I.","non-dropping-particle":"","parse-names":false,"suffix":""},{"dropping-particle":"","family":"Ueland","given":"T.","non-dropping-particle":"","parse-names":false,"suffix":""},{"dropping-particle":"","family":"Andreassen","given":"O. A.","non-dropping-particle":"","parse-names":false,"suffix":""}],"container-title":"Acta Psychiatrica Scandinavica","id":"ITEM-1","issue":"4","issued":{"date-parts":[["2017","10"]]},"page":"400-408","title":"Persistent increase in TNF and IL-1 markers in severe mental disorders suggests trait-related inflammation: a one year follow-up study","type":"article-journal","volume":"136"},"uris":["http://www.mendeley.com/documents/?uuid=8883cc0a-24ee-4dba-9260-77f1cdf346c7","http://www.mendeley.com/documents/?uuid=72d4177e-f252-4b15-98a6-8fc640f9070d","http://www.mendeley.com/documents/?uuid=d8288824-d235-44d6-ba69-5b242546329a"]}],"mendeley":{"formattedCitation":"(Mørch et al., 2017)","plainTextFormattedCitation":"(Mørch et al., 2017)","previouslyFormattedCitation":"(Mørch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(Mørch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8835295"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val="pt-BR" w:eastAsia="it-IT"/>
              </w:rPr>
              <w:t xml:space="preserve">No seprate data for bipolar disorder. </w:t>
            </w:r>
            <w:r w:rsidRPr="00892A33">
              <w:rPr>
                <w:rFonts w:ascii="Times New Roman" w:eastAsia="Times New Roman" w:hAnsi="Times New Roman" w:cs="Times New Roman"/>
                <w:color w:val="000000"/>
                <w:sz w:val="18"/>
                <w:szCs w:val="18"/>
                <w:lang w:eastAsia="it-IT"/>
              </w:rPr>
              <w:t>Patients with MDD, Bipolar Disorder were grouped together in "affective disorder" group for analysis.</w:t>
            </w:r>
          </w:p>
        </w:tc>
      </w:tr>
      <w:tr w:rsidR="00892A33" w:rsidRPr="00892A33" w14:paraId="56674C3C" w14:textId="77777777" w:rsidTr="000C3C27">
        <w:trPr>
          <w:trHeight w:val="20"/>
        </w:trPr>
        <w:tc>
          <w:tcPr>
            <w:tcW w:w="1476" w:type="pct"/>
            <w:tcBorders>
              <w:top w:val="nil"/>
              <w:left w:val="nil"/>
              <w:bottom w:val="nil"/>
              <w:right w:val="nil"/>
            </w:tcBorders>
            <w:shd w:val="clear" w:color="000000" w:fill="FFFFFF"/>
            <w:noWrap/>
            <w:vAlign w:val="bottom"/>
            <w:hideMark/>
          </w:tcPr>
          <w:p w14:paraId="5454A856"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Fiedorowicz, 2015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{"citationItems":[{"id":"ITEM-1","itemData":{"DOI":"10.1016/j.jad.2015.08.036","ISSN":"01650327","author":[{"dropping-particle":"","family":"Fiedorowicz","given":"Jess G.","non-dropping-particle":"","parse-names":false,"suffix":""},{"dropping-particle":"","family":"Prossin","given":"Alan R.","non-dropping-particle":"","parse-names":false,"suffix":""},{"dropping-particle":"","family":"Johnson","given":"Casey P.","non-dropping-particle":"","parse-names":false,"suffix":""},{"dropping-particle":"","family":"Christensen","given":"Gary E.","non-dropping-particle":"","parse-names":false,"suffix":""},{"dropping-particle":"","family":"Magnotta","given":"Vincent A.","non-dropping-particle":"","parse-names":false,"suffix":""},{"dropping-particle":"","family":"Wemmie","given":"John A.","non-dropping-particle":"","parse-names":false,"suffix":""}],"container-title":"Journal of Affective Disorders","id":"ITEM-1","issued":{"date-parts":[["2015","11"]]},"page":"172-178","title":"Peripheral inflammation during abnormal mood states in bipolar I disorder","type":"article-journal","volume":"187"},"uris":["http://www.mendeley.com/documents/?uuid=0911051b-0ae7-417a-a1a2-ae2d2a3c7636","http://www.mendeley.com/documents/?uuid=61bb2d4e-2fa6-4331-b660-687859598dff","http://www.mendeley.com/documents/?uuid=c1860d16-0e18-4661-a25c-46d11dce3eee"]}],"mendeley":{"formattedCitation":"(Fiedorowicz et al., 2015)","plainTextFormattedCitation":"(Fiedorowicz et al., 2015)","previouslyFormattedCitation":"(Fiedorowicz et al., 2015)"},"properties":{"noteIndex":0},"schema":"https://github.com/citation-style-language/schema/raw/master/csl-citation.json"}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(Fiedorowicz et al., 2015)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ECAD55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structured interview</w:t>
            </w:r>
          </w:p>
        </w:tc>
      </w:tr>
      <w:tr w:rsidR="00892A33" w:rsidRPr="00892A33" w14:paraId="4CA136EA" w14:textId="77777777" w:rsidTr="000C3C27">
        <w:trPr>
          <w:trHeight w:val="20"/>
        </w:trPr>
        <w:tc>
          <w:tcPr>
            <w:tcW w:w="1476" w:type="pct"/>
            <w:tcBorders>
              <w:top w:val="nil"/>
              <w:left w:val="nil"/>
              <w:bottom w:val="nil"/>
              <w:right w:val="nil"/>
            </w:tcBorders>
            <w:shd w:val="clear" w:color="000000" w:fill="FFFFFF"/>
            <w:noWrap/>
            <w:vAlign w:val="bottom"/>
            <w:hideMark/>
          </w:tcPr>
          <w:p w14:paraId="53E48DA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Li, 2015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2014.12.033","ISSN":"01650327","author":[{"dropping-particle":"","family":"Li","given":"Haozhe","non-dropping-particle":"","parse-names":false,"suffix":""},{"dropping-particle":"","family":"Hong","given":"Wu","non-dropping-particle":"","parse-names":false,"suffix":""},{"dropping-particle":"","family":"Zhang","given":"Chen","non-dropping-particle":"","parse-names":false,"suffix":""},{"dropping-particle":"","family":"Wu","given":"Zhiguo","non-dropping-particle":"","parse-names":false,"suffix":""},{"dropping-particle":"","family":"Wang","given":"Zuowei","non-dropping-particle":"","parse-names":false,"suffix":""},{"dropping-particle":"","family":"Yuan","given":"Chenmei","non-dropping-particle":"","parse-names":false,"suffix":""},{"dropping-particle":"","family":"Li","given":"Zezhi","non-dropping-particle":"","parse-names":false,"suffix":""},{"dropping-particle":"","family":"Huang","given":"Jia","non-dropping-particle":"","parse-names":false,"suffix":""},{"dropping-particle":"","family":"Lin","given":"Zhiguang","non-dropping-particle":"","parse-names":false,"suffix":""},{"dropping-particle":"","family":"Fang","given":"Yiru","non-dropping-particle":"","parse-names":false,"suffix":""}],"container-title":"Journal of Affective Disorders","id":"ITEM-1","issued":{"date-parts":[["2015","3"]]},"page":"361-366","title":"IL-23 and TGF-β1 levels as potential predictive biomarkers in treatment of bipolar I disorder with acute manic episode","type":"article-journal","volume":"174"},"uris":["http://www.mendeley.com/documents/?uuid=b239f9bf-e69e-4499-ba7d-29a677be3d66","http://www.mendeley.com/documents/?uuid=b4cddd79-6988-4b0d-8f96-439001180a20","http://www.mendeley.com/documents/?uuid=b291cd9a-cba1-491d-a278-97e28fff82d1"]}],"mendeley":{"formattedCitation":"(Li et al., 2015)","plainTextFormattedCitation":"(Li et al., 2015)","previouslyFormattedCitation":"(Li et al., 2015)"},"properties":{"noteIndex":0},"schema":"https://github.com/citation-style-language/schema/raw/master/csl-citation.json"}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(Li et al., 2015)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21A790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structured interview</w:t>
            </w:r>
          </w:p>
        </w:tc>
      </w:tr>
      <w:tr w:rsidR="00892A33" w:rsidRPr="00892A33" w14:paraId="6E9FDFBD" w14:textId="77777777" w:rsidTr="000C3C27">
        <w:trPr>
          <w:trHeight w:val="20"/>
        </w:trPr>
        <w:tc>
          <w:tcPr>
            <w:tcW w:w="1476" w:type="pct"/>
            <w:tcBorders>
              <w:top w:val="nil"/>
              <w:left w:val="nil"/>
              <w:bottom w:val="nil"/>
              <w:right w:val="nil"/>
            </w:tcBorders>
            <w:shd w:val="clear" w:color="000000" w:fill="FFFFFF"/>
            <w:noWrap/>
            <w:vAlign w:val="bottom"/>
            <w:hideMark/>
          </w:tcPr>
          <w:p w14:paraId="5FC48C2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Luo, 2016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chres.2016.07.027","ISSN":"01651781","author":[{"dropping-particle":"","family":"Luo","given":"Yayan","non-dropping-particle":"","parse-names":false,"suffix":""},{"dropping-particle":"","family":"He","given":"Hongbo","non-dropping-particle":"","parse-names":false,"suffix":""},{"dropping-particle":"","family":"Zhang","given":"Minling","non-dropping-particle":"","parse-names":false,"suffix":""},{"dropping-particle":"","family":"Huang","given":"Xini","non-dropping-particle":"","parse-names":false,"suffix":""},{"dropping-particle":"","family":"Fan","given":"Ni","non-dropping-particle":"","parse-names":false,"suffix":""}],"container-title":"Psychiatry Research","id":"ITEM-1","issued":{"date-parts":[["2016","10"]]},"page":"19-23","title":"Altered serum levels of TNF-α, IL-6 and IL-18 in manic, depressive, mixed state of bipolar disorder patients","type":"article-journal","volume":"244"},"uris":["http://www.mendeley.com/documents/?uuid=4a42cebf-4b01-4a08-b510-b765073118bb","http://www.mendeley.com/documents/?uuid=f5d603bd-70ee-4ff6-9917-911ea89970ed","http://www.mendeley.com/documents/?uuid=b81f6e6f-9060-455c-b4a2-c7a818a24c14"]}],"mendeley":{"formattedCitation":"(Luo et al., 2016)","plainTextFormattedCitation":"(Luo et al., 2016)","previouslyFormattedCitation":"(Luo et al., 2016)"},"properties":{"noteIndex":0},"schema":"https://github.com/citation-style-language/schema/raw/master/csl-citation.json"}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(Luo et al., 2016)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12414FD2"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5BC4A7EF" w14:textId="77777777" w:rsidTr="000C3C27">
        <w:trPr>
          <w:trHeight w:val="20"/>
        </w:trPr>
        <w:tc>
          <w:tcPr>
            <w:tcW w:w="1476" w:type="pct"/>
            <w:tcBorders>
              <w:top w:val="nil"/>
              <w:left w:val="nil"/>
              <w:bottom w:val="nil"/>
              <w:right w:val="nil"/>
            </w:tcBorders>
            <w:shd w:val="clear" w:color="000000" w:fill="FFFFFF"/>
            <w:noWrap/>
            <w:vAlign w:val="bottom"/>
            <w:hideMark/>
          </w:tcPr>
          <w:p w14:paraId="0657353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Mikowitz, 2016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{"citationItems":[{"id":"ITEM-1","itemData":{"DOI":"10.1016/j.psychres.2016.04.120","ISSN":"01651781","author":[{"dropping-particle":"","family":"Miklowitz","given":"David J.","non-dropping-particle":"","parse-names":false,"suffix":""},{"dropping-particle":"","family":"Portnoff","given":"Larissa C.","non-dropping-particle":"","parse-names":false,"suffix":""},{"dropping-particle":"","family":"Armstrong","given":"Casey C.","non-dropping-particle":"","parse-names":false,"suffix":""},{"dropping-particle":"","family":"Keenan-Miller","given":"Danielle","non-dropping-particle":"","parse-names":false,"suffix":""},{"dropping-particle":"","family":"Breen","given":"Elizabeth C.","non-dropping-particle":"","parse-names":false,"suffix":""},{"dropping-particle":"","family":"Muscatell","given":"Keely A.","non-dropping-particle":"","parse-names":false,"suffix":""},{"dropping-particle":"","family":"Eisenberger","given":"Naomi I.","non-dropping-particle":"","parse-names":false,"suffix":""},{"dropping-particle":"","family":"Irwin","given":"Michael R.","non-dropping-particle":"","parse-names":false,"suffix":""}],"container-title":"Psychiatry Research","id":"ITEM-1","issued":{"date-parts":[["2016","7"]]},"page":"315-322","title":"Inflammatory cytokines and nuclear factor-kappa B activation in adolescents with bipolar and major depressive disorders","type":"article-journal","volume":"241"},"uris":["http://www.mendeley.com/documents/?uuid=18af3692-c732-4e0d-bfc2-3f9a196515e9","http://www.mendeley.com/documents/?uuid=0ec35abb-7090-46b0-be76-8810a162710a","http://www.mendeley.com/documents/?uuid=57b07417-ec27-4bfb-bf8d-68d154afccfa"]}],"mendeley":{"formattedCitation":"(Miklowitz et al., 2016)","plainTextFormattedCitation":"(Miklowitz et al., 2016)","previouslyFormattedCitation":"(Miklowitz et al., 2016)"},"properties":{"noteIndex":0},"schema":"https://github.com/citation-style-language/schema/raw/master/csl-citation.json"}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(Miklowitz et al., 2016)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AA0896B"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10F1A2C4" w14:textId="77777777" w:rsidTr="000C3C27">
        <w:trPr>
          <w:trHeight w:val="20"/>
        </w:trPr>
        <w:tc>
          <w:tcPr>
            <w:tcW w:w="1476" w:type="pct"/>
            <w:tcBorders>
              <w:top w:val="nil"/>
              <w:left w:val="nil"/>
              <w:bottom w:val="nil"/>
              <w:right w:val="nil"/>
            </w:tcBorders>
            <w:shd w:val="clear" w:color="000000" w:fill="FFFFFF"/>
            <w:noWrap/>
            <w:vAlign w:val="bottom"/>
            <w:hideMark/>
          </w:tcPr>
          <w:p w14:paraId="226B626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Millet,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{"citationItems":[{"id":"ITEM-1","itemData":{"DOI":"10.1038/s41380-019-0591-1","ISSN":"1359-4184","author":[{"dropping-particle":"","family":"Millett","given":"C. E.","non-dropping-particle":"","parse-names":false,"suffix":""},{"dropping-particle":"","family":"Perez-Rodriguez","given":"M.","non-dropping-particle":"","parse-names":false,"suffix":""},{"dropping-particle":"","family":"Shanahan","given":"M.","non-dropping-particle":"","parse-names":false,"suffix":""},{"dropping-particle":"","family":"Larsen","given":"E.","non-dropping-particle":"","parse-names":false,"suffix":""},{"dropping-particle":"","family":"Yamamoto","given":"H. S.","non-dropping-particle":"","parse-names":false,"suffix":""},{"dropping-particle":"","family":"Bukowski","given":"C.","non-dropping-particle":"","parse-names":false,"suffix":""},{"dropping-particle":"","family":"Fichorova","given":"R.","non-dropping-particle":"","parse-names":false,"suffix":""},{"dropping-particle":"","family":"Burdick","given":"K. E.","non-dropping-particle":"","parse-names":false,"suffix":""}],"container-title":"Molecular Psychiatry","id":"ITEM-1","issued":{"date-parts":[["2019","11"]]},"title":"C-reactive protein is associated with cognitive performance in a large cohort of euthymic patients with bipolar disorder","type":"article-journal"},"uris":["http://www.mendeley.com/documents/?uuid=6b0657cc-6a68-4ebe-a72a-0245b94a8341","http://www.mendeley.com/documents/?uuid=aaf158ae-1f92-4813-b08a-d6006b8e1e64","http://www.mendeley.com/documents/?uuid=be7dc983-0265-43e4-87be-cc507f768b24"]}],"mendeley":{"formattedCitation":"(Millett et al., 2019)","plainTextFormattedCitation":"(Millett et al., 2019)","previouslyFormattedCitation":"(Millett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(Millett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CAAD673"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0517897C" w14:textId="77777777" w:rsidTr="000C3C27">
        <w:trPr>
          <w:trHeight w:val="20"/>
        </w:trPr>
        <w:tc>
          <w:tcPr>
            <w:tcW w:w="1476" w:type="pct"/>
            <w:tcBorders>
              <w:top w:val="nil"/>
              <w:left w:val="nil"/>
              <w:bottom w:val="nil"/>
              <w:right w:val="nil"/>
            </w:tcBorders>
            <w:shd w:val="clear" w:color="000000" w:fill="FFFFFF"/>
            <w:noWrap/>
            <w:vAlign w:val="bottom"/>
            <w:hideMark/>
          </w:tcPr>
          <w:p w14:paraId="20FDFA6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Munkholm, 2015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bbi.2014.09.021","ISSN":"08891591","author":[{"dropping-particle":"","family":"Munkholm","given":"Klaus","non-dropping-particle":"","parse-names":false,"suffix":""},{"dropping-particle":"","family":"Weikop","given":"Pia","non-dropping-particle":"","parse-names":false,"suffix":""},{"dropping-particle":"","family":"Kessing","given":"Lars Vedel","non-dropping-particle":"","parse-names":false,"suffix":""},{"dropping-particle":"","family":"Vinberg","given":"Maj","non-dropping-particle":"","parse-names":false,"suffix":""}],"container-title":"Brain, Behavior, and Immunity","id":"ITEM-1","issued":{"date-parts":[["2015","1"]]},"page":"205-213","title":"Elevated levels of IL-6 and IL-18 in manic and hypomanic states in rapid cycling bipolar disorder patients","type":"article-journal","volume":"43"},"uris":["http://www.mendeley.com/documents/?uuid=0387dff4-aadd-444d-9c61-8b00c138122a","http://www.mendeley.com/documents/?uuid=b2796175-9009-4008-8267-08056a1f37ba","http://www.mendeley.com/documents/?uuid=a08a6700-7ca4-4b01-a76d-b5d6b36974a2"]}],"mendeley":{"formattedCitation":"(Munkholm et al., 2015)","plainTextFormattedCitation":"(Munkholm et al., 2015)","previouslyFormattedCitation":"(Munkholm et al., 2015)"},"properties":{"noteIndex":0},"schema":"https://github.com/citation-style-language/schema/raw/master/csl-citation.json"}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(Munkholm et al., 2015)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A7BA937"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2F9DAE1F" w14:textId="77777777" w:rsidTr="000C3C27">
        <w:trPr>
          <w:trHeight w:val="20"/>
        </w:trPr>
        <w:tc>
          <w:tcPr>
            <w:tcW w:w="1476" w:type="pct"/>
            <w:tcBorders>
              <w:top w:val="nil"/>
              <w:left w:val="nil"/>
              <w:bottom w:val="nil"/>
              <w:right w:val="nil"/>
            </w:tcBorders>
            <w:shd w:val="clear" w:color="000000" w:fill="FFFFFF"/>
            <w:noWrap/>
            <w:vAlign w:val="bottom"/>
            <w:hideMark/>
          </w:tcPr>
          <w:p w14:paraId="7302201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Munkholm, 2018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chres.2018.01.022","ISSN":"01651781","author":[{"dropping-particle":"","family":"Munkholm","given":"Klaus","non-dropping-particle":"","parse-names":false,"suffix":""},{"dropping-particle":"","family":"Jacoby","given":"Anne Sophie","non-dropping-particle":"","parse-names":false,"suffix":""},{"dropping-particle":"","family":"Lenskjold","given":"Toke","non-dropping-particle":"","parse-names":false,"suffix":""},{"dropping-particle":"","family":"Bruunsgaard","given":"Helle","non-dropping-particle":"","parse-names":false,"suffix":""},{"dropping-particle":"","family":"Vinberg","given":"Maj","non-dropping-particle":"","parse-names":false,"suffix":""},{"dropping-particle":"","family":"Kessing","given":"Lars Vedel","non-dropping-particle":"","parse-names":false,"suffix":""}],"container-title":"Psychiatry Research","id":"ITEM-1","issued":{"date-parts":[["2018","3"]]},"page":"383-390","title":"Leukocytes in peripheral blood in patients with bipolar disorder – Trait and state alterations and association with levels of cytokines and C-reactive protein","type":"article-journal","volume":"261"},"uris":["http://www.mendeley.com/documents/?uuid=c2169de5-3ff7-4c26-aa9f-e4f01871fd5b","http://www.mendeley.com/documents/?uuid=bf27153b-5814-4f49-9edf-38265d1cf6f0","http://www.mendeley.com/documents/?uuid=52558866-3258-484c-b0a7-1d346c6d92a9"]}],"mendeley":{"formattedCitation":"(Munkholm et al., 2018)","plainTextFormattedCitation":"(Munkholm et al., 2018)","previouslyFormattedCitation":"(Munkholm et al., 2018)"},"properties":{"noteIndex":0},"schema":"https://github.com/citation-style-language/schema/raw/master/csl-citation.json"}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(Munkholm et al., 2018)</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3967F48"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38EE5343" w14:textId="77777777" w:rsidTr="000C3C27">
        <w:trPr>
          <w:trHeight w:val="20"/>
        </w:trPr>
        <w:tc>
          <w:tcPr>
            <w:tcW w:w="1476" w:type="pct"/>
            <w:tcBorders>
              <w:top w:val="nil"/>
              <w:left w:val="nil"/>
              <w:bottom w:val="nil"/>
              <w:right w:val="nil"/>
            </w:tcBorders>
            <w:shd w:val="clear" w:color="000000" w:fill="FFFFFF"/>
            <w:noWrap/>
            <w:vAlign w:val="bottom"/>
            <w:hideMark/>
          </w:tcPr>
          <w:p w14:paraId="4F2DA13F"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Munkholm,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acps.12983","ISSN":"0001690X","author":[{"dropping-particle":"","family":"Munkholm","given":"K.","non-dropping-particle":"","parse-names":false,"suffix":""},{"dropping-particle":"","family":"Vinberg","given":"M.","non-dropping-particle":"","parse-names":false,"suffix":""},{"dropping-particle":"","family":"Pedersen","given":"B. K.","non-dropping-particle":"","parse-names":false,"suffix":""},{"dropping-particle":"","family":"Poulsen","given":"H. E.","non-dropping-particle":"","parse-names":false,"suffix":""},{"dropping-particle":"","family":"Ekstrøm","given":"C. T.","non-dropping-particle":"","parse-names":false,"suffix":""},{"dropping-particle":"V.","family":"Kessing","given":"L.","non-dropping-particle":"","parse-names":false,"suffix":""}],"container-title":"Acta Psychiatrica Scandinavica","id":"ITEM-1","issue":"3","issued":{"date-parts":[["2019","3"]]},"page":"227-236","title":"A multisystem composite biomarker as a preliminary diagnostic test in bipolar disorder","type":"article-journal","volume":"139"},"uris":["http://www.mendeley.com/documents/?uuid=0ba08369-08e5-4a03-9203-a244eb0d3a68","http://www.mendeley.com/documents/?uuid=1aed983c-d635-4b1d-97e3-2a2939fb4460","http://www.mendeley.com/documents/?uuid=26fd3a2f-dd58-454b-94fc-30f2cddf7f2d"]}],"mendeley":{"formattedCitation":"(Munkholm et al., 2019)","plainTextFormattedCitation":"(Munkholm et al., 2019)","previouslyFormattedCitation":"(Munkholm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(Munkholm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248FBA64"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7B7C73DD" w14:textId="77777777" w:rsidTr="000C3C27">
        <w:trPr>
          <w:trHeight w:val="20"/>
        </w:trPr>
        <w:tc>
          <w:tcPr>
            <w:tcW w:w="1476" w:type="pct"/>
            <w:tcBorders>
              <w:top w:val="nil"/>
              <w:left w:val="nil"/>
              <w:bottom w:val="nil"/>
              <w:right w:val="nil"/>
            </w:tcBorders>
            <w:shd w:val="clear" w:color="000000" w:fill="FFFFFF"/>
            <w:noWrap/>
            <w:vAlign w:val="bottom"/>
            <w:hideMark/>
          </w:tcPr>
          <w:p w14:paraId="29FD0F6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Murata, 2020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bbi.2020.01.004","ISSN":"08891591","author":[{"dropping-particle":"","family":"Murata","given":"Stephen","non-dropping-particle":"","parse-names":false,"suffix":""},{"dropping-particle":"","family":"Murphy","given":"Michael","non-dropping-particle":"","parse-names":false,"suffix":""},{"dropping-particle":"","family":"Hoppensteadt","given":"Debra","non-dropping-particle":"","parse-names":false,"suffix":""},{"dropping-particle":"","family":"Fareed","given":"Jawed","non-dropping-particle":"","parse-names":false,"suffix":""},{"dropping-particle":"","family":"Welborn","given":"Amanda","non-dropping-particle":"","parse-names":false,"suffix":""},{"dropping-particle":"","family":"Halaris","given":"Angelos","non-dropping-particle":"","parse-names":false,"suffix":""}],"container-title":"Brain, Behavior, and Immunity","id":"ITEM-1","issued":{"date-parts":[["2020","7"]]},"page":"369-376","title":"Effects of adjunctive inflammatory modulation on IL-1β in treatment resistant bipolar depression","type":"article-journal","volume":"87"},"uris":["http://www.mendeley.com/documents/?uuid=0746ce71-e52e-4050-9282-5c5eb092bd80","http://www.mendeley.com/documents/?uuid=f39df518-151e-4014-a831-ca95e4f4911c","http://www.mendeley.com/documents/?uuid=f18d3ea4-cdd0-4ac2-a5c4-2248efcc03bb"]}],"mendeley":{"formattedCitation":"(Murata et al., 2020)","plainTextFormattedCitation":"(Murata et al., 2020)","previouslyFormattedCitation":"(Murata et al., 2020)"},"properties":{"noteIndex":0},"schema":"https://github.com/citation-style-language/schema/raw/master/csl-citation.json"}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(Murata et al., 2020)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C43AE23"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1CC10331" w14:textId="77777777" w:rsidTr="000C3C27">
        <w:trPr>
          <w:trHeight w:val="20"/>
        </w:trPr>
        <w:tc>
          <w:tcPr>
            <w:tcW w:w="1476" w:type="pct"/>
            <w:tcBorders>
              <w:top w:val="nil"/>
              <w:left w:val="nil"/>
              <w:bottom w:val="nil"/>
              <w:right w:val="nil"/>
            </w:tcBorders>
            <w:shd w:val="clear" w:color="000000" w:fill="FFFFFF"/>
            <w:noWrap/>
            <w:vAlign w:val="bottom"/>
            <w:hideMark/>
          </w:tcPr>
          <w:p w14:paraId="7075EEE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O’Brien, 2006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{"citationItems":[{"id":"ITEM-1","itemData":{"DOI":"10.1016/j.jad.2005.11.015","ISSN":"01650327","author":[{"dropping-particle":"","family":"O'Brien","given":"Sinead M.","non-dropping-particle":"","parse-names":false,"suffix":""},{"dropping-particle":"","family":"Scully","given":"Paul","non-dropping-particle":"","parse-names":false,"suffix":""},{"dropping-particle":"V.","family":"Scott","given":"Lucinda","non-dropping-particle":"","parse-names":false,"suffix":""},{"dropping-particle":"","family":"Dinan","given":"Timothy G.","non-dropping-particle":"","parse-names":false,"suffix":""}],"container-title":"Journal of Affective Disorders","id":"ITEM-1","issue":"2-3","issued":{"date-parts":[["2006","2"]]},"page":"263-267","title":"Cytokine profiles in bipolar affective disorder: Focus on acutely ill patients","type":"article-journal","volume":"90"},"uris":["http://www.mendeley.com/documents/?uuid=241e128c-2ef9-44ff-b6ee-3e1d54366346","http://www.mendeley.com/documents/?uuid=80240e15-e0f6-440c-86b1-4d0aabc13563","http://www.mendeley.com/documents/?uuid=96037d18-7b4f-4f54-8616-6531a91489ae"]}],"mendeley":{"formattedCitation":"(O’Brien et al., 2006)","plainTextFormattedCitation":"(O’Brien et al., 2006)","previouslyFormattedCitation":"(O’Brien et al., 2006)"},"properties":{"noteIndex":0},"schema":"https://github.com/citation-style-language/schema/raw/master/csl-citation.json"}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(O’Brien et al., 2006)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75BEDDC"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6187B566" w14:textId="77777777" w:rsidTr="000C3C27">
        <w:trPr>
          <w:trHeight w:val="20"/>
        </w:trPr>
        <w:tc>
          <w:tcPr>
            <w:tcW w:w="1476" w:type="pct"/>
            <w:tcBorders>
              <w:top w:val="nil"/>
              <w:left w:val="nil"/>
              <w:bottom w:val="nil"/>
              <w:right w:val="nil"/>
            </w:tcBorders>
            <w:shd w:val="clear" w:color="000000" w:fill="FFFFFF"/>
            <w:noWrap/>
            <w:vAlign w:val="bottom"/>
            <w:hideMark/>
          </w:tcPr>
          <w:p w14:paraId="33A4226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Palacio, 2016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{"citationItems":[{"id":"ITEM-1","itemData":{"DOI":"10.1016/j.rcp.2015.06.002","ISSN":"00347450","author":[{"dropping-particle":"","family":"Palacio","given":"Juan David","non-dropping-particle":"","parse-names":false,"suffix":""},{"dropping-particle":"","family":"Guzman","given":"Sandra","non-dropping-particle":"","parse-names":false,"suffix":""},{"dropping-particle":"","family":"Vargas","given":"Cristian","non-dropping-particle":"","parse-names":false,"suffix":""},{"dropping-particle":"","family":"Díaz-Zuluaga","given":"Ana María","non-dropping-particle":"","parse-names":false,"suffix":""},{"dropping-particle":"","family":"López-Jaramillo","given":"Carlos","non-dropping-particle":"","parse-names":false,"suffix":""}],"container-title":"Revista Colombiana de Psiquiatría","id":"ITEM-1","issue":"1","issued":{"date-parts":[["2016","1"]]},"page":"8-13","title":"Comparación de biomarcadores inflamatorios en pacientes con trastorno afectivo bipolar tipo I y sujetos controles","type":"article-journal","volume":"45"},"uris":["http://www.mendeley.com/documents/?uuid=51729d48-4d61-401f-a55a-eb2b26d4590b","http://www.mendeley.com/documents/?uuid=e924954e-b970-4f64-8058-b82f117ff05e","http://www.mendeley.com/documents/?uuid=f6e1f750-a5a7-4a75-8112-1168b6759c3e"]}],"mendeley":{"formattedCitation":"(Palacio et al., 2016)","plainTextFormattedCitation":"(Palacio et al., 2016)","previouslyFormattedCitation":"(Palacio et al., 2016)"},"properties":{"noteIndex":0},"schema":"https://github.com/citation-style-language/schema/raw/master/csl-citation.json"}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(Palacio et al., 2016)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AC98F35"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198A5A8D" w14:textId="77777777" w:rsidTr="000C3C27">
        <w:trPr>
          <w:trHeight w:val="20"/>
        </w:trPr>
        <w:tc>
          <w:tcPr>
            <w:tcW w:w="1476" w:type="pct"/>
            <w:tcBorders>
              <w:top w:val="nil"/>
              <w:left w:val="nil"/>
              <w:bottom w:val="nil"/>
              <w:right w:val="nil"/>
            </w:tcBorders>
            <w:shd w:val="clear" w:color="000000" w:fill="FFFFFF"/>
            <w:noWrap/>
            <w:vAlign w:val="bottom"/>
            <w:hideMark/>
          </w:tcPr>
          <w:p w14:paraId="2E46FF6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Papiol, 2004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{"citationItems":[{"id":"ITEM-1","itemData":{"DOI":"10.1136/jmg.2003.012914","ISSN":"1468-6244","author":[{"dropping-particle":"","family":"Papiol","given":"S","non-dropping-particle":"","parse-names":false,"suffix":""}],"container-title":"Journal of Medical Genetics","id":"ITEM-1","issue":"3","issued":{"date-parts":[["2004","3"]]},"page":"219-223","title":"Interleukin-1 cluster is associated with genetic risk for schizophrenia and bipolar disorder","type":"article-journal","volume":"41"},"uris":["http://www.mendeley.com/documents/?uuid=266e30fa-7a17-47a9-852f-4127fd7d6ff9","http://www.mendeley.com/documents/?uuid=1a7f59ad-e109-475b-a7fb-a1bf1bd9c46b","http://www.mendeley.com/documents/?uuid=f3e2013a-26c0-4693-9b21-04fdffbb8639"]}],"mendeley":{"formattedCitation":"(Papiol, 2004)","plainTextFormattedCitation":"(Papiol, 2004)","previouslyFormattedCitation":"(Papiol, 2004)"},"properties":{"noteIndex":0},"schema":"https://github.com/citation-style-language/schema/raw/master/csl-citation.json"}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(Papiol, 2004)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4C08A66"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199906D3" w14:textId="77777777" w:rsidTr="000C3C27">
        <w:trPr>
          <w:trHeight w:val="20"/>
        </w:trPr>
        <w:tc>
          <w:tcPr>
            <w:tcW w:w="1476" w:type="pct"/>
            <w:tcBorders>
              <w:top w:val="nil"/>
              <w:left w:val="nil"/>
              <w:bottom w:val="nil"/>
              <w:right w:val="nil"/>
            </w:tcBorders>
            <w:shd w:val="clear" w:color="000000" w:fill="FFFFFF"/>
            <w:noWrap/>
            <w:vAlign w:val="bottom"/>
            <w:hideMark/>
          </w:tcPr>
          <w:p w14:paraId="6BC0917C"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Remlinger-Molenda, 2012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{"citationItems":[{"id":"ITEM-1","itemData":{"ISSN":"0033-2674 (Print)","PMID":"23214162","abstract":"AIM: The aim of the study was to examine the activity of selected cytokines in  bipolar patients during manic and depressive episodes and in remission. METHOD: The cytokine status was assessed in 76 bipolar patients, 35 with mania- and 41 with depression. For cytokine measurements blood samples were drawn from each patient twice-- while in an acute episode and in remission. 78 healthy individuals were examined once. Serum samples were tested for concentrations of: IL-6, IL-10, IL-1beta, TNF-alpha, IFN-gamma using the cytometric method. The patients' mental status was assessed with Young Mania Rating Scale and Hamilton Depression Rating Scale. RESULTS: Concentration of IL-6 was higher during the manic state as compared to control group. Additionally, IL-6 level was higher in mania than in remission. Concentration of IL-10 was higher in patients in remission after manic episodes than in healthy controls. In manic patients raising of IFN-gamma level was accompanied by more severe symptoms evaluated with YMRS. In remission after mania there was a correlation between IL-6 concentration and the intensity of the manic state. IFN-gamma level was higher in depressed patients comparing to remission, as well as manic patients and subjects from control group. IFN-gamma in remission after depression was still higher than in the healthy controls. Concentration of IL-1beta was higher in depressed patients comparing to healthy subjects. CONCLUSION: The results obtained in this study show disturbances of the immune system in bipolar patients. These disturbances have features of either decrease or pathological increase of the immune response. Cytokines' profiles were different for mania and depression. Clinical improvement seems to be connected with immunomodulation process that results in changes of cytokine levels in bipolar patients in remission.","author":[{"dropping-particle":"","family":"Remlinger-Molenda","given":"Agnieszka","non-dropping-particle":"","parse-names":false,"suffix":""},{"dropping-particle":"","family":"Wójciak","given":"Paweł","non-dropping-particle":"","parse-names":false,"suffix":""},{"dropping-particle":"","family":"Michalak","given":"Michał","non-dropping-particle":"","parse-names":false,"suffix":""},{"dropping-particle":"","family":"Rybakowski","given":"Janusz","non-dropping-particle":"","parse-names":false,"suffix":""}],"container-title":"Psychiatria polska","id":"ITEM-1","issue":"4","issued":{"date-parts":[["2012"]]},"language":"pol","page":"599-611","publisher-place":"Poland","title":"[Activity of selected cytokines in bipolar patients during manic and depressive  episodes].","type":"article-journal","volume":"46"},"uris":["http://www.mendeley.com/documents/?uuid=d445926c-1148-4c0c-9cea-254d8f59e0a6"]}],"mendeley":{"formattedCitation":"(Remlinger-Molenda et al., 2012)","plainTextFormattedCitation":"(Remlinger-Molenda et al., 2012)","previouslyFormattedCitation":"(Remlinger-Molenda et al., 2012)"},"properties":{"noteIndex":0},"schema":"https://github.com/citation-style-language/schema/raw/master/csl-citation.json"}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(Remlinger-Molenda et al., 2012)</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59A4013"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424C5FA7" w14:textId="77777777" w:rsidTr="000C3C27">
        <w:trPr>
          <w:trHeight w:val="20"/>
        </w:trPr>
        <w:tc>
          <w:tcPr>
            <w:tcW w:w="1476" w:type="pct"/>
            <w:tcBorders>
              <w:top w:val="nil"/>
              <w:left w:val="nil"/>
              <w:bottom w:val="nil"/>
              <w:right w:val="nil"/>
            </w:tcBorders>
            <w:shd w:val="clear" w:color="000000" w:fill="FFFFFF"/>
            <w:noWrap/>
            <w:vAlign w:val="bottom"/>
            <w:hideMark/>
          </w:tcPr>
          <w:p w14:paraId="1EA7920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Sahin,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10.15537/smj.2019.1.23396","ISSN":"03795284","author":[{"dropping-particle":"","family":"Sahin","given":"Basak","non-dropping-particle":"","parse-names":false,"suffix":""},{"dropping-particle":"","family":"Inanli","given":"Ikbal","non-dropping-particle":"","parse-names":false,"suffix":""},{"dropping-particle":"","family":"Caliskan","given":"Ali","non-dropping-particle":"","parse-names":false,"suffix":""},{"dropping-particle":"","family":"Uysal","given":"Sema","non-dropping-particle":"","parse-names":false,"suffix":""}],"container-title":"Saudi Medical Journal","id":"ITEM-1","issue":"1","issued":{"date-parts":[["2019","1"]]},"page":"26-32","title":"Chitinase-3-like protein 1 levels in bipolar disorder","type":"article-journal","volume":"40"},"uris":["http://www.mendeley.com/documents/?uuid=b24e5258-0eb4-44b0-8b7f-bf200a0fc8cb","http://www.mendeley.com/documents/?uuid=80bb4249-2ff9-478a-80e6-af2c27bed799","http://www.mendeley.com/documents/?uuid=a52172e9-fee9-4e54-8724-9a632e74b98c"]}],"mendeley":{"formattedCitation":"(Sahin et al., 2019)","plainTextFormattedCitation":"(Sahin et al., 2019)","previouslyFormattedCitation":"(Sahin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(Sahin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1D9A44C1"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4F6C4632" w14:textId="77777777" w:rsidTr="000C3C27">
        <w:trPr>
          <w:trHeight w:val="20"/>
        </w:trPr>
        <w:tc>
          <w:tcPr>
            <w:tcW w:w="1476" w:type="pct"/>
            <w:tcBorders>
              <w:top w:val="nil"/>
              <w:left w:val="nil"/>
              <w:bottom w:val="nil"/>
              <w:right w:val="nil"/>
            </w:tcBorders>
            <w:shd w:val="clear" w:color="000000" w:fill="FFFFFF"/>
            <w:noWrap/>
            <w:vAlign w:val="bottom"/>
            <w:hideMark/>
          </w:tcPr>
          <w:p w14:paraId="06FE64B6"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Su, 2011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10.2190/PM.42.3.a","ISSN":"0091-2174","author":[{"dropping-particle":"","family":"Su","given":"Sheng-Chiang","non-dropping-particle":"","parse-names":false,"suffix":""},{"dropping-particle":"","family":"Sun","given":"Ming-Tsung","non-dropping-particle":"","parse-names":false,"suffix":""},{"dropping-particle":"","family":"Wen","given":"Min-Jie","non-dropping-particle":"","parse-names":false,"suffix":""},{"dropping-particle":"","family":"Lin","given":"Chin-Jung","non-dropping-particle":"","parse-names":false,"suffix":""},{"dropping-particle":"","family":"Chen","given":"Yi-Chyan","non-dropping-particle":"","parse-names":false,"suffix":""},{"dropping-particle":"","family":"Hung","given":"Yi-Jen","non-dropping-particle":"","parse-names":false,"suffix":""}],"container-title":"The International Journal of Psychiatry in Medicine","id":"ITEM-1","issue":"3","issued":{"date-parts":[["2011","10"]]},"page":"211-226","title":"Brain-Derived Neurotrophic Factor, Adiponectin, and Proinflammatory Markers in Various Subtypes of Depression in Young Men","type":"article-journal","volume":"42"},"uris":["http://www.mendeley.com/documents/?uuid=ab88c4a6-fac9-4d48-aeb7-fa92c8f89cd5","http://www.mendeley.com/documents/?uuid=01bb49c7-1216-432c-94f5-5c6ca69f1457","http://www.mendeley.com/documents/?uuid=a2ef219b-4925-48ae-88d3-519d50b36f8d"]}],"mendeley":{"formattedCitation":"(Su et al., 2011)","plainTextFormattedCitation":"(Su et al., 2011)","previouslyFormattedCitation":"(Su et al., 2011)"},"properties":{"noteIndex":0},"schema":"https://github.com/citation-style-language/schema/raw/master/csl-citation.json"}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(Su et al., 2011)</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86A41D4"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52B1BADC" w14:textId="77777777" w:rsidTr="000C3C27">
        <w:trPr>
          <w:trHeight w:val="20"/>
        </w:trPr>
        <w:tc>
          <w:tcPr>
            <w:tcW w:w="1476" w:type="pct"/>
            <w:tcBorders>
              <w:top w:val="nil"/>
              <w:left w:val="nil"/>
              <w:bottom w:val="nil"/>
              <w:right w:val="nil"/>
            </w:tcBorders>
            <w:shd w:val="clear" w:color="000000" w:fill="FFFFFF"/>
            <w:noWrap/>
            <w:vAlign w:val="bottom"/>
            <w:hideMark/>
          </w:tcPr>
          <w:p w14:paraId="07CDC06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Tanaka,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neures.2016.11.002","ISSN":"01680102","author":[{"dropping-particle":"","family":"Tanaka","given":"Teppei","non-dropping-particle":"","parse-names":false,"suffix":""},{"dropping-particle":"","family":"Matsuda","given":"Taro","non-dropping-particle":"","parse-names":false,"suffix":""},{"dropping-particle":"","family":"Hayes","given":"Lindsay N.","non-dropping-particle":"","parse-names":false,"suffix":""},{"dropping-particle":"","family":"Yang","given":"Shuojia","non-dropping-particle":"","parse-names":false,"suffix":""},{"dropping-particle":"","family":"Rodriguez","given":"Katrina","non-dropping-particle":"","parse-names":false,"suffix":""},{"dropping-particle":"","family":"Severance","given":"Emily G.","non-dropping-particle":"","parse-names":false,"suffix":""},{"dropping-particle":"","family":"Yolken","given":"Robert H.","non-dropping-particle":"","parse-names":false,"suffix":""},{"dropping-particle":"","family":"Sawa","given":"Akira","non-dropping-particle":"","parse-names":false,"suffix":""},{"dropping-particle":"","family":"Eaton","given":"William W.","non-dropping-particle":"","parse-names":false,"suffix":""}],"container-title":"Neuroscience Research","id":"ITEM-1","issued":{"date-parts":[["2017","2"]]},"page":"59-63","title":"Infection and inflammation in schizophrenia and bipolar disorder","type":"article-journal","volume":"115"},"uris":["http://www.mendeley.com/documents/?uuid=414deb24-d567-4377-a71b-dc707cf534cb","http://www.mendeley.com/documents/?uuid=80c552e6-8027-42bc-a0ef-4b7c35cf2301","http://www.mendeley.com/documents/?uuid=94684c9e-c6b6-4723-b123-aa2db81d39d4"]}],"mendeley":{"formattedCitation":"(Tanaka et al., 2017)","plainTextFormattedCitation":"(Tanaka et al., 2017)","previouslyFormattedCitation":"(Tanaka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(Tanaka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B5A4FBB"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308A39BB" w14:textId="77777777" w:rsidTr="000C3C27">
        <w:trPr>
          <w:trHeight w:val="20"/>
        </w:trPr>
        <w:tc>
          <w:tcPr>
            <w:tcW w:w="1476" w:type="pct"/>
            <w:tcBorders>
              <w:top w:val="nil"/>
              <w:left w:val="nil"/>
              <w:bottom w:val="nil"/>
              <w:right w:val="nil"/>
            </w:tcBorders>
            <w:shd w:val="clear" w:color="000000" w:fill="FFFFFF"/>
            <w:noWrap/>
            <w:vAlign w:val="bottom"/>
            <w:hideMark/>
          </w:tcPr>
          <w:p w14:paraId="075A6291"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Tatay-Manteiga,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npbp.2017.04.028","ISSN":"02785846","author":[{"dropping-particle":"","family":"Tatay-Manteiga","given":"Amparo","non-dropping-particle":"","parse-names":false,"suffix":""},{"dropping-particle":"","family":"Balanzá-Martínez","given":"Vicent","non-dropping-particle":"","parse-names":false,"suffix":""},{"dropping-particle":"","family":"Bristot","given":"Giovana","non-dropping-particle":"","parse-names":false,"suffix":""},{"dropping-particle":"","family":"Tabarés-Seisdedos","given":"Rafael","non-dropping-particle":"","parse-names":false,"suffix":""},{"dropping-particle":"","family":"Kapczinski","given":"Flavio","non-dropping-particle":"","parse-names":false,"suffix":""},{"dropping-particle":"","family":"Cauli","given":"Omar","non-dropping-particle":"","parse-names":false,"suffix":""}],"container-title":"Progress in Neuro-Psychopharmacology and Biological Psychiatry","id":"ITEM-1","issued":{"date-parts":[["2017","7"]]},"page":"194-201","title":"Clinical staging and serum cytokines in bipolar patients during euthymia","type":"article-journal","volume":"77"},"uris":["http://www.mendeley.com/documents/?uuid=01236b20-0e8b-409a-8aed-124b5a00cae1","http://www.mendeley.com/documents/?uuid=7cb00e31-8219-4db6-89bf-f74d7ac6a79f","http://www.mendeley.com/documents/?uuid=891ac144-0ce2-417f-bd8a-3f31755fe7ad"]}],"mendeley":{"formattedCitation":"(Tatay-Manteiga et al., 2017)","plainTextFormattedCitation":"(Tatay-Manteiga et al., 2017)","previouslyFormattedCitation":"(Tatay-Manteiga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(Tatay-Manteiga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1840395"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58735607" w14:textId="77777777" w:rsidTr="000C3C27">
        <w:trPr>
          <w:trHeight w:val="20"/>
        </w:trPr>
        <w:tc>
          <w:tcPr>
            <w:tcW w:w="1476" w:type="pct"/>
            <w:tcBorders>
              <w:top w:val="nil"/>
              <w:left w:val="nil"/>
              <w:bottom w:val="nil"/>
              <w:right w:val="nil"/>
            </w:tcBorders>
            <w:shd w:val="clear" w:color="000000" w:fill="FFFFFF"/>
            <w:noWrap/>
            <w:vAlign w:val="bottom"/>
            <w:hideMark/>
          </w:tcPr>
          <w:p w14:paraId="41D5832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Uyanik, 2015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chres.2015.05.078","ISSN":"01651781","author":[{"dropping-particle":"","family":"Uyanik","given":"Vesile","non-dropping-particle":"","parse-names":false,"suffix":""},{"dropping-particle":"","family":"Tuglu","given":"Cengiz","non-dropping-particle":"","parse-names":false,"suffix":""},{"dropping-particle":"","family":"Gorgulu","given":"Yasemin","non-dropping-particle":"","parse-names":false,"suffix":""},{"dropping-particle":"","family":"Kunduracilar","given":"Hakan","non-dropping-particle":"","parse-names":false,"suffix":""},{"dropping-particle":"","family":"Uyanik","given":"Mehmet Sevki","non-dropping-particle":"","parse-names":false,"suffix":""}],"container-title":"Psychiatry Research","id":"ITEM-1","issue":"3","issued":{"date-parts":[["2015","8"]]},"page":"386-392","title":"Assessment of cytokine levels and hs-CRP in bipolar I disorder before and after treatment","type":"article-journal","volume":"228"},"uris":["http://www.mendeley.com/documents/?uuid=5e81a9c6-9808-4eb5-b008-6fca9bc51c98","http://www.mendeley.com/documents/?uuid=4dfe2398-9ff9-40b4-9213-b491bb4dc6a1","http://www.mendeley.com/documents/?uuid=939e07ad-d47d-4709-8d0b-33ae46feee31"]}],"mendeley":{"formattedCitation":"(Uyanik et al., 2015)","plainTextFormattedCitation":"(Uyanik et al., 2015)","previouslyFormattedCitation":"(Uyanik et al., 2015)"},"properties":{"noteIndex":0},"schema":"https://github.com/citation-style-language/schema/raw/master/csl-citation.json"}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(Uyanik et al., 2015)</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715BFFE"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w:t>
            </w:r>
          </w:p>
        </w:tc>
      </w:tr>
      <w:tr w:rsidR="00892A33" w:rsidRPr="00892A33" w14:paraId="180CAD4C" w14:textId="77777777" w:rsidTr="000C3C27">
        <w:trPr>
          <w:trHeight w:val="20"/>
        </w:trPr>
        <w:tc>
          <w:tcPr>
            <w:tcW w:w="1476" w:type="pct"/>
            <w:tcBorders>
              <w:top w:val="nil"/>
              <w:left w:val="nil"/>
              <w:bottom w:val="nil"/>
              <w:right w:val="nil"/>
            </w:tcBorders>
            <w:shd w:val="clear" w:color="000000" w:fill="FFFFFF"/>
            <w:noWrap/>
            <w:vAlign w:val="bottom"/>
            <w:hideMark/>
          </w:tcPr>
          <w:p w14:paraId="5BB833D1"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Lu,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10.1097/MD.0000000000014419","ISSN":"0025-7974","author":[{"dropping-particle":"","family":"Lu","given":"Yun-Rong","non-dropping-particle":"","parse-names":false,"suffix":""},{"dropping-particle":"","family":"Rao","given":"Ying-Bo","non-dropping-particle":"","parse-names":false,"suffix":""},{"dropping-particle":"","family":"Mou","given":"Yu-Jian","non-dropping-particle":"","parse-names":false,"suffix":""},{"dropping-particle":"","family":"Chen","given":"Yan","non-dropping-particle":"","parse-names":false,"suffix":""},{"dropping-particle":"","family":"Lou","given":"Han-Fen","non-dropping-particle":"","parse-names":false,"suffix":""},{"dropping-particle":"","family":"Zhang","given":"Yu","non-dropping-particle":"","parse-names":false,"suffix":""},{"dropping-particle":"","family":"Zhang","given":"Dan-Xuan","non-dropping-particle":"","parse-names":false,"suffix":""},{"dropping-particle":"","family":"Xie","given":"Hai-Yan","non-dropping-particle":"","parse-names":false,"suffix":""},{"dropping-particle":"","family":"Hu","given":"Li-Wei","non-dropping-particle":"","parse-names":false,"suffix":""},{"dropping-particle":"","family":"Fang","given":"Ping","non-dropping-particle":"","parse-names":false,"suffix":""}],"container-title":"Medicine","id":"ITEM-1","issue":"7","issued":{"date-parts":[["2019","2"]]},"page":"e14419","title":"High concentrations of serum interleukin-6 and interleukin-8 in patients with bipolar disorder","type":"article-journal","volume":"98"},"uris":["http://www.mendeley.com/documents/?uuid=70fa09ea-61a5-40a9-b453-306e0483ffd9","http://www.mendeley.com/documents/?uuid=c1499400-49ff-4719-a499-212e46561566","http://www.mendeley.com/documents/?uuid=a023bc0f-f795-46ab-b6de-744be39c4cc1"]}],"mendeley":{"formattedCitation":"(Lu et al., 2019)","plainTextFormattedCitation":"(Lu et al., 2019)","previouslyFormattedCitation":"(Lu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(Lu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4A8BAA2"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 Both BPD and MDD patients included.</w:t>
            </w:r>
          </w:p>
        </w:tc>
      </w:tr>
      <w:tr w:rsidR="00892A33" w:rsidRPr="00892A33" w14:paraId="60737275" w14:textId="77777777" w:rsidTr="000C3C27">
        <w:trPr>
          <w:trHeight w:val="20"/>
        </w:trPr>
        <w:tc>
          <w:tcPr>
            <w:tcW w:w="1476" w:type="pct"/>
            <w:tcBorders>
              <w:top w:val="nil"/>
              <w:left w:val="nil"/>
              <w:bottom w:val="nil"/>
              <w:right w:val="nil"/>
            </w:tcBorders>
            <w:shd w:val="clear" w:color="000000" w:fill="FFFFFF"/>
            <w:noWrap/>
            <w:vAlign w:val="bottom"/>
            <w:hideMark/>
          </w:tcPr>
          <w:p w14:paraId="39610B4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Osimo, 2018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{"citationItems":[{"id":"ITEM-1","itemData":{"DOI":"10.1016/j.psyneuen.2018.02.031","ISSN":"03064530","author":[{"dropping-particle":"","family":"Osimo","given":"Emanuele F.","non-dropping-particle":"","parse-names":false,"suffix":""},{"dropping-particle":"","family":"Cardinal","given":"Rudolf N.","non-dropping-particle":"","parse-names":false,"suffix":""},{"dropping-particle":"","family":"Jones","given":"Peter B.","non-dropping-particle":"","parse-names":false,"suffix":""},{"dropping-particle":"","family":"Khandaker","given":"Golam M.","non-dropping-particle":"","parse-names":false,"suffix":""}],"container-title":"Psychoneuroendocrinology","id":"ITEM-1","issued":{"date-parts":[["2018","5"]]},"page":"226-234","title":"Prevalence and correlates of low-grade systemic inflammation in adult psychiatric inpatients: An electronic health record-based study","type":"article-journal","volume":"91"},"uris":["http://www.mendeley.com/documents/?uuid=4ebc49b3-ba74-498d-bab9-fa12fc4ae751","http://www.mendeley.com/documents/?uuid=5a4a9176-6554-4c7a-8649-b5f0e5af78ab","http://www.mendeley.com/documents/?uuid=de3daa7a-96d2-4ff2-aa54-ce81d7a7972c"]}],"mendeley":{"formattedCitation":"(Osimo et al., 2018)","plainTextFormattedCitation":"(Osimo et al., 2018)","previouslyFormattedCitation":"(Osimo et al., 2018)"},"properties":{"noteIndex":0},"schema":"https://github.com/citation-style-language/schema/raw/master/csl-citation.json"}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(Osimo et al., 2018)</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AFABEB8"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 No control group</w:t>
            </w:r>
          </w:p>
        </w:tc>
      </w:tr>
      <w:tr w:rsidR="00892A33" w:rsidRPr="00892A33" w14:paraId="1A5F406A" w14:textId="77777777" w:rsidTr="000C3C27">
        <w:trPr>
          <w:trHeight w:val="20"/>
        </w:trPr>
        <w:tc>
          <w:tcPr>
            <w:tcW w:w="1476" w:type="pct"/>
            <w:tcBorders>
              <w:top w:val="nil"/>
              <w:left w:val="nil"/>
              <w:bottom w:val="nil"/>
              <w:right w:val="nil"/>
            </w:tcBorders>
            <w:shd w:val="clear" w:color="000000" w:fill="FFFFFF"/>
            <w:noWrap/>
            <w:vAlign w:val="bottom"/>
            <w:hideMark/>
          </w:tcPr>
          <w:p w14:paraId="47FAD5A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Marie-Claire,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neuroim.2019.576993","ISSN":"01655728","author":[{"dropping-particle":"","family":"Marie-Claire","given":"Cynthia","non-dropping-particle":"","parse-names":false,"suffix":""},{"dropping-particle":"","family":"Courtin","given":"Cindie","non-dropping-particle":"","parse-names":false,"suffix":""},{"dropping-particle":"","family":"Curis","given":"Emmanuel","non-dropping-particle":"","parse-names":false,"suffix":""},{"dropping-particle":"","family":"Bouaziz-Amar","given":"Elodie","non-dropping-particle":"","parse-names":false,"suffix":""},{"dropping-particle":"","family":"Laplanche","given":"Jean-Louis","non-dropping-particle":"","parse-names":false,"suffix":""},{"dropping-particle":"","family":"Jacob","given":"Aude","non-dropping-particle":"","parse-names":false,"suffix":""},{"dropping-particle":"","family":"Etain","given":"Bruno","non-dropping-particle":"","parse-names":false,"suffix":""},{"dropping-particle":"","family":"Blanchard","given":"Anne","non-dropping-particle":"","parse-names":false,"suffix":""},{"dropping-particle":"","family":"Bellivier","given":"Frank","non-dropping-particle":"","parse-names":false,"suffix":""}],"container-title":"Journal of Neuroimmunology","id":"ITEM-1","issued":{"date-parts":[["2019","9"]]},"page":"576993","title":"Increased plasma levels of high mobility group box 1 protein in patients with bipolar disorder: A pilot study","type":"article-journal","volume":"334"},"uris":["http://www.mendeley.com/documents/?uuid=eb281432-822d-4238-bc0e-4ba66ae0eca8","http://www.mendeley.com/documents/?uuid=2726afce-eebd-430f-aef0-4c444ccf20f2","http://www.mendeley.com/documents/?uuid=500cf54b-4519-41d6-bfa6-b1e302cd7854"]}],"mendeley":{"formattedCitation":"(Marie-Claire et al., 2019)","plainTextFormattedCitation":"(Marie-Claire et al., 2019)","previouslyFormattedCitation":"(Marie-Claire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(Marie-Claire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CE28D9A"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no structured/semi-structured diagnostic instruments used, Only Assayed HMGB1.</w:t>
            </w:r>
          </w:p>
        </w:tc>
      </w:tr>
      <w:tr w:rsidR="00892A33" w:rsidRPr="00892A33" w14:paraId="6A3A94C3" w14:textId="77777777" w:rsidTr="000C3C27">
        <w:trPr>
          <w:trHeight w:val="20"/>
        </w:trPr>
        <w:tc>
          <w:tcPr>
            <w:tcW w:w="1476" w:type="pct"/>
            <w:tcBorders>
              <w:top w:val="nil"/>
              <w:left w:val="nil"/>
              <w:bottom w:val="nil"/>
              <w:right w:val="nil"/>
            </w:tcBorders>
            <w:shd w:val="clear" w:color="000000" w:fill="FFFFFF"/>
            <w:noWrap/>
            <w:vAlign w:val="bottom"/>
            <w:hideMark/>
          </w:tcPr>
          <w:p w14:paraId="5336D28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Benedetti,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10.4088/JCP.16m11310","ISSN":"0160-6689","author":[{"dropping-particle":"","family":"Benedetti","given":"Francesco","non-dropping-particle":"","parse-names":false,"suffix":""},{"dropping-particle":"","family":"Poletti","given":"Sara","non-dropping-particle":"","parse-names":false,"suffix":""},{"dropping-particle":"","family":"Hoogenboezem","given":"Thomas A.","non-dropping-particle":"","parse-names":false,"suffix":""},{"dropping-particle":"","family":"Locatelli","given":"Clara","non-dropping-particle":"","parse-names":false,"suffix":""},{"dropping-particle":"","family":"Wit","given":"Harm","non-dropping-particle":"de","parse-names":false,"suffix":""},{"dropping-particle":"","family":"Wijkhuijs","given":"Annemarie J.M.","non-dropping-particle":"","parse-names":false,"suffix":""},{"dropping-particle":"","family":"Colombo","given":"Cristina","non-dropping-particle":"","parse-names":false,"suffix":""},{"dropping-particle":"","family":"Drexhage","given":"Hemmo A.","non-dropping-particle":"","parse-names":false,"suffix":""}],"container-title":"The Journal of Clinical Psychiatry","id":"ITEM-1","issue":"8","issued":{"date-parts":[["2017","10"]]},"page":"e986-e993","title":"Higher Baseline Proinflammatory Cytokines Mark Poor Antidepressant Response in Bipolar Disorder","type":"article-journal","volume":"78"},"uris":["http://www.mendeley.com/documents/?uuid=ddc259b3-b9ab-4787-9fa4-bc91908ae2e8","http://www.mendeley.com/documents/?uuid=fe937690-4a00-4ba1-85ec-096bba40a90d","http://www.mendeley.com/documents/?uuid=f3f1a22c-cf47-4283-b674-5a63e8f38ab9"]}],"mendeley":{"formattedCitation":"(Benedetti et al., 2017)","plainTextFormattedCitation":"(Benedetti et al., 2017)","previouslyFormattedCitation":"(Benedetti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(Benedetti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937BC2A"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structured/semistructured interview</w:t>
            </w:r>
          </w:p>
        </w:tc>
      </w:tr>
      <w:tr w:rsidR="00892A33" w:rsidRPr="00892A33" w14:paraId="05738380" w14:textId="77777777" w:rsidTr="000C3C27">
        <w:trPr>
          <w:trHeight w:val="20"/>
        </w:trPr>
        <w:tc>
          <w:tcPr>
            <w:tcW w:w="1476" w:type="pct"/>
            <w:tcBorders>
              <w:top w:val="nil"/>
              <w:left w:val="nil"/>
              <w:bottom w:val="nil"/>
              <w:right w:val="nil"/>
            </w:tcBorders>
            <w:shd w:val="clear" w:color="000000" w:fill="FFFFFF"/>
            <w:noWrap/>
            <w:vAlign w:val="bottom"/>
            <w:hideMark/>
          </w:tcPr>
          <w:p w14:paraId="6469E045"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Chen,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ad.2018.10.106","ISSN":"01650327","author":[{"dropping-particle":"","family":"Chen","given":"Mu-Hong","non-dropping-particle":"","parse-names":false,"suffix":""},{"dropping-particle":"","family":"Chang","given":"Wan-Chen","non-dropping-particle":"","parse-names":false,"suffix":""},{"dropping-particle":"","family":"Hsu","given":"Ju-Wei","non-dropping-particle":"","parse-names":false,"suffix":""},{"dropping-particle":"","family":"Huang","given":"Kai-Lin","non-dropping-particle":"","parse-names":false,"suffix":""},{"dropping-particle":"","family":"Tu","given":"Pei-Chi","non-dropping-particle":"","parse-names":false,"suffix":""},{"dropping-particle":"","family":"Su","given":"Tung-Ping","non-dropping-particle":"","parse-names":false,"suffix":""},{"dropping-particle":"","family":"Li","given":"Cheng-Ta","non-dropping-particle":"","parse-names":false,"suffix":""},{"dropping-particle":"","family":"Lin","given":"Wei-Chen","non-dropping-particle":"","parse-names":false,"suffix":""},{"dropping-particle":"","family":"Bai","given":"Ya-Mei","non-dropping-particle":"","parse-names":false,"suffix":""}],"container-title":"Journal of Affective Disorders","id":"ITEM-1","issued":{"date-parts":[["2019","2"]]},"page":"8-15","title":"Correlation of proinflammatory cytokines levels and reduced gray matter volumes between patients with bipolar disorder and unipolar depression","type":"article-journal","volume":"245"},"uris":["http://www.mendeley.com/documents/?uuid=e87b9bec-ef84-4414-9a2b-4a16c1b3b03b","http://www.mendeley.com/documents/?uuid=c0b7c235-a1ca-443e-aaff-fbc8f97c3985","http://www.mendeley.com/documents/?uuid=ce6f1ed2-ed44-4589-856b-5a4ed9aa839f"]}],"mendeley":{"formattedCitation":"(Chen et al., 2019)","plainTextFormattedCitation":"(Chen et al., 2019)","previouslyFormattedCitation":"(Chen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(Chen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4CCD925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structured/semistructured interview</w:t>
            </w:r>
          </w:p>
        </w:tc>
      </w:tr>
      <w:tr w:rsidR="00892A33" w:rsidRPr="00892A33" w14:paraId="5864F01D" w14:textId="77777777" w:rsidTr="000C3C27">
        <w:trPr>
          <w:trHeight w:val="20"/>
        </w:trPr>
        <w:tc>
          <w:tcPr>
            <w:tcW w:w="1476" w:type="pct"/>
            <w:tcBorders>
              <w:top w:val="nil"/>
              <w:left w:val="nil"/>
              <w:bottom w:val="nil"/>
              <w:right w:val="nil"/>
            </w:tcBorders>
            <w:shd w:val="clear" w:color="000000" w:fill="FFFFFF"/>
            <w:noWrap/>
            <w:vAlign w:val="bottom"/>
            <w:hideMark/>
          </w:tcPr>
          <w:p w14:paraId="3B8876F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Horsdal,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eurpsy.2017.04.012","ISSN":"0924-9338","author":[{"dropping-particle":"","family":"Horsdal","given":"H.T.","non-dropping-particle":"","parse-names":false,"suffix":""},{"dropping-particle":"","family":"Köhler-Forsberg","given":"O.","non-dropping-particle":"","parse-names":false,"suffix":""},{"dropping-particle":"","family":"Benros","given":"M.E.","non-dropping-particle":"","parse-names":false,"suffix":""},{"dropping-particle":"","family":"Gasse","given":"C.","non-dropping-particle":"","parse-names":false,"suffix":""}],"container-title":"European Psychiatry","id":"ITEM-1","issued":{"date-parts":[["2017","7"]]},"page":"164-172","title":"C-reactive protein and white blood cell levels in schizophrenia, bipolar disorders and depression - associations with mortality and psychiatric outcomes: a population-based study","type":"article-journal","volume":"44"},"uris":["http://www.mendeley.com/documents/?uuid=73d5a27d-3e9a-45da-8376-6481aedffda8","http://www.mendeley.com/documents/?uuid=e866a0cb-37f5-404a-b3f5-dcb930db9a08","http://www.mendeley.com/documents/?uuid=92d75bf5-fc68-41b6-a9c1-2de833f39e99"]}],"mendeley":{"formattedCitation":"(Horsdal et al., 2017)","plainTextFormattedCitation":"(Horsdal et al., 2017)","previouslyFormattedCitation":"(Horsdal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(Horsdal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D4843FB"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No structured/semistructured interview</w:t>
            </w:r>
          </w:p>
        </w:tc>
      </w:tr>
      <w:tr w:rsidR="00892A33" w:rsidRPr="00892A33" w14:paraId="213B51C2" w14:textId="77777777" w:rsidTr="000C3C27">
        <w:trPr>
          <w:trHeight w:val="20"/>
        </w:trPr>
        <w:tc>
          <w:tcPr>
            <w:tcW w:w="1476" w:type="pct"/>
            <w:tcBorders>
              <w:top w:val="nil"/>
              <w:left w:val="nil"/>
              <w:bottom w:val="nil"/>
              <w:right w:val="nil"/>
            </w:tcBorders>
            <w:shd w:val="clear" w:color="000000" w:fill="FFFFFF"/>
            <w:noWrap/>
            <w:vAlign w:val="bottom"/>
            <w:hideMark/>
          </w:tcPr>
          <w:p w14:paraId="335C7329"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Palomino, 2006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schres.2006.05.028","ISSN":"09209964","author":[{"dropping-particle":"","family":"Palomino","given":"Aitor","non-dropping-particle":"","parse-names":false,"suffix":""},{"dropping-particle":"","family":"Vallejo-Illarramendi","given":"Ainara","non-dropping-particle":"","parse-names":false,"suffix":""},{"dropping-particle":"","family":"González-Pinto","given":"Ana","non-dropping-particle":"","parse-names":false,"suffix":""},{"dropping-particle":"","family":"Aldama","given":"Ana","non-dropping-particle":"","parse-names":false,"suffix":""},{"dropping-particle":"","family":"González-Gómez","given":"Cristina","non-dropping-particle":"","parse-names":false,"suffix":""},{"dropping-particle":"","family":"Mosquera","given":"Fernando","non-dropping-particle":"","parse-names":false,"suffix":""},{"dropping-particle":"","family":"González-García","given":"Gixane","non-dropping-particle":"","parse-names":false,"suffix":""},{"dropping-particle":"","family":"Matute","given":"Carlos","non-dropping-particle":"","parse-names":false,"suffix":""}],"container-title":"Schizophrenia Research","id":"ITEM-1","issue":"1-3","issued":{"date-parts":[["2006","9"]]},"page":"321-322","title":"Decreased levels of plasma BDNF in first-episode schizophrenia and bipolar disorder patients","type":"article-journal","volume":"86"},"uris":["http://www.mendeley.com/documents/?uuid=26feee82-0a24-48d2-b274-730ae3a49e8a","http://www.mendeley.com/documents/?uuid=57eb4aa5-7931-4162-866c-f4b5a5619411","http://www.mendeley.com/documents/?uuid=3d347afc-f5b7-402f-b31a-da14c865c0bc"]}],"mendeley":{"formattedCitation":"(Palomino et al., 2006)","plainTextFormattedCitation":"(Palomino et al., 2006)","previouslyFormattedCitation":"(Palomino et al., 2006)"},"properties":{"noteIndex":0},"schema":"https://github.com/citation-style-language/schema/raw/master/csl-citation.json"}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(Palomino et al., 2006)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7CBAB19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Only assayed BDNF</w:t>
            </w:r>
          </w:p>
        </w:tc>
      </w:tr>
      <w:tr w:rsidR="00892A33" w:rsidRPr="00892A33" w14:paraId="47227CD0" w14:textId="77777777" w:rsidTr="000C3C27">
        <w:trPr>
          <w:trHeight w:val="20"/>
        </w:trPr>
        <w:tc>
          <w:tcPr>
            <w:tcW w:w="1476" w:type="pct"/>
            <w:tcBorders>
              <w:top w:val="nil"/>
              <w:left w:val="nil"/>
              <w:bottom w:val="nil"/>
              <w:right w:val="nil"/>
            </w:tcBorders>
            <w:shd w:val="clear" w:color="000000" w:fill="FFFFFF"/>
            <w:noWrap/>
            <w:vAlign w:val="bottom"/>
            <w:hideMark/>
          </w:tcPr>
          <w:p w14:paraId="7BBC54F7"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Maes, 1996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j.1600-0447.1996.tb10612.x","ISSN":"0001-690X","author":[{"dropping-particle":"","family":"Maes","given":"M.","non-dropping-particle":"","parse-names":false,"suffix":""},{"dropping-particle":"","family":"Meester","given":"","non-dropping-particle":"","parse-names":false,"suffix":""},{"dropping-particle":"","family":"Scharpé","given":"S.","non-dropping-particle":"","parse-names":false,"suffix":""},{"dropping-particle":"","family":"Desnyder","given":"R.","non-dropping-particle":"","parse-names":false,"suffix":""},{"dropping-particle":"","family":"Ranjan","given":"R.","non-dropping-particle":"","parse-names":false,"suffix":""},{"dropping-particle":"","family":"Meltzer","given":"H.Y.","non-dropping-particle":"","parse-names":false,"suffix":""}],"container-title":"Acta Psychiatrica Scandinavica","id":"ITEM-1","issue":"1","issued":{"date-parts":[["1996","1"]]},"page":"1-8","title":"Alterations in plasma dipeptidyl peptidase IV enzyme activity in depression and schizophrenia: effects of antidepressants and antipsychotic drugs","type":"article-journal","volume":"93"},"uris":["http://www.mendeley.com/documents/?uuid=24d3cacb-30ab-41b2-af33-ac759ed6e318","http://www.mendeley.com/documents/?uuid=d8f9e9f5-b6b2-44f6-a93d-8b31ab535556","http://www.mendeley.com/documents/?uuid=07e6dec4-175c-42ce-8101-b53b10499173"]}],"mendeley":{"formattedCitation":"(Maes et al., 1996)","plainTextFormattedCitation":"(Maes et al., 1996)","previouslyFormattedCitation":"(Maes et al., 1996)"},"properties":{"noteIndex":0},"schema":"https://github.com/citation-style-language/schema/raw/master/csl-citation.json"}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(Maes et al., 1996)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314919A"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Patients with Schizophrenia and MDD, no Bipolar Disorder</w:t>
            </w:r>
          </w:p>
        </w:tc>
      </w:tr>
      <w:tr w:rsidR="00892A33" w:rsidRPr="00892A33" w14:paraId="1EA770B8" w14:textId="77777777" w:rsidTr="000C3C27">
        <w:trPr>
          <w:trHeight w:val="20"/>
        </w:trPr>
        <w:tc>
          <w:tcPr>
            <w:tcW w:w="1476" w:type="pct"/>
            <w:tcBorders>
              <w:top w:val="nil"/>
              <w:left w:val="nil"/>
              <w:bottom w:val="nil"/>
              <w:right w:val="nil"/>
            </w:tcBorders>
            <w:shd w:val="clear" w:color="000000" w:fill="FFFFFF"/>
            <w:noWrap/>
            <w:vAlign w:val="bottom"/>
            <w:hideMark/>
          </w:tcPr>
          <w:p w14:paraId="111B166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Lin, 2020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bbi.2019.10.010","ISSN":"08891591","author":[{"dropping-particle":"","family":"Lin","given":"Kangguang","non-dropping-particle":"","parse-names":false,"suffix":""},{"dropping-particle":"","family":"Shao","given":"Robin","non-dropping-particle":"","parse-names":false,"suffix":""},{"dropping-particle":"","family":"Wang","given":"Runhua","non-dropping-particle":"","parse-names":false,"suffix":""},{"dropping-particle":"","family":"Lu","given":"Weicong","non-dropping-particle":"","parse-names":false,"suffix":""},{"dropping-particle":"","family":"Zou","given":"Wenjin","non-dropping-particle":"","parse-names":false,"suffix":""},{"dropping-particle":"","family":"Chen","given":"Kun","non-dropping-particle":"","parse-names":false,"suffix":""},{"dropping-particle":"","family":"Gao","given":"Yanling","non-dropping-particle":"","parse-names":false,"suffix":""},{"dropping-particle":"","family":"Brietzke","given":"Elisa","non-dropping-particle":"","parse-names":false,"suffix":""},{"dropping-particle":"","family":"McIntyre","given":"Roger S.","non-dropping-particle":"","parse-names":false,"suffix":""},{"dropping-particle":"","family":"Mansur","given":"Rodrigo B.","non-dropping-particle":"","parse-names":false,"suffix":""},{"dropping-particle":"","family":"Zhang","given":"Li","non-dropping-particle":"","parse-names":false,"suffix":""},{"dropping-particle":"","family":"Yau","given":"Suk-Yu","non-dropping-particle":"","parse-names":false,"suffix":""},{"dropping-particle":"","family":"Su","given":"Huanxing","non-dropping-particle":"","parse-names":false,"suffix":""},{"dropping-particle":"","family":"Xu","given":"Guiyun","non-dropping-particle":"","parse-names":false,"suffix":""},{"dropping-particle":"","family":"So","given":"Kwok-Fai","non-dropping-particle":"","parse-names":false,"suffix":""}],"container-title":"Brain, Behavior, and Immunity","id":"ITEM-1","issued":{"date-parts":[["2020","1"]]},"page":"192-199","title":"Inflammation, brain structure and cognition interrelations among individuals with differential risks for bipolar disorder","type":"article-journal","volume":"83"},"uris":["http://www.mendeley.com/documents/?uuid=c1e75b5c-2d3c-42f4-a0a1-e0508c539667","http://www.mendeley.com/documents/?uuid=a261214b-a3f7-444a-a717-9ffa2ee0e890","http://www.mendeley.com/documents/?uuid=d4baea9c-9fb8-4363-946a-254b7a00bf34"]}],"mendeley":{"formattedCitation":"(Lin et al., 2020)","plainTextFormattedCitation":"(Lin et al., 2020)","previouslyFormattedCitation":"(Lin et al., 2020)"},"properties":{"noteIndex":0},"schema":"https://github.com/citation-style-language/schema/raw/master/csl-citation.json"}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(Lin et al., 2020)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57381C6D"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Population: Bipolar Offspring (not BDs)</w:t>
            </w:r>
          </w:p>
        </w:tc>
      </w:tr>
      <w:tr w:rsidR="00892A33" w:rsidRPr="00892A33" w14:paraId="74DA7E5F" w14:textId="77777777" w:rsidTr="000C3C27">
        <w:trPr>
          <w:trHeight w:val="20"/>
        </w:trPr>
        <w:tc>
          <w:tcPr>
            <w:tcW w:w="1476" w:type="pct"/>
            <w:tcBorders>
              <w:top w:val="nil"/>
              <w:left w:val="nil"/>
              <w:bottom w:val="nil"/>
              <w:right w:val="nil"/>
            </w:tcBorders>
            <w:shd w:val="clear" w:color="000000" w:fill="FFFFFF"/>
            <w:noWrap/>
            <w:vAlign w:val="bottom"/>
            <w:hideMark/>
          </w:tcPr>
          <w:p w14:paraId="189C04A2"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Wieck, 2016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bbi.2016.01.011","ISSN":"08891591","author":[{"dropping-particle":"","family":"Wieck","given":"Andrea","non-dropping-particle":"","parse-names":false,"suffix":""},{"dropping-particle":"","family":"Grassi-Oliveira","given":"Rodrigo","non-dropping-particle":"","parse-names":false,"suffix":""},{"dropping-particle":"","family":"Prado","given":"Carine Hartmann","non-dropping-particle":"do","parse-names":false,"suffix":""},{"dropping-particle":"","family":"Viola","given":"Thiago Wendt","non-dropping-particle":"","parse-names":false,"suffix":""},{"dropping-particle":"","family":"Petersen","given":"Laura Esteves","non-dropping-particle":"","parse-names":false,"suffix":""},{"dropping-particle":"","family":"Porto","given":"Bárbara","non-dropping-particle":"","parse-names":false,"suffix":""},{"dropping-particle":"","family":"Teixeira","given":"Antônio Lúcio","non-dropping-particle":"","parse-names":false,"suffix":""},{"dropping-particle":"","family":"Bauer","given":"Moisés Evandro","non-dropping-particle":"","parse-names":false,"suffix":""}],"container-title":"Brain, Behavior, and Immunity","id":"ITEM-1","issued":{"date-parts":[["2016","5"]]},"page":"110-121","title":"Toll-like receptor expression and function in type I bipolar disorder","type":"article-journal","volume":"54"},"uris":["http://www.mendeley.com/documents/?uuid=6786cff5-a987-4dd5-bbda-bbc202311490","http://www.mendeley.com/documents/?uuid=8fd7c485-884a-4c4e-a9ba-d58f051bff24","http://www.mendeley.com/documents/?uuid=8b0d4364-b515-4405-9286-7c09ffa97bfb"]}],"mendeley":{"formattedCitation":"(Wieck et al., 2016)","plainTextFormattedCitation":"(Wieck et al., 2016)","previouslyFormattedCitation":"(Wieck et al., 2016)"},"properties":{"noteIndex":0},"schema":"https://github.com/citation-style-language/schema/raw/master/csl-citation.json"}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(Wieck et al., 2016)</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46A80C3" w14:textId="77777777" w:rsidR="00892A33" w:rsidRPr="00892A33" w:rsidRDefault="00892A33" w:rsidP="00892A33">
            <w:pPr>
              <w:jc w:val="center"/>
              <w:rPr>
                <w:rFonts w:ascii="Times New Roman" w:eastAsia="Times New Roman" w:hAnsi="Times New Roman" w:cs="Times New Roman"/>
                <w:color w:val="000000"/>
                <w:sz w:val="18"/>
                <w:szCs w:val="18"/>
                <w:lang w:eastAsia="it-IT"/>
              </w:rPr>
            </w:pPr>
            <w:r w:rsidRPr="00892A33">
              <w:rPr>
                <w:rFonts w:ascii="Times New Roman" w:eastAsia="Times New Roman" w:hAnsi="Times New Roman" w:cs="Times New Roman"/>
                <w:color w:val="000000"/>
                <w:sz w:val="18"/>
                <w:szCs w:val="18"/>
                <w:lang w:eastAsia="it-IT"/>
              </w:rPr>
              <w:t>Proinfllmatory cytokines were measured in the supernatant of monocyte cultured with specific TLR ligand</w:t>
            </w:r>
          </w:p>
        </w:tc>
      </w:tr>
      <w:tr w:rsidR="00892A33" w:rsidRPr="00892A33" w14:paraId="70AE01FE" w14:textId="77777777" w:rsidTr="000C3C27">
        <w:trPr>
          <w:trHeight w:val="20"/>
        </w:trPr>
        <w:tc>
          <w:tcPr>
            <w:tcW w:w="1476" w:type="pct"/>
            <w:tcBorders>
              <w:top w:val="nil"/>
              <w:left w:val="nil"/>
              <w:bottom w:val="nil"/>
              <w:right w:val="nil"/>
            </w:tcBorders>
            <w:shd w:val="clear" w:color="000000" w:fill="FFFFFF"/>
            <w:noWrap/>
            <w:vAlign w:val="bottom"/>
            <w:hideMark/>
          </w:tcPr>
          <w:p w14:paraId="7D2EF1ED"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Chandra, 2014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{"citationItems":[{"id":"ITEM-1","itemData":{"DOI":"10.5662/wjm.v4.i1.1","ISSN":"2222-0682","author":[{"dropping-particle":"","family":"Chandra","given":"Pranjal","non-dropping-particle":"","parse-names":false,"suffix":""}],"container-title":"World Journal of Methodology","id":"ITEM-1","issue":"1","issued":{"date-parts":[["2014"]]},"page":"1","title":"Prospects and advancements in C-reactive protein detection","type":"article-journal","volume":"4"},"uris":["http://www.mendeley.com/documents/?uuid=13281434-7e53-4ccf-876e-c272e3b05b62","http://www.mendeley.com/documents/?uuid=f5ca0478-f7de-4bac-9a1e-720fa18cbcfc","http://www.mendeley.com/documents/?uuid=cca00d26-5c81-47fa-ab78-3e21090e2fec"]}],"mendeley":{"formattedCitation":"(Chandra, 2014)","plainTextFormattedCitation":"(Chandra, 2014)","previouslyFormattedCitation":"(Chandra, 2014)"},"properties":{"noteIndex":0},"schema":"https://github.com/citation-style-language/schema/raw/master/csl-citation.json"}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(Chandra, 2014)</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0D04153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Review</w:t>
            </w:r>
          </w:p>
        </w:tc>
      </w:tr>
      <w:tr w:rsidR="00892A33" w:rsidRPr="00892A33" w14:paraId="47BA38B1" w14:textId="77777777" w:rsidTr="000C3C27">
        <w:trPr>
          <w:trHeight w:val="20"/>
        </w:trPr>
        <w:tc>
          <w:tcPr>
            <w:tcW w:w="1476" w:type="pct"/>
            <w:tcBorders>
              <w:top w:val="nil"/>
              <w:left w:val="nil"/>
              <w:bottom w:val="nil"/>
              <w:right w:val="nil"/>
            </w:tcBorders>
            <w:shd w:val="clear" w:color="000000" w:fill="FFFFFF"/>
            <w:noWrap/>
            <w:vAlign w:val="bottom"/>
            <w:hideMark/>
          </w:tcPr>
          <w:p w14:paraId="5E8F5D84"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Drexhage, 2010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{"citationItems":[{"id":"ITEM-1","itemData":{"DOI":"10.1586/ern.09.144","ISSN":"1473-7175","author":[{"dropping-particle":"","family":"Drexhage","given":"Roosmarijn C","non-dropping-particle":"","parse-names":false,"suffix":""},{"dropping-particle":"","family":"Knijff","given":"Esther M","non-dropping-particle":"","parse-names":false,"suffix":""},{"dropping-particle":"","family":"Padmos","given":"Roos C","non-dropping-particle":"","parse-names":false,"suffix":""},{"dropping-particle":"van der","family":"Heul-Nieuwenhuijzen","given":"Leonie","non-dropping-particle":"","parse-names":false,"suffix":""},{"dropping-particle":"","family":"Beumer","given":"Wouter","non-dropping-particle":"","parse-names":false,"suffix":""},{"dropping-particle":"","family":"Versnel","given":"Marjan A","non-dropping-particle":"","parse-names":false,"suffix":""},{"dropping-particle":"","family":"Drexhage","given":"Hemmo A","non-dropping-particle":"","parse-names":false,"suffix":""}],"container-title":"Expert Review of Neurotherapeutics","id":"ITEM-1","issue":"1","issued":{"date-parts":[["2010","1"]]},"page":"59-76","title":"The mononuclear phagocyte system and its cytokine inflammatory networks in schizophrenia and bipolar disorder","type":"article-journal","volume":"10"},"uris":["http://www.mendeley.com/documents/?uuid=15722715-e107-49a7-9ee9-e37ee02cba67","http://www.mendeley.com/documents/?uuid=a754f497-3237-4bfd-a94b-44f7eac4a239","http://www.mendeley.com/documents/?uuid=152df7ee-45ce-4ef0-9e0a-6aa54a992078"]}],"mendeley":{"formattedCitation":"(Drexhage et al., 2010)","plainTextFormattedCitation":"(Drexhage et al., 2010)","previouslyFormattedCitation":"(Drexhage et al., 2010)"},"properties":{"noteIndex":0},"schema":"https://github.com/citation-style-language/schema/raw/master/csl-citation.json"}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(Drexhage et al., 2010)</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3D036EB0"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Review</w:t>
            </w:r>
          </w:p>
        </w:tc>
      </w:tr>
      <w:tr w:rsidR="00892A33" w:rsidRPr="00892A33" w14:paraId="6FA1EA9D" w14:textId="77777777" w:rsidTr="000C3C27">
        <w:trPr>
          <w:trHeight w:val="20"/>
        </w:trPr>
        <w:tc>
          <w:tcPr>
            <w:tcW w:w="1476" w:type="pct"/>
            <w:tcBorders>
              <w:top w:val="nil"/>
              <w:left w:val="nil"/>
              <w:bottom w:val="nil"/>
              <w:right w:val="nil"/>
            </w:tcBorders>
            <w:shd w:val="clear" w:color="000000" w:fill="FFFFFF"/>
            <w:noWrap/>
            <w:vAlign w:val="bottom"/>
            <w:hideMark/>
          </w:tcPr>
          <w:p w14:paraId="4E1DC79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Kramer, 2019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{"citationItems":[{"id":"ITEM-1","itemData":{"DOI":"10.1016/j.jpsychires.2019.02.005","ISSN":"00223956","author":[{"dropping-particle":"","family":"Kramer","given":"Nicole E.","non-dropping-particle":"","parse-names":false,"suffix":""},{"dropping-particle":"","family":"Cosgrove","given":"Victoria E.","non-dropping-particle":"","parse-names":false,"suffix":""},{"dropping-particle":"","family":"Dunlap","given":"Kiley","non-dropping-particle":"","parse-names":false,"suffix":""},{"dropping-particle":"","family":"Subramaniapillai","given":"Mehala","non-dropping-particle":"","parse-names":false,"suffix":""},{"dropping-particle":"","family":"McIntyre","given":"Roger S.","non-dropping-particle":"","parse-names":false,"suffix":""},{"dropping-particle":"","family":"Suppes","given":"Trisha","non-dropping-particle":"","parse-names":false,"suffix":""}],"container-title":"Journal of Psychiatric Research","id":"ITEM-1","issued":{"date-parts":[["2019","6"]]},"page":"148-158","title":"A clinical model for identifying an inflammatory phenotype in mood disorders","type":"article-journal","volume":"113"},"uris":["http://www.mendeley.com/documents/?uuid=5432b9e6-5665-4a5d-b645-8a03cdc568e2","http://www.mendeley.com/documents/?uuid=0e175a19-fc59-4b06-8f22-e314c2a24c76","http://www.mendeley.com/documents/?uuid=35d1fe05-5a9d-4ebe-9d26-319ac5c02b7f"]}],"mendeley":{"formattedCitation":"(Kramer et al., 2019)","plainTextFormattedCitation":"(Kramer et al., 2019)","previouslyFormattedCitation":"(Kramer et al., 2019)"},"properties":{"noteIndex":0},"schema":"https://github.com/citation-style-language/schema/raw/master/csl-citation.json"}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(Kramer et al., 2019)</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677E341B"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Review</w:t>
            </w:r>
          </w:p>
        </w:tc>
      </w:tr>
      <w:tr w:rsidR="00892A33" w:rsidRPr="00892A33" w14:paraId="10E174CE" w14:textId="77777777" w:rsidTr="000C3C27">
        <w:trPr>
          <w:trHeight w:val="20"/>
        </w:trPr>
        <w:tc>
          <w:tcPr>
            <w:tcW w:w="1476" w:type="pct"/>
            <w:tcBorders>
              <w:top w:val="nil"/>
              <w:left w:val="nil"/>
              <w:bottom w:val="nil"/>
              <w:right w:val="nil"/>
            </w:tcBorders>
            <w:shd w:val="clear" w:color="000000" w:fill="FFFFFF"/>
            <w:noWrap/>
            <w:vAlign w:val="bottom"/>
            <w:hideMark/>
          </w:tcPr>
          <w:p w14:paraId="31B27E13"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 xml:space="preserve">Ghafelehbashi, 2017 </w:t>
            </w:r>
            <w:r w:rsidRPr="00892A33">
              <w:rPr>
                <w:rFonts w:ascii="Times New Roman" w:eastAsia="Times New Roman" w:hAnsi="Times New Roman" w:cs="Times New Roman"/>
                <w:color w:val="000000"/>
                <w:sz w:val="18"/>
                <w:szCs w:val="18"/>
                <w:lang w:val="it-IT" w:eastAsia="it-IT"/>
              </w:rPr>
              <w:fldChar w:fldCharType="begin" w:fldLock="1"/>
            </w:r>
            <w:r w:rsidRPr="00892A33">
              <w:rPr>
                <w:rFonts w:ascii="Times New Roman" w:eastAsia="Times New Roman" w:hAnsi="Times New Roman" w:cs="Times New Roman"/>
                <w:color w:val="000000"/>
                <w:sz w:val="18"/>
                <w:szCs w:val="18"/>
                <w:lang w:val="it-IT" w:eastAsia="it-IT"/>
              </w:rPr>
              <w:instrText>ADDIN CSL_CITATION {"citationItems":[{"id":"ITEM-1","itemData":{"DOI":"10.1111/sji.12620","ISSN":"03009475","author":[{"dropping-particle":"","family":"Ghafelehbashi","given":"H.","non-dropping-particle":"","parse-names":false,"suffix":""},{"dropping-particle":"","family":"Pahlevan Kakhki","given":"M.","non-dropping-particle":"","parse-names":false,"suffix":""},{"dropping-particle":"","family":"Kular","given":"L.","non-dropping-particle":"","parse-names":false,"suffix":""},{"dropping-particle":"","family":"Moghbelinejad","given":"S.","non-dropping-particle":"","parse-names":false,"suffix":""},{"dropping-particle":"","family":"Ghafelehbashi","given":"S. H.","non-dropping-particle":"","parse-names":false,"suffix":""}],"container-title":"Scandinavian Journal of Immunology","id":"ITEM-1","issue":"6","issued":{"date-parts":[["2017","12"]]},"page":"479-485","title":"Decreased Expression of IFNG-AS1 , IFNG and IL-1B Inflammatory Genes in Medicated Schizophrenia and Bipolar Patients","type":"article-journal","volume":"86"},"uris":["http://www.mendeley.com/documents/?uuid=06525a98-2949-4891-a03c-feec98fb90f7","http://www.mendeley.com/documents/?uuid=e3e65162-e74b-4188-b3eb-29a5dec22163","http://www.mendeley.com/documents/?uuid=0b382351-63f1-4ff6-b41e-323bbf200d83"]}],"mendeley":{"formattedCitation":"(Ghafelehbashi et al., 2017)","plainTextFormattedCitation":"(Ghafelehbashi et al., 2017)","previouslyFormattedCitation":"(Ghafelehbashi et al., 2017)"},"properties":{"noteIndex":0},"schema":"https://github.com/citation-style-language/schema/raw/master/csl-citation.json"}</w:instrText>
            </w:r>
            <w:r w:rsidRPr="00892A33">
              <w:rPr>
                <w:rFonts w:ascii="Times New Roman" w:eastAsia="Times New Roman" w:hAnsi="Times New Roman" w:cs="Times New Roman"/>
                <w:color w:val="000000"/>
                <w:sz w:val="18"/>
                <w:szCs w:val="18"/>
                <w:lang w:val="it-IT" w:eastAsia="it-IT"/>
              </w:rPr>
              <w:fldChar w:fldCharType="separate"/>
            </w:r>
            <w:r w:rsidRPr="00892A33">
              <w:rPr>
                <w:rFonts w:ascii="Times New Roman" w:eastAsia="Times New Roman" w:hAnsi="Times New Roman" w:cs="Times New Roman"/>
                <w:noProof/>
                <w:color w:val="000000"/>
                <w:sz w:val="18"/>
                <w:szCs w:val="18"/>
                <w:lang w:val="it-IT" w:eastAsia="it-IT"/>
              </w:rPr>
              <w:t>(Ghafelehbashi et al., 2017)</w:t>
            </w:r>
            <w:r w:rsidRPr="00892A33">
              <w:rPr>
                <w:rFonts w:ascii="Times New Roman" w:eastAsia="Times New Roman" w:hAnsi="Times New Roman" w:cs="Times New Roman"/>
                <w:color w:val="000000"/>
                <w:sz w:val="18"/>
                <w:szCs w:val="18"/>
                <w:lang w:val="it-IT" w:eastAsia="it-IT"/>
              </w:rPr>
              <w:fldChar w:fldCharType="end"/>
            </w:r>
          </w:p>
        </w:tc>
        <w:tc>
          <w:tcPr>
            <w:tcW w:w="3524" w:type="pct"/>
            <w:tcBorders>
              <w:top w:val="nil"/>
              <w:left w:val="nil"/>
              <w:bottom w:val="nil"/>
              <w:right w:val="nil"/>
            </w:tcBorders>
            <w:shd w:val="clear" w:color="000000" w:fill="FFFFFF"/>
            <w:noWrap/>
            <w:vAlign w:val="bottom"/>
            <w:hideMark/>
          </w:tcPr>
          <w:p w14:paraId="279B6E41" w14:textId="77777777" w:rsidR="00892A33" w:rsidRPr="00892A33" w:rsidRDefault="00892A33" w:rsidP="00892A33">
            <w:pPr>
              <w:jc w:val="center"/>
              <w:rPr>
                <w:rFonts w:ascii="Times New Roman" w:eastAsia="Times New Roman" w:hAnsi="Times New Roman" w:cs="Times New Roman"/>
                <w:color w:val="000000"/>
                <w:sz w:val="18"/>
                <w:szCs w:val="18"/>
                <w:lang w:val="it-IT" w:eastAsia="it-IT"/>
              </w:rPr>
            </w:pPr>
            <w:r w:rsidRPr="00892A33">
              <w:rPr>
                <w:rFonts w:ascii="Times New Roman" w:eastAsia="Times New Roman" w:hAnsi="Times New Roman" w:cs="Times New Roman"/>
                <w:color w:val="000000"/>
                <w:sz w:val="18"/>
                <w:szCs w:val="18"/>
                <w:lang w:val="it-IT" w:eastAsia="it-IT"/>
              </w:rPr>
              <w:t>RNA transcript evaluation</w:t>
            </w:r>
          </w:p>
        </w:tc>
      </w:tr>
    </w:tbl>
    <w:p w14:paraId="344AB75D" w14:textId="77777777" w:rsidR="00892A33" w:rsidRPr="00892A33" w:rsidRDefault="00892A33" w:rsidP="00892A33">
      <w:pPr>
        <w:spacing w:after="160" w:line="259" w:lineRule="auto"/>
        <w:rPr>
          <w:rFonts w:ascii="Calibri" w:eastAsia="Calibri" w:hAnsi="Calibri" w:cs="Times New Roman"/>
          <w:sz w:val="22"/>
          <w:szCs w:val="22"/>
          <w:lang w:val="it-IT"/>
        </w:rPr>
      </w:pPr>
    </w:p>
    <w:p w14:paraId="31692AED" w14:textId="77777777" w:rsidR="00892A33" w:rsidRPr="00892A33" w:rsidRDefault="00892A33" w:rsidP="00892A33">
      <w:pPr>
        <w:spacing w:after="160" w:line="259" w:lineRule="auto"/>
        <w:rPr>
          <w:rFonts w:ascii="Calibri" w:eastAsia="Calibri" w:hAnsi="Calibri" w:cs="Times New Roman"/>
          <w:sz w:val="22"/>
          <w:szCs w:val="22"/>
          <w:lang w:val="it-IT"/>
        </w:rPr>
      </w:pPr>
    </w:p>
    <w:p w14:paraId="2AA08C28" w14:textId="77777777" w:rsidR="00892A33" w:rsidRPr="00892A33" w:rsidRDefault="00892A33" w:rsidP="00892A33">
      <w:pPr>
        <w:spacing w:after="160" w:line="259" w:lineRule="auto"/>
        <w:rPr>
          <w:rFonts w:ascii="Calibri" w:eastAsia="Calibri" w:hAnsi="Calibri" w:cs="Times New Roman"/>
          <w:sz w:val="22"/>
          <w:szCs w:val="22"/>
          <w:lang w:val="it-IT"/>
        </w:rPr>
      </w:pPr>
    </w:p>
    <w:p w14:paraId="6C2DAE00" w14:textId="77777777" w:rsidR="00892A33" w:rsidRPr="00892A33" w:rsidRDefault="00892A33" w:rsidP="00892A33">
      <w:pPr>
        <w:spacing w:after="160" w:line="259" w:lineRule="auto"/>
        <w:rPr>
          <w:rFonts w:ascii="Calibri" w:eastAsia="Calibri" w:hAnsi="Calibri" w:cs="Times New Roman"/>
          <w:sz w:val="22"/>
          <w:szCs w:val="22"/>
          <w:lang w:val="it-IT"/>
        </w:rPr>
      </w:pPr>
      <w:r w:rsidRPr="00892A33">
        <w:rPr>
          <w:rFonts w:ascii="Calibri" w:eastAsia="Calibri" w:hAnsi="Calibri" w:cs="Times New Roman"/>
          <w:sz w:val="22"/>
          <w:szCs w:val="22"/>
          <w:lang w:val="it-IT"/>
        </w:rPr>
        <w:br w:type="page"/>
      </w:r>
    </w:p>
    <w:p w14:paraId="2F791D2D" w14:textId="77777777" w:rsidR="00892A33" w:rsidRPr="00892A33" w:rsidRDefault="00892A33" w:rsidP="00755272">
      <w:pPr>
        <w:pStyle w:val="Heading1"/>
      </w:pPr>
      <w:r w:rsidRPr="00892A33">
        <w:lastRenderedPageBreak/>
        <w:t xml:space="preserve">eTable 5. Meta-regression analyses </w:t>
      </w:r>
    </w:p>
    <w:tbl>
      <w:tblPr>
        <w:tblW w:w="5000" w:type="pct"/>
        <w:tblLook w:val="04A0" w:firstRow="1" w:lastRow="0" w:firstColumn="1" w:lastColumn="0" w:noHBand="0" w:noVBand="1"/>
      </w:tblPr>
      <w:tblGrid>
        <w:gridCol w:w="2917"/>
        <w:gridCol w:w="2221"/>
        <w:gridCol w:w="2565"/>
        <w:gridCol w:w="2565"/>
        <w:gridCol w:w="2565"/>
        <w:gridCol w:w="2565"/>
      </w:tblGrid>
      <w:tr w:rsidR="00892A33" w:rsidRPr="00892A33" w14:paraId="213CCF83" w14:textId="77777777" w:rsidTr="00892A33">
        <w:tc>
          <w:tcPr>
            <w:tcW w:w="947" w:type="pct"/>
            <w:shd w:val="clear" w:color="auto" w:fill="F2F2F2"/>
            <w:vAlign w:val="center"/>
          </w:tcPr>
          <w:p w14:paraId="546125D5" w14:textId="77777777" w:rsidR="00892A33" w:rsidRPr="00892A33" w:rsidRDefault="00892A33" w:rsidP="00892A33">
            <w:pPr>
              <w:spacing w:after="160" w:line="259" w:lineRule="auto"/>
              <w:jc w:val="center"/>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t>Moderator</w:t>
            </w:r>
          </w:p>
        </w:tc>
        <w:tc>
          <w:tcPr>
            <w:tcW w:w="721" w:type="pct"/>
            <w:shd w:val="clear" w:color="auto" w:fill="F2F2F2"/>
            <w:vAlign w:val="center"/>
          </w:tcPr>
          <w:p w14:paraId="2DF53818" w14:textId="77777777" w:rsidR="00892A33" w:rsidRPr="00892A33" w:rsidRDefault="00892A33" w:rsidP="00892A33">
            <w:pPr>
              <w:spacing w:after="160" w:line="259" w:lineRule="auto"/>
              <w:jc w:val="center"/>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t>Inflammatory mediator</w:t>
            </w:r>
          </w:p>
        </w:tc>
        <w:tc>
          <w:tcPr>
            <w:tcW w:w="833" w:type="pct"/>
            <w:shd w:val="clear" w:color="auto" w:fill="F2F2F2"/>
            <w:vAlign w:val="center"/>
          </w:tcPr>
          <w:p w14:paraId="3375B0C9" w14:textId="77777777" w:rsidR="00892A33" w:rsidRPr="00892A33" w:rsidRDefault="00892A33" w:rsidP="00892A33">
            <w:pPr>
              <w:spacing w:after="160" w:line="259" w:lineRule="auto"/>
              <w:jc w:val="center"/>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t>Estimate</w:t>
            </w:r>
          </w:p>
        </w:tc>
        <w:tc>
          <w:tcPr>
            <w:tcW w:w="833" w:type="pct"/>
            <w:shd w:val="clear" w:color="auto" w:fill="F2F2F2"/>
            <w:vAlign w:val="center"/>
          </w:tcPr>
          <w:p w14:paraId="450BCE1C" w14:textId="77777777" w:rsidR="00892A33" w:rsidRPr="00892A33" w:rsidRDefault="00892A33" w:rsidP="00892A33">
            <w:pPr>
              <w:spacing w:after="160" w:line="259" w:lineRule="auto"/>
              <w:jc w:val="center"/>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t>Standard error</w:t>
            </w:r>
          </w:p>
        </w:tc>
        <w:tc>
          <w:tcPr>
            <w:tcW w:w="833" w:type="pct"/>
            <w:shd w:val="clear" w:color="auto" w:fill="F2F2F2"/>
            <w:vAlign w:val="center"/>
          </w:tcPr>
          <w:p w14:paraId="70EEDFC3" w14:textId="77777777" w:rsidR="00892A33" w:rsidRPr="00892A33" w:rsidRDefault="00892A33" w:rsidP="00892A33">
            <w:pPr>
              <w:spacing w:after="160" w:line="259" w:lineRule="auto"/>
              <w:jc w:val="center"/>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t>Z value</w:t>
            </w:r>
          </w:p>
        </w:tc>
        <w:tc>
          <w:tcPr>
            <w:tcW w:w="833" w:type="pct"/>
            <w:shd w:val="clear" w:color="auto" w:fill="F2F2F2"/>
            <w:vAlign w:val="center"/>
          </w:tcPr>
          <w:p w14:paraId="170B22A5" w14:textId="77777777" w:rsidR="00892A33" w:rsidRPr="00892A33" w:rsidRDefault="00892A33" w:rsidP="00892A33">
            <w:pPr>
              <w:spacing w:after="160" w:line="259" w:lineRule="auto"/>
              <w:jc w:val="center"/>
              <w:rPr>
                <w:rFonts w:ascii="Calibri" w:eastAsia="Calibri" w:hAnsi="Calibri" w:cs="Times New Roman"/>
                <w:b/>
                <w:bCs/>
                <w:sz w:val="22"/>
                <w:szCs w:val="22"/>
                <w:lang w:val="it-IT"/>
              </w:rPr>
            </w:pPr>
            <w:r w:rsidRPr="00892A33">
              <w:rPr>
                <w:rFonts w:ascii="Calibri" w:eastAsia="Calibri" w:hAnsi="Calibri" w:cs="Times New Roman"/>
                <w:b/>
                <w:bCs/>
                <w:sz w:val="22"/>
                <w:szCs w:val="22"/>
                <w:lang w:val="it-IT"/>
              </w:rPr>
              <w:t>P value</w:t>
            </w:r>
          </w:p>
        </w:tc>
      </w:tr>
      <w:tr w:rsidR="00892A33" w:rsidRPr="00892A33" w14:paraId="589381E1" w14:textId="77777777" w:rsidTr="000C3C27">
        <w:tc>
          <w:tcPr>
            <w:tcW w:w="947" w:type="pct"/>
            <w:vAlign w:val="center"/>
          </w:tcPr>
          <w:p w14:paraId="34F1979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Age</w:t>
            </w:r>
          </w:p>
        </w:tc>
        <w:tc>
          <w:tcPr>
            <w:tcW w:w="721" w:type="pct"/>
            <w:vAlign w:val="center"/>
          </w:tcPr>
          <w:p w14:paraId="3350CB1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CRP</w:t>
            </w:r>
          </w:p>
        </w:tc>
        <w:tc>
          <w:tcPr>
            <w:tcW w:w="833" w:type="pct"/>
            <w:vAlign w:val="center"/>
          </w:tcPr>
          <w:p w14:paraId="3D8B8E9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-0.041</w:t>
            </w:r>
          </w:p>
        </w:tc>
        <w:tc>
          <w:tcPr>
            <w:tcW w:w="833" w:type="pct"/>
            <w:vAlign w:val="center"/>
          </w:tcPr>
          <w:p w14:paraId="2DEA05E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0.023</w:t>
            </w:r>
          </w:p>
        </w:tc>
        <w:tc>
          <w:tcPr>
            <w:tcW w:w="833" w:type="pct"/>
            <w:vAlign w:val="center"/>
          </w:tcPr>
          <w:p w14:paraId="05F160F6"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-1.775</w:t>
            </w:r>
          </w:p>
        </w:tc>
        <w:tc>
          <w:tcPr>
            <w:tcW w:w="833" w:type="pct"/>
            <w:vAlign w:val="center"/>
          </w:tcPr>
          <w:p w14:paraId="18218261"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0.076</w:t>
            </w:r>
          </w:p>
        </w:tc>
      </w:tr>
      <w:tr w:rsidR="00892A33" w:rsidRPr="00892A33" w14:paraId="7A4DE8E7" w14:textId="77777777" w:rsidTr="000C3C27">
        <w:tc>
          <w:tcPr>
            <w:tcW w:w="947" w:type="pct"/>
            <w:vAlign w:val="center"/>
          </w:tcPr>
          <w:p w14:paraId="2DEA68E2"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14C67F4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IL-1</w:t>
            </w:r>
            <w:r w:rsidRPr="00892A33">
              <w:rPr>
                <w:rFonts w:ascii="Calibri" w:eastAsia="Calibri" w:hAnsi="Calibri" w:cs="Calibri"/>
                <w:sz w:val="22"/>
                <w:szCs w:val="22"/>
                <w:lang w:val="it-IT"/>
              </w:rPr>
              <w:t>β</w:t>
            </w:r>
          </w:p>
        </w:tc>
        <w:tc>
          <w:tcPr>
            <w:tcW w:w="833" w:type="pct"/>
            <w:vAlign w:val="center"/>
          </w:tcPr>
          <w:p w14:paraId="1E0D3364"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0.308</w:t>
            </w:r>
          </w:p>
        </w:tc>
        <w:tc>
          <w:tcPr>
            <w:tcW w:w="833" w:type="pct"/>
            <w:vAlign w:val="center"/>
          </w:tcPr>
          <w:p w14:paraId="7B793514"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0.061</w:t>
            </w:r>
          </w:p>
        </w:tc>
        <w:tc>
          <w:tcPr>
            <w:tcW w:w="833" w:type="pct"/>
            <w:vAlign w:val="center"/>
          </w:tcPr>
          <w:p w14:paraId="73F6317B"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5.008</w:t>
            </w:r>
          </w:p>
        </w:tc>
        <w:tc>
          <w:tcPr>
            <w:tcW w:w="833" w:type="pct"/>
            <w:vAlign w:val="center"/>
          </w:tcPr>
          <w:p w14:paraId="46D5273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&lt;0.001</w:t>
            </w:r>
          </w:p>
        </w:tc>
      </w:tr>
      <w:tr w:rsidR="00892A33" w:rsidRPr="00892A33" w14:paraId="4B4C68CC" w14:textId="77777777" w:rsidTr="000C3C27">
        <w:tc>
          <w:tcPr>
            <w:tcW w:w="947" w:type="pct"/>
            <w:vAlign w:val="center"/>
          </w:tcPr>
          <w:p w14:paraId="19ECDF28"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2F39B11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IL-6</w:t>
            </w:r>
          </w:p>
        </w:tc>
        <w:tc>
          <w:tcPr>
            <w:tcW w:w="833" w:type="pct"/>
            <w:vAlign w:val="center"/>
          </w:tcPr>
          <w:p w14:paraId="534C661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-0.043</w:t>
            </w:r>
          </w:p>
        </w:tc>
        <w:tc>
          <w:tcPr>
            <w:tcW w:w="833" w:type="pct"/>
            <w:vAlign w:val="center"/>
          </w:tcPr>
          <w:p w14:paraId="34F6A321"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0.012</w:t>
            </w:r>
          </w:p>
        </w:tc>
        <w:tc>
          <w:tcPr>
            <w:tcW w:w="833" w:type="pct"/>
            <w:vAlign w:val="center"/>
          </w:tcPr>
          <w:p w14:paraId="74DD0A1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-3.455</w:t>
            </w:r>
          </w:p>
        </w:tc>
        <w:tc>
          <w:tcPr>
            <w:tcW w:w="833" w:type="pct"/>
            <w:vAlign w:val="center"/>
          </w:tcPr>
          <w:p w14:paraId="5ED9242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&lt;0.001</w:t>
            </w:r>
          </w:p>
        </w:tc>
      </w:tr>
      <w:tr w:rsidR="00892A33" w:rsidRPr="00892A33" w14:paraId="4B2ABD3B" w14:textId="77777777" w:rsidTr="000C3C27">
        <w:tc>
          <w:tcPr>
            <w:tcW w:w="947" w:type="pct"/>
            <w:vAlign w:val="center"/>
          </w:tcPr>
          <w:p w14:paraId="4D5D2D47"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0A9EEE76"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TNF</w:t>
            </w:r>
            <w:r w:rsidRPr="00892A33">
              <w:rPr>
                <w:rFonts w:ascii="Times New Roman" w:eastAsia="Calibri" w:hAnsi="Times New Roman" w:cs="Times New Roman"/>
                <w:sz w:val="22"/>
                <w:szCs w:val="22"/>
                <w:lang w:val="it-IT"/>
              </w:rPr>
              <w:t>-α</w:t>
            </w:r>
          </w:p>
        </w:tc>
        <w:tc>
          <w:tcPr>
            <w:tcW w:w="833" w:type="pct"/>
            <w:vAlign w:val="center"/>
          </w:tcPr>
          <w:p w14:paraId="0E2EED6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-0.051</w:t>
            </w:r>
          </w:p>
        </w:tc>
        <w:tc>
          <w:tcPr>
            <w:tcW w:w="833" w:type="pct"/>
            <w:vAlign w:val="center"/>
          </w:tcPr>
          <w:p w14:paraId="3956354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0.011</w:t>
            </w:r>
          </w:p>
        </w:tc>
        <w:tc>
          <w:tcPr>
            <w:tcW w:w="833" w:type="pct"/>
            <w:vAlign w:val="center"/>
          </w:tcPr>
          <w:p w14:paraId="3B479D3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-4.488</w:t>
            </w:r>
          </w:p>
        </w:tc>
        <w:tc>
          <w:tcPr>
            <w:tcW w:w="833" w:type="pct"/>
            <w:vAlign w:val="center"/>
          </w:tcPr>
          <w:p w14:paraId="45683E4C"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&lt;0.001</w:t>
            </w:r>
          </w:p>
        </w:tc>
      </w:tr>
      <w:tr w:rsidR="00892A33" w:rsidRPr="00892A33" w14:paraId="0530822C" w14:textId="77777777" w:rsidTr="000C3C27">
        <w:tc>
          <w:tcPr>
            <w:tcW w:w="947" w:type="pct"/>
            <w:vAlign w:val="center"/>
          </w:tcPr>
          <w:p w14:paraId="41AA4F2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Female sex</w:t>
            </w:r>
          </w:p>
        </w:tc>
        <w:tc>
          <w:tcPr>
            <w:tcW w:w="721" w:type="pct"/>
            <w:vAlign w:val="center"/>
          </w:tcPr>
          <w:p w14:paraId="3DAC943E"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CRP</w:t>
            </w:r>
          </w:p>
        </w:tc>
        <w:tc>
          <w:tcPr>
            <w:tcW w:w="833" w:type="pct"/>
            <w:vAlign w:val="center"/>
          </w:tcPr>
          <w:p w14:paraId="20BFE40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-0.024</w:t>
            </w:r>
          </w:p>
        </w:tc>
        <w:tc>
          <w:tcPr>
            <w:tcW w:w="833" w:type="pct"/>
            <w:vAlign w:val="center"/>
          </w:tcPr>
          <w:p w14:paraId="7C9B50F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0.011</w:t>
            </w:r>
          </w:p>
        </w:tc>
        <w:tc>
          <w:tcPr>
            <w:tcW w:w="833" w:type="pct"/>
            <w:vAlign w:val="center"/>
          </w:tcPr>
          <w:p w14:paraId="6D7DA93C"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-2.304</w:t>
            </w:r>
          </w:p>
        </w:tc>
        <w:tc>
          <w:tcPr>
            <w:tcW w:w="833" w:type="pct"/>
            <w:vAlign w:val="center"/>
          </w:tcPr>
          <w:p w14:paraId="08D241BC"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0.021</w:t>
            </w:r>
          </w:p>
        </w:tc>
      </w:tr>
      <w:tr w:rsidR="00892A33" w:rsidRPr="00892A33" w14:paraId="72D4261C" w14:textId="77777777" w:rsidTr="000C3C27">
        <w:tc>
          <w:tcPr>
            <w:tcW w:w="947" w:type="pct"/>
            <w:vAlign w:val="center"/>
          </w:tcPr>
          <w:p w14:paraId="30FE804B"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2E8C7A7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IL-1</w:t>
            </w:r>
            <w:r w:rsidRPr="00892A33">
              <w:rPr>
                <w:rFonts w:ascii="Calibri" w:eastAsia="Calibri" w:hAnsi="Calibri" w:cs="Calibri"/>
                <w:sz w:val="22"/>
                <w:szCs w:val="22"/>
                <w:lang w:val="it-IT"/>
              </w:rPr>
              <w:t>β</w:t>
            </w:r>
          </w:p>
        </w:tc>
        <w:tc>
          <w:tcPr>
            <w:tcW w:w="833" w:type="pct"/>
            <w:vAlign w:val="center"/>
          </w:tcPr>
          <w:p w14:paraId="5E42EA11"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0.334</w:t>
            </w:r>
          </w:p>
        </w:tc>
        <w:tc>
          <w:tcPr>
            <w:tcW w:w="833" w:type="pct"/>
            <w:vAlign w:val="center"/>
          </w:tcPr>
          <w:p w14:paraId="481A68EA"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0.044</w:t>
            </w:r>
          </w:p>
        </w:tc>
        <w:tc>
          <w:tcPr>
            <w:tcW w:w="833" w:type="pct"/>
            <w:vAlign w:val="center"/>
          </w:tcPr>
          <w:p w14:paraId="3837B193"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7.609</w:t>
            </w:r>
          </w:p>
        </w:tc>
        <w:tc>
          <w:tcPr>
            <w:tcW w:w="833" w:type="pct"/>
            <w:vAlign w:val="center"/>
          </w:tcPr>
          <w:p w14:paraId="4BA422B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&lt;0.001</w:t>
            </w:r>
          </w:p>
        </w:tc>
      </w:tr>
      <w:tr w:rsidR="00892A33" w:rsidRPr="00892A33" w14:paraId="3D624676" w14:textId="77777777" w:rsidTr="000C3C27">
        <w:tc>
          <w:tcPr>
            <w:tcW w:w="947" w:type="pct"/>
            <w:vAlign w:val="center"/>
          </w:tcPr>
          <w:p w14:paraId="4FC6EE64"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1DB453AA"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IL-6</w:t>
            </w:r>
          </w:p>
        </w:tc>
        <w:tc>
          <w:tcPr>
            <w:tcW w:w="833" w:type="pct"/>
            <w:vAlign w:val="center"/>
          </w:tcPr>
          <w:p w14:paraId="29FA525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-0.007</w:t>
            </w:r>
          </w:p>
        </w:tc>
        <w:tc>
          <w:tcPr>
            <w:tcW w:w="833" w:type="pct"/>
            <w:vAlign w:val="center"/>
          </w:tcPr>
          <w:p w14:paraId="033676B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0.009</w:t>
            </w:r>
          </w:p>
        </w:tc>
        <w:tc>
          <w:tcPr>
            <w:tcW w:w="833" w:type="pct"/>
            <w:vAlign w:val="center"/>
          </w:tcPr>
          <w:p w14:paraId="5B74A4B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-0.876</w:t>
            </w:r>
          </w:p>
        </w:tc>
        <w:tc>
          <w:tcPr>
            <w:tcW w:w="833" w:type="pct"/>
            <w:vAlign w:val="center"/>
          </w:tcPr>
          <w:p w14:paraId="24DFEBB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0.381</w:t>
            </w:r>
          </w:p>
        </w:tc>
      </w:tr>
      <w:tr w:rsidR="00892A33" w:rsidRPr="00892A33" w14:paraId="75740A0D" w14:textId="77777777" w:rsidTr="000C3C27">
        <w:tc>
          <w:tcPr>
            <w:tcW w:w="947" w:type="pct"/>
            <w:vAlign w:val="center"/>
          </w:tcPr>
          <w:p w14:paraId="7E35F02F"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764C3AA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TNF</w:t>
            </w:r>
            <w:r w:rsidRPr="00892A33">
              <w:rPr>
                <w:rFonts w:ascii="Times New Roman" w:eastAsia="Calibri" w:hAnsi="Times New Roman" w:cs="Times New Roman"/>
                <w:sz w:val="22"/>
                <w:szCs w:val="22"/>
                <w:lang w:val="it-IT"/>
              </w:rPr>
              <w:t>-α</w:t>
            </w:r>
          </w:p>
        </w:tc>
        <w:tc>
          <w:tcPr>
            <w:tcW w:w="833" w:type="pct"/>
            <w:vAlign w:val="center"/>
          </w:tcPr>
          <w:p w14:paraId="6573E593"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-0.011</w:t>
            </w:r>
          </w:p>
        </w:tc>
        <w:tc>
          <w:tcPr>
            <w:tcW w:w="833" w:type="pct"/>
            <w:vAlign w:val="center"/>
          </w:tcPr>
          <w:p w14:paraId="2A3B1371"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0.007</w:t>
            </w:r>
          </w:p>
        </w:tc>
        <w:tc>
          <w:tcPr>
            <w:tcW w:w="833" w:type="pct"/>
            <w:vAlign w:val="center"/>
          </w:tcPr>
          <w:p w14:paraId="3765A420"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-1.491</w:t>
            </w:r>
          </w:p>
        </w:tc>
        <w:tc>
          <w:tcPr>
            <w:tcW w:w="833" w:type="pct"/>
            <w:vAlign w:val="center"/>
          </w:tcPr>
          <w:p w14:paraId="515643CE"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0.136</w:t>
            </w:r>
          </w:p>
        </w:tc>
      </w:tr>
      <w:tr w:rsidR="00892A33" w:rsidRPr="00892A33" w14:paraId="68AC4712" w14:textId="77777777" w:rsidTr="000C3C27">
        <w:tc>
          <w:tcPr>
            <w:tcW w:w="947" w:type="pct"/>
            <w:vAlign w:val="center"/>
          </w:tcPr>
          <w:p w14:paraId="7FB29B3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Duration of illness</w:t>
            </w:r>
          </w:p>
        </w:tc>
        <w:tc>
          <w:tcPr>
            <w:tcW w:w="721" w:type="pct"/>
            <w:vAlign w:val="center"/>
          </w:tcPr>
          <w:p w14:paraId="01F98EFC"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CRP</w:t>
            </w:r>
          </w:p>
        </w:tc>
        <w:tc>
          <w:tcPr>
            <w:tcW w:w="833" w:type="pct"/>
            <w:vAlign w:val="center"/>
          </w:tcPr>
          <w:p w14:paraId="5DEF12B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-0.106</w:t>
            </w:r>
          </w:p>
        </w:tc>
        <w:tc>
          <w:tcPr>
            <w:tcW w:w="833" w:type="pct"/>
            <w:vAlign w:val="center"/>
          </w:tcPr>
          <w:p w14:paraId="37ADE70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0.053</w:t>
            </w:r>
          </w:p>
        </w:tc>
        <w:tc>
          <w:tcPr>
            <w:tcW w:w="833" w:type="pct"/>
            <w:vAlign w:val="center"/>
          </w:tcPr>
          <w:p w14:paraId="2584BB4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-1.989</w:t>
            </w:r>
          </w:p>
        </w:tc>
        <w:tc>
          <w:tcPr>
            <w:tcW w:w="833" w:type="pct"/>
            <w:vAlign w:val="center"/>
          </w:tcPr>
          <w:p w14:paraId="7011746C"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0.046</w:t>
            </w:r>
          </w:p>
        </w:tc>
      </w:tr>
      <w:tr w:rsidR="00892A33" w:rsidRPr="00892A33" w14:paraId="5AE1A197" w14:textId="77777777" w:rsidTr="000C3C27">
        <w:tc>
          <w:tcPr>
            <w:tcW w:w="947" w:type="pct"/>
            <w:vAlign w:val="center"/>
          </w:tcPr>
          <w:p w14:paraId="342F76D9"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1BEF3F99"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IL-1</w:t>
            </w:r>
            <w:r w:rsidRPr="00892A33">
              <w:rPr>
                <w:rFonts w:ascii="Calibri" w:eastAsia="Calibri" w:hAnsi="Calibri" w:cs="Calibri"/>
                <w:sz w:val="22"/>
                <w:szCs w:val="22"/>
                <w:lang w:val="it-IT"/>
              </w:rPr>
              <w:t>β</w:t>
            </w:r>
          </w:p>
        </w:tc>
        <w:tc>
          <w:tcPr>
            <w:tcW w:w="833" w:type="pct"/>
            <w:vAlign w:val="center"/>
          </w:tcPr>
          <w:p w14:paraId="44677F1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NA</w:t>
            </w:r>
          </w:p>
        </w:tc>
        <w:tc>
          <w:tcPr>
            <w:tcW w:w="833" w:type="pct"/>
            <w:vAlign w:val="center"/>
          </w:tcPr>
          <w:p w14:paraId="51844DA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NA</w:t>
            </w:r>
          </w:p>
        </w:tc>
        <w:tc>
          <w:tcPr>
            <w:tcW w:w="833" w:type="pct"/>
            <w:vAlign w:val="center"/>
          </w:tcPr>
          <w:p w14:paraId="5BA402DE"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NA</w:t>
            </w:r>
          </w:p>
        </w:tc>
        <w:tc>
          <w:tcPr>
            <w:tcW w:w="833" w:type="pct"/>
            <w:vAlign w:val="center"/>
          </w:tcPr>
          <w:p w14:paraId="3E0EDA83"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NA</w:t>
            </w:r>
          </w:p>
        </w:tc>
      </w:tr>
      <w:tr w:rsidR="00892A33" w:rsidRPr="00892A33" w14:paraId="62920978" w14:textId="77777777" w:rsidTr="000C3C27">
        <w:tc>
          <w:tcPr>
            <w:tcW w:w="947" w:type="pct"/>
            <w:vAlign w:val="center"/>
          </w:tcPr>
          <w:p w14:paraId="1D00FB12"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49AC938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IL-6</w:t>
            </w:r>
          </w:p>
        </w:tc>
        <w:tc>
          <w:tcPr>
            <w:tcW w:w="833" w:type="pct"/>
            <w:vAlign w:val="center"/>
          </w:tcPr>
          <w:p w14:paraId="7CA40EB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-0.005</w:t>
            </w:r>
          </w:p>
        </w:tc>
        <w:tc>
          <w:tcPr>
            <w:tcW w:w="833" w:type="pct"/>
            <w:vAlign w:val="center"/>
          </w:tcPr>
          <w:p w14:paraId="3CD53B3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0.027</w:t>
            </w:r>
          </w:p>
        </w:tc>
        <w:tc>
          <w:tcPr>
            <w:tcW w:w="833" w:type="pct"/>
            <w:vAlign w:val="center"/>
          </w:tcPr>
          <w:p w14:paraId="5B4D00B2"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-0.202</w:t>
            </w:r>
          </w:p>
        </w:tc>
        <w:tc>
          <w:tcPr>
            <w:tcW w:w="833" w:type="pct"/>
            <w:vAlign w:val="center"/>
          </w:tcPr>
          <w:p w14:paraId="34209F7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0.840</w:t>
            </w:r>
          </w:p>
        </w:tc>
      </w:tr>
      <w:tr w:rsidR="00892A33" w:rsidRPr="00892A33" w14:paraId="3AAC1E4E" w14:textId="77777777" w:rsidTr="000C3C27">
        <w:tc>
          <w:tcPr>
            <w:tcW w:w="947" w:type="pct"/>
            <w:vAlign w:val="center"/>
          </w:tcPr>
          <w:p w14:paraId="178222C1"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767BF7A3"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TNF</w:t>
            </w:r>
            <w:r w:rsidRPr="00892A33">
              <w:rPr>
                <w:rFonts w:ascii="Times New Roman" w:eastAsia="Calibri" w:hAnsi="Times New Roman" w:cs="Times New Roman"/>
                <w:sz w:val="22"/>
                <w:szCs w:val="22"/>
                <w:lang w:val="it-IT"/>
              </w:rPr>
              <w:t>-α</w:t>
            </w:r>
          </w:p>
        </w:tc>
        <w:tc>
          <w:tcPr>
            <w:tcW w:w="833" w:type="pct"/>
            <w:vAlign w:val="center"/>
          </w:tcPr>
          <w:p w14:paraId="0CD82AE5"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-0.006</w:t>
            </w:r>
          </w:p>
        </w:tc>
        <w:tc>
          <w:tcPr>
            <w:tcW w:w="833" w:type="pct"/>
            <w:vAlign w:val="center"/>
          </w:tcPr>
          <w:p w14:paraId="5BF23E46"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0.021</w:t>
            </w:r>
          </w:p>
        </w:tc>
        <w:tc>
          <w:tcPr>
            <w:tcW w:w="833" w:type="pct"/>
            <w:vAlign w:val="center"/>
          </w:tcPr>
          <w:p w14:paraId="774BEE46"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-0.287</w:t>
            </w:r>
          </w:p>
        </w:tc>
        <w:tc>
          <w:tcPr>
            <w:tcW w:w="833" w:type="pct"/>
            <w:vAlign w:val="center"/>
          </w:tcPr>
          <w:p w14:paraId="3700F462"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0.774</w:t>
            </w:r>
          </w:p>
        </w:tc>
      </w:tr>
      <w:tr w:rsidR="00892A33" w:rsidRPr="00892A33" w14:paraId="69D82B94" w14:textId="77777777" w:rsidTr="000C3C27">
        <w:tc>
          <w:tcPr>
            <w:tcW w:w="947" w:type="pct"/>
            <w:vAlign w:val="center"/>
          </w:tcPr>
          <w:p w14:paraId="781373D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Publication year</w:t>
            </w:r>
          </w:p>
        </w:tc>
        <w:tc>
          <w:tcPr>
            <w:tcW w:w="721" w:type="pct"/>
            <w:vAlign w:val="center"/>
          </w:tcPr>
          <w:p w14:paraId="1D5019A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CRP</w:t>
            </w:r>
          </w:p>
        </w:tc>
        <w:tc>
          <w:tcPr>
            <w:tcW w:w="833" w:type="pct"/>
            <w:vAlign w:val="center"/>
          </w:tcPr>
          <w:p w14:paraId="24F61DE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0.011</w:t>
            </w:r>
          </w:p>
        </w:tc>
        <w:tc>
          <w:tcPr>
            <w:tcW w:w="833" w:type="pct"/>
            <w:vAlign w:val="center"/>
          </w:tcPr>
          <w:p w14:paraId="10E6CE4A"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0.044</w:t>
            </w:r>
          </w:p>
        </w:tc>
        <w:tc>
          <w:tcPr>
            <w:tcW w:w="833" w:type="pct"/>
            <w:vAlign w:val="center"/>
          </w:tcPr>
          <w:p w14:paraId="0184A169"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0.254</w:t>
            </w:r>
          </w:p>
        </w:tc>
        <w:tc>
          <w:tcPr>
            <w:tcW w:w="833" w:type="pct"/>
            <w:vAlign w:val="center"/>
          </w:tcPr>
          <w:p w14:paraId="5830F94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0.799</w:t>
            </w:r>
          </w:p>
        </w:tc>
      </w:tr>
      <w:tr w:rsidR="00892A33" w:rsidRPr="00892A33" w14:paraId="58C39816" w14:textId="77777777" w:rsidTr="000C3C27">
        <w:tc>
          <w:tcPr>
            <w:tcW w:w="947" w:type="pct"/>
            <w:vAlign w:val="center"/>
          </w:tcPr>
          <w:p w14:paraId="250CABB4"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7223D12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IL-1</w:t>
            </w:r>
            <w:r w:rsidRPr="00892A33">
              <w:rPr>
                <w:rFonts w:ascii="Calibri" w:eastAsia="Calibri" w:hAnsi="Calibri" w:cs="Calibri"/>
                <w:sz w:val="22"/>
                <w:szCs w:val="22"/>
                <w:lang w:val="it-IT"/>
              </w:rPr>
              <w:t>β</w:t>
            </w:r>
          </w:p>
        </w:tc>
        <w:tc>
          <w:tcPr>
            <w:tcW w:w="833" w:type="pct"/>
            <w:vAlign w:val="center"/>
          </w:tcPr>
          <w:p w14:paraId="631CEC23"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0.003</w:t>
            </w:r>
          </w:p>
        </w:tc>
        <w:tc>
          <w:tcPr>
            <w:tcW w:w="833" w:type="pct"/>
            <w:vAlign w:val="center"/>
          </w:tcPr>
          <w:p w14:paraId="679BE27D"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0.042</w:t>
            </w:r>
          </w:p>
        </w:tc>
        <w:tc>
          <w:tcPr>
            <w:tcW w:w="833" w:type="pct"/>
            <w:vAlign w:val="center"/>
          </w:tcPr>
          <w:p w14:paraId="624CC53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0.069</w:t>
            </w:r>
          </w:p>
        </w:tc>
        <w:tc>
          <w:tcPr>
            <w:tcW w:w="833" w:type="pct"/>
            <w:vAlign w:val="center"/>
          </w:tcPr>
          <w:p w14:paraId="36363608"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0.945</w:t>
            </w:r>
          </w:p>
        </w:tc>
      </w:tr>
      <w:tr w:rsidR="00892A33" w:rsidRPr="00892A33" w14:paraId="77F1CE17" w14:textId="77777777" w:rsidTr="000C3C27">
        <w:tc>
          <w:tcPr>
            <w:tcW w:w="947" w:type="pct"/>
            <w:vAlign w:val="center"/>
          </w:tcPr>
          <w:p w14:paraId="62AE7342"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5988A110"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IL-6</w:t>
            </w:r>
          </w:p>
        </w:tc>
        <w:tc>
          <w:tcPr>
            <w:tcW w:w="833" w:type="pct"/>
            <w:vAlign w:val="center"/>
          </w:tcPr>
          <w:p w14:paraId="6997C6D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-0.039</w:t>
            </w:r>
          </w:p>
        </w:tc>
        <w:tc>
          <w:tcPr>
            <w:tcW w:w="833" w:type="pct"/>
            <w:vAlign w:val="center"/>
          </w:tcPr>
          <w:p w14:paraId="7EB412B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0.044</w:t>
            </w:r>
          </w:p>
        </w:tc>
        <w:tc>
          <w:tcPr>
            <w:tcW w:w="833" w:type="pct"/>
            <w:vAlign w:val="center"/>
          </w:tcPr>
          <w:p w14:paraId="5D403820"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-0.895</w:t>
            </w:r>
          </w:p>
        </w:tc>
        <w:tc>
          <w:tcPr>
            <w:tcW w:w="833" w:type="pct"/>
            <w:vAlign w:val="center"/>
          </w:tcPr>
          <w:p w14:paraId="03B5FE8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0.371</w:t>
            </w:r>
          </w:p>
        </w:tc>
      </w:tr>
      <w:tr w:rsidR="00892A33" w:rsidRPr="00892A33" w14:paraId="76356856" w14:textId="77777777" w:rsidTr="000C3C27">
        <w:tc>
          <w:tcPr>
            <w:tcW w:w="947" w:type="pct"/>
            <w:vAlign w:val="center"/>
          </w:tcPr>
          <w:p w14:paraId="127C34C8"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420189D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TNF</w:t>
            </w:r>
            <w:r w:rsidRPr="00892A33">
              <w:rPr>
                <w:rFonts w:ascii="Times New Roman" w:eastAsia="Calibri" w:hAnsi="Times New Roman" w:cs="Times New Roman"/>
                <w:sz w:val="22"/>
                <w:szCs w:val="22"/>
                <w:lang w:val="it-IT"/>
              </w:rPr>
              <w:t>-α</w:t>
            </w:r>
          </w:p>
        </w:tc>
        <w:tc>
          <w:tcPr>
            <w:tcW w:w="833" w:type="pct"/>
            <w:vAlign w:val="center"/>
          </w:tcPr>
          <w:p w14:paraId="5011C4E3"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-0.031</w:t>
            </w:r>
          </w:p>
        </w:tc>
        <w:tc>
          <w:tcPr>
            <w:tcW w:w="833" w:type="pct"/>
            <w:vAlign w:val="center"/>
          </w:tcPr>
          <w:p w14:paraId="54BB12C1"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0.034</w:t>
            </w:r>
          </w:p>
        </w:tc>
        <w:tc>
          <w:tcPr>
            <w:tcW w:w="833" w:type="pct"/>
            <w:vAlign w:val="center"/>
          </w:tcPr>
          <w:p w14:paraId="27CB4B3C"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-0.905</w:t>
            </w:r>
          </w:p>
        </w:tc>
        <w:tc>
          <w:tcPr>
            <w:tcW w:w="833" w:type="pct"/>
            <w:vAlign w:val="center"/>
          </w:tcPr>
          <w:p w14:paraId="3D11FD76"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Times New Roman" w:eastAsia="Calibri" w:hAnsi="Times New Roman" w:cs="Times New Roman"/>
                <w:sz w:val="22"/>
                <w:szCs w:val="22"/>
                <w:lang w:val="it-IT"/>
              </w:rPr>
              <w:t>0.366</w:t>
            </w:r>
          </w:p>
        </w:tc>
      </w:tr>
      <w:tr w:rsidR="00892A33" w:rsidRPr="00892A33" w14:paraId="0A490725" w14:textId="77777777" w:rsidTr="000C3C27">
        <w:tc>
          <w:tcPr>
            <w:tcW w:w="947" w:type="pct"/>
            <w:vAlign w:val="center"/>
          </w:tcPr>
          <w:p w14:paraId="79F0AE9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Caucasian ethnicity</w:t>
            </w:r>
          </w:p>
        </w:tc>
        <w:tc>
          <w:tcPr>
            <w:tcW w:w="721" w:type="pct"/>
            <w:vAlign w:val="center"/>
          </w:tcPr>
          <w:p w14:paraId="2166C0BB"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CRP</w:t>
            </w:r>
          </w:p>
        </w:tc>
        <w:tc>
          <w:tcPr>
            <w:tcW w:w="833" w:type="pct"/>
            <w:vAlign w:val="center"/>
          </w:tcPr>
          <w:p w14:paraId="7DFC92BB"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-0.058</w:t>
            </w:r>
          </w:p>
        </w:tc>
        <w:tc>
          <w:tcPr>
            <w:tcW w:w="833" w:type="pct"/>
            <w:vAlign w:val="center"/>
          </w:tcPr>
          <w:p w14:paraId="5D96171A"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0.050</w:t>
            </w:r>
          </w:p>
        </w:tc>
        <w:tc>
          <w:tcPr>
            <w:tcW w:w="833" w:type="pct"/>
            <w:vAlign w:val="center"/>
          </w:tcPr>
          <w:p w14:paraId="6201345C"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-1.170</w:t>
            </w:r>
          </w:p>
        </w:tc>
        <w:tc>
          <w:tcPr>
            <w:tcW w:w="833" w:type="pct"/>
            <w:vAlign w:val="center"/>
          </w:tcPr>
          <w:p w14:paraId="6342872F"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0.242</w:t>
            </w:r>
          </w:p>
        </w:tc>
      </w:tr>
      <w:tr w:rsidR="00892A33" w:rsidRPr="00892A33" w14:paraId="07F077C4" w14:textId="77777777" w:rsidTr="000C3C27">
        <w:tc>
          <w:tcPr>
            <w:tcW w:w="947" w:type="pct"/>
            <w:vAlign w:val="center"/>
          </w:tcPr>
          <w:p w14:paraId="2EA3CD97"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5D12E7B4"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IL-1</w:t>
            </w:r>
            <w:r w:rsidRPr="00892A33">
              <w:rPr>
                <w:rFonts w:ascii="Calibri" w:eastAsia="Calibri" w:hAnsi="Calibri" w:cs="Calibri"/>
                <w:sz w:val="22"/>
                <w:szCs w:val="22"/>
                <w:lang w:val="it-IT"/>
              </w:rPr>
              <w:t>β</w:t>
            </w:r>
          </w:p>
        </w:tc>
        <w:tc>
          <w:tcPr>
            <w:tcW w:w="833" w:type="pct"/>
            <w:vAlign w:val="center"/>
          </w:tcPr>
          <w:p w14:paraId="394FDA07"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NA</w:t>
            </w:r>
          </w:p>
        </w:tc>
        <w:tc>
          <w:tcPr>
            <w:tcW w:w="833" w:type="pct"/>
            <w:vAlign w:val="center"/>
          </w:tcPr>
          <w:p w14:paraId="476C1F20"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NA</w:t>
            </w:r>
          </w:p>
        </w:tc>
        <w:tc>
          <w:tcPr>
            <w:tcW w:w="833" w:type="pct"/>
            <w:vAlign w:val="center"/>
          </w:tcPr>
          <w:p w14:paraId="19F2EDA3"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NA</w:t>
            </w:r>
          </w:p>
        </w:tc>
        <w:tc>
          <w:tcPr>
            <w:tcW w:w="833" w:type="pct"/>
            <w:vAlign w:val="center"/>
          </w:tcPr>
          <w:p w14:paraId="179345FB"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NA</w:t>
            </w:r>
          </w:p>
        </w:tc>
      </w:tr>
      <w:tr w:rsidR="00892A33" w:rsidRPr="00892A33" w14:paraId="151367E0" w14:textId="77777777" w:rsidTr="000C3C27">
        <w:tc>
          <w:tcPr>
            <w:tcW w:w="947" w:type="pct"/>
            <w:vAlign w:val="center"/>
          </w:tcPr>
          <w:p w14:paraId="2F2F5BEB"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46E60550"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IL-6</w:t>
            </w:r>
          </w:p>
        </w:tc>
        <w:tc>
          <w:tcPr>
            <w:tcW w:w="833" w:type="pct"/>
            <w:vAlign w:val="center"/>
          </w:tcPr>
          <w:p w14:paraId="016697B9"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-0.021</w:t>
            </w:r>
          </w:p>
        </w:tc>
        <w:tc>
          <w:tcPr>
            <w:tcW w:w="833" w:type="pct"/>
            <w:vAlign w:val="center"/>
          </w:tcPr>
          <w:p w14:paraId="57D73686"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0.014</w:t>
            </w:r>
          </w:p>
        </w:tc>
        <w:tc>
          <w:tcPr>
            <w:tcW w:w="833" w:type="pct"/>
            <w:vAlign w:val="center"/>
          </w:tcPr>
          <w:p w14:paraId="765393DC"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-1.536</w:t>
            </w:r>
          </w:p>
        </w:tc>
        <w:tc>
          <w:tcPr>
            <w:tcW w:w="833" w:type="pct"/>
            <w:vAlign w:val="center"/>
          </w:tcPr>
          <w:p w14:paraId="7F5C5AC6"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0.125</w:t>
            </w:r>
          </w:p>
        </w:tc>
      </w:tr>
      <w:tr w:rsidR="00892A33" w:rsidRPr="00892A33" w14:paraId="2A9DF45B" w14:textId="77777777" w:rsidTr="000C3C27">
        <w:tc>
          <w:tcPr>
            <w:tcW w:w="947" w:type="pct"/>
            <w:vAlign w:val="center"/>
          </w:tcPr>
          <w:p w14:paraId="2484BF4A"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13AB353B"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TNF</w:t>
            </w:r>
            <w:r w:rsidRPr="00892A33">
              <w:rPr>
                <w:rFonts w:ascii="Times New Roman" w:eastAsia="Calibri" w:hAnsi="Times New Roman" w:cs="Times New Roman"/>
                <w:sz w:val="22"/>
                <w:szCs w:val="22"/>
                <w:lang w:val="it-IT"/>
              </w:rPr>
              <w:t>-α</w:t>
            </w:r>
          </w:p>
        </w:tc>
        <w:tc>
          <w:tcPr>
            <w:tcW w:w="833" w:type="pct"/>
            <w:vAlign w:val="center"/>
          </w:tcPr>
          <w:p w14:paraId="2A25C684"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-0.024</w:t>
            </w:r>
          </w:p>
        </w:tc>
        <w:tc>
          <w:tcPr>
            <w:tcW w:w="833" w:type="pct"/>
            <w:vAlign w:val="center"/>
          </w:tcPr>
          <w:p w14:paraId="063D84A2"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0.031</w:t>
            </w:r>
          </w:p>
        </w:tc>
        <w:tc>
          <w:tcPr>
            <w:tcW w:w="833" w:type="pct"/>
            <w:vAlign w:val="center"/>
          </w:tcPr>
          <w:p w14:paraId="0115E3B1"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-0.793</w:t>
            </w:r>
          </w:p>
        </w:tc>
        <w:tc>
          <w:tcPr>
            <w:tcW w:w="833" w:type="pct"/>
            <w:vAlign w:val="center"/>
          </w:tcPr>
          <w:p w14:paraId="3FCCB08D"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0.428</w:t>
            </w:r>
          </w:p>
        </w:tc>
      </w:tr>
      <w:tr w:rsidR="00892A33" w:rsidRPr="00892A33" w14:paraId="1AB95005" w14:textId="77777777" w:rsidTr="000C3C27">
        <w:tc>
          <w:tcPr>
            <w:tcW w:w="947" w:type="pct"/>
            <w:vAlign w:val="center"/>
          </w:tcPr>
          <w:p w14:paraId="08B411EA"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Sample size</w:t>
            </w:r>
          </w:p>
        </w:tc>
        <w:tc>
          <w:tcPr>
            <w:tcW w:w="721" w:type="pct"/>
            <w:vAlign w:val="center"/>
          </w:tcPr>
          <w:p w14:paraId="7F200317"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CRP</w:t>
            </w:r>
          </w:p>
        </w:tc>
        <w:tc>
          <w:tcPr>
            <w:tcW w:w="833" w:type="pct"/>
            <w:vAlign w:val="center"/>
          </w:tcPr>
          <w:p w14:paraId="0A237555"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-0.001</w:t>
            </w:r>
          </w:p>
        </w:tc>
        <w:tc>
          <w:tcPr>
            <w:tcW w:w="833" w:type="pct"/>
            <w:vAlign w:val="center"/>
          </w:tcPr>
          <w:p w14:paraId="0D58E79E"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0.001</w:t>
            </w:r>
          </w:p>
        </w:tc>
        <w:tc>
          <w:tcPr>
            <w:tcW w:w="833" w:type="pct"/>
            <w:vAlign w:val="center"/>
          </w:tcPr>
          <w:p w14:paraId="26BA528B"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-1.092</w:t>
            </w:r>
          </w:p>
        </w:tc>
        <w:tc>
          <w:tcPr>
            <w:tcW w:w="833" w:type="pct"/>
            <w:vAlign w:val="center"/>
          </w:tcPr>
          <w:p w14:paraId="54FD7689"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0.275</w:t>
            </w:r>
          </w:p>
        </w:tc>
      </w:tr>
      <w:tr w:rsidR="00892A33" w:rsidRPr="00892A33" w14:paraId="3978C7A4" w14:textId="77777777" w:rsidTr="000C3C27">
        <w:tc>
          <w:tcPr>
            <w:tcW w:w="947" w:type="pct"/>
            <w:vAlign w:val="center"/>
          </w:tcPr>
          <w:p w14:paraId="523F9905"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6CDE4069"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IL-1</w:t>
            </w:r>
            <w:r w:rsidRPr="00892A33">
              <w:rPr>
                <w:rFonts w:ascii="Calibri" w:eastAsia="Calibri" w:hAnsi="Calibri" w:cs="Calibri"/>
                <w:sz w:val="22"/>
                <w:szCs w:val="22"/>
                <w:lang w:val="it-IT"/>
              </w:rPr>
              <w:t>β</w:t>
            </w:r>
          </w:p>
        </w:tc>
        <w:tc>
          <w:tcPr>
            <w:tcW w:w="833" w:type="pct"/>
            <w:vAlign w:val="center"/>
          </w:tcPr>
          <w:p w14:paraId="2559F60E"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-0.008</w:t>
            </w:r>
          </w:p>
        </w:tc>
        <w:tc>
          <w:tcPr>
            <w:tcW w:w="833" w:type="pct"/>
            <w:vAlign w:val="center"/>
          </w:tcPr>
          <w:p w14:paraId="07413EF2"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0.009</w:t>
            </w:r>
          </w:p>
        </w:tc>
        <w:tc>
          <w:tcPr>
            <w:tcW w:w="833" w:type="pct"/>
            <w:vAlign w:val="center"/>
          </w:tcPr>
          <w:p w14:paraId="6D1884CE"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-0.909</w:t>
            </w:r>
          </w:p>
        </w:tc>
        <w:tc>
          <w:tcPr>
            <w:tcW w:w="833" w:type="pct"/>
            <w:vAlign w:val="center"/>
          </w:tcPr>
          <w:p w14:paraId="60ABCA32"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0.363</w:t>
            </w:r>
          </w:p>
        </w:tc>
      </w:tr>
      <w:tr w:rsidR="00892A33" w:rsidRPr="00892A33" w14:paraId="47291862" w14:textId="77777777" w:rsidTr="000C3C27">
        <w:tc>
          <w:tcPr>
            <w:tcW w:w="947" w:type="pct"/>
            <w:vAlign w:val="center"/>
          </w:tcPr>
          <w:p w14:paraId="698FB27F"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vAlign w:val="center"/>
          </w:tcPr>
          <w:p w14:paraId="48BF9CC2"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IL-6</w:t>
            </w:r>
          </w:p>
        </w:tc>
        <w:tc>
          <w:tcPr>
            <w:tcW w:w="833" w:type="pct"/>
            <w:vAlign w:val="center"/>
          </w:tcPr>
          <w:p w14:paraId="79EDAA85"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-0.001</w:t>
            </w:r>
          </w:p>
        </w:tc>
        <w:tc>
          <w:tcPr>
            <w:tcW w:w="833" w:type="pct"/>
            <w:vAlign w:val="center"/>
          </w:tcPr>
          <w:p w14:paraId="2DB3ADAC"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0.001</w:t>
            </w:r>
          </w:p>
        </w:tc>
        <w:tc>
          <w:tcPr>
            <w:tcW w:w="833" w:type="pct"/>
            <w:vAlign w:val="center"/>
          </w:tcPr>
          <w:p w14:paraId="611A74FA"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-1.177</w:t>
            </w:r>
          </w:p>
        </w:tc>
        <w:tc>
          <w:tcPr>
            <w:tcW w:w="833" w:type="pct"/>
            <w:vAlign w:val="center"/>
          </w:tcPr>
          <w:p w14:paraId="4F067E53"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0.239</w:t>
            </w:r>
          </w:p>
        </w:tc>
      </w:tr>
      <w:tr w:rsidR="00892A33" w:rsidRPr="00892A33" w14:paraId="601F4672" w14:textId="77777777" w:rsidTr="000C3C27">
        <w:tc>
          <w:tcPr>
            <w:tcW w:w="947" w:type="pct"/>
            <w:tcBorders>
              <w:bottom w:val="single" w:sz="4" w:space="0" w:color="auto"/>
            </w:tcBorders>
            <w:vAlign w:val="center"/>
          </w:tcPr>
          <w:p w14:paraId="0E994677" w14:textId="77777777" w:rsidR="00892A33" w:rsidRPr="00892A33" w:rsidRDefault="00892A33" w:rsidP="00892A33">
            <w:pPr>
              <w:spacing w:after="160" w:line="259" w:lineRule="auto"/>
              <w:jc w:val="center"/>
              <w:rPr>
                <w:rFonts w:ascii="Calibri" w:eastAsia="Calibri" w:hAnsi="Calibri" w:cs="Times New Roman"/>
                <w:sz w:val="22"/>
                <w:szCs w:val="22"/>
                <w:lang w:val="it-IT"/>
              </w:rPr>
            </w:pPr>
          </w:p>
        </w:tc>
        <w:tc>
          <w:tcPr>
            <w:tcW w:w="721" w:type="pct"/>
            <w:tcBorders>
              <w:bottom w:val="single" w:sz="4" w:space="0" w:color="auto"/>
            </w:tcBorders>
            <w:vAlign w:val="center"/>
          </w:tcPr>
          <w:p w14:paraId="2930F50F" w14:textId="77777777" w:rsidR="00892A33" w:rsidRPr="00892A33" w:rsidRDefault="00892A33" w:rsidP="00892A33">
            <w:pPr>
              <w:spacing w:after="160" w:line="259" w:lineRule="auto"/>
              <w:jc w:val="center"/>
              <w:rPr>
                <w:rFonts w:ascii="Calibri" w:eastAsia="Calibri" w:hAnsi="Calibri" w:cs="Times New Roman"/>
                <w:sz w:val="22"/>
                <w:szCs w:val="22"/>
                <w:lang w:val="it-IT"/>
              </w:rPr>
            </w:pPr>
            <w:r w:rsidRPr="00892A33">
              <w:rPr>
                <w:rFonts w:ascii="Calibri" w:eastAsia="Calibri" w:hAnsi="Calibri" w:cs="Times New Roman"/>
                <w:sz w:val="22"/>
                <w:szCs w:val="22"/>
                <w:lang w:val="it-IT"/>
              </w:rPr>
              <w:t>TNF</w:t>
            </w:r>
            <w:r w:rsidRPr="00892A33">
              <w:rPr>
                <w:rFonts w:ascii="Times New Roman" w:eastAsia="Calibri" w:hAnsi="Times New Roman" w:cs="Times New Roman"/>
                <w:sz w:val="22"/>
                <w:szCs w:val="22"/>
                <w:lang w:val="it-IT"/>
              </w:rPr>
              <w:t>-α</w:t>
            </w:r>
          </w:p>
        </w:tc>
        <w:tc>
          <w:tcPr>
            <w:tcW w:w="833" w:type="pct"/>
            <w:tcBorders>
              <w:bottom w:val="single" w:sz="4" w:space="0" w:color="auto"/>
            </w:tcBorders>
            <w:vAlign w:val="center"/>
          </w:tcPr>
          <w:p w14:paraId="56361245"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-0.001</w:t>
            </w:r>
          </w:p>
        </w:tc>
        <w:tc>
          <w:tcPr>
            <w:tcW w:w="833" w:type="pct"/>
            <w:tcBorders>
              <w:bottom w:val="single" w:sz="4" w:space="0" w:color="auto"/>
            </w:tcBorders>
            <w:vAlign w:val="center"/>
          </w:tcPr>
          <w:p w14:paraId="7367C864"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0.001</w:t>
            </w:r>
          </w:p>
        </w:tc>
        <w:tc>
          <w:tcPr>
            <w:tcW w:w="833" w:type="pct"/>
            <w:tcBorders>
              <w:bottom w:val="single" w:sz="4" w:space="0" w:color="auto"/>
            </w:tcBorders>
            <w:vAlign w:val="center"/>
          </w:tcPr>
          <w:p w14:paraId="6F7F90AC"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-1.403</w:t>
            </w:r>
          </w:p>
        </w:tc>
        <w:tc>
          <w:tcPr>
            <w:tcW w:w="833" w:type="pct"/>
            <w:tcBorders>
              <w:bottom w:val="single" w:sz="4" w:space="0" w:color="auto"/>
            </w:tcBorders>
            <w:vAlign w:val="center"/>
          </w:tcPr>
          <w:p w14:paraId="0BDE0981" w14:textId="77777777" w:rsidR="00892A33" w:rsidRPr="00892A33" w:rsidRDefault="00892A33" w:rsidP="00892A33">
            <w:pPr>
              <w:spacing w:after="160" w:line="259" w:lineRule="auto"/>
              <w:jc w:val="center"/>
              <w:rPr>
                <w:rFonts w:ascii="Times New Roman" w:eastAsia="Calibri" w:hAnsi="Times New Roman" w:cs="Times New Roman"/>
                <w:sz w:val="22"/>
                <w:szCs w:val="22"/>
                <w:lang w:val="it-IT"/>
              </w:rPr>
            </w:pPr>
            <w:r w:rsidRPr="00892A33">
              <w:rPr>
                <w:rFonts w:ascii="Times New Roman" w:eastAsia="Calibri" w:hAnsi="Times New Roman" w:cs="Times New Roman"/>
                <w:sz w:val="22"/>
                <w:szCs w:val="22"/>
                <w:lang w:val="it-IT"/>
              </w:rPr>
              <w:t>0.160</w:t>
            </w:r>
          </w:p>
        </w:tc>
      </w:tr>
    </w:tbl>
    <w:p w14:paraId="2ADE602D"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Calibri" w:eastAsia="Calibri" w:hAnsi="Calibri" w:cs="Times New Roman"/>
          <w:sz w:val="22"/>
          <w:szCs w:val="22"/>
        </w:rPr>
        <w:t>Legend. CRP, C-reactive protein; IL, interleukin; TNF, tumor necrosis factor.</w:t>
      </w:r>
    </w:p>
    <w:p w14:paraId="301C733E" w14:textId="77777777" w:rsidR="00892A33" w:rsidRPr="00892A33" w:rsidRDefault="00892A33" w:rsidP="00892A33">
      <w:pPr>
        <w:spacing w:after="160" w:line="259" w:lineRule="auto"/>
        <w:rPr>
          <w:rFonts w:ascii="Calibri" w:eastAsia="Calibri" w:hAnsi="Calibri" w:cs="Times New Roman"/>
          <w:sz w:val="22"/>
          <w:szCs w:val="22"/>
          <w:lang w:val="it-IT"/>
        </w:rPr>
      </w:pPr>
    </w:p>
    <w:p w14:paraId="4E7DE3A5" w14:textId="77777777" w:rsidR="00892A33" w:rsidRPr="00892A33" w:rsidRDefault="00892A33" w:rsidP="00892A33">
      <w:pPr>
        <w:spacing w:after="160" w:line="259" w:lineRule="auto"/>
        <w:rPr>
          <w:rFonts w:ascii="Times" w:eastAsia="Calibri" w:hAnsi="Times" w:cs="Times"/>
          <w:sz w:val="22"/>
          <w:szCs w:val="22"/>
          <w:lang w:val="en-US"/>
        </w:rPr>
      </w:pPr>
      <w:r w:rsidRPr="00892A33">
        <w:rPr>
          <w:rFonts w:ascii="Times" w:eastAsia="Calibri" w:hAnsi="Times" w:cs="Times"/>
          <w:sz w:val="22"/>
          <w:szCs w:val="22"/>
          <w:lang w:val="en-US"/>
        </w:rPr>
        <w:br w:type="page"/>
      </w:r>
    </w:p>
    <w:p w14:paraId="4E930DC7" w14:textId="77777777" w:rsidR="00892A33" w:rsidRPr="00892A33" w:rsidRDefault="00892A33" w:rsidP="00755272">
      <w:pPr>
        <w:pStyle w:val="Heading1"/>
      </w:pPr>
      <w:r w:rsidRPr="00892A33">
        <w:lastRenderedPageBreak/>
        <w:t>eTable 6. Quality appraisal of included studies</w:t>
      </w:r>
    </w:p>
    <w:tbl>
      <w:tblPr>
        <w:tblW w:w="15500" w:type="dxa"/>
        <w:tblLook w:val="04A0" w:firstRow="1" w:lastRow="0" w:firstColumn="1" w:lastColumn="0" w:noHBand="0" w:noVBand="1"/>
      </w:tblPr>
      <w:tblGrid>
        <w:gridCol w:w="1580"/>
        <w:gridCol w:w="895"/>
        <w:gridCol w:w="940"/>
        <w:gridCol w:w="1045"/>
        <w:gridCol w:w="1058"/>
        <w:gridCol w:w="1035"/>
        <w:gridCol w:w="993"/>
        <w:gridCol w:w="870"/>
        <w:gridCol w:w="901"/>
        <w:gridCol w:w="1010"/>
        <w:gridCol w:w="901"/>
        <w:gridCol w:w="1010"/>
        <w:gridCol w:w="1010"/>
        <w:gridCol w:w="699"/>
        <w:gridCol w:w="963"/>
        <w:gridCol w:w="590"/>
      </w:tblGrid>
      <w:tr w:rsidR="00892A33" w:rsidRPr="00892A33" w14:paraId="1F118190" w14:textId="77777777" w:rsidTr="000C3C27">
        <w:tc>
          <w:tcPr>
            <w:tcW w:w="1580" w:type="dxa"/>
            <w:vAlign w:val="center"/>
          </w:tcPr>
          <w:p w14:paraId="7A846727" w14:textId="77777777" w:rsidR="00892A33" w:rsidRPr="00892A33" w:rsidRDefault="00892A33" w:rsidP="00892A33">
            <w:pPr>
              <w:spacing w:after="160" w:line="259" w:lineRule="auto"/>
              <w:jc w:val="center"/>
              <w:rPr>
                <w:rFonts w:ascii="Times New Roman" w:eastAsia="Calibri" w:hAnsi="Times New Roman" w:cs="Times New Roman"/>
                <w:b/>
                <w:bCs/>
                <w:sz w:val="14"/>
                <w:szCs w:val="14"/>
                <w:lang w:val="it-IT"/>
              </w:rPr>
            </w:pPr>
            <w:r w:rsidRPr="00892A33">
              <w:rPr>
                <w:rFonts w:ascii="Times New Roman" w:eastAsia="Calibri" w:hAnsi="Times New Roman" w:cs="Times New Roman"/>
                <w:b/>
                <w:bCs/>
                <w:sz w:val="14"/>
                <w:szCs w:val="14"/>
                <w:lang w:val="it-IT"/>
              </w:rPr>
              <w:t>Author, year</w:t>
            </w:r>
          </w:p>
        </w:tc>
        <w:tc>
          <w:tcPr>
            <w:tcW w:w="895" w:type="dxa"/>
            <w:vAlign w:val="center"/>
          </w:tcPr>
          <w:p w14:paraId="44763788" w14:textId="77777777" w:rsidR="00892A33" w:rsidRPr="00892A33" w:rsidRDefault="00892A33" w:rsidP="00892A33">
            <w:pPr>
              <w:spacing w:after="160" w:line="259" w:lineRule="auto"/>
              <w:jc w:val="center"/>
              <w:rPr>
                <w:rFonts w:ascii="Times New Roman" w:eastAsia="Calibri" w:hAnsi="Times New Roman" w:cs="Times New Roman"/>
                <w:b/>
                <w:bCs/>
                <w:sz w:val="14"/>
                <w:szCs w:val="14"/>
              </w:rPr>
            </w:pPr>
            <w:r w:rsidRPr="00892A33">
              <w:rPr>
                <w:rFonts w:ascii="Times New Roman" w:eastAsia="Calibri" w:hAnsi="Times New Roman" w:cs="Times New Roman"/>
                <w:b/>
                <w:bCs/>
                <w:sz w:val="14"/>
                <w:szCs w:val="14"/>
              </w:rPr>
              <w:t>1. Was the research question or objective in this paper clearly stated?</w:t>
            </w:r>
          </w:p>
        </w:tc>
        <w:tc>
          <w:tcPr>
            <w:tcW w:w="940" w:type="dxa"/>
            <w:vAlign w:val="center"/>
          </w:tcPr>
          <w:p w14:paraId="063D39B2"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2. Was the study population clearly specified and defined?</w:t>
            </w:r>
          </w:p>
          <w:p w14:paraId="75DB1A9B" w14:textId="77777777" w:rsidR="00892A33" w:rsidRPr="00892A33" w:rsidRDefault="00892A33" w:rsidP="00892A33">
            <w:pPr>
              <w:spacing w:after="160" w:line="259" w:lineRule="auto"/>
              <w:jc w:val="center"/>
              <w:rPr>
                <w:rFonts w:ascii="Times New Roman" w:eastAsia="Calibri" w:hAnsi="Times New Roman" w:cs="Times New Roman"/>
                <w:b/>
                <w:bCs/>
                <w:sz w:val="14"/>
                <w:szCs w:val="14"/>
              </w:rPr>
            </w:pPr>
          </w:p>
        </w:tc>
        <w:tc>
          <w:tcPr>
            <w:tcW w:w="1045" w:type="dxa"/>
            <w:vAlign w:val="center"/>
          </w:tcPr>
          <w:p w14:paraId="7198AE4E"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3. Was the participation rate of eligible persons at least 50%?</w:t>
            </w:r>
          </w:p>
          <w:p w14:paraId="0963EC3D" w14:textId="77777777" w:rsidR="00892A33" w:rsidRPr="00892A33" w:rsidRDefault="00892A33" w:rsidP="00892A33">
            <w:pPr>
              <w:spacing w:after="160" w:line="259" w:lineRule="auto"/>
              <w:jc w:val="center"/>
              <w:rPr>
                <w:rFonts w:ascii="Times New Roman" w:eastAsia="Calibri" w:hAnsi="Times New Roman" w:cs="Times New Roman"/>
                <w:b/>
                <w:bCs/>
                <w:sz w:val="14"/>
                <w:szCs w:val="14"/>
              </w:rPr>
            </w:pPr>
          </w:p>
        </w:tc>
        <w:tc>
          <w:tcPr>
            <w:tcW w:w="1058" w:type="dxa"/>
            <w:vAlign w:val="center"/>
          </w:tcPr>
          <w:p w14:paraId="596A840D"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4. Were all the subjects selected or recruited from the same or similar populations (including the same time period)? Were inclusion and exclusion criteria for being in the study prespecified and applied uniformly to all participants?</w:t>
            </w:r>
          </w:p>
          <w:p w14:paraId="6658C0C9" w14:textId="77777777" w:rsidR="00892A33" w:rsidRPr="00892A33" w:rsidRDefault="00892A33" w:rsidP="00892A33">
            <w:pPr>
              <w:spacing w:after="160" w:line="259" w:lineRule="auto"/>
              <w:jc w:val="center"/>
              <w:rPr>
                <w:rFonts w:ascii="Times New Roman" w:eastAsia="Calibri" w:hAnsi="Times New Roman" w:cs="Times New Roman"/>
                <w:b/>
                <w:bCs/>
                <w:sz w:val="14"/>
                <w:szCs w:val="14"/>
              </w:rPr>
            </w:pPr>
          </w:p>
        </w:tc>
        <w:tc>
          <w:tcPr>
            <w:tcW w:w="1035" w:type="dxa"/>
            <w:vAlign w:val="center"/>
          </w:tcPr>
          <w:p w14:paraId="75E8C598"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5. Was a sample size justification, power description, or variance and effect estimates provided?</w:t>
            </w:r>
          </w:p>
          <w:p w14:paraId="7DF14B9B" w14:textId="77777777" w:rsidR="00892A33" w:rsidRPr="00892A33" w:rsidRDefault="00892A33" w:rsidP="00892A33">
            <w:pPr>
              <w:spacing w:after="160" w:line="259" w:lineRule="auto"/>
              <w:jc w:val="center"/>
              <w:rPr>
                <w:rFonts w:ascii="Times New Roman" w:eastAsia="Calibri" w:hAnsi="Times New Roman" w:cs="Times New Roman"/>
                <w:b/>
                <w:bCs/>
                <w:sz w:val="14"/>
                <w:szCs w:val="14"/>
              </w:rPr>
            </w:pPr>
          </w:p>
        </w:tc>
        <w:tc>
          <w:tcPr>
            <w:tcW w:w="993" w:type="dxa"/>
            <w:vAlign w:val="center"/>
          </w:tcPr>
          <w:p w14:paraId="2CEE6F06"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6. For the analyses in this paper, were the exposure(s) of interest measured prior to the outcome(s) being measured?</w:t>
            </w:r>
          </w:p>
          <w:p w14:paraId="5225FA71" w14:textId="77777777" w:rsidR="00892A33" w:rsidRPr="00892A33" w:rsidRDefault="00892A33" w:rsidP="00892A33">
            <w:pPr>
              <w:spacing w:after="160" w:line="259" w:lineRule="auto"/>
              <w:jc w:val="center"/>
              <w:rPr>
                <w:rFonts w:ascii="Times New Roman" w:eastAsia="Calibri" w:hAnsi="Times New Roman" w:cs="Times New Roman"/>
                <w:b/>
                <w:bCs/>
                <w:sz w:val="14"/>
                <w:szCs w:val="14"/>
              </w:rPr>
            </w:pPr>
          </w:p>
        </w:tc>
        <w:tc>
          <w:tcPr>
            <w:tcW w:w="870" w:type="dxa"/>
            <w:vAlign w:val="center"/>
          </w:tcPr>
          <w:p w14:paraId="1605A2E9"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7. Was the timeframe sufficient so that one could reasonably expect to see an association between exposure and outcome if it existed?</w:t>
            </w:r>
          </w:p>
          <w:p w14:paraId="714780A9"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901" w:type="dxa"/>
            <w:vAlign w:val="center"/>
          </w:tcPr>
          <w:p w14:paraId="5F1FC030"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8. For exposures that can vary in amount or level, did the study examine different levels of the exposure as related to the outcome (e.g., categories of exposure, or exposure measured as continuous variable)?</w:t>
            </w:r>
          </w:p>
          <w:p w14:paraId="601CE7BF"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1010" w:type="dxa"/>
            <w:vAlign w:val="center"/>
          </w:tcPr>
          <w:p w14:paraId="4FF38352"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9. Were the exposure measures (independent variables) clearly defined, valid, reliable, and implemented consistently across all study participants?</w:t>
            </w:r>
          </w:p>
          <w:p w14:paraId="4C01C112"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901" w:type="dxa"/>
            <w:vAlign w:val="center"/>
          </w:tcPr>
          <w:p w14:paraId="7A58B909"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10. Was the exposure(s) assessed more than once over time?</w:t>
            </w:r>
          </w:p>
          <w:p w14:paraId="38BF84E2"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1010" w:type="dxa"/>
            <w:vAlign w:val="center"/>
          </w:tcPr>
          <w:p w14:paraId="26599A42"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11. Were the outcome measures (dependent variables) clearly defined, valid, reliable, and implemented consistently across all study participants?</w:t>
            </w:r>
          </w:p>
          <w:p w14:paraId="567FACBE"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1010" w:type="dxa"/>
            <w:vAlign w:val="center"/>
          </w:tcPr>
          <w:p w14:paraId="7B12DBE6"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12. Were the outcome assessors blinded to the exposure status of participants?</w:t>
            </w:r>
          </w:p>
          <w:p w14:paraId="1D8AEF75"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699" w:type="dxa"/>
            <w:vAlign w:val="center"/>
          </w:tcPr>
          <w:p w14:paraId="76111A5E"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13. Was loss to follow-up after baseline 20% or less?</w:t>
            </w:r>
          </w:p>
          <w:p w14:paraId="092D7134"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963" w:type="dxa"/>
            <w:vAlign w:val="center"/>
          </w:tcPr>
          <w:p w14:paraId="2F5C7E7B"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14. Were key potential confounding variables measured and adjusted statistically for their impact on the relationship between exposure(s) and outcome(s)?</w:t>
            </w:r>
          </w:p>
          <w:p w14:paraId="0A6CFD11"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p>
        </w:tc>
        <w:tc>
          <w:tcPr>
            <w:tcW w:w="590" w:type="dxa"/>
            <w:vAlign w:val="center"/>
          </w:tcPr>
          <w:p w14:paraId="12353A7D" w14:textId="77777777" w:rsidR="00892A33" w:rsidRPr="00892A33" w:rsidRDefault="00892A33" w:rsidP="00892A33">
            <w:pPr>
              <w:spacing w:after="160" w:line="259" w:lineRule="auto"/>
              <w:jc w:val="center"/>
              <w:rPr>
                <w:rFonts w:ascii="Times New Roman" w:eastAsia="Calibri" w:hAnsi="Times New Roman" w:cs="Times New Roman"/>
                <w:b/>
                <w:bCs/>
                <w:color w:val="000000"/>
                <w:sz w:val="14"/>
                <w:szCs w:val="14"/>
              </w:rPr>
            </w:pPr>
            <w:r w:rsidRPr="00892A33">
              <w:rPr>
                <w:rFonts w:ascii="Times New Roman" w:eastAsia="Calibri" w:hAnsi="Times New Roman" w:cs="Times New Roman"/>
                <w:b/>
                <w:bCs/>
                <w:color w:val="000000"/>
                <w:sz w:val="14"/>
                <w:szCs w:val="14"/>
              </w:rPr>
              <w:t>NIH tool Total score</w:t>
            </w:r>
          </w:p>
        </w:tc>
      </w:tr>
      <w:tr w:rsidR="00892A33" w:rsidRPr="00892A33" w14:paraId="60BA9652" w14:textId="77777777" w:rsidTr="000C3C27">
        <w:tc>
          <w:tcPr>
            <w:tcW w:w="1580" w:type="dxa"/>
            <w:vAlign w:val="center"/>
          </w:tcPr>
          <w:p w14:paraId="7DA434F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Aas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{"citationItems":[{"id":"ITEM-1","itemData":{"DOI":"https://doi.org/10.1016/j.bbi.2017.06.005","ISSN":"0889-1591","abstract":"Background Several studies have described an association between childhood maltreatment and inflammatory markers in the psychotic disorders (schizophrenia [SZ] and bipolar disorder [BD]). Previous studies have been relatively small (&lt;50 participants), and the severity of abuse and the putative influence of body mass index (BMI) have not been properly investigated. Methods The combined effects of childhood abuse severity and clinical diagnosis on inflammatory markers were investigated in a large sample (n=483) of patients with a disorder on the psychosis spectrum and in healthy controls (HCs). Plasma levels of inflammatory markers (high-sensitivity C-reactive protein [hs-CRP], soluble tumor necrosis factor receptor type 1 [TNFR-R1], glycoprotein 130 [gp130]) were analyzed, and BMI and data on childhood trauma events, on the basis of the Childhood Trauma Questionnaire (CTQ), were obtained from all participants. Results Patients had increased levels of hs-CRP (P&lt;0.001, Cohens d=0.4), lower levels of gp130 (P&lt;0.001, Cohens d=0.5), higher BMI (P&lt;0.001, Cohens d=0.5) and reported more childhood maltreatment experiences (P&lt;0.001, Cohens d=1.2) than the HC group. The severity of childhood abuse (up to three types of abuse: sexual abuse, physical abuse, and emotional abuse) was associated with elevated BMI (f=8.46, P&lt;0.001, Cohen’s d=0.5) and hs-CRP (f=5.47, P=0.001, Cohen’s d=0.3). Combined effects of patient status and severity of childhood abuse were found for elevated hs-CRP (f=4.76, P&lt;0.001, Cohen’s d=0.4). Differences among the groups disappeared when BMI was added to the model. Discussion Trauma-altered immune activation via elevated hs-CRP in patients with SZ and BD may be mediated by higher BMI; however, the direction of this association needs further clarification.","author":[{"dropping-particle":"","family":"Aas","given":"Monica","non-dropping-particle":"","parse-names":false,"suffix":""},{"dropping-particle":"","family":"Dieset","given":"Ingrid","non-dropping-particle":"","parse-names":false,"suffix":""},{"dropping-particle":"","family":"Hope","given":"Sigrun","non-dropping-particle":"","parse-names":false,"suffix":""},{"dropping-particle":"","family":"Hoseth","given":"Eva","non-dropping-particle":"","parse-names":false,"suffix":""},{"dropping-particle":"","family":"Mørch","given":"Ragni","non-dropping-particle":"","parse-names":false,"suffix":""},{"dropping-particle":"","family":"Reponen","given":"Elina","non-dropping-particle":"","parse-names":false,"suffix":""},{"dropping-particle":"","family":"Steen","given":"Nils Eiel","non-dropping-particle":"","parse-names":false,"suffix":""},{"dropping-particle":"","family":"Laskemoen","given":"Jannicke Fjæra","non-dropping-particle":"","parse-names":false,"suffix":""},{"dropping-particle":"","family":"Ueland","given":"Thor","non-dropping-particle":"","parse-names":false,"suffix":""},{"dropping-particle":"","family":"Aukrust","given":"Pål","non-dropping-particle":"","parse-names":false,"suffix":""},{"dropping-particle":"","family":"Agartz","given":"Ingrid","non-dropping-particle":"","parse-names":false,"suffix":""},{"dropping-particle":"","family":"Andreassen","given":"Ole A","non-dropping-particle":"","parse-names":false,"suffix":""},{"dropping-particle":"","family":"Melle","given":"Ingrid","non-dropping-particle":"","parse-names":false,"suffix":""}],"container-title":"Brain, Behavior, and Immunity","id":"ITEM-1","issued":{"date-parts":[["2017"]]},"page":"342-349","title":"Childhood maltreatment severity is associated with elevated C-reactive protein and body mass index in adults with schizophrenia and bipolar diagnoses","type":"article-journal","volume":"65"},"uris":["http://www.mendeley.com/documents/?uuid=5165d35f-7254-49a3-bc3c-07b8ce42049a"]}],"mendeley":{"formattedCitation":"(Aas et al., 2017)","plainTextFormattedCitation":"(Aas et al., 2017)","previouslyFormattedCitation":"(Aas et al., 2017)"},"properties":{"noteIndex":0},"schema":"https://github.com/citation-style-language/schema/raw/master/csl-citation.json"}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(Aas et al., 2017)</w:t>
            </w:r>
            <w:r w:rsidRPr="00892A33">
              <w:rPr>
                <w:rFonts w:ascii="Times New Roman" w:eastAsia="Calibri" w:hAnsi="Times New Roman" w:cs="Times New Roman"/>
                <w:sz w:val="16"/>
                <w:szCs w:val="16"/>
                <w:lang w:val="it-IT"/>
              </w:rPr>
              <w:fldChar w:fldCharType="end"/>
            </w:r>
          </w:p>
        </w:tc>
        <w:tc>
          <w:tcPr>
            <w:tcW w:w="895" w:type="dxa"/>
            <w:vAlign w:val="center"/>
          </w:tcPr>
          <w:p w14:paraId="1F910F1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1AFDEA0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A072F1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20A6291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183703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A74901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74C7F52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3615BC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ADE1BE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35E1E47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60721E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4AAD090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6B40A83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A8208D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599914A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4</w:t>
            </w:r>
          </w:p>
        </w:tc>
      </w:tr>
      <w:tr w:rsidR="00892A33" w:rsidRPr="00892A33" w14:paraId="4CBB42AF" w14:textId="77777777" w:rsidTr="000C3C27">
        <w:tc>
          <w:tcPr>
            <w:tcW w:w="1580" w:type="dxa"/>
            <w:vAlign w:val="center"/>
          </w:tcPr>
          <w:p w14:paraId="7125BC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Bai et al., 2015</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{"citationItems":[{"id":"ITEM-1","itemData":{"DOI":"https://doi.org/10.1111/bdi.12259","ISSN":"1398-5647","abstract":"Objective Research evidence has shown that bipolar disorder (BD) and unipolar depression (UD) are both related to inflammatory dysregulation, but few studies have compared the levels of cytokines between these two disorders. Methods Study subjects were age- and gender-matched outpatients with BD or UD and normal controls (NC). Severities of depression and mania symptoms were assessed with the Montgomery?Åsberg Depression Rating Scale (MADRS) and the Young Mania Rating Scale (YMRS). Pro-inflammatory cytokines, including soluble interleukin-6 receptor (sIL-6R), soluble interleukin-2 receptor (sIL-2R), C-reactive protein (CRP), soluble tumor necrosis factor receptor type 1 (sTNF-R1), soluble p-selectin receptor (sP-selectin), and monocyte chemotactic protein-1 (MCP-1), were assessed in all subjects by enzyme-linked immunosorbent assays. Results In all, 130 patients with BD, 149 patients with UD, and 130 NC were enrolled in the study; 67.6% were female and the average age was mean ± standard deviation (SD) 43.5 ± 11.8 years. The BD group had a significantly higher smoking rate, more medical comorbidity, higher body mass index (BMI), and higher levels of sIL-2R, sIL-6R, CRP, sTNF-R1, and MCP-1 (all p &lt; 0.01) than the UD and NC groups. When the remitted patients with BD (YMRS scores ≤ 12) were compared with the patients with UD, controlling for age, MADRS score, smoking, medical comorbidity, and BMI in the regression model, the results showed that the BD group had significantly higher levels of sIL-6R (p &lt; 0.001), CRP (p = 0.045), sTNF-R1 (p = 0.036), and MCP-1 (p = 0.001) than the UD group. Conclusions Higher levels of sIL-6R, CRP, sTNF-R1, and MCP-1 were noted in BD than in UD. These results may suggest a more severe inflammatory dysregulation in BD. Further studies are required to investigate whether these cytokines could be biomarkers for affective disorders.","author":[{"dropping-particle":"","family":"Bai","given":"Ya-Mei","non-dropping-particle":"","parse-names":false,"suffix":""},{"dropping-particle":"","family":"Su","given":"Tung-Ping","non-dropping-particle":"","parse-names":false,"suffix":""},{"dropping-particle":"","family":"Li","given":"Cheng-Ta","non-dropping-particle":"","parse-names":false,"suffix":""},{"dropping-particle":"","family":"Tsai","given":"Shih-Jen","non-dropping-particle":"","parse-names":false,"suffix":""},{"dropping-particle":"","family":"Chen","given":"Mu-Hong","non-dropping-particle":"","parse-names":false,"suffix":""},{"dropping-particle":"","family":"Tu","given":"Pei-Chi","non-dropping-particle":"","parse-names":false,"suffix":""},{"dropping-particle":"","family":"Chiou","given":"Wen-Fei","non-dropping-particle":"","parse-names":false,"suffix":""}],"container-title":"Bipolar Disorders","id":"ITEM-1","issue":"3","issued":{"date-parts":[["2015","5"]]},"page":"269-277","publisher":"John Wiley &amp; Sons, Ltd","title":"Comparison of pro-inflammatory cytokines among patients with bipolar disorder and unipolar depression and normal controls","type":"article-journal","volume":"17"},"uris":["http://www.mendeley.com/documents/?uuid=bb7e6e65-4f3c-4ff3-a471-49681c41c12d"]}],"mendeley":{"formattedCitation":"(Bai et al., 2015)","plainTextFormattedCitation":"(Bai et al., 2015)","previouslyFormattedCitation":"(Bai et al., 2015)"},"properties":{"noteIndex":0},"schema":"https://github.com/citation-style-language/schema/raw/master/csl-citation.json"}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(Bai et al., 2015)</w:t>
            </w:r>
            <w:r w:rsidRPr="00892A33">
              <w:rPr>
                <w:rFonts w:ascii="Times New Roman" w:eastAsia="Calibri" w:hAnsi="Times New Roman" w:cs="Times New Roman"/>
                <w:sz w:val="16"/>
                <w:szCs w:val="16"/>
                <w:lang w:val="it-IT"/>
              </w:rPr>
              <w:fldChar w:fldCharType="end"/>
            </w:r>
          </w:p>
        </w:tc>
        <w:tc>
          <w:tcPr>
            <w:tcW w:w="895" w:type="dxa"/>
            <w:vAlign w:val="center"/>
          </w:tcPr>
          <w:p w14:paraId="4FBB80D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74B662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529A54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05A2383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3B54639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F7C584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5052F11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8F79E4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E80CA7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5DE4E11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09B4A4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07D5E5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7499BDB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491034E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0DCB565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3AC69056" w14:textId="77777777" w:rsidTr="000C3C27">
        <w:tc>
          <w:tcPr>
            <w:tcW w:w="1580" w:type="dxa"/>
            <w:vAlign w:val="center"/>
          </w:tcPr>
          <w:p w14:paraId="46FA049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Barbosa et al., 2011</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{"citationItems":[{"id":"ITEM-1","itemData":{"DOI":"10.1007/s00406-010-0116-z","ISSN":"09401334","PMID":"20446090","abstract":"Bipolar disorder (BD) has been associated with a proinflammatory state in which TNF-α seems to play a relevant role. The aim of the present study was to evaluate the plasma levels of TNF-α and its soluble receptors (sTNFR1 and sTNFR2) in BD patients in mania and euthymia in comparison with control subjects. We evaluated 53 BD patients (34 in mania and 19 in euthymia) and 38 healthy subjects. All subjects were assessed by the Mini-International Neuropsychiatry Interview (MINI-Plus). Patients were also evaluated by the Young Mania Rating Scale (YMRS) and by Hamilton Depression Rating Scale (HDRS). Plasma TNF-α and its soluble receptors were measured by ELISA. The plasma TNF-α and sTNFR2 levels did not differ between groups, but higher sTNFR1 levels were found in BD patients. Of note, BD patients in mania had higher sTNFR1 levels than BD patients in euthymia and controls. The sTNFR1 and sTNFR2 levels correlated with BD duration, and sTNFR2 levels correlated with age of patients. Our data indicate a proinflammatory status in BD patients during mania and further suggest that inflammatory mechanisms may be involved with the physiopathology of BD. © 2010 Springer-Verlag.","author":[{"dropping-particle":"","family":"Barbosa","given":"Izabela Guimarães","non-dropping-particle":"","parse-names":false,"suffix":""},{"dropping-particle":"","family":"Huguet","given":"Rodrigo Barreto","non-dropping-particle":"","parse-names":false,"suffix":""},{"dropping-particle":"","family":"Mendonça","given":"Vanessa Amaral","non-dropping-particle":"","parse-names":false,"suffix":""},{"dropping-particle":"","family":"Sousa","given":"Lirlândia Pires","non-dropping-particle":"","parse-names":false,"suffix":""},{"dropping-particle":"","family":"Neves","given":"Fernando Silva","non-dropping-particle":"","parse-names":false,"suffix":""},{"dropping-particle":"","family":"Bauer","given":"Moisés Evandro","non-dropping-particle":"","parse-names":false,"suffix":""},{"dropping-particle":"","family":"Teixeira","given":"Antônio Lúcio","non-dropping-particle":"","parse-names":false,"suffix":""}],"container-title":"European Archives of Psychiatry and Clinical Neuroscience","id":"ITEM-1","issued":{"date-parts":[["2011"]]},"title":"Increased plasma levels of soluble TNF receptor i in patients with bipolar disorder","type":"article-journal"},"uris":["http://www.mendeley.com/documents/?uuid=8a450778-ba36-46aa-be0d-9315dfb795bf"]}],"mendeley":{"formattedCitation":"(Barbosa et al., 2011)","plainTextFormattedCitation":"(Barbosa et al., 2011)","previouslyFormattedCitation":"(Barbosa et al., 2011)"},"properties":{"noteIndex":0},"schema":"https://github.com/citation-style-language/schema/raw/master/csl-citation.json"}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(Barbosa et al., 2011)</w:t>
            </w:r>
            <w:r w:rsidRPr="00892A33">
              <w:rPr>
                <w:rFonts w:ascii="Times New Roman" w:eastAsia="Calibri" w:hAnsi="Times New Roman" w:cs="Times New Roman"/>
                <w:sz w:val="16"/>
                <w:szCs w:val="16"/>
                <w:lang w:val="it-IT"/>
              </w:rPr>
              <w:fldChar w:fldCharType="end"/>
            </w:r>
          </w:p>
        </w:tc>
        <w:tc>
          <w:tcPr>
            <w:tcW w:w="895" w:type="dxa"/>
            <w:vAlign w:val="center"/>
          </w:tcPr>
          <w:p w14:paraId="008E3C7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BB1880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4BB56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71FBAE3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5F580D4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500198A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684B472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2AF51A8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80871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6F0A91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99492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43B9B87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46E6BCC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1CE5927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2E31779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6E0B1255" w14:textId="77777777" w:rsidTr="000C3C27">
        <w:tc>
          <w:tcPr>
            <w:tcW w:w="1580" w:type="dxa"/>
            <w:vAlign w:val="center"/>
          </w:tcPr>
          <w:p w14:paraId="6E9C05F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Barbosa et al., 2012 A</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{"citationItems":[{"id":"ITEM-1","itemData":{"DOI":"https://doi.org/10.1016/j.jpsychires.2011.11.010","ISSN":"0022-3956","abstract":"Bipolar disorder (BD) is associated with considerable higher chronic medical comorbidities, overweight and obesity. Adipokines are adipocyte-derived secretory factors which have functions in immune response and seem to be associated with both BD and overweight. The aim of this study was to evaluate the plasma levels of adipokines (adiponectin, resistin and leptin) and TNF-α and its receptors (sTNFR1 and sTNFR2) in BD overweight patients in comparison with overweight controls. Thirty euthymic BD type-I patients and thirty controls matched by age, gender and body-mass index (BMI) were assessed by Mini-International Neuropsychiatric Interview, Young Mania and Hamilton Depression rating scales (YMRS and HDRS, respectively). Plasma levels of adiponectin, resistin, leptin, TNF-α and its soluble receptors were measured by ELISA. BD patients presented increased plasma levels of adiponectin (p &lt; 0.001), leptin (p &lt; 0.001) and sTNFR1 (p = 0.01). Plasma levels of adipokines were not correlated neither with clinical parameters nor TNF-α, sTNFR1 and sTNFR2 plasma levels. This study provides further support to the hypothesis of the immune/inflammatory imbalance in BD.","author":[{"dropping-particle":"","family":"Barbosa","given":"Izabela Guimarães","non-dropping-particle":"","parse-names":false,"suffix":""},{"dropping-particle":"","family":"Rocha","given":"Natalia Pessoa","non-dropping-particle":"","parse-names":false,"suffix":""},{"dropping-particle":"de","family":"Miranda","given":"Aline Silva","non-dropping-particle":"","parse-names":false,"suffix":""},{"dropping-particle":"","family":"Magalhães","given":"Pedro Vieira da Silva","non-dropping-particle":"","parse-names":false,"suffix":""},{"dropping-particle":"","family":"Huguet","given":"Rodrigo Barreto","non-dropping-particle":"","parse-names":false,"suffix":""},{"dropping-particle":"de","family":"Souza","given":"Lirlandia Pires","non-dropping-particle":"","parse-names":false,"suffix":""},{"dropping-particle":"","family":"Kapczinski","given":"Flávio","non-dropping-particle":"","parse-names":false,"suffix":""},{"dropping-particle":"","family":"Teixeira","given":"Antonio Lucio","non-dropping-particle":"","parse-names":false,"suffix":""}],"container-title":"Journal of Psychiatric Research","id":"ITEM-1","issue":"3","issued":{"date-parts":[["2012"]]},"page":"389-393","title":"Increased levels of adipokines in bipolar disorder","type":"article-journal","volume":"46"},"uris":["http://www.mendeley.com/documents/?uuid=cbba4c25-8fa2-4359-b86e-835ad16020e4"]}],"mendeley":{"formattedCitation":"(Barbosa et al., 2012b)","plainTextFormattedCitation":"(Barbosa et al., 2012b)","previouslyFormattedCitation":"(Barbosa et al., 2012b)"},"properties":{"noteIndex":0},"schema":"https://github.com/citation-style-language/schema/raw/master/csl-citation.json"}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(Barbosa et al., 2012b)</w:t>
            </w:r>
            <w:r w:rsidRPr="00892A33">
              <w:rPr>
                <w:rFonts w:ascii="Times New Roman" w:eastAsia="Calibri" w:hAnsi="Times New Roman" w:cs="Times New Roman"/>
                <w:sz w:val="16"/>
                <w:szCs w:val="16"/>
                <w:lang w:val="it-IT"/>
              </w:rPr>
              <w:fldChar w:fldCharType="end"/>
            </w:r>
          </w:p>
        </w:tc>
        <w:tc>
          <w:tcPr>
            <w:tcW w:w="895" w:type="dxa"/>
            <w:vAlign w:val="center"/>
          </w:tcPr>
          <w:p w14:paraId="729D9C9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38D07D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747201B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54B7CD8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A55639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8D9F7F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4D097D7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0020134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9916A9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0AB2A86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02F34A3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4A72EEC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64031F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57CA05D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7C4E973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395F04B4" w14:textId="77777777" w:rsidTr="000C3C27">
        <w:tc>
          <w:tcPr>
            <w:tcW w:w="1580" w:type="dxa"/>
            <w:vAlign w:val="center"/>
          </w:tcPr>
          <w:p w14:paraId="39CB377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Barbosa et al., 2012 B</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{"citationItems":[{"id":"ITEM-1","itemData":{"DOI":"10.1016/j.jad.2011.12.034","ISSN":"01650327","PMID":"22252095","abstract":"Background: Despite the old Kraepelinean concept that bipolar disorder (BD) does not evolve with cognitive decline, the presence of cognitive impairment, especially executive dysfunction has been recognized in BD patients. Brain-derived neurotrophic factor (BDNF) and pro-inflammatory molecules are important contributors to the pathophysiology of BD, and imbalance in peripheral levels of these molecules may be implicated in the cognitive decline observed in BD patients. We aimed to investigate the executive performance of BD type I euthymic patients and its relation with the plasma levels of BDNF, TNF-α and its related soluble receptors (sTNFR1 and sTNFR2). Methods: We evaluated executive functioning through the Frontal Assessment Battery (FAB). Plasma levels of BDNF, TNF-α, sTNFR1 and sTNFR2 were measured using enzyme-linked immunosorbent assay (ELISA) in 25 euthymic type I BD patients and 25 age and gender matched healthy controls. Results: BD patients had an impairment in executive functioning (p &lt; 0.006), particularly sensitivity of interference (p = 0.02), inhibitory control (p = 0.02), and increased BDNF plasma levels (p = 0.001) in comparison with controls. Plasma levels of TNF-α were correlated with inhibitory control in BD patients (ρ = 0.50, p = 0.02) while motor programming was negatively correlated with sTNFR2 plasma levels (ρ = - 0.47, p = 0.02) in controls. Executive function correlated with age and MMSE, but not with BDNF, neither was influenced by psychiatric and clinical comorbidities nor medications in use. Conclusion: BDNF is altered in BD but do not correlate with executive functioning. © 2011 Elsevier B.V. All rights reserved.","author":[{"dropping-particle":"","family":"Barbosa","given":"Izabela Guimarães","non-dropping-particle":"","parse-names":false,"suffix":""},{"dropping-particle":"","family":"Rocha","given":"Natalia Pessoa","non-dropping-particle":"","parse-names":false,"suffix":""},{"dropping-particle":"","family":"Huguet","given":"Rodrigo Barreto","non-dropping-particle":"","parse-names":false,"suffix":""},{"dropping-particle":"","family":"Ferreira","given":"Rodrigo A.","non-dropping-particle":"","parse-names":false,"suffix":""},{"dropping-particle":"","family":"Salgado","given":"João Vinícius","non-dropping-particle":"","parse-names":false,"suffix":""},{"dropping-particle":"","family":"Carvalho","given":"Livia A.","non-dropping-particle":"","parse-names":false,"suffix":""},{"dropping-particle":"","family":"Pariante","given":"Carmine M.","non-dropping-particle":"","parse-names":false,"suffix":""},{"dropping-particle":"","family":"Teixeira","given":"Antônio Lúcio","non-dropping-particle":"","parse-names":false,"suffix":""}],"container-title":"Journal of Affective Disorders","id":"ITEM-1","issue":"1-3","issued":{"date-parts":[["2012","3"]]},"page":"151-155","publisher":"J Affect Disord","title":"Executive dysfunction in euthymic bipolar disorder patients and its association with plasma biomarkers","type":"article-journal","volume":"137"},"uris":["http://www.mendeley.com/documents/?uuid=006b769c-17bf-4581-a504-41fb9b3f2cc2"]}],"mendeley":{"formattedCitation":"(Barbosa et al., 2012a)","plainTextFormattedCitation":"(Barbosa et al., 2012a)","previouslyFormattedCitation":"(Barbosa et al., 2012a)"},"properties":{"noteIndex":0},"schema":"https://github.com/citation-style-language/schema/raw/master/csl-citation.json"}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(Barbosa et al., 2012a)</w:t>
            </w:r>
            <w:r w:rsidRPr="00892A33">
              <w:rPr>
                <w:rFonts w:ascii="Times New Roman" w:eastAsia="Calibri" w:hAnsi="Times New Roman" w:cs="Times New Roman"/>
                <w:sz w:val="16"/>
                <w:szCs w:val="16"/>
                <w:lang w:val="it-IT"/>
              </w:rPr>
              <w:fldChar w:fldCharType="end"/>
            </w:r>
          </w:p>
        </w:tc>
        <w:tc>
          <w:tcPr>
            <w:tcW w:w="895" w:type="dxa"/>
            <w:vAlign w:val="center"/>
          </w:tcPr>
          <w:p w14:paraId="441CDD4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261B3F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45" w:type="dxa"/>
            <w:vAlign w:val="center"/>
          </w:tcPr>
          <w:p w14:paraId="194246B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1EA01D4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7F90AA4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6BE12C1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3864BD6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BC3E76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591F87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7BF6E6F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4A069E6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AF833E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1EEB23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3DC7042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16F7BEC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01F3E4FA" w14:textId="77777777" w:rsidTr="000C3C27">
        <w:tc>
          <w:tcPr>
            <w:tcW w:w="1580" w:type="dxa"/>
            <w:vAlign w:val="center"/>
          </w:tcPr>
          <w:p w14:paraId="0D44458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Barbosa et al., 2013</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{"citationItems":[{"id":"ITEM-1","itemData":{"DOI":"https://doi.org/10.1016/j.jpsychires.2013.08.019","ISSN":"0022-3956","abstract":"Bipolar disorder (BD) is a severe psychiatric disorder of complex physiopathology that has been associated with a pro-inflammatory state. The aim of the present study was to investigate intracellular pathways associated with inflammatory signaling, assessing the phosphorylation levels of transcription factor nuclear factor kappa B (NF-κB) and mitogen-activated protein kinase (MAPKs) in peripheral blood mononuclear cells of euthymic BD patients and healthy controls. Fifteen BD euthymic type I patients, and 12 healthy controls matched by age and gender were enrolled in this study. All subjects were assessed by the Mini-International Neuropsychiatry Interview and the patients also by the Young Mania Rating Scale and the Hamilton Depression Rating Scale. Phosphorylation levels of p65 NF-κB subunit, and MAPK ERK1/2, and p38 were assessed by Western blot and flow cytometry. Plasma cytokines (IL-2, IL-4, IL6, IL-10, IFN-γ, TNF-α, and IL-17A) were measured using cytometric bead arrays. Western blot and flow cytometry analyses showed increased phosphorylation levels of p65 NF-κB subunit, and MAPKs ERK1/2, and p38 in BD patients in euthymia in comparison with controls. BD patients presented increased pro-inflammatory cytokines levels in comparison with controls, and TNF-α correlated with the levels of phosphorylated p65 NF-κB. The present study found increased activation of MAPK and NF-κB pathways in BD patients, which is in line with a pro-inflammatory status.","author":[{"dropping-particle":"","family":"Barbosa","given":"Izabela Guimarães","non-dropping-particle":"","parse-names":false,"suffix":""},{"dropping-particle":"","family":"Nogueira","given":"Camila R C","non-dropping-particle":"","parse-names":false,"suffix":""},{"dropping-particle":"","family":"Rocha","given":"Natália Pessoa","non-dropping-particle":"","parse-names":false,"suffix":""},{"dropping-particle":"","family":"Queiroz","given":"Ana Luiza Lemos","non-dropping-particle":"","parse-names":false,"suffix":""},{"dropping-particle":"","family":"Vago","given":"Juliana Priscila","non-dropping-particle":"","parse-names":false,"suffix":""},{"dropping-particle":"","family":"Tavares","given":"Luciana Pádua","non-dropping-particle":"","parse-names":false,"suffix":""},{"dropping-particle":"","family":"Assis","given":"Frankcinéia","non-dropping-particle":"","parse-names":false,"suffix":""},{"dropping-particle":"","family":"Fagundes","given":"Caio Tavares","non-dropping-particle":"","parse-names":false,"suffix":""},{"dropping-particle":"","family":"Huguet","given":"Rodrigo Barreto","non-dropping-particle":"","parse-names":false,"suffix":""},{"dropping-particle":"","family":"Bauer","given":"Moisés Evandro","non-dropping-particle":"","parse-names":false,"suffix":""},{"dropping-particle":"","family":"Teixeira","given":"Antônio Lúcio","non-dropping-particle":"","parse-names":false,"suffix":""},{"dropping-particle":"","family":"Sousa","given":"Lirlândia Pires","non-dropping-particle":"de","parse-names":false,"suffix":""}],"container-title":"Journal of Psychiatric Research","id":"ITEM-1","issue":"12","issued":{"date-parts":[["2013"]]},"page":"1949-1954","title":"Altered intracellular signaling cascades in peripheral blood mononuclear cells from BD patients","type":"article-journal","volume":"47"},"uris":["http://www.mendeley.com/documents/?uuid=2648e4d4-4258-4e12-bb36-e5e1a2cb5ed2"]}],"mendeley":{"formattedCitation":"(Barbosa et al., 2013)","plainTextFormattedCitation":"(Barbosa et al., 2013)","previouslyFormattedCitation":"(Barbosa et al., 2013)"},"properties":{"noteIndex":0},"schema":"https://github.com/citation-style-language/schema/raw/master/csl-citation.json"}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(Barbosa et al., 2013)</w:t>
            </w:r>
            <w:r w:rsidRPr="00892A33">
              <w:rPr>
                <w:rFonts w:ascii="Times New Roman" w:eastAsia="Calibri" w:hAnsi="Times New Roman" w:cs="Times New Roman"/>
                <w:sz w:val="16"/>
                <w:szCs w:val="16"/>
                <w:lang w:val="it-IT"/>
              </w:rPr>
              <w:fldChar w:fldCharType="end"/>
            </w:r>
          </w:p>
        </w:tc>
        <w:tc>
          <w:tcPr>
            <w:tcW w:w="895" w:type="dxa"/>
            <w:vAlign w:val="center"/>
          </w:tcPr>
          <w:p w14:paraId="0F2B571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0CB885B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DEE831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6227D96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DCB37C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6827A97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549CB10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A3FB32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8C9C58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FAC83E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84CC19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63AB3F5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BAA51D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1011648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064AE30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6E3A9BF7" w14:textId="77777777" w:rsidTr="000C3C27">
        <w:tc>
          <w:tcPr>
            <w:tcW w:w="1580" w:type="dxa"/>
            <w:vAlign w:val="center"/>
          </w:tcPr>
          <w:p w14:paraId="04A3FA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lastRenderedPageBreak/>
              <w:t>Barbosa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{"citationItems":[{"id":"ITEM-1","itemData":{"DOI":"10.9758/cpn.2017.15.3.269","ISSN":"1738-1088","abstract":"ObjectivePatients with bipolar disorder (BD) exhibit peripheral low-grade inflammation. The aim of the current study was to investigate the involvement of hitherto unexplored components of the tumor necrosis factor (TNF) superfamily in BD.MethodsEighty patients with type I BD and 50 healthy controls matched for age and gender were enrolled in this study. All subjects were assessed with the Mini-Plus to evaluate psychiatric comorbidities; the Young Mania Rating Scale and the Hamilton Depression Rating Scale to evaluate manic and depressive symptoms severity, respectively. TNF superfamily molecules (TNF, TNF-related weak inducer of apoptosis &amp;#x0005B;TWEAK&amp;#x0005D;, TNF-related apoptosis-inducing ligand &amp;#x0005B;TRAIL&amp;#x0005D;, soluble TNF receptor type 1 &amp;#x0005B;sTNFR1&amp;#x0005D;, and soluble TNF receptor type 2 &amp;#x0005B;sTNFR2&amp;#x0005D;) levels were measured by ELISA.ResultsPatients with BD, regardless of mood state, presented increased plasma levels of sTNFR1 and TWEAK in comparison with controls.ConclusionThese findings corroborate the view that TNF superfamily may play a role in BD pathophysiology.","author":[{"dropping-particle":"","family":"Barbosa","given":"Izabela G","non-dropping-particle":"","parse-names":false,"suffix":""},{"dropping-particle":"","family":"Vaz","given":"Gabriela Neves","non-dropping-particle":"","parse-names":false,"suffix":""},{"dropping-particle":"","family":"Rocha","given":"Natalia Pessoa","non-dropping-particle":"","parse-names":false,"suffix":""},{"dropping-particle":"","family":"Machado-Vieira","given":"Rodrigo","non-dropping-particle":"","parse-names":false,"suffix":""},{"dropping-particle":"","family":"Ventura","given":"Marcio Rogerio Diniz","non-dropping-particle":"","parse-names":false,"suffix":""},{"dropping-particle":"","family":"Huguet","given":"Rodrigo B","non-dropping-particle":"","parse-names":false,"suffix":""},{"dropping-particle":"","family":"Bauer","given":"Moises E","non-dropping-particle":"","parse-names":false,"suffix":""},{"dropping-particle":"","family":"Berk","given":"Michael","non-dropping-particle":"","parse-names":false,"suffix":""},{"dropping-particle":"","family":"Teixeira","given":"Antônio L","non-dropping-particle":"","parse-names":false,"suffix":""}],"container-title":"Clinical Psychopharmacology and Neuroscience","edition":"2017/08/31","id":"ITEM-1","issue":"3","issued":{"date-parts":[["2017","8"]]},"language":"eng","page":"269-275","publisher":"The Korean College of Neuropsychopharmacology","title":"Plasma Levels of Tumor Necrosis Factor Superfamily Molecules Are Increased in Bipolar Disorder","type":"article-journal","volume":"15"},"uris":["http://www.mendeley.com/documents/?uuid=f5d60dcd-f0ed-4c31-a4b6-5c40bbb37588"]}],"mendeley":{"formattedCitation":"(Barbosa et al., 2017)","plainTextFormattedCitation":"(Barbosa et al., 2017)","previouslyFormattedCitation":"(Barbosa et al., 2017)"},"properties":{"noteIndex":0},"schema":"https://github.com/citation-style-language/schema/raw/master/csl-citation.json"}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(Barbosa et al., 2017)</w:t>
            </w:r>
            <w:r w:rsidRPr="00892A33">
              <w:rPr>
                <w:rFonts w:ascii="Times New Roman" w:eastAsia="Calibri" w:hAnsi="Times New Roman" w:cs="Times New Roman"/>
                <w:sz w:val="16"/>
                <w:szCs w:val="16"/>
                <w:lang w:val="it-IT"/>
              </w:rPr>
              <w:fldChar w:fldCharType="end"/>
            </w:r>
          </w:p>
        </w:tc>
        <w:tc>
          <w:tcPr>
            <w:tcW w:w="895" w:type="dxa"/>
            <w:vAlign w:val="center"/>
          </w:tcPr>
          <w:p w14:paraId="21BE828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4A23FA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7F7124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3280ED4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171B002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01E29A3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6D42D79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3856A59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F1C411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9F9ED0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4068E6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A91674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7734A7D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3A18167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492367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32022911" w14:textId="77777777" w:rsidTr="000C3C27">
        <w:tc>
          <w:tcPr>
            <w:tcW w:w="1580" w:type="dxa"/>
            <w:vAlign w:val="center"/>
          </w:tcPr>
          <w:p w14:paraId="597E326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Boufidou et al., 2004</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{"citationItems":[{"id":"ITEM-1","itemData":{"DOI":"https://doi.org/10.1016/j.jad.2004.01.007","ISSN":"0165-0327","abstract":"Background: Our knowledge concerning immune functioning in bipolar affective disorder (BAD) is limited, while lithium's immunomodulatory effects seem multiple and conflicting. Our aim was to evaluate cytokine production and lithium's effect on it in BAD patients, using ELISPOT technique as a sensitive tool. Methods: Cytokine (IL-2, IL-6, IL-10 and IFN-γ) production from isolated peripheral blood lymphocytes (PBLs) was evaluated (ELISPOT technique) in 40 euthymic BAD patients under chronic lithium treatment, in 20 healthy volunteers, and in 10 never medicated BAD patients before and after the introduction of lithium therapy. In all cases, cytokine plasma levels were also measured using ELISA. Results: BAD patients under chronic lithium treatment had significantly lower numbers of IL-2, IL-6, IL-10 and IFN-γ secreting cells compared to healthy volunteers. The number of cytokine secreting cells decreased in never medicated patients after 3 months of lithium treatment. In vitro stimulation of PBLs with lithium did not affect the number of cytokine secreting cells either in the patients or in the healthy volunteers. Conclusions: The significantly lower number of PBLs producing cytokines (IL-2, IL-6, IL-10 and IFN-γ) in euthymic BAD patients under chronic lithium treatment result from the long-term (over 3 months) lithium administration. In vitro stimulation of PBLs with lithium did not change the number of cytokine producing cells. Our findings may be useful in elucidating possible downregulatory effects of lithium in humans.","author":[{"dropping-particle":"","family":"Boufidou","given":"Fotini","non-dropping-particle":"","parse-names":false,"suffix":""},{"dropping-particle":"","family":"Nikolaou","given":"Chryssoula","non-dropping-particle":"","parse-names":false,"suffix":""},{"dropping-particle":"","family":"Alevizos","given":"Basil","non-dropping-particle":"","parse-names":false,"suffix":""},{"dropping-particle":"","family":"Liappas","given":"Ioannis A","non-dropping-particle":"","parse-names":false,"suffix":""},{"dropping-particle":"","family":"Christodoulou","given":"George N","non-dropping-particle":"","parse-names":false,"suffix":""}],"container-title":"Journal of Affective Disorders","id":"ITEM-1","issue":"2","issued":{"date-parts":[["2004"]]},"page":"309-313","title":"Cytokine production in bipolar affective disorder patients under lithium treatment","type":"article-journal","volume":"82"},"uris":["http://www.mendeley.com/documents/?uuid=1668e5b1-5bf0-47fa-a0e1-2dc00061ada3"]}],"mendeley":{"formattedCitation":"(Boufidou et al., 2004)","plainTextFormattedCitation":"(Boufidou et al., 2004)","previouslyFormattedCitation":"(Boufidou et al., 2004)"},"properties":{"noteIndex":0},"schema":"https://github.com/citation-style-language/schema/raw/master/csl-citation.json"}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(Boufidou et al., 2004)</w:t>
            </w:r>
            <w:r w:rsidRPr="00892A33">
              <w:rPr>
                <w:rFonts w:ascii="Times New Roman" w:eastAsia="Calibri" w:hAnsi="Times New Roman" w:cs="Times New Roman"/>
                <w:sz w:val="16"/>
                <w:szCs w:val="16"/>
                <w:lang w:val="it-IT"/>
              </w:rPr>
              <w:fldChar w:fldCharType="end"/>
            </w:r>
          </w:p>
        </w:tc>
        <w:tc>
          <w:tcPr>
            <w:tcW w:w="895" w:type="dxa"/>
            <w:vAlign w:val="center"/>
          </w:tcPr>
          <w:p w14:paraId="5960E4B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753278D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2C53042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58" w:type="dxa"/>
            <w:vAlign w:val="center"/>
          </w:tcPr>
          <w:p w14:paraId="07D35EF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35" w:type="dxa"/>
            <w:vAlign w:val="center"/>
          </w:tcPr>
          <w:p w14:paraId="52EE8A1C"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24353B5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2932A3BE"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16C084C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72B23DC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3AF7D3D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5086473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4A6671E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572C86D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63" w:type="dxa"/>
            <w:vAlign w:val="center"/>
          </w:tcPr>
          <w:p w14:paraId="623E548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590" w:type="dxa"/>
            <w:vAlign w:val="center"/>
          </w:tcPr>
          <w:p w14:paraId="0C3D982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9</w:t>
            </w:r>
          </w:p>
        </w:tc>
      </w:tr>
      <w:tr w:rsidR="00892A33" w:rsidRPr="00892A33" w14:paraId="0F40C9AD" w14:textId="77777777" w:rsidTr="000C3C27">
        <w:tc>
          <w:tcPr>
            <w:tcW w:w="1580" w:type="dxa"/>
            <w:vAlign w:val="center"/>
          </w:tcPr>
          <w:p w14:paraId="17EE4D6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Brietzke et al., 2009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{"citationItems":[{"id":"ITEM-1","itemData":{"DOI":"https://doi.org/10.1016/j.jad.2008.12.001","ISSN":"0165-0327","abstract":"Background The neurobiology of bipolar disorder is not completely understood. Cytokines have received increasing attention as potential mediators of the interaction with immune, neuroendocrine system and specific pathways involved in mood, energy, and activity control. Previous reports have suggested the association of mania and bipolar depression with a proinflammatory state. However, they did not compare cytokine levels in all phases of bipolar disorder. Methods Sixty-one bipolar patients were recruited for assessment of serum cytokine levels. Of these, 14 were in euthymic state, 23 and 24 were in manic and depressive episodes, respectively. A healthy comparison group included 25 healthy volunteers. Cytokines involved in Th1/Th2 balance, such as TNF-α, IL-2, IL-4, IL-6, IL-10, IFN-γ, were examined by flow cytometry. Results During mania, proinflammatory cytokines, IL-2, IL-4 and IL-6, were increased in comparison with healthy subjects. Patients in depressive episode showed only increased IL-6 levels. There were no significant differences in cytokine levels between patients in remission and healthy subjects, except for IL-4. Mood symptoms showed a positive correlation with IL-6 and IL-2. Discussion These findings suggest that mania, and to a less extent, depression are associated with a proinflammatory state. These changes seem to be related to mood state, as changes in cytokine profile were more pronounced during acute episodes than in euthymia. This study provides further support to investigate the immune system as a target for future treatment development.","author":[{"dropping-particle":"","family":"Brietzke","given":"Elisa","non-dropping-particle":"","parse-names":false,"suffix":""},{"dropping-particle":"","family":"Stertz","given":"Laura","non-dropping-particle":"","parse-names":false,"suffix":""},{"dropping-particle":"","family":"Fernandes","given":"Brisa Simões","non-dropping-particle":"","parse-names":false,"suffix":""},{"dropping-particle":"","family":"Kauer-Sant’Anna","given":"Marcia","non-dropping-particle":"","parse-names":false,"suffix":""},{"dropping-particle":"","family":"Mascarenhas","given":"Marcello","non-dropping-particle":"","parse-names":false,"suffix":""},{"dropping-particle":"","family":"Escosteguy Vargas","given":"Andréia","non-dropping-particle":"","parse-names":false,"suffix":""},{"dropping-particle":"","family":"Chies","given":"José Artur","non-dropping-particle":"","parse-names":false,"suffix":""},{"dropping-particle":"","family":"Kapczinski","given":"Flávio","non-dropping-particle":"","parse-names":false,"suffix":""}],"container-title":"Journal of Affective Disorders","id":"ITEM-1","issue":"3","issued":{"date-parts":[["2009"]]},"page":"214-217","title":"Comparison of cytokine levels in depressed, manic and euthymic patients with bipolar disorder","type":"article-journal","volume":"116"},"uris":["http://www.mendeley.com/documents/?uuid=e7d7ed11-8c6f-49d3-81f8-4b6250c06f7e"]}],"mendeley":{"formattedCitation":"(Brietzke et al., 2009)","plainTextFormattedCitation":"(Brietzke et al., 2009)","previouslyFormattedCitation":"(Brietzke et al., 2009)"},"properties":{"noteIndex":0},"schema":"https://github.com/citation-style-language/schema/raw/master/csl-citation.json"}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(Brietzke et al., 2009)</w:t>
            </w:r>
            <w:r w:rsidRPr="00892A33">
              <w:rPr>
                <w:rFonts w:ascii="Times New Roman" w:eastAsia="Calibri" w:hAnsi="Times New Roman" w:cs="Times New Roman"/>
                <w:sz w:val="16"/>
                <w:szCs w:val="16"/>
                <w:lang w:val="it-IT"/>
              </w:rPr>
              <w:fldChar w:fldCharType="end"/>
            </w:r>
          </w:p>
        </w:tc>
        <w:tc>
          <w:tcPr>
            <w:tcW w:w="895" w:type="dxa"/>
            <w:vAlign w:val="center"/>
          </w:tcPr>
          <w:p w14:paraId="2C1CA5F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218A38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6645D92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20A914C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118EB4B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AB7A09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61982E4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26340B7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5A8E4D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2B5FFBA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C46E11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6635B62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59AA42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0897604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325558E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1CFA46F5" w14:textId="77777777" w:rsidTr="000C3C27">
        <w:tc>
          <w:tcPr>
            <w:tcW w:w="1580" w:type="dxa"/>
            <w:vAlign w:val="center"/>
          </w:tcPr>
          <w:p w14:paraId="43859BF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Chakrabarty et al., 2019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{"citationItems":[{"id":"ITEM-1","itemData":{"DOI":"https://doi.org/10.1016/j.jad.2018.11.018","ISSN":"0165-0327","abstract":"Background Increased circulating inflammatory cytokines is a replicated finding in bipolar I disorder (BDI). Pro-inflammatory cytokines such as TNFα, IL-6 and IL-1 have also been associated with poorer cognitive functioning in patients with longer illness duration. However, the effect of inflammatory cytokines on cognition in early stage patients is not yet known. Here, we investigate the relationship between cytokines and cognition in BDI patients within three years of diagnosis. Methods Serum pro-inflammatory (TNFα, IL-6 and IL-1α) and anti-inflammatory (IL-4 and IL-10) cytokine levels were compared between 51 early stage BDI patients and 20 healthy controls. 46 patients completed neuropsychological testing, and multiple regression analysis was used to assess the association between cytokine levels and cognition after accounting for relevant clinical and demographic variables. Results TNFα was elevated at trend level significance in BDI patients compared to healthy controls, and was negatively associated with global cognition, processing speed, and working memory in patients. IL-6, IL-1α, IL-4 and IL-10 levels were comparable between groups and were not significantly associated with cognition. Limitations Direct causation cannot be established in this cross-sectional study; in addition, cytokine levels were not taken on the same day as neuropsychological testing for all patients. Conclusions TNFα may negatively impact cognition in early BDI. While replication is required in larger samples, these results suggest that inhibition of TNFα activity might be a strategy to preserve cognition in newly diagnosed BDI patients.","author":[{"dropping-particle":"","family":"Chakrabarty","given":"Trisha","non-dropping-particle":"","parse-names":false,"suffix":""},{"dropping-particle":"","family":"Torres","given":"Ivan J","non-dropping-particle":"","parse-names":false,"suffix":""},{"dropping-particle":"","family":"Bond","given":"David J","non-dropping-particle":"","parse-names":false,"suffix":""},{"dropping-particle":"","family":"Yatham","given":"Lakshmi N","non-dropping-particle":"","parse-names":false,"suffix":""}],"container-title":"Journal of Affective Disorders","id":"ITEM-1","issued":{"date-parts":[["2019"]]},"page":"679-685","title":"Inflammatory cytokines and cognitive functioning in early-stage bipolar I disorder","type":"article-journal","volume":"245"},"uris":["http://www.mendeley.com/documents/?uuid=c93a9d72-9256-4a43-8f9b-dd64a23955b6"]}],"mendeley":{"formattedCitation":"(Chakrabarty et al., 2019)","plainTextFormattedCitation":"(Chakrabarty et al., 2019)","previouslyFormattedCitation":"(Chakrabarty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(Chakrabarty et al., 2019)</w:t>
            </w:r>
            <w:r w:rsidRPr="00892A33">
              <w:rPr>
                <w:rFonts w:ascii="Times New Roman" w:eastAsia="Calibri" w:hAnsi="Times New Roman" w:cs="Times New Roman"/>
                <w:sz w:val="16"/>
                <w:szCs w:val="16"/>
                <w:lang w:val="it-IT"/>
              </w:rPr>
              <w:fldChar w:fldCharType="end"/>
            </w:r>
          </w:p>
        </w:tc>
        <w:tc>
          <w:tcPr>
            <w:tcW w:w="895" w:type="dxa"/>
            <w:vAlign w:val="center"/>
          </w:tcPr>
          <w:p w14:paraId="77BCE2F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45CEDB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C1824E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654B835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1CFA4B8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930CA0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6FC3EAD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4A1490E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2077EE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49D2CD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CCE907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B892D4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589BB76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8D8529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4DE673E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4E3FCD0F" w14:textId="77777777" w:rsidTr="000C3C27">
        <w:tc>
          <w:tcPr>
            <w:tcW w:w="1580" w:type="dxa"/>
            <w:vAlign w:val="center"/>
          </w:tcPr>
          <w:p w14:paraId="4880E22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Chang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{"citationItems":[{"id":"ITEM-1","itemData":{"DOI":"10.3109/15622975.2016.1155746","ISSN":"1562-2975","author":[{"dropping-particle":"","family":"Chang","given":"Hui Hua","non-dropping-particle":"","parse-names":false,"suffix":""},{"dropping-particle":"","family":"Wang","given":"Tzu-Yun","non-dropping-particle":"","parse-names":false,"suffix":""},{"dropping-particle":"","family":"Lee","given":"I Hui","non-dropping-particle":"","parse-names":false,"suffix":""},{"dropping-particle":"","family":"Lee","given":"Sheng-Yu","non-dropping-particle":"","parse-names":false,"suffix":""},{"dropping-particle":"","family":"Chen","given":"Kao Chin","non-dropping-particle":"","parse-names":false,"suffix":""},{"dropping-particle":"","family":"Huang","given":"San-Yuan","non-dropping-particle":"","parse-names":false,"suffix":""},{"dropping-particle":"","family":"Yang","given":"Yen Kuang","non-dropping-particle":"","parse-names":false,"suffix":""},{"dropping-particle":"","family":"Lu","given":"Ru-Band","non-dropping-particle":"","parse-names":false,"suffix":""},{"dropping-particle":"","family":"Chen","given":"Po See","non-dropping-particle":"","parse-names":false,"suffix":""}],"container-title":"The World Journal of Biological Psychiatry","id":"ITEM-1","issue":"1","issued":{"date-parts":[["2017","1"]]},"page":"63-70","publisher":"Taylor &amp; Francis","title":"C-reactive protein: A differential biomarker for major depressive disorder and bipolar II disorder","type":"article-journal","volume":"18"},"uris":["http://www.mendeley.com/documents/?uuid=1744abc0-d08e-41aa-8b1c-d1d6d7d2ad19"]}],"mendeley":{"formattedCitation":"(Chang et al., 2017)","plainTextFormattedCitation":"(Chang et al., 2017)","previouslyFormattedCitation":"(Chang et al., 2017)"},"properties":{"noteIndex":0},"schema":"https://github.com/citation-style-language/schema/raw/master/csl-citation.json"}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(Chang et al., 2017)</w:t>
            </w:r>
            <w:r w:rsidRPr="00892A33">
              <w:rPr>
                <w:rFonts w:ascii="Times New Roman" w:eastAsia="Calibri" w:hAnsi="Times New Roman" w:cs="Times New Roman"/>
                <w:sz w:val="16"/>
                <w:szCs w:val="16"/>
                <w:lang w:val="it-IT"/>
              </w:rPr>
              <w:fldChar w:fldCharType="end"/>
            </w:r>
          </w:p>
        </w:tc>
        <w:tc>
          <w:tcPr>
            <w:tcW w:w="895" w:type="dxa"/>
            <w:vAlign w:val="center"/>
          </w:tcPr>
          <w:p w14:paraId="137087A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5F11B05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4A6F82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548B0EB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75C069C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1A7F02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52B607B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C533D8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06BCDB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2BFBA6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605DC6F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8A8017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04D5AD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63" w:type="dxa"/>
            <w:vAlign w:val="center"/>
          </w:tcPr>
          <w:p w14:paraId="22A1F84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3ABF0C1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9</w:t>
            </w:r>
          </w:p>
        </w:tc>
      </w:tr>
      <w:tr w:rsidR="00892A33" w:rsidRPr="00892A33" w14:paraId="6DA2AAC1" w14:textId="77777777" w:rsidTr="000C3C27">
        <w:tc>
          <w:tcPr>
            <w:tcW w:w="1580" w:type="dxa"/>
            <w:vAlign w:val="center"/>
          </w:tcPr>
          <w:p w14:paraId="00AA983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Civil-Arslan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{"citationItems":[{"id":"ITEM-1","itemData":{"PMID":"29192940","author":[{"dropping-particle":"","family":"Civil Arslan","given":"F.","non-dropping-particle":"","parse-names":false,"suffix":""},{"dropping-particle":"","family":"Tiryaki","given":"A.","non-dropping-particle":"","parse-names":false,"suffix":""},{"dropping-particle":"","family":"Özkorumak Karagüzel","given":"E.","non-dropping-particle":"","parse-names":false,"suffix":""},{"dropping-particle":"","family":"Aral","given":"Gizem.","non-dropping-particle":"","parse-names":false,"suffix":""},{"dropping-particle":"","family":"Sarıoğlu","given":"Oğuz .","non-dropping-particle":"","parse-names":false,"suffix":""},{"dropping-particle":"","family":"İnce","given":"İmran.","non-dropping-particle":"","parse-names":false,"suffix":""},{"dropping-particle":"","family":"Çankaya","given":"Sertaç.","non-dropping-particle":"","parse-names":false,"suffix":""},{"dropping-particle":"","family":"Alver","given":"Ahmet","non-dropping-particle":"","parse-names":false,"suffix":""}],"container-title":"Turk Psikiyatri Derg","id":"ITEM-1","issued":{"date-parts":[["2017"]]},"page":"81-88","title":"The Relationship of Interleukin-18 and Interleukin-6 Levels with Cognitive Functions in Bipolar Disorder","type":"article-journal","volume":"28(2)"},"uris":["http://www.mendeley.com/documents/?uuid=4e939b0e-9041-4ef3-8713-5eb3a1d5064a"]}],"mendeley":{"formattedCitation":"(Civil Arslan et al., 2017)","plainTextFormattedCitation":"(Civil Arslan et al., 2017)","previouslyFormattedCitation":"(Civil Arslan et al., n.d.)"},"properties":{"noteIndex":0},"schema":"https://github.com/citation-style-language/schema/raw/master/csl-citation.json"}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(Civil Arslan et al., 2017)</w:t>
            </w:r>
            <w:r w:rsidRPr="00892A33">
              <w:rPr>
                <w:rFonts w:ascii="Times New Roman" w:eastAsia="Calibri" w:hAnsi="Times New Roman" w:cs="Times New Roman"/>
                <w:sz w:val="16"/>
                <w:szCs w:val="16"/>
                <w:lang w:val="it-IT"/>
              </w:rPr>
              <w:fldChar w:fldCharType="end"/>
            </w:r>
          </w:p>
        </w:tc>
        <w:tc>
          <w:tcPr>
            <w:tcW w:w="895" w:type="dxa"/>
            <w:vAlign w:val="center"/>
          </w:tcPr>
          <w:p w14:paraId="2B9E085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8B2B8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2B56B29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380D35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6DC84F4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389609B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6F00ABA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07C5A8D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44EA25A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65B4503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175225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5B2785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7ABE445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7050AF0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6258397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3BFC3E64" w14:textId="77777777" w:rsidTr="000C3C27">
        <w:tc>
          <w:tcPr>
            <w:tcW w:w="1580" w:type="dxa"/>
            <w:vAlign w:val="center"/>
          </w:tcPr>
          <w:p w14:paraId="147DA45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Cunha et al., 2008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{"citationItems":[{"id":"ITEM-1","itemData":{"DOI":"10.1007/s00406-007-0797-0","ISSN":"1433-8491","abstract":"There has been an increasing interest in the role of the immune and inflammatory systems in mood disorders. Mood episodes are associated with changes in acute phase proteins such as high-sensitivity C-reactive protein (hsCRP). The present study investigated serum hsCRP in manic, depressed, and euthymic BD patients as compared to matched healthy controls. Serum hsCRP was assessed using an ultrasensitive assay of particle-enhanced immunoturbidimetric latex agglutination. Serum hsCRP levels were increased in manic BD patients, as compared to euthymic, depressed patients and healthy controls (P &lt; 0.001). These findings add to the notion that changes in the inflammatory system take place during acute episodes of mania.","author":[{"dropping-particle":"","family":"Cunha","given":"Ângelo B","non-dropping-particle":"","parse-names":false,"suffix":""},{"dropping-particle":"","family":"Andreazza","given":"Ana C","non-dropping-particle":"","parse-names":false,"suffix":""},{"dropping-particle":"","family":"Gomes","given":"Fabiano A","non-dropping-particle":"","parse-names":false,"suffix":""},{"dropping-particle":"","family":"Frey","given":"Benicio N","non-dropping-particle":"","parse-names":false,"suffix":""},{"dropping-particle":"","family":"Silveira","given":"Leonardo E","non-dropping-particle":"da","parse-names":false,"suffix":""},{"dropping-particle":"","family":"Gonçalves","given":"Carlos A","non-dropping-particle":"","parse-names":false,"suffix":""},{"dropping-particle":"","family":"Kapczinski","given":"Flávio","non-dropping-particle":"","parse-names":false,"suffix":""}],"container-title":"European Archives of Psychiatry and Clinical Neuroscience","id":"ITEM-1","issue":"5","issued":{"date-parts":[["2008"]]},"page":"300-304","title":"Investigation of serum high-sensitive C-reactive protein levels across all mood states in bipolar disorder","type":"article-journal","volume":"258"},"uris":["http://www.mendeley.com/documents/?uuid=fa908cd5-521a-4fa8-bbcc-4aa2b21b3df2"]}],"mendeley":{"formattedCitation":"(Cunha et al., 2008)","plainTextFormattedCitation":"(Cunha et al., 2008)","previouslyFormattedCitation":"(Cunha et al., 2008)"},"properties":{"noteIndex":0},"schema":"https://github.com/citation-style-language/schema/raw/master/csl-citation.json"}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(Cunha et al., 2008)</w:t>
            </w:r>
            <w:r w:rsidRPr="00892A33">
              <w:rPr>
                <w:rFonts w:ascii="Times New Roman" w:eastAsia="Calibri" w:hAnsi="Times New Roman" w:cs="Times New Roman"/>
                <w:sz w:val="16"/>
                <w:szCs w:val="16"/>
                <w:lang w:val="it-IT"/>
              </w:rPr>
              <w:fldChar w:fldCharType="end"/>
            </w:r>
          </w:p>
        </w:tc>
        <w:tc>
          <w:tcPr>
            <w:tcW w:w="895" w:type="dxa"/>
            <w:vAlign w:val="center"/>
          </w:tcPr>
          <w:p w14:paraId="3316DC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0F13F3C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0B7B140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0BBAF22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1DE8BE2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04D48F6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698F229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332EB41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1C01A9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61C908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84C2AD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D159C8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6121E57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C6DEA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4FC7B87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694623B4" w14:textId="77777777" w:rsidTr="000C3C27">
        <w:tc>
          <w:tcPr>
            <w:tcW w:w="1580" w:type="dxa"/>
            <w:vAlign w:val="center"/>
          </w:tcPr>
          <w:p w14:paraId="56F24CA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Da Silva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{"citationItems":[{"id":"ITEM-1","itemData":{"DOI":"https://doi.org/10.1016/j.psychres.2017.01.061","ISSN":"0165-1781","abstract":"Bipolar disorder is a recurrent and highly incapacitating illness, related to inflammation and changes in the insulin-like growth factor 1 (IGF-1). The objective of this study was to evaluate serum levels of IGF-1 in bipolar disorder patients and its relation to inflammation. We included 31 patients with bipolar disorder and 33 healthy controls. Serum concentrations of IGF-1, growth hormone (GH), insulin and tumor necrosis factor α (TNF-α) were analyzed. The serum levels of IGF-1 seem to be increased in bipolar disorder patients (248.84±104.91ng/mL) compared to controls (169.18±74.16ng/mL). Comparing reference values of IGF serum concentrations between groups, we found that 32% of patients had increased IGF-1 serum concentrations while only 3% of subjects are above normal range. We did not find statistically significant differences between groups in the concentration of insulin, GH, and TNF-α. This study suggests an association between IGF-1 in the pathophysiology of bipolar disorder. It is possible that this peripheral increase is related to a central nervous system increased resistance to IGF-1, thus reducing its neuroprotective action.","author":[{"dropping-particle":"","family":"Silva","given":"Emily G","non-dropping-particle":"da","parse-names":false,"suffix":""},{"dropping-particle":"","family":"Pfaffenseller","given":"Bianca","non-dropping-particle":"","parse-names":false,"suffix":""},{"dropping-particle":"","family":"Walz","given":"Julio","non-dropping-particle":"","parse-names":false,"suffix":""},{"dropping-particle":"","family":"Stertz","given":"Laura","non-dropping-particle":"","parse-names":false,"suffix":""},{"dropping-particle":"","family":"Fries","given":"Gabriel","non-dropping-particle":"","parse-names":false,"suffix":""},{"dropping-particle":"","family":"Rosa","given":"Adriane R","non-dropping-particle":"","parse-names":false,"suffix":""},{"dropping-particle":"V","family":"Magalhães","given":"Pedro","non-dropping-particle":"","parse-names":false,"suffix":""}],"container-title":"Psychiatry Research","id":"ITEM-1","issued":{"date-parts":[["2017"]]},"page":"30-34","title":"Peripheral insulin-like growth factor 1 in bipolar disorder","type":"article-journal","volume":"250"},"uris":["http://www.mendeley.com/documents/?uuid=2e03ed7a-2892-44d0-91da-3958c4a8deb7"]}],"mendeley":{"formattedCitation":"(da Silva et al., 2017)","plainTextFormattedCitation":"(da Silva et al., 2017)","previouslyFormattedCitation":"(da Silva et al., 2017)"},"properties":{"noteIndex":0},"schema":"https://github.com/citation-style-language/schema/raw/master/csl-citation.json"}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(da Silva et al., 2017)</w:t>
            </w:r>
            <w:r w:rsidRPr="00892A33">
              <w:rPr>
                <w:rFonts w:ascii="Times New Roman" w:eastAsia="Calibri" w:hAnsi="Times New Roman" w:cs="Times New Roman"/>
                <w:sz w:val="16"/>
                <w:szCs w:val="16"/>
                <w:lang w:val="it-IT"/>
              </w:rPr>
              <w:fldChar w:fldCharType="end"/>
            </w:r>
          </w:p>
        </w:tc>
        <w:tc>
          <w:tcPr>
            <w:tcW w:w="895" w:type="dxa"/>
            <w:vAlign w:val="center"/>
          </w:tcPr>
          <w:p w14:paraId="2873AA1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78500A4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1A6C67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6618B57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5CF7A30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337025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10627F0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2DB10AB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BF3CA2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529FB15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363D2E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79E3EB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4CD8835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933756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362CA1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587BF964" w14:textId="77777777" w:rsidTr="000C3C27">
        <w:tc>
          <w:tcPr>
            <w:tcW w:w="1580" w:type="dxa"/>
            <w:vAlign w:val="center"/>
          </w:tcPr>
          <w:p w14:paraId="42D4B23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De Berdardis et al., 2008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{"citationItems":[{"id":"ITEM-1","itemData":{"DOI":"10.1177/039463200802100208","ISSN":"03946320","PMID":"18547475","abstract":"The aim of the present study is to evaluate the role of CRP and Total Cholesterol (TC) in patients suffering from type I Bipolar Disorder (BD-I). Moreover, the goal is to elucidate possible CRP and TC differences in different phases of BD-I: acute mania, euthymia and bipolar depression. Medical records of 90 BD-I patients (30 patients with acute mania, 30 in euthymic state, full remission, and 30 in depressive phase) were reviewed to evaluate serum CRP and TC levels. Laboratory data of 30 healthy controls were also obtained. The scores of Young Mania Rating Scale (YMRS), Bech-Rafaelsen Manic Rating Scale (BRMRS) and Hamilton Rating Scale for Depression (HAM-D) were evaluated. CRP levels were higher in acute mania and depressive phase subgroups when compared to healthy controls. CRP was positively associated with BRMRS and YMRS scores in acute mania and with HAM-D in depressive phase subgroups. TC levels were lower in all clinical groups compared to controls. TC levels were negatively correlated to BRMRS, YMRS and HAM-D. In conclusion, the results of the present study support the notion that CRP and TC may be altered in patients with BP-I. Copyright © by Biolife, s.a.s.","author":[{"dropping-particle":"","family":"Berardis","given":"Domenico","non-dropping-particle":"De","parse-names":false,"suffix":""},{"dropping-particle":"","family":"Conti","given":"C. M.","non-dropping-particle":"","parse-names":false,"suffix":""},{"dropping-particle":"","family":"Campanella","given":"D.","non-dropping-particle":"","parse-names":false,"suffix":""},{"dropping-particle":"","family":"Carano","given":"A.","non-dropping-particle":"","parse-names":false,"suffix":""},{"dropping-particle":"","family":"Scali","given":"M.","non-dropping-particle":"","parse-names":false,"suffix":""},{"dropping-particle":"","family":"Valchera","given":"A.","non-dropping-particle":"","parse-names":false,"suffix":""},{"dropping-particle":"","family":"Serroni","given":"N.","non-dropping-particle":"","parse-names":false,"suffix":""},{"dropping-particle":"","family":"Pizzorno","given":"A. M.","non-dropping-particle":"","parse-names":false,"suffix":""},{"dropping-particle":"","family":"D'Albenzio","given":"A.","non-dropping-particle":"","parse-names":false,"suffix":""},{"dropping-particle":"","family":"Fulcheri","given":"M.","non-dropping-particle":"","parse-names":false,"suffix":""},{"dropping-particle":"","family":"Gambi","given":"F.","non-dropping-particle":"","parse-names":false,"suffix":""},{"dropping-particle":"","family":"Rovere","given":"R.","non-dropping-particle":"La","parse-names":false,"suffix":""},{"dropping-particle":"","family":"Cotellessa","given":"C.","non-dropping-particle":"","parse-names":false,"suffix":""},{"dropping-particle":"","family":"Salerno","given":"R. M.","non-dropping-particle":"","parse-names":false,"suffix":""},{"dropping-particle":"","family":"Ferro","given":"F. M.","non-dropping-particle":"","parse-names":false,"suffix":""}],"container-title":"International Journal of Immunopathology and Pharmacology","id":"ITEM-1","issue":"2","issued":{"date-parts":[["2008"]]},"page":"319-324","publisher":"Biomedical Research Press s.a.s.","title":"Evaluation of C-reactive protein and total serum cholesterol in adult patients with bipolar disorder","type":"article-journal","volume":"21"},"uris":["http://www.mendeley.com/documents/?uuid=3ed7db3d-7005-4c0f-80b1-a878c7a13274"]}],"mendeley":{"formattedCitation":"(De Berardis et al., 2008)","plainTextFormattedCitation":"(De Berardis et al., 2008)","previouslyFormattedCitation":"(De Berardis et al., 2008)"},"properties":{"noteIndex":0},"schema":"https://github.com/citation-style-language/schema/raw/master/csl-citation.json"}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(De Berardis et al., 2008)</w:t>
            </w:r>
            <w:r w:rsidRPr="00892A33">
              <w:rPr>
                <w:rFonts w:ascii="Times New Roman" w:eastAsia="Calibri" w:hAnsi="Times New Roman" w:cs="Times New Roman"/>
                <w:sz w:val="16"/>
                <w:szCs w:val="16"/>
                <w:lang w:val="it-IT"/>
              </w:rPr>
              <w:fldChar w:fldCharType="end"/>
            </w:r>
          </w:p>
        </w:tc>
        <w:tc>
          <w:tcPr>
            <w:tcW w:w="895" w:type="dxa"/>
            <w:vAlign w:val="center"/>
          </w:tcPr>
          <w:p w14:paraId="74C6C60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08A885D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45" w:type="dxa"/>
            <w:vAlign w:val="center"/>
          </w:tcPr>
          <w:p w14:paraId="442253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73DB04C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34533B8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8209AC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15DE256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64E80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C9F71B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BDA2B9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BC7C70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A2A48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6320E0B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7F5A711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4BB0CB8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168FD15B" w14:textId="77777777" w:rsidTr="000C3C27">
        <w:tc>
          <w:tcPr>
            <w:tcW w:w="1580" w:type="dxa"/>
            <w:vAlign w:val="center"/>
          </w:tcPr>
          <w:p w14:paraId="271B4FE4" w14:textId="77777777" w:rsidR="00892A33" w:rsidRPr="00892A33" w:rsidRDefault="00892A33" w:rsidP="00892A33">
            <w:pPr>
              <w:spacing w:after="160" w:line="259" w:lineRule="auto"/>
              <w:jc w:val="center"/>
              <w:rPr>
                <w:rFonts w:ascii="Times New Roman" w:eastAsia="Calibri" w:hAnsi="Times New Roman" w:cs="Times New Roman"/>
                <w:color w:val="000000"/>
                <w:sz w:val="16"/>
                <w:szCs w:val="16"/>
              </w:rPr>
            </w:pPr>
            <w:r w:rsidRPr="00892A33">
              <w:rPr>
                <w:rFonts w:ascii="Times New Roman" w:eastAsia="Calibri" w:hAnsi="Times New Roman" w:cs="Times New Roman"/>
                <w:color w:val="000000"/>
                <w:sz w:val="16"/>
                <w:szCs w:val="16"/>
              </w:rPr>
              <w:t>Dickerson et al., 2007</w:t>
            </w:r>
            <w:r w:rsidRPr="00892A33">
              <w:rPr>
                <w:rFonts w:ascii="Times New Roman" w:eastAsia="Calibri" w:hAnsi="Times New Roman" w:cs="Times New Roman"/>
                <w:color w:val="000000"/>
                <w:sz w:val="16"/>
                <w:szCs w:val="16"/>
                <w:lang w:val="it-IT"/>
              </w:rPr>
              <w:fldChar w:fldCharType="begin" w:fldLock="1"/>
            </w:r>
            <w:r w:rsidRPr="00892A33">
              <w:rPr>
                <w:rFonts w:ascii="Times New Roman" w:eastAsia="Calibri" w:hAnsi="Times New Roman" w:cs="Times New Roman"/>
                <w:color w:val="000000"/>
                <w:sz w:val="16"/>
                <w:szCs w:val="16"/>
              </w:rPr>
              <w:instrText>ADDIN CSL_CITATION {"citationItems":[{"id":"ITEM-1","itemData":{"DOI":"10.1016/j.pnpbp.2007.02.018","ISSN":"02785846","PMID":"17391822","abstract":"Objectives: We investigated the association between serum levels of C-reactive protein (CRP), a marker of inflammation, and the severity of psychopathology in outpatients with bipolar disorder. We also compared the levels of CRP in the bipolar disorder individuals with those of a non-psychiatric control group. Methods: We measured the level of CRP in N = 122 outpatients with bipolar disorder and N = 165 control individuals and evaluated the symptom severity of the bipolar disorder patients with the Young Mania Rating Scale (YMRS) and the Hamilton Depression Scale (Ham-D). Results: Within the bipolar disorder sample, CRP was significantly associated with the YMRS score (r = .306, p &lt; .006), age of onset, gender, and race. CRP was not significantly associated with the Ham-D score or other clinical or demographic variables. In a multivariate analysis of covariance, CRP was the only independent predictor of YMRS score (F = 11.7, p = .0009). The CRP levels of the n = 41 individuals with YMRS &gt; 6 were significantly greater than the levels of the n = 81 individuals with YMRS ≤ 6 (F = 7.94, &lt; .006). The CRP levels of the group with YMRS &gt; 6 were also significantly greater than the levels of the control group (p = .033) while the CRP levels of the group with YMRS ≤ 6 did not differ from that of controls (p &gt; .05). Conclusions: Our results suggest that outpatients with bipolar disorder with mania symptoms have increased levels of CRP as compared to those without mania symptoms and compared to individuals without psychiatric disorders. The long-term consequences of CRP in bipolar disorder should be the subject of future studies. © 2007 Elsevier Inc. All rights reserved.","author":[{"dropping-particle":"","family":"Dickerson","given":"Faith","non-dropping-particle":"","parse-names":false,"suffix":""},{"dropping-particle":"","family":"Stallings","given":"Cassie","non-dropping-particle":"","parse-names":false,"suffix":""},{"dropping-particle":"","family":"Origoni","given":"Andrea","non-dropping-particle":"","parse-names":false,"suffix":""},{"dropping-particle":"","family":"Boronow","given":"John","non-dropping-particle":"","parse-names":false,"suffix":""},{"dropping-particle":"","family":"Yolken","given":"Robert","non-dropping-particle":"","parse-names":false,"suffix":""}],"container-title":"Progress in Neuro-Psychopharmacology and Biological Psychiatry","id":"ITEM-1","issue":"4","issued":{"date-parts":[["2007","5"]]},"page":"952-955","publisher":"Prog Neuropsychopharmacol Biol Psychiatry","title":"Elevated serum levels of C-reactive protein are associated with mania symptoms in outpatients with bipolar disorder","type":"article-journal","volume":"31"},"uris":["http://www.mendeley.com/documents/?uuid=7b213e86-44a6-4ec2-8ef4-aeeceecd4970"]}],"mendeley":{"formattedCitation":"(Dickerson et al., 2007)","plainTextFormattedCitation":"(Dickerson et al., 2007)","previouslyFormattedCitation":"(Dickerson et al., 2007)"},"properties":{"noteIndex":0},"schema":"https://github.com/citation-style-language/schema/raw/master/csl-citation.json"}</w:instrText>
            </w:r>
            <w:r w:rsidRPr="00892A33">
              <w:rPr>
                <w:rFonts w:ascii="Times New Roman" w:eastAsia="Calibri" w:hAnsi="Times New Roman" w:cs="Times New Roman"/>
                <w:color w:val="000000"/>
                <w:sz w:val="16"/>
                <w:szCs w:val="16"/>
                <w:lang w:val="it-IT"/>
              </w:rPr>
              <w:fldChar w:fldCharType="separate"/>
            </w:r>
            <w:r w:rsidRPr="00892A33">
              <w:rPr>
                <w:rFonts w:ascii="Times New Roman" w:eastAsia="Calibri" w:hAnsi="Times New Roman" w:cs="Times New Roman"/>
                <w:noProof/>
                <w:color w:val="000000"/>
                <w:sz w:val="16"/>
                <w:szCs w:val="16"/>
              </w:rPr>
              <w:t>(Dickerson et al., 2007)</w:t>
            </w:r>
            <w:r w:rsidRPr="00892A33">
              <w:rPr>
                <w:rFonts w:ascii="Times New Roman" w:eastAsia="Calibri" w:hAnsi="Times New Roman" w:cs="Times New Roman"/>
                <w:color w:val="000000"/>
                <w:sz w:val="16"/>
                <w:szCs w:val="16"/>
                <w:lang w:val="it-IT"/>
              </w:rPr>
              <w:fldChar w:fldCharType="end"/>
            </w:r>
          </w:p>
        </w:tc>
        <w:tc>
          <w:tcPr>
            <w:tcW w:w="895" w:type="dxa"/>
            <w:vAlign w:val="center"/>
          </w:tcPr>
          <w:p w14:paraId="5DD49A2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02A5FB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4A8083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2D4FFA0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703896E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602992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6CBB2B1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6370DFB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C43E2C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35F979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547C87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DE319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C4AF02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31EAEEC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1CD79C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8</w:t>
            </w:r>
          </w:p>
        </w:tc>
      </w:tr>
      <w:tr w:rsidR="00892A33" w:rsidRPr="00892A33" w14:paraId="006F7B0C" w14:textId="77777777" w:rsidTr="000C3C27">
        <w:tc>
          <w:tcPr>
            <w:tcW w:w="1580" w:type="dxa"/>
            <w:vAlign w:val="center"/>
          </w:tcPr>
          <w:p w14:paraId="265F4376" w14:textId="77777777" w:rsidR="00892A33" w:rsidRPr="00892A33" w:rsidRDefault="00892A33" w:rsidP="00892A33">
            <w:pPr>
              <w:spacing w:after="160" w:line="259" w:lineRule="auto"/>
              <w:jc w:val="center"/>
              <w:rPr>
                <w:rFonts w:ascii="Times New Roman" w:eastAsia="Calibri" w:hAnsi="Times New Roman" w:cs="Times New Roman"/>
                <w:color w:val="000000"/>
                <w:sz w:val="16"/>
                <w:szCs w:val="16"/>
                <w:lang w:val="it-IT"/>
              </w:rPr>
            </w:pPr>
            <w:r w:rsidRPr="00892A33">
              <w:rPr>
                <w:rFonts w:ascii="Times New Roman" w:eastAsia="Calibri" w:hAnsi="Times New Roman" w:cs="Times New Roman"/>
                <w:color w:val="000000"/>
                <w:sz w:val="16"/>
                <w:szCs w:val="16"/>
                <w:lang w:val="it-IT"/>
              </w:rPr>
              <w:t>Doganavsargil-Baysal et al., 2013</w:t>
            </w:r>
            <w:r w:rsidRPr="00892A33">
              <w:rPr>
                <w:rFonts w:ascii="Times New Roman" w:eastAsia="Calibri" w:hAnsi="Times New Roman" w:cs="Times New Roman"/>
                <w:color w:val="000000"/>
                <w:sz w:val="16"/>
                <w:szCs w:val="16"/>
                <w:lang w:val="it-IT"/>
              </w:rPr>
              <w:fldChar w:fldCharType="begin" w:fldLock="1"/>
            </w:r>
            <w:r w:rsidRPr="00892A33">
              <w:rPr>
                <w:rFonts w:ascii="Times New Roman" w:eastAsia="Calibri" w:hAnsi="Times New Roman" w:cs="Times New Roman"/>
                <w:color w:val="000000"/>
                <w:sz w:val="16"/>
                <w:szCs w:val="16"/>
                <w:lang w:val="it-IT"/>
              </w:rPr>
              <w:instrText>ADDIN CSL_CITATION {"citationItems":[{"id":"ITEM-1","itemData":{"DOI":"https://doi.org/10.1002/hup.2301","ISSN":"0885-6222","abstract":"Objective Tumor necrosis factor-alpha (TNF-α) may play an important role in bipolar disorder (BD) pathogenesis. There is only one study about a relationship between TNF-α levels and cognitive impairments in BD. The aim of the present study was to see whether TNF-α, soluble P55 TNF receptor (sTNFR1), and soluble P75 TNF receptor (sTNFR2) levels in BD patients are different from controls and to investigate the relationships between the levels of TNF-α, sTNFR1, and sTNFR2 and the cognitive functions in euthymic BD patients and controls. Methods We assessed 54 BD type I patients and 18 controls by using a battery of neuropsychological tests. Serum TNF-α levels were measured using a commercially available enzyme-linked immunosorbent assay, whereas serum sTNFR1 and sTNFR2 levels were measured using a commercially enzyme-amplified sensitivity immunoassay kit. Results We found that levels of sTNFR1 and sTNFR2 in BD patients were different from controls. No difference was detected between the BD group and the control group for levels of TNF-α. TNF-α level was found to have a negative correlation with the delayed recall in RAVLT. Conclusions High levels of sTNFR1 and sTNFR2 in euthymic patients showed that it may support that proinflammatory process continues in euthymic period. This is the first study which showed increased sTNFR2 levels in euthymic period, which could be interpreted as a compensatory mechanism and again the first which deals with verbal memory. Copyright ? 2013 John Wiley &amp; Sons, Ltd.","author":[{"dropping-particle":"","family":"Doganavsargil-Baysal","given":"Ozge","non-dropping-particle":"","parse-names":false,"suffix":""},{"dropping-particle":"","family":"Cinemre","given":"Buket","non-dropping-particle":"","parse-names":false,"suffix":""},{"dropping-particle":"","family":"Aksoy","given":"Umut Mert","non-dropping-particle":"","parse-names":false,"suffix":""},{"dropping-particle":"","family":"Akbas","given":"Halide","non-dropping-particle":"","parse-names":false,"suffix":""},{"dropping-particle":"","family":"Metin","given":"Ozmen","non-dropping-particle":"","parse-names":false,"suffix":""},{"dropping-particle":"","family":"Fettahoglu","given":"Cıgıl","non-dropping-particle":"","parse-names":false,"suffix":""},{"dropping-particle":"","family":"Gokmen","given":"Zehra","non-dropping-particle":"","parse-names":false,"suffix":""},{"dropping-particle":"","family":"Davran","given":"Fatih","non-dropping-particle":"","parse-names":false,"suffix":""}],"container-title":"Human Psychopharmacology: Clinical and Experimental","id":"ITEM-1","issue":"2","issued":{"date-parts":[["2013","3"]]},"page":"160-167","publisher":"John Wiley &amp; Sons, Ltd","title":"Levels of TNF-α, soluble TNF receptors (sTNFR1, sTNFR2), and cognition in bipolar disorder","type":"article-journal","volume":"28"},"uris":["http://www.mendeley.com/documents/?uuid=bb38f582-36c8-41ff-aa57-5dddd1702f1c"]}],"mendeley":{"formattedCitation":"(Doganavsargil-Baysal et al., 2013)","plainTextFormattedCitation":"(Doganavsargil-Baysal et al., 2013)","previouslyFormattedCitation":"(Doganavsargil-Baysal et al., 2013)"},"properties":{"noteIndex":0},"schema":"https://github.com/citation-style-language/schema/raw/master/csl-citation.json"}</w:instrText>
            </w:r>
            <w:r w:rsidRPr="00892A33">
              <w:rPr>
                <w:rFonts w:ascii="Times New Roman" w:eastAsia="Calibri" w:hAnsi="Times New Roman" w:cs="Times New Roman"/>
                <w:color w:val="000000"/>
                <w:sz w:val="16"/>
                <w:szCs w:val="16"/>
                <w:lang w:val="it-IT"/>
              </w:rPr>
              <w:fldChar w:fldCharType="separate"/>
            </w:r>
            <w:r w:rsidRPr="00892A33">
              <w:rPr>
                <w:rFonts w:ascii="Times New Roman" w:eastAsia="Calibri" w:hAnsi="Times New Roman" w:cs="Times New Roman"/>
                <w:noProof/>
                <w:color w:val="000000"/>
                <w:sz w:val="16"/>
                <w:szCs w:val="16"/>
                <w:lang w:val="it-IT"/>
              </w:rPr>
              <w:t>(Doganavsargil-Baysal et al., 2013)</w:t>
            </w:r>
            <w:r w:rsidRPr="00892A33">
              <w:rPr>
                <w:rFonts w:ascii="Times New Roman" w:eastAsia="Calibri" w:hAnsi="Times New Roman" w:cs="Times New Roman"/>
                <w:color w:val="000000"/>
                <w:sz w:val="16"/>
                <w:szCs w:val="16"/>
                <w:lang w:val="it-IT"/>
              </w:rPr>
              <w:fldChar w:fldCharType="end"/>
            </w:r>
          </w:p>
        </w:tc>
        <w:tc>
          <w:tcPr>
            <w:tcW w:w="895" w:type="dxa"/>
            <w:vAlign w:val="center"/>
          </w:tcPr>
          <w:p w14:paraId="2FABD09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D6D4E8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56B451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4F45B94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40E0B3C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075E9A5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5354A1E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70D4C72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DE91D0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630A705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2840C8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EE0570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F76864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410AEFA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5B9865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2E788259" w14:textId="77777777" w:rsidTr="000C3C27">
        <w:tc>
          <w:tcPr>
            <w:tcW w:w="1580" w:type="dxa"/>
            <w:vAlign w:val="center"/>
          </w:tcPr>
          <w:p w14:paraId="4FD0383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Glaus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{"citationItems":[{"id":"ITEM-1","itemData":{"DOI":"DOI: 10.1017/S0033291717002744","ISSN":"0033-2917","abstract":"Background There has been increasing evidence that chronic low-grade inflammation is associated with mood disorders. However, the findings have been inconsistent because of heterogeneity across studies and methodological limitations. Our aim is to prospectively evaluate the bi-directional associations between inflammatory markers including interleukin (IL)-6, tumor necrosis factor (TNF)-α and high sensitivity C-reactive protein (hsCRP) with mood disorders.   Methods The sample consisted of 3118 participants (53.7% women; mean age: 51.0, s.d. 8.8 years), randomly selected from the general population, who underwent comprehensive somatic and psychiatric evaluations at baseline and follow-up (mean follow-up duration = 5.5 years, s.d. 0.6). Current and remitted mood disorders including bipolar and major depressive disorders (MDD) and its subtypes (atypical, melancholic, combined atypical and melancholic, and unspecified) were based on semi-structured diagnostic interviews. Inflammatory biomarkers were analyzed in fasting blood samples. Associations were tested by multiple linear and logistic regression models.   Results Current combined MDD [β = 0.29, 95% confidence interval (CI) 0.03–0.55] and current atypical MDD (β = 0.32, 95% CI 0.10–0.55) at baseline were associated with increased levels of hsCRP at follow-up. There was little evidence for inflammation markers at baseline predicting mood disorders at follow-up.   Conclusions The prospective unidirectional association between current MDD subtype with atypical features and hsCRP levels at follow-up suggests that inflammation may be a consequence of this condition. The role of inflammation, particularly hsCRP that is critically involved in cardiovascular diseases, warrants further study. Future research that examines potential influences of medications on inflammatory processes is indicated.","author":[{"dropping-particle":"","family":"Glaus","given":"J","non-dropping-particle":"","parse-names":false,"suffix":""},{"dropping-particle":"","family":"Känel","given":"R","non-dropping-particle":"von","parse-names":false,"suffix":""},{"dropping-particle":"","family":"Lasserre","given":"A M","non-dropping-particle":"","parse-names":false,"suffix":""},{"dropping-particle":"","family":"Strippoli","given":"M.-P. F","non-dropping-particle":"","parse-names":false,"suffix":""},{"dropping-particle":"","family":"Vandeleur","given":"C L","non-dropping-particle":"","parse-names":false,"suffix":""},{"dropping-particle":"","family":"Castelao","given":"E","non-dropping-particle":"","parse-names":false,"suffix":""},{"dropping-particle":"","family":"Gholam-Rezaee","given":"M","non-dropping-particle":"","parse-names":false,"suffix":""},{"dropping-particle":"","family":"Marangoni","given":"C","non-dropping-particle":"","parse-names":false,"suffix":""},{"dropping-particle":"","family":"Wagner","given":"E.-Y. N","non-dropping-particle":"","parse-names":false,"suffix":""},{"dropping-particle":"","family":"Marques-Vidal","given":"P","non-dropping-particle":"","parse-names":false,"suffix":""},{"dropping-particle":"","family":"Waeber","given":"G","non-dropping-particle":"","parse-names":false,"suffix":""},{"dropping-particle":"","family":"Vollenweider","given":"P","non-dropping-particle":"","parse-names":false,"suffix":""},{"dropping-particle":"","family":"Preisig","given":"M","non-dropping-particle":"","parse-names":false,"suffix":""},{"dropping-particle":"","family":"Merikangas","given":"K R","non-dropping-particle":"","parse-names":false,"suffix":""}],"container-title":"Psychological Medicine","edition":"2017/09/20","id":"ITEM-1","issue":"6","issued":{"date-parts":[["2018"]]},"page":"961-973","publisher":"Cambridge University Press","title":"Mood disorders and circulating levels of inflammatory markers in a longitudinal population-based study","type":"article-journal","volume":"48"},"uris":["http://www.mendeley.com/documents/?uuid=b72ad205-1176-4b20-8583-dd68c454f4b4"]}],"mendeley":{"formattedCitation":"(Glaus et al., 2018)","plainTextFormattedCitation":"(Glaus et al., 2018)","previouslyFormattedCitation":"(Glaus et al., 2018)"},"properties":{"noteIndex":0},"schema":"https://github.com/citation-style-language/schema/raw/master/csl-citation.json"}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(Glaus et al., 2018)</w:t>
            </w:r>
            <w:r w:rsidRPr="00892A33">
              <w:rPr>
                <w:rFonts w:ascii="Times New Roman" w:eastAsia="Calibri" w:hAnsi="Times New Roman" w:cs="Times New Roman"/>
                <w:sz w:val="16"/>
                <w:szCs w:val="16"/>
                <w:lang w:val="it-IT"/>
              </w:rPr>
              <w:fldChar w:fldCharType="end"/>
            </w:r>
          </w:p>
        </w:tc>
        <w:tc>
          <w:tcPr>
            <w:tcW w:w="895" w:type="dxa"/>
            <w:vAlign w:val="center"/>
          </w:tcPr>
          <w:p w14:paraId="0208E94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AE910B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A324B5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06812ED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4ED8B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817025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35C1A94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61881BA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D99B0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C05DED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843A31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5D3BAC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56B0A0C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5114FFA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2DA1AD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10</w:t>
            </w:r>
          </w:p>
        </w:tc>
      </w:tr>
      <w:tr w:rsidR="00892A33" w:rsidRPr="00892A33" w14:paraId="709C21F5" w14:textId="77777777" w:rsidTr="000C3C27">
        <w:tc>
          <w:tcPr>
            <w:tcW w:w="1580" w:type="dxa"/>
            <w:vAlign w:val="center"/>
          </w:tcPr>
          <w:p w14:paraId="602D53C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lastRenderedPageBreak/>
              <w:t>Guloksuz et al., 2010</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{"citationItems":[{"id":"ITEM-1","itemData":{"DOI":"10.1016/j.jad.2010.04.027","ISSN":"01650327","PMID":"20537397","abstract":"Background: The pathophysiology of bipolar disorder is not thoroughly understood. Several studies have investigated the possible role of cytokines in psychiatric disorders, based on their role in neuro-immune modulation; however, findings in studies on bipolar disorder remain limited and contradictory, and most studies have focused on either manic or depressive episodes. These studies suggest that both manic and depressive episodes could be pro-inflammatory states. The present study aimed to determine whether there are enduring differences in cytokine levels-unrelated to the effects of medication-between euthymic bipolar patients and healthy controls. Methods: The study included 31 euthymic bipolar patients-16 medication-free (MF) and 15 on lithium monotherapy (LM) and 16 healthy volunteers in whom serum cytokine levels were measured. The 3 groups were homogenous in terms of age, gender, and ethnicity. IFN-γ, TNF-α, IL-2, IL-4, IL-5, and IL-10 levels were measured in all groups using flow cytometry. Results: There were no differences in cytokine levels between MF euthymic bipolar patients and healthy controls. TNF-α and IL-4 levels in LM euthymic bipolar patients were higher than in both the MF euthymic bipolar patients and controls. Limitations: The small and strictly selected study sample could limit the generalizability of the findings. Conclusions: Cytokine production in MF euthymic bipolar patients was similar to that in healthy controls. The present study shows that the pro-inflammatory state resolves in euthymia and that lithium had an influence on the cytokine profile, which could create a confounding factor while investigating disease- related immunopathology of bipolar disorder. © 2010 Elsevier B.V. All rights reserved.","author":[{"dropping-particle":"","family":"Guloksuz","given":"Sinan","non-dropping-particle":"","parse-names":false,"suffix":""},{"dropping-particle":"","family":"Aktas Cetin","given":"Esin","non-dropping-particle":"","parse-names":false,"suffix":""},{"dropping-particle":"","family":"Cetin","given":"Turan","non-dropping-particle":"","parse-names":false,"suffix":""},{"dropping-particle":"","family":"Deniz","given":"Gunnur","non-dropping-particle":"","parse-names":false,"suffix":""},{"dropping-particle":"","family":"Oral","given":"E. Timucin","non-dropping-particle":"","parse-names":false,"suffix":""},{"dropping-particle":"","family":"Nutt","given":"David J.","non-dropping-particle":"","parse-names":false,"suffix":""}],"container-title":"Journal of Affective Disorders","id":"ITEM-1","issue":"3","issued":{"date-parts":[["2010","11"]]},"page":"458-462","publisher":"J Affect Disord","title":"Cytokine levels in euthymic bipolar patients","type":"article-journal","volume":"126"},"uris":["http://www.mendeley.com/documents/?uuid=e0db3c91-a5c5-4388-919a-b366f5926c94"]}],"mendeley":{"formattedCitation":"(Guloksuz et al., 2010)","plainTextFormattedCitation":"(Guloksuz et al., 2010)","previouslyFormattedCitation":"(Guloksuz et al., 2010)"},"properties":{"noteIndex":0},"schema":"https://github.com/citation-style-language/schema/raw/master/csl-citation.json"}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(Guloksuz et al., 2010)</w:t>
            </w:r>
            <w:r w:rsidRPr="00892A33">
              <w:rPr>
                <w:rFonts w:ascii="Times New Roman" w:eastAsia="Calibri" w:hAnsi="Times New Roman" w:cs="Times New Roman"/>
                <w:sz w:val="16"/>
                <w:szCs w:val="16"/>
                <w:lang w:val="it-IT"/>
              </w:rPr>
              <w:fldChar w:fldCharType="end"/>
            </w:r>
          </w:p>
        </w:tc>
        <w:tc>
          <w:tcPr>
            <w:tcW w:w="895" w:type="dxa"/>
            <w:vAlign w:val="center"/>
          </w:tcPr>
          <w:p w14:paraId="45F3725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775B81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45" w:type="dxa"/>
            <w:vAlign w:val="center"/>
          </w:tcPr>
          <w:p w14:paraId="6A2501D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28C4254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07D76AB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6E25B85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381E7F0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4FB44A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68459E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E790FF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56546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93D2EB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2B364C6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5D1E7D3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75B660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8</w:t>
            </w:r>
          </w:p>
        </w:tc>
      </w:tr>
      <w:tr w:rsidR="00892A33" w:rsidRPr="00892A33" w14:paraId="4333A9B6" w14:textId="77777777" w:rsidTr="000C3C27">
        <w:tc>
          <w:tcPr>
            <w:tcW w:w="1580" w:type="dxa"/>
            <w:vAlign w:val="center"/>
          </w:tcPr>
          <w:p w14:paraId="30CFA12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Hope et al., 2009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{"citationItems":[{"id":"ITEM-1","itemData":{"DOI":"https://doi.org/10.1111/j.1399-5618.2009.00757.x","ISSN":"1398-5647","abstract":"Background:? Alterations in the inflammatory system have been associated with schizophrenia and major depression, while bipolar disorder has been less studied. Most previous studies examined small samples, and the literature is inconsistent with regard to specific underlying immune mechanisms. In the present study, we examined markers representing different inflammatory pathways, and the aim was to investigate whether the levels of inflammatory parameters in a representative sample of bipolar disorder and schizophrenia are elevated compared to healthy controls, and to investigate whether the inflammatory profile is different between the groups. Methods:? Plasma levels of soluble tumor necrosis factor receptor 1 (sTNF-R1), interleukin-1 receptor antagonist (IL-1Ra), interleukin-6 (IL-6), high-sensitivity CRP (hs-CRP), soluble CD40L ligand (sCD40L), and von Willebrand factor (vWf) were measured with ELISA techniques in a catchment area based sample of consecutively referred patients with severe mental disorders [N?=?311, comprising bipolar disorder (n?=?125) and schizophrenia (n?=?186)] and in healthy volunteers (n?=?244). Results:? Plasma levels of sTNF-R1 and vWf were statistically significantly increased in both bipolar disorder and schizophrenia compared to controls (p?&lt;?0.00001), and were also increased in unmedicated patients, but there were no major differences between the two diagnostic groups. Controlling for age, gender, ethnicity, cardiovascular disorders, kidney and liver function, and other confounders did not affect the results. There were no differences in other inflammation factors between the groups. Conclusion:? The present results indicate specific alterations of endothelium-related inflammation processes in both bipolar disorder and schizophrenia.","author":[{"dropping-particle":"","family":"Hope","given":"Sigrun","non-dropping-particle":"","parse-names":false,"suffix":""},{"dropping-particle":"","family":"Melle","given":"Ingrid","non-dropping-particle":"","parse-names":false,"suffix":""},{"dropping-particle":"","family":"Aukrust","given":"Pål","non-dropping-particle":"","parse-names":false,"suffix":""},{"dropping-particle":"","family":"Steen","given":"Nils Eiel","non-dropping-particle":"","parse-names":false,"suffix":""},{"dropping-particle":"","family":"Birkenaes","given":"Astrid B","non-dropping-particle":"","parse-names":false,"suffix":""},{"dropping-particle":"","family":"Lorentzen","given":"Steinar","non-dropping-particle":"","parse-names":false,"suffix":""},{"dropping-particle":"","family":"Agartz","given":"Ingrid","non-dropping-particle":"","parse-names":false,"suffix":""},{"dropping-particle":"","family":"Ueland","given":"Thor","non-dropping-particle":"","parse-names":false,"suffix":""},{"dropping-particle":"","family":"Andreassen","given":"Ole A","non-dropping-particle":"","parse-names":false,"suffix":""}],"container-title":"Bipolar Disorders","id":"ITEM-1","issue":"7","issued":{"date-parts":[["2009","11"]]},"page":"726-734","publisher":"John Wiley &amp; Sons, Ltd","title":"Similar immune profile in bipolar disorder and schizophrenia: selective increase in soluble tumor necrosis factor receptor I and von Willebrand factor","type":"article-journal","volume":"11"},"uris":["http://www.mendeley.com/documents/?uuid=297710aa-6a5b-4617-8c0d-d27e8c586afc"]}],"mendeley":{"formattedCitation":"(Hope et al., 2009)","plainTextFormattedCitation":"(Hope et al., 2009)","previouslyFormattedCitation":"(Hope et al., 2009)"},"properties":{"noteIndex":0},"schema":"https://github.com/citation-style-language/schema/raw/master/csl-citation.json"}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(Hope et al., 2009)</w:t>
            </w:r>
            <w:r w:rsidRPr="00892A33">
              <w:rPr>
                <w:rFonts w:ascii="Times New Roman" w:eastAsia="Calibri" w:hAnsi="Times New Roman" w:cs="Times New Roman"/>
                <w:sz w:val="16"/>
                <w:szCs w:val="16"/>
                <w:lang w:val="it-IT"/>
              </w:rPr>
              <w:fldChar w:fldCharType="end"/>
            </w:r>
          </w:p>
        </w:tc>
        <w:tc>
          <w:tcPr>
            <w:tcW w:w="895" w:type="dxa"/>
            <w:vAlign w:val="center"/>
          </w:tcPr>
          <w:p w14:paraId="286707D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13A4FB2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B42FF0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143E61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382D2B3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37DF4D1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0C9D7E7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1087E0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0DD7CF9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B44007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AD3A86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4F168D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4C4EE04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08FF198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3D821A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663BD36C" w14:textId="77777777" w:rsidTr="000C3C27">
        <w:tc>
          <w:tcPr>
            <w:tcW w:w="1580" w:type="dxa"/>
            <w:vAlign w:val="center"/>
          </w:tcPr>
          <w:p w14:paraId="300271C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Hope et al., 2011</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{"citationItems":[{"id":"ITEM-1","itemData":{"DOI":"https://doi.org/10.1016/j.jpsychires.2011.08.003","ISSN":"0022-3956","abstract":"Objective Elevated levels of inflammation are reported in bipolar disorders (BP), but how this relates to affective symptoms is unclear. We aimed to determine if immune markers that consistently have been reported elevated in BP were associated with depressive and manic symptoms, and if this was specific for BP. Methods From a catchment area, 112 BP patients were included together with 153 schizophrenia (SCZ) patients and 239 healthy controls. Depression and mania were assessed and the patients were grouped into depressed, neutral, and elevated mood. We measured the immune markers tumor necrosis factor receptor 1 (sTNF-R1), interleukin 1 receptor antagonist (IL-1Ra), interleukin 6 (IL-6), high sensitive C-reactive protein (hsCRP), osteoprotegerin (OPG) and von Willebrand factor (vWf) which have been found increased in severe mental disorders. Results In BP all inflammatory markers were lowest in depressed state, with significant group differences after control for confounders with respect to TNF-R1 (p = 0.04), IL-1Ra (p = 0.02), OPG (p = 0.004) and IL-6 (p = 0.005). STNF-R1 was positively correlated with the item elevated mood (p = 0.02) whereas sad mood was negatively correlated with OPG (p = 0.0003), IL-1Ra (p = 0.001) and IL-6 (p = 0.006). Compared to controls the neutral mood group had significantly higher levels of OPG (p = 0.0003) and IL-6 (p = 0.005), and the elevated mood group had higher levels of TNF-R1 (p = 0.000005) and vWf (p = 0.002). There were no significant associations between affective states orsymptoms in SCZ. Conclusions The current associations between inflammatory markers and affective symptomatology in BP and not SCZ suggest that immune related mechanisms are associated with core psychopathology of BP.","author":[{"dropping-particle":"","family":"Hope","given":"Sigrun","non-dropping-particle":"","parse-names":false,"suffix":""},{"dropping-particle":"","family":"Dieset","given":"Ingrid","non-dropping-particle":"","parse-names":false,"suffix":""},{"dropping-particle":"","family":"Agartz","given":"Ingrid","non-dropping-particle":"","parse-names":false,"suffix":""},{"dropping-particle":"","family":"Steen","given":"Nils E","non-dropping-particle":"","parse-names":false,"suffix":""},{"dropping-particle":"","family":"Ueland","given":"Thor","non-dropping-particle":"","parse-names":false,"suffix":""},{"dropping-particle":"","family":"Melle","given":"Ingrid","non-dropping-particle":"","parse-names":false,"suffix":""},{"dropping-particle":"","family":"Aukrust","given":"Pål","non-dropping-particle":"","parse-names":false,"suffix":""},{"dropping-particle":"","family":"Andreassen","given":"Ole A","non-dropping-particle":"","parse-names":false,"suffix":""}],"container-title":"Journal of Psychiatric Research","id":"ITEM-1","issue":"12","issued":{"date-parts":[["2011"]]},"page":"1608-1616","title":"Affective symptoms are associated with markers of inflammation and immune activation in bipolar disorders but not in schizophrenia","type":"article-journal","volume":"45"},"uris":["http://www.mendeley.com/documents/?uuid=04393744-2d12-416d-b394-cf8088cbb9f1"]}],"mendeley":{"formattedCitation":"(Hope et al., 2011)","plainTextFormattedCitation":"(Hope et al., 2011)","previouslyFormattedCitation":"(Hope et al., 2011)"},"properties":{"noteIndex":0},"schema":"https://github.com/citation-style-language/schema/raw/master/csl-citation.json"}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(Hope et al., 2011)</w:t>
            </w:r>
            <w:r w:rsidRPr="00892A33">
              <w:rPr>
                <w:rFonts w:ascii="Times New Roman" w:eastAsia="Calibri" w:hAnsi="Times New Roman" w:cs="Times New Roman"/>
                <w:sz w:val="16"/>
                <w:szCs w:val="16"/>
                <w:lang w:val="it-IT"/>
              </w:rPr>
              <w:fldChar w:fldCharType="end"/>
            </w:r>
          </w:p>
        </w:tc>
        <w:tc>
          <w:tcPr>
            <w:tcW w:w="895" w:type="dxa"/>
            <w:vAlign w:val="center"/>
          </w:tcPr>
          <w:p w14:paraId="68D39DC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1958EE3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03B8087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462A0F4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56980FC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2A1ECA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38FFC4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47164E4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DC53E9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2FF60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A2F988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EFBCA7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1C92F30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4C82053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330F1F9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66BF9C71" w14:textId="77777777" w:rsidTr="000C3C27">
        <w:tc>
          <w:tcPr>
            <w:tcW w:w="1580" w:type="dxa"/>
            <w:vAlign w:val="center"/>
          </w:tcPr>
          <w:p w14:paraId="202AC1D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Hope et al., 2015</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{"citationItems":[{"id":"ITEM-1","itemData":{"DOI":"https://doi.org/10.1016/j.schres.2015.04.004","ISSN":"0920-9964","abstract":"Background The mechanisms underlying cognitive impairment in schizophrenia and bipolar disorders are largely unknown. Immune abnormalities have been found in both disorders, and inflammatory mediators may play roles in cognitive function. We investigated if inflammatory markers are associated with general cognitive abilities. Methods Participants with schizophrenia spectrum (N=121) and bipolar spectrum (N=111) disorders and healthy controls (N=241) were included. General intellectual abilities were assessed using the Wechsler Abbreviated Scale of Intelligence (WASI). Serum concentrations of the following immune markers were measured: Soluble tumor necrosis factor receptor 1 (sTNF-R1), interleukin 1 receptor antagonist (IL-1Ra), osteoprotegerin, von Willebrand factor, C-reactive protein, interleukin-6 and CD40 ligand. Results After adjusting for age, sex and diagnostic group, significant negative associations with general cognitive function were found for sTNF-R1 (p=2×10−5), IL-1Ra (p=0.002) and sCD40 ligand (p=0.003). Among patients, the associations remained significant (p=0.006, p=0.005 and p=0.02) after adjusting for possible confounders including education, smoking, psychotic and affective symptoms, body mass index, cortisol, medication and time of blood sampling. Subgroup analysis, showed that general cognitive abilities were significantly associated with IL-1Ra and sTNF-R1 in schizophrenia patients, with sCD40L and IL-1Ra in bipolar disorder patients and with sTNF-R1 in healthy controls. Conclusion The study shows significant negative associations between inflammatory markers and general cognitive abilities after adjusting for possible confounders. The findings strongly support a role for inflammation in the neurophysiology of cognitive impairment.","author":[{"dropping-particle":"","family":"Hope","given":"Sigrun","non-dropping-particle":"","parse-names":false,"suffix":""},{"dropping-particle":"","family":"Hoseth","given":"Eva","non-dropping-particle":"","parse-names":false,"suffix":""},{"dropping-particle":"","family":"Dieset","given":"Ingrid","non-dropping-particle":"","parse-names":false,"suffix":""},{"dropping-particle":"","family":"Mørch","given":"Ragni H","non-dropping-particle":"","parse-names":false,"suffix":""},{"dropping-particle":"","family":"Aas","given":"Monica","non-dropping-particle":"","parse-names":false,"suffix":""},{"dropping-particle":"","family":"Aukrust","given":"Pål","non-dropping-particle":"","parse-names":false,"suffix":""},{"dropping-particle":"","family":"Djurovic","given":"Srdjan","non-dropping-particle":"","parse-names":false,"suffix":""},{"dropping-particle":"","family":"Melle","given":"Ingrid","non-dropping-particle":"","parse-names":false,"suffix":""},{"dropping-particle":"","family":"Ueland","given":"Torill","non-dropping-particle":"","parse-names":false,"suffix":""},{"dropping-particle":"","family":"Agartz","given":"Ingrid","non-dropping-particle":"","parse-names":false,"suffix":""},{"dropping-particle":"","family":"Ueland","given":"Thor","non-dropping-particle":"","parse-names":false,"suffix":""},{"dropping-particle":"","family":"Westlye","given":"Lars T","non-dropping-particle":"","parse-names":false,"suffix":""},{"dropping-particle":"","family":"Andreassen","given":"Ole A","non-dropping-particle":"","parse-names":false,"suffix":""}],"container-title":"Schizophrenia Research","id":"ITEM-1","issue":"2","issued":{"date-parts":[["2015"]]},"page":"188-194","title":"Inflammatory markers are associated with general cognitive abilities in schizophrenia and bipolar disorder patients and healthy controls","type":"article-journal","volume":"165"},"uris":["http://www.mendeley.com/documents/?uuid=aa807456-cf27-40c6-9e62-b6fc4f7d57db"]}],"mendeley":{"formattedCitation":"(Hope et al., 2015)","plainTextFormattedCitation":"(Hope et al., 2015)","previouslyFormattedCitation":"(Hope et al., 2015)"},"properties":{"noteIndex":0},"schema":"https://github.com/citation-style-language/schema/raw/master/csl-citation.json"}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(Hope et al., 2015)</w:t>
            </w:r>
            <w:r w:rsidRPr="00892A33">
              <w:rPr>
                <w:rFonts w:ascii="Times New Roman" w:eastAsia="Calibri" w:hAnsi="Times New Roman" w:cs="Times New Roman"/>
                <w:sz w:val="16"/>
                <w:szCs w:val="16"/>
                <w:lang w:val="it-IT"/>
              </w:rPr>
              <w:fldChar w:fldCharType="end"/>
            </w:r>
          </w:p>
        </w:tc>
        <w:tc>
          <w:tcPr>
            <w:tcW w:w="895" w:type="dxa"/>
            <w:vAlign w:val="center"/>
          </w:tcPr>
          <w:p w14:paraId="235ADBE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FB3DAE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61E0C40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06CD15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04C7BB4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D68F89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3F15E2F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45B01DF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07AE54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5BA860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FB4549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41F135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673566F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06BAF4E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4D523B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1E07FABD" w14:textId="77777777" w:rsidTr="000C3C27">
        <w:tc>
          <w:tcPr>
            <w:tcW w:w="1580" w:type="dxa"/>
            <w:vAlign w:val="center"/>
          </w:tcPr>
          <w:p w14:paraId="5FE189F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Hornig et al., 1998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{"citationItems":[{"id":"ITEM-1","itemData":{"DOI":"https://doi.org/10.1016/S0165-0327(97)00180-8","ISSN":"0165-0327","abstract":"Background: Patients with affective disorders show evidence of increased positive acute phase proteins (e.g., C-reactive protein [CRP], α-1-acid glycoprotein, haptoglobin) and decreased negative acute phase proteins (e.g., albumin, transferrin [TFN]). CRP reductions have been reported to be greater in patients who later respond to lithium augmentation, and these patients also demonstrate higher CRP levels on the failed antidepressant, prior to the addition of lithium. However, association of such systemic immune changes with affective subtypes, mood state, psychotropic medications, age and gender has not been extensively explored. Methods: The present study assessed levels of CRP and TFN in 79 bipolar I, 24 bipolar II, and 46 unipolar depressed outpatients in comparison to 22 healthy controls. Results: Patients on lithium monotherapy were significantly less likely to demonstrate elevated CRP, and a similar trend was noted in those patients taking lithium in combination with an antidepressant. The frequency of elevated CRP levels did not significantly vary for different psychotropic medications, affective subgroups, or mood states. TFN levels were not influenced by diagnosis, affective state or psychotropic medications. Limitations: Due to the retrospective nature of this analysis, the affective subgroups were heterogenous with regard to medications and affective state, and differed significantly in age. Due to limitations in subgroup sample size, significant effects of clinical variables may have been masked by interactions of medications, age, affective subtype, and mood state. Conclusions: The results imply that lithium may play a role in normalizing systemic immune activation associated with depression. Whether such immune changes may be restricted to lithium-responsive subgroups deserves further evaluation.","author":[{"dropping-particle":"","family":"Hornig","given":"Mady","non-dropping-particle":"","parse-names":false,"suffix":""},{"dropping-particle":"","family":"Goodman","given":"David B P","non-dropping-particle":"","parse-names":false,"suffix":""},{"dropping-particle":"","family":"Kamoun","given":"Malek","non-dropping-particle":"","parse-names":false,"suffix":""},{"dropping-particle":"","family":"Amsterdam","given":"Jay D","non-dropping-particle":"","parse-names":false,"suffix":""}],"container-title":"Journal of Affective Disorders","id":"ITEM-1","issue":"1","issued":{"date-parts":[["1998"]]},"page":"9-18","title":"Positive and negative acute phase proteins in affective subtypes","type":"article-journal","volume":"49"},"uris":["http://www.mendeley.com/documents/?uuid=282ac7a7-b470-46d1-9d64-ee2325ae0770"]}],"mendeley":{"formattedCitation":"(Hornig et al., 1998)","plainTextFormattedCitation":"(Hornig et al., 1998)","previouslyFormattedCitation":"(Hornig et al., 1998)"},"properties":{"noteIndex":0},"schema":"https://github.com/citation-style-language/schema/raw/master/csl-citation.json"}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(Hornig et al., 1998)</w:t>
            </w:r>
            <w:r w:rsidRPr="00892A33">
              <w:rPr>
                <w:rFonts w:ascii="Times New Roman" w:eastAsia="Calibri" w:hAnsi="Times New Roman" w:cs="Times New Roman"/>
                <w:sz w:val="16"/>
                <w:szCs w:val="16"/>
                <w:lang w:val="it-IT"/>
              </w:rPr>
              <w:fldChar w:fldCharType="end"/>
            </w:r>
          </w:p>
        </w:tc>
        <w:tc>
          <w:tcPr>
            <w:tcW w:w="895" w:type="dxa"/>
            <w:vAlign w:val="center"/>
          </w:tcPr>
          <w:p w14:paraId="6A75DC2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68BE32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7F96AD0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5278DF8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02240CC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3C0B9DE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24B5EF8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72B1FC0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11DB1E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5B3E57A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01B5D4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7A4026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29FC7C2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56342CD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2AA8852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0801C51E" w14:textId="77777777" w:rsidTr="000C3C27">
        <w:tc>
          <w:tcPr>
            <w:tcW w:w="1580" w:type="dxa"/>
            <w:vAlign w:val="center"/>
          </w:tcPr>
          <w:p w14:paraId="332ADD8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Huang et al., 2007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{"citationItems":[{"id":"ITEM-1","itemData":{"DOI":"https://doi.org/10.1016/j.pnpbp.2006.09.010","ISSN":"0278-5846","abstract":"The serum high-sensitivity C-reactive protein (hsCRP) levels in patients with major depressive disorder and bipolar I disorder in acute phases were investigated. During a 1-year period, a total of 67 participants including 23 patients with major depressive disorder, 13 patients with bipolar I disorder (manic episode) and 31 healthy controls were recruited in this study. The diagnoses of mental disorders in participants were made by one psychiatrist according to the Structured Clinical Interview for DSM-IV Axis I Disorders (SCID). Both patient groups with major depression and bipolar disorder had higher mean serum hsCRP levels than the healthy control group. Using analysis of covariance with age adjustment, patients with bipolar I disorders still had significantly higher hsCRP levels than healthy controls (P=0.043). However, patients with major depression did not have significantly higher hsCRP levels than healthy controls (P=0.172). These results suggest that patients with bipolar I disorder might have a more severe inflammation reaction than patients without major depression. However, larger samples and adequate statistical methods are needed to prove these results.","author":[{"dropping-particle":"","family":"Huang","given":"Tiao-Lai","non-dropping-particle":"","parse-names":false,"suffix":""},{"dropping-particle":"","family":"Lin","given":"Fu-Chen","non-dropping-particle":"","parse-names":false,"suffix":""}],"container-title":"Progress in Neuro-Psychopharmacology and Biological Psychiatry","id":"ITEM-1","issue":"2","issued":{"date-parts":[["2007"]]},"page":"370-372","title":"High-sensitivity C-reactive protein levels in patients with major depressive disorder and bipolar mania","type":"article-journal","volume":"31"},"uris":["http://www.mendeley.com/documents/?uuid=2a66943f-b982-46a0-8e43-ef625ebc8e9d"]}],"mendeley":{"formattedCitation":"(Huang and Lin, 2007)","plainTextFormattedCitation":"(Huang and Lin, 2007)","previouslyFormattedCitation":"(Huang and Lin, 2007)"},"properties":{"noteIndex":0},"schema":"https://github.com/citation-style-language/schema/raw/master/csl-citation.json"}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(Huang and Lin, 2007)</w:t>
            </w:r>
            <w:r w:rsidRPr="00892A33">
              <w:rPr>
                <w:rFonts w:ascii="Times New Roman" w:eastAsia="Calibri" w:hAnsi="Times New Roman" w:cs="Times New Roman"/>
                <w:sz w:val="16"/>
                <w:szCs w:val="16"/>
                <w:lang w:val="it-IT"/>
              </w:rPr>
              <w:fldChar w:fldCharType="end"/>
            </w:r>
          </w:p>
        </w:tc>
        <w:tc>
          <w:tcPr>
            <w:tcW w:w="895" w:type="dxa"/>
            <w:vAlign w:val="center"/>
          </w:tcPr>
          <w:p w14:paraId="0E817F1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18F4DF7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052E5AE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5E616AD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5A4C92A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6A39EC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0E0F57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7DA5DBE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EF127F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649832C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DE117F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F62565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7A975D7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1BE95C8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628E4BE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473D75F3" w14:textId="77777777" w:rsidTr="000C3C27">
        <w:tc>
          <w:tcPr>
            <w:tcW w:w="1580" w:type="dxa"/>
            <w:vAlign w:val="center"/>
          </w:tcPr>
          <w:p w14:paraId="46F3C33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Hung et al., 2007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{"citationItems":[{"id":"ITEM-1","itemData":{"DOI":"https://doi.org/10.1111/j.1365-2265.2007.02963.x","ISSN":"0300-0664","abstract":"Summary Objective? This study was designed to evaluate insulin sensitivity, proinflammatory markers and adiponectin concentration in young males with different subtypes of depressive disorder. Methods? Nonobese young males with depressive disorder (ages between 18 years and 30 years; body mass index, BMI ≤ 25 kg/m2) were recruited and divided into reactive depression (RD, N = 14), major depression (MD, N = 21) and bipolar depression (BD, N = 15) based on clinical course and symptom changes in Hamilton rating scale for depression (HAM-D). Fourteen age- and BMI-matched healthy males were enrolled as controls. All of the participants received a 75-g oral glucose tolerance test (OGTT). Insulin sensitivity and ?-cell function were calculated by minimal model method from the frequently sampled intravenous glucose tolerance test. Plasma C-reactive protein (CRP), adiponectin, tumour necrosis factor-α (TNF-α) and interleukin-6 (IL-6) were determined. Results? Compared to the controls, insulin sensitivity (SI) were significantly lower in MD and BD (0·78 ± 0·09 min?1/pmol and 0·75 ± 0·09 min?1/pmol vs. 1·09 ± 0·08 ? 10?5 min?1/pmol, P &lt; 0·05, respectively). Acute insulin response (AIR) to intravenous glucose was elevated in BD as compared to control and RD groups (6079·9 ± 841·8 pmol vs. 3339·8 ± 356·4 pmol and 3494·8 ± 337·7 pmol, P &lt; 0·05, respectively). Plasma adiponectin level was diminished in BD group as compared to the control and RD groups (7·41 ± 0·45 µg/ml vs. 9·07 ± 0·54 µg/ml and 9·38 ± 0·46 µg/ml; P &lt; 0·05 and P &lt; 0·01, respectively). By regression analysis, a significantly negative correlation between HAM-D score and SI was found in MD (r = ?0·60, P = 0·005) and BD groups (r = ?0·57, P = 0·04). Conclusions? The results suggest that there is an inverse relationship between both major and bipolar depression and insulin resistance in nonobese young males.","author":[{"dropping-particle":"","family":"Hung","given":"Yi-Jen","non-dropping-particle":"","parse-names":false,"suffix":""},{"dropping-particle":"","family":"Hsieh","given":"Chang-Hsun","non-dropping-particle":"","parse-names":false,"suffix":""},{"dropping-particle":"","family":"Chen","given":"Yu-Jun","non-dropping-particle":"","parse-names":false,"suffix":""},{"dropping-particle":"","family":"Pei","given":"Dee","non-dropping-particle":"","parse-names":false,"suffix":""},{"dropping-particle":"","family":"Kuo","given":"Shi-Wen","non-dropping-particle":"","parse-names":false,"suffix":""},{"dropping-particle":"","family":"Shen","given":"Der-Chung","non-dropping-particle":"","parse-names":false,"suffix":""},{"dropping-particle":"","family":"Sheu","given":"Wayne Huey-Herng","non-dropping-particle":"","parse-names":false,"suffix":""},{"dropping-particle":"","family":"Chen","given":"Yi-Chyan","non-dropping-particle":"","parse-names":false,"suffix":""}],"container-title":"Clinical Endocrinology","id":"ITEM-1","issue":"5","issued":{"date-parts":[["2007","11"]]},"page":"784-789","publisher":"John Wiley &amp; Sons, Ltd","title":"Insulin sensitivity, proinflammatory markers and adiponectin in young males with different subtypes of depressive disorder","type":"article-journal","volume":"67"},"uris":["http://www.mendeley.com/documents/?uuid=86a1398d-02d0-4164-943f-3e1eca5f0ac8"]}],"mendeley":{"formattedCitation":"(Hung et al., 2007)","plainTextFormattedCitation":"(Hung et al., 2007)","previouslyFormattedCitation":"(Hung et al., 2007)"},"properties":{"noteIndex":0},"schema":"https://github.com/citation-style-language/schema/raw/master/csl-citation.json"}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(Hung et al., 2007)</w:t>
            </w:r>
            <w:r w:rsidRPr="00892A33">
              <w:rPr>
                <w:rFonts w:ascii="Times New Roman" w:eastAsia="Calibri" w:hAnsi="Times New Roman" w:cs="Times New Roman"/>
                <w:sz w:val="16"/>
                <w:szCs w:val="16"/>
                <w:lang w:val="it-IT"/>
              </w:rPr>
              <w:fldChar w:fldCharType="end"/>
            </w:r>
          </w:p>
        </w:tc>
        <w:tc>
          <w:tcPr>
            <w:tcW w:w="895" w:type="dxa"/>
            <w:vAlign w:val="center"/>
          </w:tcPr>
          <w:p w14:paraId="10954BC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A89FF7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2B1A6C1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2FB0C1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AF5CF1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33159C5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5F1A7A6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5D7D8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48E219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2BABDB3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B050D9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BE740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419FAF6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619BEE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44BDFA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78011972" w14:textId="77777777" w:rsidTr="000C3C27">
        <w:tc>
          <w:tcPr>
            <w:tcW w:w="1580" w:type="dxa"/>
            <w:vAlign w:val="center"/>
          </w:tcPr>
          <w:p w14:paraId="1BE2CE4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Jacoby et al., 2016</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{"citationItems":[{"id":"ITEM-1","itemData":{"DOI":"10.1016/j.jad.2016.03.040","ISSN":"15732517","PMID":"26994434","abstract":"Background Peripheral blood brain-derived neurotrophic factor (BDNF) and inflammatory markers may reflect key pathophysiological mechanisms in bipolar disorder in relation to disease activity and neuroprogression. Aims To investigate whether neutrophins and inflammatory marker vary with mood states and are increased in patients with bipolar disorder type I during euthymia as well as in all affective states as a group, compared to levels in healthy control subjects. Methods In a prospective 6-12 months follow-up study, we investigated state specific, intra-individual alterations in levels of BDNF, hsCRP, IL-1β, IL-6, IL-8, IL-18 and TNF-α in 60 patients with bipolar I disorder with an acute severe manic index episode and in subsequent euthymic and depressive and manic states and compared with repeated measurements in healthy control subjects. Data were analysed with linear mixed effects model and with adjustment for gender, age, BMI, alcohol intake and smoking. Results From inclusion to end of the 6-12 months follow-up, samples of blood were drawn from the 60 patients during a total of 180 affective states, comprising 57 manic, 11 mixed, 23 depressive and 89 states of euthymia. Further, 69 blood samples were drawn from 35 healthy control subjects with three months apart. In unadjusted mixed-model analysis, levels of IL-6 and IL-8 were increased 64% (b=1.64, 95% CI: 1.31-2.05, p=&lt;0.0001) and 24% (b=1.24, 95% CI: 1.05-1.47, p=0.013), respectively in patients with bipolar disorder overall compared with healthy control subjects. However, in adjusted models, no statistically significant differences were found in any measure between patients and control individuals. Levels of hsCRP in depressive states were decreased with 40% (95% CI: 5-62%, p=0.029) compared with euthymia and with 48% (95% CI: 17-66%, p=0.006) when compared with hypomanic/manic states after adjustment. BDNF and the other inflammatory markers did not vary according to affective state in adjusted mixed models. Limitations Patients were all medicated, specifically with high doses of atypical antipsychotics during the manic index episodes. Conclusions In a sample recruited during hospitalization for acute mania, levels of hsCRP varied according to affective state with higher levels during manic states compared with depressive states.","author":[{"dropping-particle":"","family":"Jacoby","given":"Anne Sophie","non-dropping-particle":"","parse-names":false,"suffix":""},{"dropping-particle":"","family":"Munkholm","given":"Klaus","non-dropping-particle":"","parse-names":false,"suffix":""},{"dropping-particle":"","family":"Vinberg","given":"Maj","non-dropping-particle":"","parse-names":false,"suffix":""},{"dropping-particle":"","family":"Pedersen","given":"Bente Klarlund","non-dropping-particle":"","parse-names":false,"suffix":""},{"dropping-particle":"","family":"Kessing","given":"Lars Vedel","non-dropping-particle":"","parse-names":false,"suffix":""}],"container-title":"Journal of Affective Disorders","id":"ITEM-1","issued":{"date-parts":[["2016","6"]]},"page":"167-174","publisher":"Elsevier B.V.","title":"Cytokines, brain-derived neurotrophic factor and C-reactive protein in bipolar i disorder - Results from a prospective study","type":"article-journal","volume":"197"},"uris":["http://www.mendeley.com/documents/?uuid=adaf4bfa-6a28-4654-a3cc-f606987d7b1b"]}],"mendeley":{"formattedCitation":"(Jacoby et al., 2016)","plainTextFormattedCitation":"(Jacoby et al., 2016)","previouslyFormattedCitation":"(Jacoby et al., 2016)"},"properties":{"noteIndex":0},"schema":"https://github.com/citation-style-language/schema/raw/master/csl-citation.json"}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(Jacoby et al., 2016)</w:t>
            </w:r>
            <w:r w:rsidRPr="00892A33">
              <w:rPr>
                <w:rFonts w:ascii="Times New Roman" w:eastAsia="Calibri" w:hAnsi="Times New Roman" w:cs="Times New Roman"/>
                <w:sz w:val="16"/>
                <w:szCs w:val="16"/>
                <w:lang w:val="it-IT"/>
              </w:rPr>
              <w:fldChar w:fldCharType="end"/>
            </w:r>
          </w:p>
        </w:tc>
        <w:tc>
          <w:tcPr>
            <w:tcW w:w="895" w:type="dxa"/>
            <w:vAlign w:val="center"/>
          </w:tcPr>
          <w:p w14:paraId="670F91C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5B58EE1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7DB2BDE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4D2CF1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502E5C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93" w:type="dxa"/>
            <w:vAlign w:val="center"/>
          </w:tcPr>
          <w:p w14:paraId="1D9D1AE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2F1D6D6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16F9DFD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B0CADB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0704BC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F18AB8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079FCE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699" w:type="dxa"/>
            <w:vAlign w:val="center"/>
          </w:tcPr>
          <w:p w14:paraId="02E887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D9C980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6B82123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10</w:t>
            </w:r>
          </w:p>
        </w:tc>
      </w:tr>
      <w:tr w:rsidR="00892A33" w:rsidRPr="00892A33" w14:paraId="4E60A432" w14:textId="77777777" w:rsidTr="000C3C27">
        <w:tc>
          <w:tcPr>
            <w:tcW w:w="1580" w:type="dxa"/>
            <w:vAlign w:val="center"/>
          </w:tcPr>
          <w:p w14:paraId="5D3A326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Kapczinski et al., 2011</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{"citationItems":[{"id":"ITEM-1","itemData":{"DOI":"https://doi.org/10.1016/j.jpsychires.2010.05.015","ISSN":"0022-3956","abstract":"Recent evidence suggests that peripheral markers related to oxidative stress, inflammation and neurotrophins may be altered during mood episodes in bipolar disorder. These can be seen as proxies of peripheral toxicity or markers of illness activity. Here we report an en bloc assessment of a set of previously described biomarkers in different mood states (n = 60) as well as in healthy subjects (n = 80). To make the point that these are ominous changes, we obtained the same measures from a group of septic patients (n = 15) as a “positive” control group. In this sample, we measured serum levels of brain derived neurotrophic factor, neurotrophin 3, tumor necrosis factor α, interleukin 6, interleukin 10, total reactive antioxidant potential, thiobarbituric acid reactive substances and protein carbonyl content. Several of the markers discriminated between the bipolar and control groups, especially when patients were in acute episodes. In some cases, toxicity was as high in bipolar disorder as that seen in patients with sepsis. We believe these findings highlight the potential of using biomarkers to assess illness activity in bipolar disorder.","author":[{"dropping-particle":"","family":"Kapczinski","given":"Flávio","non-dropping-particle":"","parse-names":false,"suffix":""},{"dropping-particle":"","family":"Dal-Pizzol","given":"Felipe","non-dropping-particle":"","parse-names":false,"suffix":""},{"dropping-particle":"","family":"Teixeira","given":"Antonio Lucio","non-dropping-particle":"","parse-names":false,"suffix":""},{"dropping-particle":"","family":"Magalhaes","given":"Pedro V S","non-dropping-particle":"","parse-names":false,"suffix":""},{"dropping-particle":"","family":"Kauer-Sant’Anna","given":"Márcia","non-dropping-particle":"","parse-names":false,"suffix":""},{"dropping-particle":"","family":"Klamt","given":"Fábio","non-dropping-particle":"","parse-names":false,"suffix":""},{"dropping-particle":"","family":"Moreira","given":"José Claudio F","non-dropping-particle":"","parse-names":false,"suffix":""},{"dropping-particle":"","family":"Augusto de Bittencourt Pasquali","given":"Mateus","non-dropping-particle":"","parse-names":false,"suffix":""},{"dropping-particle":"","family":"Fries","given":"Gabriel Rodrigo","non-dropping-particle":"","parse-names":false,"suffix":""},{"dropping-particle":"","family":"Quevedo","given":"João","non-dropping-particle":"","parse-names":false,"suffix":""},{"dropping-particle":"","family":"Gama","given":"Clarissa Severino","non-dropping-particle":"","parse-names":false,"suffix":""},{"dropping-particle":"","family":"Post","given":"Robert","non-dropping-particle":"","parse-names":false,"suffix":""}],"container-title":"Journal of Psychiatric Research","id":"ITEM-1","issue":"2","issued":{"date-parts":[["2011"]]},"page":"156-161","title":"Peripheral biomarkers and illness activity in bipolar disorder","type":"article-journal","volume":"45"},"uris":["http://www.mendeley.com/documents/?uuid=ac4ea7a9-66af-4e80-8cae-8efeef9ce849"]}],"mendeley":{"formattedCitation":"(Kapczinski et al., 2011)","plainTextFormattedCitation":"(Kapczinski et al., 2011)","previouslyFormattedCitation":"(Kapczinski et al., 2011)"},"properties":{"noteIndex":0},"schema":"https://github.com/citation-style-language/schema/raw/master/csl-citation.json"}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(Kapczinski et al., 2011)</w:t>
            </w:r>
            <w:r w:rsidRPr="00892A33">
              <w:rPr>
                <w:rFonts w:ascii="Times New Roman" w:eastAsia="Calibri" w:hAnsi="Times New Roman" w:cs="Times New Roman"/>
                <w:sz w:val="16"/>
                <w:szCs w:val="16"/>
                <w:lang w:val="it-IT"/>
              </w:rPr>
              <w:fldChar w:fldCharType="end"/>
            </w:r>
          </w:p>
        </w:tc>
        <w:tc>
          <w:tcPr>
            <w:tcW w:w="895" w:type="dxa"/>
            <w:vAlign w:val="center"/>
          </w:tcPr>
          <w:p w14:paraId="1CACB3B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8768D6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671C7FA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4B5A7A4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691176E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5E0BE4A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094F6E8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474FE9B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FC4EB1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07AB4C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E7538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1F96E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291A38A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DFD33E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25BC930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237F40DA" w14:textId="77777777" w:rsidTr="000C3C27">
        <w:tc>
          <w:tcPr>
            <w:tcW w:w="1580" w:type="dxa"/>
            <w:vAlign w:val="center"/>
          </w:tcPr>
          <w:p w14:paraId="6C87DE4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Karabulut et al., 2018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10.5080/u18376","author":[{"dropping-particle":"","family":"Karabulut","given":"Sercan","non-dropping-particle":"","parse-names":false,"suffix":""},{"dropping-particle":"","family":"Tasdemir","given":"Ilker","non-dropping-particle":"","parse-names":false,"suffix":""},{"dropping-particle":"","family":"Akcan","given":"Uğur","non-dropping-particle":"","parse-names":false,"suffix":""},{"dropping-particle":"","family":"Kucukali","given":"Cem","non-dropping-particle":"","parse-names":false,"suffix":""},{"dropping-particle":"","family":"Tüzün","given":"Erdem","non-dropping-particle":"","parse-names":false,"suffix":""},{"dropping-particle":"","family":"Cakir","given":"Sibel","non-dropping-particle":"","parse-names":false,"suffix":""}],"container-title":"Turkish Journal of Psychiatry","id":"ITEM-1","issued":{"date-parts":[["2019","7"]]},"title":"Inflammation and Neurodegeneration in Patients with Early-Stage and Chronic Bipolar Disorder","type":"article-journal","volume":"30"},"uris":["http://www.mendeley.com/documents/?uuid=8c31d479-e789-4346-b965-8cc948348f11"]}],"mendeley":{"formattedCitation":"(Karabulut et al., 2019)","plainTextFormattedCitation":"(Karabulut et al., 2019)","previouslyFormattedCitation":"(Karabulut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(Karabulut et al., 2019)</w:t>
            </w:r>
            <w:r w:rsidRPr="00892A33">
              <w:rPr>
                <w:rFonts w:ascii="Times New Roman" w:eastAsia="Calibri" w:hAnsi="Times New Roman" w:cs="Times New Roman"/>
                <w:sz w:val="16"/>
                <w:szCs w:val="16"/>
                <w:lang w:val="it-IT"/>
              </w:rPr>
              <w:fldChar w:fldCharType="end"/>
            </w:r>
          </w:p>
        </w:tc>
        <w:tc>
          <w:tcPr>
            <w:tcW w:w="895" w:type="dxa"/>
            <w:vAlign w:val="center"/>
          </w:tcPr>
          <w:p w14:paraId="3367ABB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2B32E4B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5A7E2A6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352CD7E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1462AA4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82A5F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7C9C7E7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AAC843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758AB2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4FAB2FC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55547C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63B0612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08B314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76EEB8D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3F365C4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6CD12E09" w14:textId="77777777" w:rsidTr="000C3C27">
        <w:tc>
          <w:tcPr>
            <w:tcW w:w="1580" w:type="dxa"/>
            <w:vAlign w:val="center"/>
          </w:tcPr>
          <w:p w14:paraId="63E7A6F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Kauer-Sant’Anna et al., 2008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10.1017/S1461145708009310","author":[{"dropping-particle":"","family":"Kauer-Sant'Anna","given":"Marcia","non-dropping-particle":"","parse-names":false,"suffix":""},{"dropping-particle":"","family":"Kapczinski","given":"Flavio","non-dropping-particle":"","parse-names":false,"suffix":""},{"dropping-particle":"","family":"Andreazza","given":"Ana","non-dropping-particle":"","parse-names":false,"suffix":""},{"dropping-particle":"","family":"Bond","given":"David","non-dropping-particle":"","parse-names":false,"suffix":""},{"dropping-particle":"","family":"Lam","given":"Raymond","non-dropping-particle":"","parse-names":false,"suffix":""},{"dropping-particle":"","family":"Young","given":"L","non-dropping-particle":"","parse-names":false,"suffix":""},{"dropping-particle":"","family":"Yatham","given":"Lakshmi","non-dropping-particle":"","parse-names":false,"suffix":""}],"container-title":"The international journal of neuropsychopharmacology / official scientific journal of the Collegium Internationale Neuropsychopharmacologicum (CINP)","id":"ITEM-1","issued":{"date-parts":[["2008","10"]]},"page":"447-458","title":"Brain-derived neurotrophic factor and inflammatory markers in patients with early- vs. late-stage bipolar disorder","type":"article-journal","volume":"12"},"uris":["http://www.mendeley.com/documents/?uuid=d9411ae2-66e2-4072-9c82-776ffe638fd7"]}],"mendeley":{"formattedCitation":"(Kauer-Sant’Anna et al., 2008)","plainTextFormattedCitation":"(Kauer-Sant’Anna et al., 2008)","previouslyFormattedCitation":"(Kauer-Sant’Anna et al., 2008)"},"properties":{"noteIndex":0},"schema":"https://github.com/citation-style-language/schema/raw/master/csl-citation.json"}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(Kauer-Sant’Anna et al., 2008)</w:t>
            </w:r>
            <w:r w:rsidRPr="00892A33">
              <w:rPr>
                <w:rFonts w:ascii="Times New Roman" w:eastAsia="Calibri" w:hAnsi="Times New Roman" w:cs="Times New Roman"/>
                <w:sz w:val="16"/>
                <w:szCs w:val="16"/>
                <w:lang w:val="it-IT"/>
              </w:rPr>
              <w:fldChar w:fldCharType="end"/>
            </w:r>
          </w:p>
        </w:tc>
        <w:tc>
          <w:tcPr>
            <w:tcW w:w="895" w:type="dxa"/>
            <w:vAlign w:val="center"/>
          </w:tcPr>
          <w:p w14:paraId="48FE0FC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55B107C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03847B7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0C816F1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5C8F2CD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BB8982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73B33FF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3EAA523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721776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9ED84D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380D828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955096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4E575DA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08B0E5C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056AC9E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07076177" w14:textId="77777777" w:rsidTr="000C3C27">
        <w:tc>
          <w:tcPr>
            <w:tcW w:w="1580" w:type="dxa"/>
            <w:vAlign w:val="center"/>
          </w:tcPr>
          <w:p w14:paraId="2FDFFE2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Kim et al., 2007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{"citationItems":[{"id":"ITEM-1","itemData":{"DOI":"https://doi.org/10.1016/j.jad.2007.02.018","ISSN":"0165-0327","abstract":"Background The role of cytokines in bipolar disorder is still controversial. Although a few studies have found alterations of cytokines in bipolar disorder, their findings were inconsistent. The aim of this study was to determine whether the cytokines are involved in the pathophysiology of bipolar disorder. Methods A total of 37 manic patients with bipolar disorder and 74 control subjects were recruited. The mitogen-induced production of tumor necrosis factor (TNF)-alpha, interleukin-6 (IL-6), IL-4, interferon (IFN)-gamma, and IL-2 was measured using quantitative sandwich ELISA at the time of admission and 6 weeks after mood stabilizer treatment. Results IL-6 and TNF-alpha production of bipolar manic patients was significantly higher than those of normal controls, while IL-4 values of the patients were significantly lower than normal controls. IL-6/IL-4, TNF-alpha/IL-4, IL-2/IL-4, and IFN-gamma/IL-4 ratios were significantly higher in bipolar manic patients than in normal controls. After 6 weeks of treatment, the levels of IL-6 significantly decreased compared with baseline. Limitations The effect of various types of mood stabilizers on cytokine production should be considered. Conclusions These findings suggest that the increased activity of pro-inflammatory cytokines and an imbalance between pro-inflammatory and anti-inflammatory cytokines may play a role in the pathophysiology of bipolar disorder.","author":[{"dropping-particle":"","family":"Kim","given":"Yong-Ku","non-dropping-particle":"","parse-names":false,"suffix":""},{"dropping-particle":"","family":"Jung","given":"Hyun-Gang","non-dropping-particle":"","parse-names":false,"suffix":""},{"dropping-particle":"","family":"Myint","given":"Aye-Mu","non-dropping-particle":"","parse-names":false,"suffix":""},{"dropping-particle":"","family":"Kim","given":"Hyun","non-dropping-particle":"","parse-names":false,"suffix":""},{"dropping-particle":"","family":"Park","given":"Sun-Hwa","non-dropping-particle":"","parse-names":false,"suffix":""}],"container-title":"Journal of Affective Disorders","id":"ITEM-1","issue":"1","issued":{"date-parts":[["2007"]]},"page":"91-95","title":"Imbalance between pro-inflammatory and anti-inflammatory cytokines in bipolar disorder","type":"article-journal","volume":"104"},"uris":["http://www.mendeley.com/documents/?uuid=3c7115ce-632e-4f5e-8a5b-0b05e09bfa45"]}],"mendeley":{"formattedCitation":"(Kim et al., 2007)","plainTextFormattedCitation":"(Kim et al., 2007)","previouslyFormattedCitation":"(Kim et al., 2007)"},"properties":{"noteIndex":0},"schema":"https://github.com/citation-style-language/schema/raw/master/csl-citation.json"}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(Kim et al., 2007)</w:t>
            </w:r>
            <w:r w:rsidRPr="00892A33">
              <w:rPr>
                <w:rFonts w:ascii="Times New Roman" w:eastAsia="Calibri" w:hAnsi="Times New Roman" w:cs="Times New Roman"/>
                <w:sz w:val="16"/>
                <w:szCs w:val="16"/>
                <w:lang w:val="it-IT"/>
              </w:rPr>
              <w:fldChar w:fldCharType="end"/>
            </w:r>
          </w:p>
        </w:tc>
        <w:tc>
          <w:tcPr>
            <w:tcW w:w="895" w:type="dxa"/>
            <w:vAlign w:val="center"/>
          </w:tcPr>
          <w:p w14:paraId="3F26648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3EEA7B2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482B22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64F8493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41EC4A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B6A776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4E72C01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3403C3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25338E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7DBC2E0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73F5AB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48764D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293531F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78CB066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1FC2962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007590FB" w14:textId="77777777" w:rsidTr="000C3C27">
        <w:tc>
          <w:tcPr>
            <w:tcW w:w="1580" w:type="dxa"/>
            <w:vAlign w:val="center"/>
          </w:tcPr>
          <w:p w14:paraId="4132B90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lastRenderedPageBreak/>
              <w:t>King et al., 2019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{"citationItems":[{"id":"ITEM-1","itemData":{"DOI":"10.3389/fpsyt.2019.00066","ISSN":"16640640","abstract":"Background: Two current theories regarding the neuroscientific bases of mood disorders involve alterations in glutamatergic neurotransmission and excessive activation of inflammatory pathways. We hypothesized that glutamate (Glu) levels and peripheral inflammatory markers would be associated with cognitive function, in patients with Bipolar Disorder Type II (BP-II), and that such factors would be associated with psychological treatment outcomes. Aims: The primary aim of this study was to explore the relationship between the neurotransmitter Glu, cytokines (CRP, IL_6, and TNFa) and neuropsychological and related functioning. The secondary aim was to assess cognitive functioning as a predictor of poor response to psychological therapy. Methods: Proton magnetic resonance spectroscopy data were acquired from the anterior cingulate cortex (ACC) of 15 participants with BP-II, and 13 healthy controls in a 3T magnetic resonance imaging scanner. The Digit Symbol Task (DST) for processing speed, TMT-B for executive function and Rey Auditory Verbal Learning Test (RAVLT) were administered to assess cognitive domains. Results: There was no significant difference in anterior cingulate Glu, or inflammatory markers between groups. Furthermore, we found no significant difference between groups in any cognitive tests. Scores on the DST were found to be significantly associated with poor response to psychological therapy. Conclusions: This study may highlight an association between neuropsychological dysfunction and treatment outcome in euthymic patients with BP-II. We did not find any association between peripheral inflammatory markers and brain Glu levels. This may have been in part due to the small sample size.","author":[{"dropping-particle":"","family":"King","given":"Sinead","non-dropping-particle":"","parse-names":false,"suffix":""},{"dropping-particle":"","family":"Jelen","given":"Luke A.","non-dropping-particle":"","parse-names":false,"suffix":""},{"dropping-particle":"","family":"Horne","given":"Charlotte M.","non-dropping-particle":"","parse-names":false,"suffix":""},{"dropping-particle":"","family":"Cleare","given":"Anthony","non-dropping-particle":"","parse-names":false,"suffix":""},{"dropping-particle":"","family":"Pariante","given":"Carmine M.","non-dropping-particle":"","parse-names":false,"suffix":""},{"dropping-particle":"","family":"Young","given":"Allan H.","non-dropping-particle":"","parse-names":false,"suffix":""},{"dropping-particle":"","family":"Stone","given":"James M.","non-dropping-particle":"","parse-names":false,"suffix":""}],"container-title":"Frontiers in Psychiatry","id":"ITEM-1","issue":"MAR","issued":{"date-parts":[["2019"]]},"publisher":"Frontiers Media S.A.","title":"Inflammation, glutamate, and cognition in bipolar disorder type II: A proof of concept study","type":"article-journal","volume":"10"},"uris":["http://www.mendeley.com/documents/?uuid=bfbf6f5f-5eb0-4304-9d1b-41fb9d797b36"]}],"mendeley":{"formattedCitation":"(King et al., 2019)","plainTextFormattedCitation":"(King et al., 2019)","previouslyFormattedCitation":"(King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(King et al., 2019)</w:t>
            </w:r>
            <w:r w:rsidRPr="00892A33">
              <w:rPr>
                <w:rFonts w:ascii="Times New Roman" w:eastAsia="Calibri" w:hAnsi="Times New Roman" w:cs="Times New Roman"/>
                <w:sz w:val="16"/>
                <w:szCs w:val="16"/>
                <w:lang w:val="it-IT"/>
              </w:rPr>
              <w:fldChar w:fldCharType="end"/>
            </w:r>
          </w:p>
        </w:tc>
        <w:tc>
          <w:tcPr>
            <w:tcW w:w="895" w:type="dxa"/>
            <w:vAlign w:val="center"/>
          </w:tcPr>
          <w:p w14:paraId="51F1B84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137817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096E8DD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71455D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0D11BE6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CC18CE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2846F81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45A9895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405A9E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3854466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41DD9C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839550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2A7FD94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05BFCD5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2A364EB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4</w:t>
            </w:r>
          </w:p>
        </w:tc>
      </w:tr>
      <w:tr w:rsidR="00892A33" w:rsidRPr="00892A33" w14:paraId="39026ADE" w14:textId="77777777" w:rsidTr="000C3C27">
        <w:tc>
          <w:tcPr>
            <w:tcW w:w="1580" w:type="dxa"/>
            <w:vAlign w:val="center"/>
          </w:tcPr>
          <w:p w14:paraId="394794E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Koga et al., 2019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{"citationItems":[{"id":"ITEM-1","itemData":{"DOI":"10.1038/s41398-019-0536-0","ISSN":"2158-3188","abstract":"Inflammation and altered polyunsaturated fatty acid (PUFA) levels have been implicated in bipolar disorder (BD). A recent genome-wide association study identified a locus in the fatty acid desaturase (FADS) gene cluster conferring susceptibility to BD. In this study, we examined PUFA levels in patients with BD in relation to proinflammatory cytokines, FADS genotype, and dietary habits. We enrolled 83 patients with BD and 217 healthy controls who underwent plasma PUFA measurement. A subsample of 65 patients and 90 controls underwent plasma interleukin (IL)-6 and tumor necrosis factor alpha (TNFα) measurement, and three FADS single nucleotide polymorphisms (SNPs) were genotyped. Information on fish consumption was obtained by a self-reported diet history questionnaire. In comparing PUFA levels between patients and controls, significant differences were found for all 7 PUFAs tested. Specifically, n-3 eicosapentaenoic acid (EPA) level was decreased, and n-6 arachidonic acid level was increased in the patients (p &lt; 0.0001 for both). Plasma IL-6 and TNFα levels were both significantly increased in the patients. Plasma EPA level was negatively correlated with IL-6 and TNFα levels. The FADS genotype, which was associated with increased n-6 PUFA levels, was also associated with marked elevation in TNFα levels. Less frequent fish intake was associated with low EPA and high IL-6 level. Taken together, our results provide strong evidence for altered plasma PUFA and proinflammatory cytokine levels in patients with BD. Furthermore, FADS genotype and fish consumption may contribute not only to altered PUFA levels but also to inflammation in BD.","author":[{"dropping-particle":"","family":"Koga","given":"Norie","non-dropping-particle":"","parse-names":false,"suffix":""},{"dropping-particle":"","family":"Ogura","given":"Jun","non-dropping-particle":"","parse-names":false,"suffix":""},{"dropping-particle":"","family":"Yoshida","given":"Fuyuko","non-dropping-particle":"","parse-names":false,"suffix":""},{"dropping-particle":"","family":"Hattori","given":"Kotaro","non-dropping-particle":"","parse-names":false,"suffix":""},{"dropping-particle":"","family":"Hori","given":"Hiroaki","non-dropping-particle":"","parse-names":false,"suffix":""},{"dropping-particle":"","family":"Aizawa","given":"Emiko","non-dropping-particle":"","parse-names":false,"suffix":""},{"dropping-particle":"","family":"Ishida","given":"Ikki","non-dropping-particle":"","parse-names":false,"suffix":""},{"dropping-particle":"","family":"Kunugi","given":"Hiroshi","non-dropping-particle":"","parse-names":false,"suffix":""}],"container-title":"Translational Psychiatry","id":"ITEM-1","issue":"1","issued":{"date-parts":[["2019"]]},"page":"208","title":"Altered polyunsaturated fatty acid levels in relation to proinflammatory cytokines, fatty acid desaturase genotype, and diet in bipolar disorder","type":"article-journal","volume":"9"},"uris":["http://www.mendeley.com/documents/?uuid=4a8f5820-1fb8-44f2-a23e-9b8ca5e2a7c2"]}],"mendeley":{"formattedCitation":"(Koga et al., 2019)","plainTextFormattedCitation":"(Koga et al., 2019)","previouslyFormattedCitation":"(Koga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(Koga et al., 2019)</w:t>
            </w:r>
            <w:r w:rsidRPr="00892A33">
              <w:rPr>
                <w:rFonts w:ascii="Times New Roman" w:eastAsia="Calibri" w:hAnsi="Times New Roman" w:cs="Times New Roman"/>
                <w:sz w:val="16"/>
                <w:szCs w:val="16"/>
                <w:lang w:val="it-IT"/>
              </w:rPr>
              <w:fldChar w:fldCharType="end"/>
            </w:r>
          </w:p>
        </w:tc>
        <w:tc>
          <w:tcPr>
            <w:tcW w:w="895" w:type="dxa"/>
            <w:vAlign w:val="center"/>
          </w:tcPr>
          <w:p w14:paraId="0A27F96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3A96913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D4D034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4E83AC0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C6AB42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148EE7F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870" w:type="dxa"/>
            <w:vAlign w:val="center"/>
          </w:tcPr>
          <w:p w14:paraId="4965720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53D4501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31111C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10E45C4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3B41CB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4FBDFF3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46F54C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4B75813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75EA4F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5B1D14DA" w14:textId="77777777" w:rsidTr="000C3C27">
        <w:tc>
          <w:tcPr>
            <w:tcW w:w="1580" w:type="dxa"/>
            <w:vAlign w:val="center"/>
          </w:tcPr>
          <w:p w14:paraId="2CCA92B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Lesh et al., 2018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{"citationItems":[{"id":"ITEM-1","itemData":{"DOI":"10.1186/s12974-018-1197-2","ISSN":"17422094","PMID":"29803226","abstract":"Background: Over the past 30 years, evidence has been accumulating for an immunological component to schizophrenia etiology, including genetic links to the major histocompatibility complex, microglia activation, and dysregulated cytokine profiles. However, the degree of similarity in cytokine profiles for schizophrenia and bipolar disorder, as well as the relationship between cytokine levels and brain structure, is less well understood. Methods: To address this, we recruited 69 first-episode schizophrenia-spectrum patients, 16 first-episode bipolar patients with psychotic features, and 53 healthy controls, from the UC Davis EDAPT clinic. Blood plasma was collected and analyzed for all participants with a subset of participants that also underwent structural MRI on a 1.5T GE scanner. Results: Plasma levels of interleukin (IL)-1β, IL-2, IL-6, and interferon (IFN)-γ were elevated in schizophrenia patients compared to those in controls. Patients with bipolar disorder had elevated plasma IL-10 levels compared to controls, and the two patient groups did not differ significantly on any immunological measure. Percent whole-brain gray matter was inversely correlated with IFN-γ and IL-12 levels in patients with schizophrenia, with a trend relationship between IFN-γ and IL-12 and prefrontal cortical thickness. Furthermore, psychotic symptoms were positively related to IL-1β levels in individuals with schizophrenia. Conclusions: These data suggest a partially overlapping pattern of elevated blood cytokine levels in patients with first-episode schizophrenia and bipolar disorder with psychotic features. Furthermore, our findings suggest that elevated pro-inflammatory cytokines may be particularly involved in schizophrenia etiology, given evidence of cytokine-related decreases in total gray matter.","author":[{"dropping-particle":"","family":"Lesh","given":"Tyler A.","non-dropping-particle":"","parse-names":false,"suffix":""},{"dropping-particle":"","family":"Careaga","given":"Milo","non-dropping-particle":"","parse-names":false,"suffix":""},{"dropping-particle":"","family":"Rose","given":"Destanie R.","non-dropping-particle":"","parse-names":false,"suffix":""},{"dropping-particle":"","family":"McAllister","given":"A. Kimberley","non-dropping-particle":"","parse-names":false,"suffix":""},{"dropping-particle":"","family":"Water","given":"Judy","non-dropping-particle":"Van de","parse-names":false,"suffix":""},{"dropping-particle":"","family":"Carter","given":"Cameron S.","non-dropping-particle":"","parse-names":false,"suffix":""},{"dropping-particle":"","family":"Ashwood","given":"Paul","non-dropping-particle":"","parse-names":false,"suffix":""}],"container-title":"Journal of Neuroinflammation","id":"ITEM-1","issue":"1","issued":{"date-parts":[["2018","5"]]},"publisher":"BioMed Central Ltd.","title":"Cytokine alterations in first-episode schizophrenia and bipolar disorder: Relationships to brain structure and symptoms","type":"article-journal","volume":"15"},"uris":["http://www.mendeley.com/documents/?uuid=5f9873b8-6d84-417b-adeb-a55e63249516"]}],"mendeley":{"formattedCitation":"(Lesh et al., 2018)","plainTextFormattedCitation":"(Lesh et al., 2018)","previouslyFormattedCitation":"(Lesh et al., 2018)"},"properties":{"noteIndex":0},"schema":"https://github.com/citation-style-language/schema/raw/master/csl-citation.json"}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(Lesh et al., 2018)</w:t>
            </w:r>
            <w:r w:rsidRPr="00892A33">
              <w:rPr>
                <w:rFonts w:ascii="Times New Roman" w:eastAsia="Calibri" w:hAnsi="Times New Roman" w:cs="Times New Roman"/>
                <w:sz w:val="16"/>
                <w:szCs w:val="16"/>
                <w:lang w:val="it-IT"/>
              </w:rPr>
              <w:fldChar w:fldCharType="end"/>
            </w:r>
          </w:p>
        </w:tc>
        <w:tc>
          <w:tcPr>
            <w:tcW w:w="895" w:type="dxa"/>
            <w:vAlign w:val="center"/>
          </w:tcPr>
          <w:p w14:paraId="726AC4E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050FBC2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45" w:type="dxa"/>
            <w:vAlign w:val="center"/>
          </w:tcPr>
          <w:p w14:paraId="47B160C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7ADBB3B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598AA7D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3755785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64F558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333FAD0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CDE029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C16504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5F1232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8318E6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0309DB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41E89C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0299A3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2D839110" w14:textId="77777777" w:rsidTr="000C3C27">
        <w:tc>
          <w:tcPr>
            <w:tcW w:w="1580" w:type="dxa"/>
            <w:vAlign w:val="center"/>
          </w:tcPr>
          <w:p w14:paraId="05B5E8E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Mao et al., 2018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{"citationItems":[{"id":"ITEM-1","itemData":{"DOI":"10.1016/j.jad.2018.04.115","ISSN":"15732517","PMID":"29778935","abstract":"Background: Immune system dysregulation is critical in the physiopathology of major depressive disorder (MDD) and bipolar disorder (BD). However, it is unclear whether both diseases present the same inflammatory patterns during depressive episodes. We explored the differences in pro- and anti-inflammatory cytokines between unipolar and bipolar depression (BDD) and the trajectory of these cytokines after acute-phase treatment. Methods: Sixty-four MDD patients, 61 BDD patients, and 62 healthy controls (HCs) were enrolled. We assessed the clinical features and cytokines plasma levels at baseline and week 12. The pro-inflammatory cytokines (IL-6, TNF-α) and anti-inflammatory cytokines (IL-4, IL-13) of all subjects were assessed by multiplexed sandwich ELISA-based quantitative arrays. Results: Before acute-phase treatment, the initial levels of TNF-α and IL-13 were significantly lower in the BDD patients than in the MDD patients. The results demonstrated that there was no relationship between each cytokine level and clinical features of unipolar and bipolar depressions. After 12 weeks, TNF-α, IL-4, and IL-13 levels became lower in MDD patients than in the other two groups regardless of the patients’ response to treatment while the levels of TNF-α and IL-4 increased only in the BDD responders. Limitations: The effects of different drugs on inflammatory cytokines in MDD or BDD could not be explored further due to the relatively small sample size. Conclusion: Even within the same depressive states, MDD and BDD patients present different inflammatory features, particularly in regard to pro-inflammatory TNF-α and anti-inflammatory IL-13. In addition, the fluctuations of cytokines induced by medication may provide a hint regarding the prediction of treatment response.","author":[{"dropping-particle":"","family":"Mao","given":"Ruizhi","non-dropping-particle":"","parse-names":false,"suffix":""},{"dropping-particle":"","family":"Zhang","given":"Chen","non-dropping-particle":"","parse-names":false,"suffix":""},{"dropping-particle":"","family":"Chen","given":"Jun","non-dropping-particle":"","parse-names":false,"suffix":""},{"dropping-particle":"","family":"Zhao","given":"Guoqing","non-dropping-particle":"","parse-names":false,"suffix":""},{"dropping-particle":"","family":"Zhou","given":"Rubai","non-dropping-particle":"","parse-names":false,"suffix":""},{"dropping-particle":"","family":"Wang","given":"Fan","non-dropping-particle":"","parse-names":false,"suffix":""},{"dropping-particle":"","family":"Xu","given":"Jingjing","non-dropping-particle":"","parse-names":false,"suffix":""},{"dropping-particle":"","family":"Yang","given":"Tao","non-dropping-particle":"","parse-names":false,"suffix":""},{"dropping-particle":"","family":"Su","given":"Yousong","non-dropping-particle":"","parse-names":false,"suffix":""},{"dropping-particle":"","family":"Huang","given":"Jia","non-dropping-particle":"","parse-names":false,"suffix":""},{"dropping-particle":"","family":"Wu","given":"Zhiguo","non-dropping-particle":"","parse-names":false,"suffix":""},{"dropping-particle":"","family":"Cao","given":"Lan","non-dropping-particle":"","parse-names":false,"suffix":""},{"dropping-particle":"","family":"Wang","given":"Yong","non-dropping-particle":"","parse-names":false,"suffix":""},{"dropping-particle":"","family":"Hu","given":"Yingyan","non-dropping-particle":"","parse-names":false,"suffix":""},{"dropping-particle":"","family":"Yuan","given":"Chengmei","non-dropping-particle":"","parse-names":false,"suffix":""},{"dropping-particle":"","family":"Yi","given":"Zhenghui","non-dropping-particle":"","parse-names":false,"suffix":""},{"dropping-particle":"","family":"Hong","given":"Wu","non-dropping-particle":"","parse-names":false,"suffix":""},{"dropping-particle":"","family":"Wang","given":"Zuowei","non-dropping-particle":"","parse-names":false,"suffix":""},{"dropping-particle":"","family":"Peng","given":"Daihui","non-dropping-particle":"","parse-names":false,"suffix":""},{"dropping-particle":"","family":"Fang","given":"Yiru","non-dropping-particle":"","parse-names":false,"suffix":""}],"container-title":"Journal of Affective Disorders","id":"ITEM-1","issued":{"date-parts":[["2018","9"]]},"page":"65-72","publisher":"Elsevier B.V.","title":"Different levels of pro- and anti-inflammatory cytokines in patients with unipolar and bipolar depression","type":"article-journal","volume":"237"},"uris":["http://www.mendeley.com/documents/?uuid=cf521dd8-ccab-46e3-9fc7-45f9e4c06217"]}],"mendeley":{"formattedCitation":"(Mao et al., 2018)","plainTextFormattedCitation":"(Mao et al., 2018)","previouslyFormattedCitation":"(Mao et al., 2018)"},"properties":{"noteIndex":0},"schema":"https://github.com/citation-style-language/schema/raw/master/csl-citation.json"}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(Mao et al., 2018)</w:t>
            </w:r>
            <w:r w:rsidRPr="00892A33">
              <w:rPr>
                <w:rFonts w:ascii="Times New Roman" w:eastAsia="Calibri" w:hAnsi="Times New Roman" w:cs="Times New Roman"/>
                <w:sz w:val="16"/>
                <w:szCs w:val="16"/>
                <w:lang w:val="it-IT"/>
              </w:rPr>
              <w:fldChar w:fldCharType="end"/>
            </w:r>
          </w:p>
        </w:tc>
        <w:tc>
          <w:tcPr>
            <w:tcW w:w="895" w:type="dxa"/>
            <w:vAlign w:val="center"/>
          </w:tcPr>
          <w:p w14:paraId="2EB3EFF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80A4DC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E56536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60C9C81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380F07D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33AD38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174BF5E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824AA8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1AFE00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333441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00C7F96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2B6BB9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747FA1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F51D5A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317D431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9</w:t>
            </w:r>
          </w:p>
        </w:tc>
      </w:tr>
      <w:tr w:rsidR="00892A33" w:rsidRPr="00892A33" w14:paraId="499E9591" w14:textId="77777777" w:rsidTr="000C3C27">
        <w:tc>
          <w:tcPr>
            <w:tcW w:w="1580" w:type="dxa"/>
            <w:vAlign w:val="center"/>
          </w:tcPr>
          <w:p w14:paraId="2B60E62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Mizuno et al., 2016</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{"citationItems":[{"id":"ITEM-1","itemData":{"DOI":"10.1016/j.schres.2016.04.047","ISSN":"15732509","PMID":"27185483","abstract":"Objective The concept of resilience is relevant in understanding the heterogeneous outcomes noted in schizophrenia and bipolar disorder. However, clinical and biological correlates of resilience in these populations have rarely been investigated. We aimed to identify key correlates of subjective resilience in such patients using comprehensive assessments and to explore associations between resilience levels and peripheral biomarkers. Method 180 subjects with DSM-IV schizophrenia, bipolar disorder, and healthy controls (60 per group) were included. Demographic and clinical variables were assessed by means of interview and various psychometric scales. Furthermore, blood and saliva samples were obtained for the assessment of brain-derived neurotrophic factor, adrenocorticotropic hormone, cortisol, high sensitivity C-reactive protein, and alpha-amylase levels. Cross-sectional associations with resilience, as assessed by the 25-item Resilience Scale were sought. Results Resilience Scale total scores were significantly higher in healthy individuals (130.1, 95% confidence intervals (CI): 124.8–135.4) compared to subjects with schizophrenia (109.9, 95% CI: 104.6–115.2, p &lt; 0.001) and bipolar disorder (119.0, 95% CI: 113.8–124.3, p = 0.012), while the difference between patient groups was non-significant (p = 0.055). Self-esteem, spirituality, quality of life, and hopelessness were correlated with resilience in all three groups. In addition, internalized stigma and depression were relevant factors in the schizophrenia and bipolar disorder group, respectively. Correlations between resilience levels and peripheral biomarkers did not reach significance. Conclusion Although causal relationships must be confirmed in prospective studies, our results have implications in developing psychological interventions to enhance resilience in patients with schizophrenia and bipolar disorder. The biological correlates of resilience in these populations warrant further investigations.","author":[{"dropping-particle":"","family":"Mizuno","given":"Yuya","non-dropping-particle":"","parse-names":false,"suffix":""},{"dropping-particle":"","family":"Hofer","given":"Alex","non-dropping-particle":"","parse-names":false,"suffix":""},{"dropping-particle":"","family":"Suzuki","given":"Takefumi","non-dropping-particle":"","parse-names":false,"suffix":""},{"dropping-particle":"","family":"Frajo-Apor","given":"Beatrice","non-dropping-particle":"","parse-names":false,"suffix":""},{"dropping-particle":"","family":"Wartelsteiner","given":"Fabienne","non-dropping-particle":"","parse-names":false,"suffix":""},{"dropping-particle":"","family":"Kemmler","given":"Georg","non-dropping-particle":"","parse-names":false,"suffix":""},{"dropping-particle":"","family":"Saruta","given":"Juri","non-dropping-particle":"","parse-names":false,"suffix":""},{"dropping-particle":"","family":"Tsukinoki","given":"Keiichi","non-dropping-particle":"","parse-names":false,"suffix":""},{"dropping-particle":"","family":"Mimura","given":"Masaru","non-dropping-particle":"","parse-names":false,"suffix":""},{"dropping-particle":"","family":"Fleischhacker","given":"W. Wolfgang","non-dropping-particle":"","parse-names":false,"suffix":""},{"dropping-particle":"","family":"Uchida","given":"Hiroyuki","non-dropping-particle":"","parse-names":false,"suffix":""}],"container-title":"Schizophrenia Research","id":"ITEM-1","issue":"1-3","issued":{"date-parts":[["2016","8"]]},"page":"148-153","publisher":"Elsevier B.V.","title":"Clinical and biological correlates of resilience in patients with schizophrenia and bipolar disorder: A cross-sectional study","type":"article-journal","volume":"175"},"uris":["http://www.mendeley.com/documents/?uuid=0fbdc804-08a7-4425-b108-83287fb4e4b4"]}],"mendeley":{"formattedCitation":"(Mizuno et al., 2016)","plainTextFormattedCitation":"(Mizuno et al., 2016)","previouslyFormattedCitation":"(Mizuno et al., 2016)"},"properties":{"noteIndex":0},"schema":"https://github.com/citation-style-language/schema/raw/master/csl-citation.json"}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(Mizuno et al., 2016)</w:t>
            </w:r>
            <w:r w:rsidRPr="00892A33">
              <w:rPr>
                <w:rFonts w:ascii="Times New Roman" w:eastAsia="Calibri" w:hAnsi="Times New Roman" w:cs="Times New Roman"/>
                <w:sz w:val="16"/>
                <w:szCs w:val="16"/>
                <w:lang w:val="it-IT"/>
              </w:rPr>
              <w:fldChar w:fldCharType="end"/>
            </w:r>
          </w:p>
        </w:tc>
        <w:tc>
          <w:tcPr>
            <w:tcW w:w="895" w:type="dxa"/>
            <w:vAlign w:val="center"/>
          </w:tcPr>
          <w:p w14:paraId="3F697F9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D50AA8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2AAA113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596382E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59A2F2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93" w:type="dxa"/>
            <w:vAlign w:val="center"/>
          </w:tcPr>
          <w:p w14:paraId="5B47871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62175BC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3529690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0AF8CD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39BBA0C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6E1499E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76062E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699" w:type="dxa"/>
            <w:vAlign w:val="center"/>
          </w:tcPr>
          <w:p w14:paraId="37BEC55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CA5151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5425CFB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11</w:t>
            </w:r>
          </w:p>
        </w:tc>
      </w:tr>
      <w:tr w:rsidR="00892A33" w:rsidRPr="00892A33" w14:paraId="4D532877" w14:textId="77777777" w:rsidTr="000C3C27">
        <w:tc>
          <w:tcPr>
            <w:tcW w:w="1580" w:type="dxa"/>
            <w:vAlign w:val="center"/>
          </w:tcPr>
          <w:p w14:paraId="63DCBFB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Mondin et al., 2016</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{"citationItems":[{"id":"ITEM-1","itemData":{"DOI":"10.1016/j.jneuroim.2016.10.012","ISSN":"18728421","PMID":"27836181","abstract":"Objective To assess circadian preference among a community sample of people with bipolar disorder, major depression and without any mood disorders. Secondly, we investigated the association of circadian preference with cytokines interleukin-6 (IL-6), interleukin-10 (IL-10) and, tumor necrosis factor alpha (TNF-α) and oxidative stress assessed by thiobarbituric acid reactive substances (TBARS), uric acid and Protein Carbonyl Content (PCC). Method A cross-sectional study nested in a population-based sample. Caseness was confirmed with the Structured Clinical Interview for DSM-IV. A sample of 215 participants, in whom we measured circadian preferences, IL-6, IL-10, TNF-α, TBARS, uric acid, PCC. Biological rhythms were evaluated using the Biological Interview of Assessment in Neuropsychiatry. Results Bipolar group presented a higher alteration in biological rhythms (40.40 ± 9.78) when compared with the major depression group (36.35 ± 9.18) and control group (27.61 ± 6.89) p &lt; 0.001. Subjects with bipolar disorder who were active at night and had a day/night cycle reverse showed decreased levels of IL-6 (t, 44 = 2.096; p = 0.042), (t, 44 = 2.213; p = 0.032), respectively. In the bipolar disorder group subjects who presented day/night cycle reverse had lower TBARS levels (t, 41 = 2.612; p = 0.013). TNF-α were decreased in subjects more active at night with bipolar disorder. Conclusion Lower serum levels of IL-6, TNF-α and TBARS were associated with evening preference in bipolar disorder group. These findings suggest that chronotype may alter the levels of interleukins and oxidative stress levels in bipolar and healthy subjects. A better understanding of the role of circadian preferences in levels of interleukins and oxidative stress are needed.","author":[{"dropping-particle":"","family":"Mondin","given":"Thaise Campos","non-dropping-particle":"","parse-names":false,"suffix":""},{"dropping-particle":"","family":"Azevedo Cardoso","given":"Taiane","non-dropping-particle":"de","parse-names":false,"suffix":""},{"dropping-particle":"","family":"Moreira","given":"Fernanda Pedrotti","non-dropping-particle":"","parse-names":false,"suffix":""},{"dropping-particle":"","family":"Wiener","given":"Carolina","non-dropping-particle":"","parse-names":false,"suffix":""},{"dropping-particle":"","family":"Oses","given":"Jean Pierre","non-dropping-particle":"","parse-names":false,"suffix":""},{"dropping-particle":"","family":"Mattos Souza","given":"Luciano Dias","non-dropping-particle":"de","parse-names":false,"suffix":""},{"dropping-particle":"","family":"Jansen","given":"Karen","non-dropping-particle":"","parse-names":false,"suffix":""},{"dropping-particle":"","family":"Silva Magalhães","given":"Pedro Vieira","non-dropping-particle":"da","parse-names":false,"suffix":""},{"dropping-particle":"","family":"Kapczinski","given":"Flávio","non-dropping-particle":"","parse-names":false,"suffix":""},{"dropping-particle":"","family":"Silva","given":"Ricardo Azevedo","non-dropping-particle":"da","parse-names":false,"suffix":""}],"container-title":"Journal of Neuroimmunology","id":"ITEM-1","issued":{"date-parts":[["2016","12"]]},"page":"23-29","publisher":"Elsevier B.V.","title":"Circadian preferences, oxidative stress and inflammatory cytokines in bipolar disorder: A community study","type":"article-journal","volume":"301"},"uris":["http://www.mendeley.com/documents/?uuid=34580b4e-3794-4e41-a94c-2fb3f91d8263"]}],"mendeley":{"formattedCitation":"(Mondin et al., 2016)","plainTextFormattedCitation":"(Mondin et al., 2016)","previouslyFormattedCitation":"(Mondin et al., 2016)"},"properties":{"noteIndex":0},"schema":"https://github.com/citation-style-language/schema/raw/master/csl-citation.json"}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(Mondin et al., 2016)</w:t>
            </w:r>
            <w:r w:rsidRPr="00892A33">
              <w:rPr>
                <w:rFonts w:ascii="Times New Roman" w:eastAsia="Calibri" w:hAnsi="Times New Roman" w:cs="Times New Roman"/>
                <w:sz w:val="16"/>
                <w:szCs w:val="16"/>
                <w:lang w:val="it-IT"/>
              </w:rPr>
              <w:fldChar w:fldCharType="end"/>
            </w:r>
          </w:p>
        </w:tc>
        <w:tc>
          <w:tcPr>
            <w:tcW w:w="895" w:type="dxa"/>
            <w:vAlign w:val="center"/>
          </w:tcPr>
          <w:p w14:paraId="26B3490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705C6A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3A282C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4C7F05A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40087B7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076172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6D62AAC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7D3E60F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D19F6D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82032C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648185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66DA8F9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69C40A8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0D468A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0FBFD4C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9</w:t>
            </w:r>
          </w:p>
        </w:tc>
      </w:tr>
      <w:tr w:rsidR="00892A33" w:rsidRPr="00892A33" w14:paraId="56D2EF13" w14:textId="77777777" w:rsidTr="000C3C27">
        <w:tc>
          <w:tcPr>
            <w:tcW w:w="1580" w:type="dxa"/>
            <w:vAlign w:val="center"/>
          </w:tcPr>
          <w:p w14:paraId="0A444A5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Mora et al., 2019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{"citationItems":[{"id":"ITEM-1","itemData":{"DOI":"10.1016/j.eurpsy.2019.02.006","ISSN":"17783585","PMID":"30808582","abstract":"Background: Neurotrophins such as brain-derived neurotrophic factor (BDNF), inflammation and oxidative damage may contribute to the pathophysiology of bipolar disorder (BD) in terms of illness activity. To date, there is a lack of studies linking the cognitive impairment observed in BD with these neurobiological mechanisms. This study aimed to investigate the role of these neurobiological factors in clinical and cognitive outcomes in a sample of bipolar individuals. Methods: We measured serum BDNF, cytokines and oxidative stress markers in a sample of 133 individuals: 52 euthymic bipolar patients, 32 manic patients and 49 healthy controls. They were all assessed with a comprehensive cognitive battery. Sociodemographic and clinical data were collected. Multiple linear regression models were built to study associations of neurotrophins and inflammatory and oxidative measures with cognitive functioning. Results: BDNF levels were decreased in euthymic (p = 0.039) and manic (p &lt; 0.001) individuals. Conversely, inflammatory (interleukin 6 (IL-6)) (p = 0.019) and oxidative stress (p = 0.003) measures were increased in bipolar individuals compared to controls. BDNF levels were associated with executive functioning (β = 0.01, p = 0.02) and verbal memory (β = 0.013, p = 0.005), together with other demographic variables. In particular, verbal memory was also associated with obesity (β=-0.04, p = 0.005). Neither inflammatory markers, oxidative stress markers nor other relevant clinical variables showed any association with cognitive outcome. Conclusions: Of all the peripheral neurobiological factors analysed, BDNF was the only one significantly associated with cognitive dysfunction in bipolar disorder individuals. This study emphasizes the role of BDNF not only across mood phases but also in cognitive functioning.","author":[{"dropping-particle":"","family":"Mora","given":"Ester","non-dropping-particle":"","parse-names":false,"suffix":""},{"dropping-particle":"","family":"Portella","given":"Maria J.","non-dropping-particle":"","parse-names":false,"suffix":""},{"dropping-particle":"","family":"Piñol-Ripoll","given":"Gerard","non-dropping-particle":"","parse-names":false,"suffix":""},{"dropping-particle":"","family":"López","given":"Ricard","non-dropping-particle":"","parse-names":false,"suffix":""},{"dropping-particle":"","family":"Cuadras","given":"Daniel","non-dropping-particle":"","parse-names":false,"suffix":""},{"dropping-particle":"","family":"Forcada","given":"Irene","non-dropping-particle":"","parse-names":false,"suffix":""},{"dropping-particle":"","family":"Teres","given":"Montse","non-dropping-particle":"","parse-names":false,"suffix":""},{"dropping-particle":"","family":"Vieta","given":"Eduard","non-dropping-particle":"","parse-names":false,"suffix":""},{"dropping-particle":"","family":"Mur","given":"Maria","non-dropping-particle":"","parse-names":false,"suffix":""}],"container-title":"European Psychiatry","id":"ITEM-1","issued":{"date-parts":[["2019","8"]]},"page":"97-107","publisher":"Elsevier Masson SAS","title":"High BDNF serum levels are associated to good cognitive functioning in bipolar disorder","type":"article-journal","volume":"60"},"uris":["http://www.mendeley.com/documents/?uuid=935d227d-bd1d-4bd8-aa28-0eb7dc7ce375"]}],"mendeley":{"formattedCitation":"(Mora et al., 2019)","plainTextFormattedCitation":"(Mora et al., 2019)","previouslyFormattedCitation":"(Mora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(Mora et al., 2019)</w:t>
            </w:r>
            <w:r w:rsidRPr="00892A33">
              <w:rPr>
                <w:rFonts w:ascii="Times New Roman" w:eastAsia="Calibri" w:hAnsi="Times New Roman" w:cs="Times New Roman"/>
                <w:sz w:val="16"/>
                <w:szCs w:val="16"/>
                <w:lang w:val="it-IT"/>
              </w:rPr>
              <w:fldChar w:fldCharType="end"/>
            </w:r>
          </w:p>
        </w:tc>
        <w:tc>
          <w:tcPr>
            <w:tcW w:w="895" w:type="dxa"/>
            <w:vAlign w:val="center"/>
          </w:tcPr>
          <w:p w14:paraId="78E43DF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72A61E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5FFAE33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36EB77F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0266276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2402911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118587D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AB9E59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8AA274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12B0A81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E2CDB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9E744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7839607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4C37998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0C092B6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8</w:t>
            </w:r>
          </w:p>
        </w:tc>
      </w:tr>
      <w:tr w:rsidR="00892A33" w:rsidRPr="00892A33" w14:paraId="09C14340" w14:textId="77777777" w:rsidTr="000C3C27">
        <w:tc>
          <w:tcPr>
            <w:tcW w:w="1580" w:type="dxa"/>
            <w:vAlign w:val="center"/>
          </w:tcPr>
          <w:p w14:paraId="752A91E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Ortiz-Dominguez et al., 2007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{"citationItems":[{"id":"ITEM-1","itemData":{"DOI":"https://doi.org/10.1111/j.1399-5618.2007.00493.x","ISSN":"1398-5647","abstract":"Objectives:? To characterize the immunological variations of patients with a bipolar disorder (BD) diagnosis in manic (BDm) and depressive (BDd) phases, by the quantification of the serum levels of interleukin (IL)-1?, -2, -4, -6 and tumor necrosis factor alpha (TNF-α). Methods:? Twenty physically healthy patients with a BD type I diagnosis and 33 matched controls were studied, after giving informed consent. The inclusion criteria included at least three weeks without any kind of psychopharmacological treatment, Young Mania Rating Scale score ≥20 for BDm (n?=?10) and Hamilton Depression Rating Scale score ≥21 for BDd patients (n?=?10). Exclusion criteria included any infectious diseases, allergies or any other kind of medical illness that required treatment with immunosuppressors, as well as any other diagnosis in Axis I. Physical and laboratory examinations were performed to rule out any clinical illness. Enzyme-linked immunosorbent assay (ELISA) was used to analyze the serum cytokines concentration. Results:? BD patients, when compared to controls, showed significant differences (p?≤?0.05) in the serum levels of the measured cytokines. The sub-group of BDd patients showed an increase in IL-6 and TNF-α, as well as a decrease in IL-2 concentration. The BDm sub-group, on the other hand, showed an increase in TNF-α and IL-4 values, with a low concentration of IL-1 and IL-2. The comparison between both sub-groups suggests that there is a distinctive cytokine pattern for the specific phases of the disorder: for mania, we found a high IL-4 and low IL-1? and IL-6 concentration, while in the depressive phase, the inverse pattern was found. Conclusions:? Our results show the existence of phasic differences in the serum levels of cytokines in BD.","author":[{"dropping-particle":"","family":"Ortiz-Domínguez","given":"Abigail","non-dropping-particle":"","parse-names":false,"suffix":""},{"dropping-particle":"","family":"Hernández","given":"María Eugenia","non-dropping-particle":"","parse-names":false,"suffix":""},{"dropping-particle":"","family":"Berlanga","given":"Carlos","non-dropping-particle":"","parse-names":false,"suffix":""},{"dropping-particle":"","family":"Gutiérrez-Mora","given":"Doris","non-dropping-particle":"","parse-names":false,"suffix":""},{"dropping-particle":"","family":"Moreno","given":"Julia","non-dropping-particle":"","parse-names":false,"suffix":""},{"dropping-particle":"","family":"Heinze","given":"Gerhard","non-dropping-particle":"","parse-names":false,"suffix":""},{"dropping-particle":"","family":"Pavón","given":"Lenin","non-dropping-particle":"","parse-names":false,"suffix":""}],"container-title":"Bipolar Disorders","id":"ITEM-1","issue":"6","issued":{"date-parts":[["2007","9"]]},"page":"596-602","publisher":"John Wiley &amp; Sons, Ltd","title":"Immune variations in bipolar disorder: phasic differences","type":"article-journal","volume":"9"},"uris":["http://www.mendeley.com/documents/?uuid=f0701c16-80e8-446e-b962-1cace3a5215c"]}],"mendeley":{"formattedCitation":"(Ortiz-Domínguez et al., 2007)","plainTextFormattedCitation":"(Ortiz-Domínguez et al., 2007)","previouslyFormattedCitation":"(Ortiz-Domínguez et al., 2007)"},"properties":{"noteIndex":0},"schema":"https://github.com/citation-style-language/schema/raw/master/csl-citation.json"}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(Ortiz-Domínguez et al., 2007)</w:t>
            </w:r>
            <w:r w:rsidRPr="00892A33">
              <w:rPr>
                <w:rFonts w:ascii="Times New Roman" w:eastAsia="Calibri" w:hAnsi="Times New Roman" w:cs="Times New Roman"/>
                <w:sz w:val="16"/>
                <w:szCs w:val="16"/>
                <w:lang w:val="it-IT"/>
              </w:rPr>
              <w:fldChar w:fldCharType="end"/>
            </w:r>
          </w:p>
        </w:tc>
        <w:tc>
          <w:tcPr>
            <w:tcW w:w="895" w:type="dxa"/>
            <w:vAlign w:val="center"/>
          </w:tcPr>
          <w:p w14:paraId="7D2B46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0045D75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263093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7C661A7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74121D0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5EF903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027D957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6DC6C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13646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A3923E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0D245B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46D2134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43AFE8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643A2E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4BCCC57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9</w:t>
            </w:r>
          </w:p>
        </w:tc>
      </w:tr>
      <w:tr w:rsidR="00892A33" w:rsidRPr="00892A33" w14:paraId="4FF2D39C" w14:textId="77777777" w:rsidTr="000C3C27">
        <w:tc>
          <w:tcPr>
            <w:tcW w:w="1580" w:type="dxa"/>
            <w:vAlign w:val="center"/>
          </w:tcPr>
          <w:p w14:paraId="563DA4D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Pantovic-Stefanovic et al., 2018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{"citationItems":[{"id":"ITEM-1","itemData":{"DOI":"10.1080/15622975.2016.1259498","ISSN":"18141412","PMID":"27841086","abstract":"Objectives: To explore the serum levels of soluble vascular cell adhesion molecule-1 (sVCAM-1), soluble intercellular cell adhesion molecule-1 (sICAM-1), tumour necrosis factor-α (TNF-α) and interleukin-6 (IL-6) in patients with bipolar disorder (BD), with regard to acute episode characteristics, course of the disorder and treatment. Methods: The study group consisted of 83 patients diagnosed with BD type I. The control group consisted of 73 healthy individuals, matched with the study group according to age, gender and body mass index. The serum levels of sVCAM-1, sICAM-1, TNF-α and IL-6 were measured by ELISA. Results: Compared with healthy controls, significantly elevated levels of IL-6 and sICAM-1 and significantly lower levels of TNF-α and sVCAM-1 were identified in acute and remission phases of BD. The acute serum levels of sVCAM-1 were associated with the type and severity of acute mood symptoms as well as with course of illness characteristics. TNF-α was associated with duration of untreated disorder and type of treatment. Conclusions: BD is related to both acute and long-term alterations of immune mediators, including adhesion molecules. The potential immunomodulatory role of pharmacotherapeutic treatment is also to be considered in BD.","author":[{"dropping-particle":"","family":"Pantović-Stefanović","given":"Maja","non-dropping-particle":"","parse-names":false,"suffix":""},{"dropping-particle":"","family":"Petronijević","given":"Nataša","non-dropping-particle":"","parse-names":false,"suffix":""},{"dropping-particle":"","family":"Dunjić-Kostić","given":"Bojana","non-dropping-particle":"","parse-names":false,"suffix":""},{"dropping-particle":"","family":"Velimirović","given":"Milica","non-dropping-particle":"","parse-names":false,"suffix":""},{"dropping-particle":"","family":"Nikolić","given":"Tatjana","non-dropping-particle":"","parse-names":false,"suffix":""},{"dropping-particle":"","family":"Jurišić","given":"Vladimir","non-dropping-particle":"","parse-names":false,"suffix":""},{"dropping-particle":"","family":"Lačković","given":"Maja","non-dropping-particle":"","parse-names":false,"suffix":""},{"dropping-particle":"","family":"Damjanović","given":"Aleksandar","non-dropping-particle":"","parse-names":false,"suffix":""},{"dropping-particle":"","family":"Totić-Poznanović","given":"Sanja","non-dropping-particle":"","parse-names":false,"suffix":""},{"dropping-particle":"","family":"Jovanović","given":"Aleksandar A.","non-dropping-particle":"","parse-names":false,"suffix":""},{"dropping-particle":"","family":"Ivković","given":"Maja","non-dropping-particle":"","parse-names":false,"suffix":""}],"container-title":"World Journal of Biological Psychiatry","id":"ITEM-1","issue":"sup2","issued":{"date-parts":[["2018","10"]]},"page":"S41-S51","publisher":"Taylor and Francis Ltd","title":"sVCAM-1, sICAM-1, TNF-α and IL-6 levels in bipolar disorder type I: Acute, longitudinal and therapeutic implications","type":"article-journal","volume":"19"},"uris":["http://www.mendeley.com/documents/?uuid=1bd678ea-cb7c-4b8f-9237-c52ca3466b6e"]}],"mendeley":{"formattedCitation":"(Pantović-Stefanović et al., 2018)","plainTextFormattedCitation":"(Pantović-Stefanović et al., 2018)","previouslyFormattedCitation":"(Pantović-Stefanović et al., 2018)"},"properties":{"noteIndex":0},"schema":"https://github.com/citation-style-language/schema/raw/master/csl-citation.json"}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(Pantović-Stefanović et al., 2018)</w:t>
            </w:r>
            <w:r w:rsidRPr="00892A33">
              <w:rPr>
                <w:rFonts w:ascii="Times New Roman" w:eastAsia="Calibri" w:hAnsi="Times New Roman" w:cs="Times New Roman"/>
                <w:sz w:val="16"/>
                <w:szCs w:val="16"/>
                <w:lang w:val="it-IT"/>
              </w:rPr>
              <w:fldChar w:fldCharType="end"/>
            </w:r>
          </w:p>
        </w:tc>
        <w:tc>
          <w:tcPr>
            <w:tcW w:w="895" w:type="dxa"/>
            <w:vAlign w:val="center"/>
          </w:tcPr>
          <w:p w14:paraId="15EAE8D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6FF2395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A8DDCC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6F5A833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7E68000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6D54DD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701796A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53FB806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278B88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1C4B916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1A15A9D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4C21178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2C91B83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D550C1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72BCCC3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11</w:t>
            </w:r>
          </w:p>
        </w:tc>
      </w:tr>
      <w:tr w:rsidR="00892A33" w:rsidRPr="00892A33" w14:paraId="26F20D1B" w14:textId="77777777" w:rsidTr="000C3C27">
        <w:tc>
          <w:tcPr>
            <w:tcW w:w="1580" w:type="dxa"/>
            <w:vAlign w:val="center"/>
          </w:tcPr>
          <w:p w14:paraId="31ACF71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Quide et al., 2019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{"citationItems":[{"id":"ITEM-1","itemData":{"DOI":"10.1017/S0033291718003690","ISSN":"14698978","PMID":"30560764","abstract":"Background Elevated levels of pro-inflammatory cytokines are consistently reported in schizophrenia (SZ) and bipolar-I disorder (BD), as well as among individuals who have been exposed to childhood trauma. However, higher levels of inflammatory markers in these disorders are yet to be investigated with respect to levels of exposure to different types of childhood trauma.Methods Participants were 68 cases with a diagnosis of schizophrenia/schizoaffective disorder (SZ), 69 cases with a diagnosis of psychotic BD and 72 healthy controls (HC). Serum levels of interleukin 6 (IL-6), tumour necrosis factor-α (TNF-α) and C-reactive protein (CRP) were quantified, and childhood trauma exposure was assessed with the Childhood Trauma Questionnaire.Results The SZ group had significantly higher levels of IL-6, TNF-α and CRP when compared with the HC group (all p &lt; 0.05, d = 0.41-0.63), as well as higher levels of TNF-α when compared with the BD group (p = 0.014, d = 0.50); there were no differences between the BD and HC groups for any markers. Exposure to sexual abuse was positively associated (standardised β = 0.326, t = 2.459, p = 0.018) with levels of CRP in the SZ group, but there were no significant associations between any form of trauma exposure and cytokine levels in the HC or BD groups.Conclusions These results contribute to the evidence for a chronic state of inflammation in SZ but not BD cases. Differential associations between trauma exposure and levels of pro-inflammatory cytokines across the diagnostic categories suggest that trauma may impact biological (stress and immune) systems differently in these patient groups.","author":[{"dropping-particle":"","family":"Quidé","given":"Yann","non-dropping-particle":"","parse-names":false,"suffix":""},{"dropping-particle":"","family":"Bortolasci","given":"Chiara C.","non-dropping-particle":"","parse-names":false,"suffix":""},{"dropping-particle":"","family":"Spolding","given":"Briana","non-dropping-particle":"","parse-names":false,"suffix":""},{"dropping-particle":"","family":"Kidnapillai","given":"Srisaiyini","non-dropping-particle":"","parse-names":false,"suffix":""},{"dropping-particle":"","family":"Watkeys","given":"Oliver J.","non-dropping-particle":"","parse-names":false,"suffix":""},{"dropping-particle":"","family":"Cohen-Woods","given":"Sarah","non-dropping-particle":"","parse-names":false,"suffix":""},{"dropping-particle":"","family":"Berk","given":"Michael","non-dropping-particle":"","parse-names":false,"suffix":""},{"dropping-particle":"","family":"Carr","given":"Vaughan J.","non-dropping-particle":"","parse-names":false,"suffix":""},{"dropping-particle":"","family":"Walder","given":"Ken","non-dropping-particle":"","parse-names":false,"suffix":""},{"dropping-particle":"","family":"Green","given":"Melissa J.","non-dropping-particle":"","parse-names":false,"suffix":""}],"container-title":"Psychological Medicine","id":"ITEM-1","issue":"16","issued":{"date-parts":[["2019","12"]]},"page":"2736-2744","publisher":"Cambridge University Press","title":"Association between childhood trauma exposure and pro-inflammatory cytokines in schizophrenia and bipolar-I disorder","type":"article-journal","volume":"49"},"uris":["http://www.mendeley.com/documents/?uuid=ee1ef014-5d4b-41b3-93b0-9a8bf8754262"]}],"mendeley":{"formattedCitation":"(Quidé et al., 2019)","plainTextFormattedCitation":"(Quidé et al., 2019)","previouslyFormattedCitation":"(Quidé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(Quidé et al., 2019)</w:t>
            </w:r>
            <w:r w:rsidRPr="00892A33">
              <w:rPr>
                <w:rFonts w:ascii="Times New Roman" w:eastAsia="Calibri" w:hAnsi="Times New Roman" w:cs="Times New Roman"/>
                <w:sz w:val="16"/>
                <w:szCs w:val="16"/>
                <w:lang w:val="it-IT"/>
              </w:rPr>
              <w:fldChar w:fldCharType="end"/>
            </w:r>
          </w:p>
        </w:tc>
        <w:tc>
          <w:tcPr>
            <w:tcW w:w="895" w:type="dxa"/>
            <w:vAlign w:val="center"/>
          </w:tcPr>
          <w:p w14:paraId="53900B0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5803743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178F358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6C0669E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4D1A34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0156AAA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74DE63B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12A579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12DEE9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A267F0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01E412A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5AD363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1068F4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73B2EAA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31E12FC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6</w:t>
            </w:r>
          </w:p>
        </w:tc>
      </w:tr>
      <w:tr w:rsidR="00892A33" w:rsidRPr="00892A33" w14:paraId="06E22ECE" w14:textId="77777777" w:rsidTr="000C3C27">
        <w:tc>
          <w:tcPr>
            <w:tcW w:w="1580" w:type="dxa"/>
            <w:vAlign w:val="center"/>
          </w:tcPr>
          <w:p w14:paraId="2EED804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Remlinger-Molenda et al., 2012</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{"citationItems":[{"id":"ITEM-1","itemData":{"ISSN":"0033-2674 (Print)","PMID":"23214162","abstract":"AIM: The aim of the study was to examine the activity of selected cytokines in  bipolar patients during manic and depressive episodes and in remission. METHOD: The cytokine status was assessed in 76 bipolar patients, 35 with mania- and 41 with depression. For cytokine measurements blood samples were drawn from each patient twice-- while in an acute episode and in remission. 78 healthy individuals were examined once. Serum samples were tested for concentrations of: IL-6, IL-10, IL-1beta, TNF-alpha, IFN-gamma using the cytometric method. The patients' mental status was assessed with Young Mania Rating Scale and Hamilton Depression Rating Scale. RESULTS: Concentration of IL-6 was higher during the manic state as compared to control group. Additionally, IL-6 level was higher in mania than in remission. Concentration of IL-10 was higher in patients in remission after manic episodes than in healthy controls. In manic patients raising of IFN-gamma level was accompanied by more severe symptoms evaluated with YMRS. In remission after mania there was a correlation between IL-6 concentration and the intensity of the manic state. IFN-gamma level was higher in depressed patients comparing to remission, as well as manic patients and subjects from control group. IFN-gamma in remission after depression was still higher than in the healthy controls. Concentration of IL-1beta was higher in depressed patients comparing to healthy subjects. CONCLUSION: The results obtained in this study show disturbances of the immune system in bipolar patients. These disturbances have features of either decrease or pathological increase of the immune response. Cytokines' profiles were different for mania and depression. Clinical improvement seems to be connected with immunomodulation process that results in changes of cytokine levels in bipolar patients in remission.","author":[{"dropping-particle":"","family":"Remlinger-Molenda","given":"Agnieszka","non-dropping-particle":"","parse-names":false,"suffix":""},{"dropping-particle":"","family":"Wójciak","given":"Paweł","non-dropping-particle":"","parse-names":false,"suffix":""},{"dropping-particle":"","family":"Michalak","given":"Michał","non-dropping-particle":"","parse-names":false,"suffix":""},{"dropping-particle":"","family":"Rybakowski","given":"Janusz","non-dropping-particle":"","parse-names":false,"suffix":""}],"container-title":"Psychiatria polska","id":"ITEM-1","issue":"4","issued":{"date-parts":[["2012"]]},"language":"pol","page":"599-611","publisher-place":"Poland","title":"[Activity of selected cytokines in bipolar patients during manic and depressive  episodes].","type":"article-journal","volume":"46"},"uris":["http://www.mendeley.com/documents/?uuid=d445926c-1148-4c0c-9cea-254d8f59e0a6"]}],"mendeley":{"formattedCitation":"(Remlinger-Molenda et al., 2012)","plainTextFormattedCitation":"(Remlinger-Molenda et al., 2012)","previouslyFormattedCitation":"(Remlinger-Molenda et al., 2012)"},"properties":{"noteIndex":0},"schema":"https://github.com/citation-style-language/schema/raw/master/csl-citation.json"}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(Remlinger-Molenda et al., 2012)</w:t>
            </w:r>
            <w:r w:rsidRPr="00892A33">
              <w:rPr>
                <w:rFonts w:ascii="Times New Roman" w:eastAsia="Calibri" w:hAnsi="Times New Roman" w:cs="Times New Roman"/>
                <w:sz w:val="16"/>
                <w:szCs w:val="16"/>
                <w:lang w:val="it-IT"/>
              </w:rPr>
              <w:fldChar w:fldCharType="end"/>
            </w:r>
          </w:p>
        </w:tc>
        <w:tc>
          <w:tcPr>
            <w:tcW w:w="895" w:type="dxa"/>
            <w:vAlign w:val="center"/>
          </w:tcPr>
          <w:p w14:paraId="685FEC5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42FB257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7DA22B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4672E5C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40E5E39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E5867E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3096D92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6160EB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373EDF3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2051F7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993CDD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564CE69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5F36D06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54E6A77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2FB326B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7</w:t>
            </w:r>
          </w:p>
        </w:tc>
      </w:tr>
      <w:tr w:rsidR="00892A33" w:rsidRPr="00892A33" w14:paraId="20145F80" w14:textId="77777777" w:rsidTr="000C3C27">
        <w:tc>
          <w:tcPr>
            <w:tcW w:w="1580" w:type="dxa"/>
            <w:vAlign w:val="center"/>
          </w:tcPr>
          <w:p w14:paraId="2E2A37E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lastRenderedPageBreak/>
              <w:t>Sanjay et al., 2017</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{"citationItems":[{"id":"ITEM-1","itemData":{"DOI":"10.1016/j.ajp.2017.03.014","ISSN":"18762026","PMID":"28365164","author":[{"dropping-particle":"","family":"Sanjay","given":"Tarasingh N.","non-dropping-particle":"","parse-names":false,"suffix":""},{"dropping-particle":"","family":"Shivakumar","given":"Venkataram","non-dropping-particle":"","parse-names":false,"suffix":""},{"dropping-particle":"","family":"Subbanna","given":"Manjula","non-dropping-particle":"","parse-names":false,"suffix":""},{"dropping-particle":"","family":"Biradar","given":"Shweta U.","non-dropping-particle":"","parse-names":false,"suffix":""},{"dropping-particle":"","family":"Muralidharan","given":"Kesavan","non-dropping-particle":"","parse-names":false,"suffix":""},{"dropping-particle":"","family":"Venkatasubramanian","given":"Ganesan","non-dropping-particle":"","parse-names":false,"suffix":""}],"container-title":"Asian Journal of Psychiatry","id":"ITEM-1","issued":{"date-parts":[["2017","12"]]},"page":"212-213","publisher":"Elsevier B.V.","title":"Plasma interleukin-6 in remitted early bipolar I disorder and subjects at high-risk for bipolar disorder","type":"article","volume":"30"},"uris":["http://www.mendeley.com/documents/?uuid=d2711ed4-d8be-43ce-b547-e5fb4fe5ea11"]}],"mendeley":{"formattedCitation":"(Sanjay et al., 2017)","plainTextFormattedCitation":"(Sanjay et al., 2017)","previouslyFormattedCitation":"(Sanjay et al., 2017)"},"properties":{"noteIndex":0},"schema":"https://github.com/citation-style-language/schema/raw/master/csl-citation.json"}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(Sanjay et al., 2017)</w:t>
            </w:r>
            <w:r w:rsidRPr="00892A33">
              <w:rPr>
                <w:rFonts w:ascii="Times New Roman" w:eastAsia="Calibri" w:hAnsi="Times New Roman" w:cs="Times New Roman"/>
                <w:sz w:val="16"/>
                <w:szCs w:val="16"/>
                <w:lang w:val="it-IT"/>
              </w:rPr>
              <w:fldChar w:fldCharType="end"/>
            </w:r>
          </w:p>
        </w:tc>
        <w:tc>
          <w:tcPr>
            <w:tcW w:w="895" w:type="dxa"/>
            <w:vAlign w:val="center"/>
          </w:tcPr>
          <w:p w14:paraId="24AF730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79DDCDA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D2688C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5A594A4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35" w:type="dxa"/>
            <w:vAlign w:val="center"/>
          </w:tcPr>
          <w:p w14:paraId="2E834A6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7DCB201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749C2E0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269E008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16873A5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01" w:type="dxa"/>
            <w:vAlign w:val="center"/>
          </w:tcPr>
          <w:p w14:paraId="5CD6331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20739DA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E73D96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0D67EDB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6716EF7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590" w:type="dxa"/>
            <w:vAlign w:val="center"/>
          </w:tcPr>
          <w:p w14:paraId="75ECFF8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5</w:t>
            </w:r>
          </w:p>
        </w:tc>
      </w:tr>
      <w:tr w:rsidR="00892A33" w:rsidRPr="00892A33" w14:paraId="3439C500" w14:textId="77777777" w:rsidTr="000C3C27">
        <w:tc>
          <w:tcPr>
            <w:tcW w:w="1580" w:type="dxa"/>
            <w:vAlign w:val="center"/>
          </w:tcPr>
          <w:p w14:paraId="48A0697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Scola et al., 2016</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{"citationItems":[{"id":"ITEM-1","itemData":{"DOI":"10.1016/j.jad.2015.12.020","ISSN":"15732517","PMID":"26735329","abstract":"Background Prior work suggests that adult bipolar disorder (BD) is associated with increased oxidative stress and inflammation. This exploratory study examined markers of lipid and protein oxidation and inflammation in adolescents with and at varying risk for BD type I (BD-I). Methods Blood was obtained from four groups of adolescents (9-20 years of age): (1) healthy comparison subjects with no personal or family history of psychiatric disorders (n=13), (2) subjects with no psychiatric diagnosis and at least one parent with BD-I ('high-risk', n=15), (3) subjects with at least one parent with BD-I and a diagnosis of depressive disorder not-otherwise-specified ('ultra-high-risk', n=20), and (4) first-episode patients exhibiting mixed or manic symptoms that received a diagnosis of BD-I (n=16). Plasma levels of lipid peroxidation (LPH, 4-HNE, 8-ISO), protein carbonyl, and inflammation (IL-1α-β, IL-6, IL-10, IFNγ, TNFα) were assessed using analysis of variance and covariance models. Results LPH was lower in adolescents with fully syndromal BD than controls, while LPH levels in the at-risk groups were between healthy controls and fully syndromal BD. Post-hoc analysis showed a non-significant increase in the (4-HNE+8-ISO)/LPH ratio suggesting a potential conversion of LPH into late-stage markers of lipid peroxidation. There were no significant differences among protein carbonyl content and inflammatory markers. Conclusions In adolescents, fully syndromal BD is associated with significant reductions in LPH levels, and LPH levels decrease along the spectrum of risk for BD-I. Quantifying lipid peroxidation in longitudinal studies may help clarify the role of LPH in BD risk progression.","author":[{"dropping-particle":"","family":"Scola","given":"Gustavo","non-dropping-particle":"","parse-names":false,"suffix":""},{"dropping-particle":"","family":"McNamara","given":"Robert K.","non-dropping-particle":"","parse-names":false,"suffix":""},{"dropping-particle":"","family":"Croarkin","given":"Paul E.","non-dropping-particle":"","parse-names":false,"suffix":""},{"dropping-particle":"","family":"Leffler","given":"Jarrod M.","non-dropping-particle":"","parse-names":false,"suffix":""},{"dropping-particle":"","family":"Cullen","given":"Kathryn R.","non-dropping-particle":"","parse-names":false,"suffix":""},{"dropping-particle":"","family":"Geske","given":"Jennifer R.","non-dropping-particle":"","parse-names":false,"suffix":""},{"dropping-particle":"","family":"Biernacka","given":"Joanna M.","non-dropping-particle":"","parse-names":false,"suffix":""},{"dropping-particle":"","family":"Frye","given":"Mark A.","non-dropping-particle":"","parse-names":false,"suffix":""},{"dropping-particle":"","family":"Delbello","given":"Melissa P.","non-dropping-particle":"","parse-names":false,"suffix":""},{"dropping-particle":"","family":"Andreazza","given":"Ana C.","non-dropping-particle":"","parse-names":false,"suffix":""}],"container-title":"Journal of Affective Disorders","id":"ITEM-1","issued":{"date-parts":[["2016","3"]]},"page":"176-183","publisher":"Elsevier B.V.","title":"Lipid peroxidation biomarkers in adolescents with or at high-risk for bipolar disorder","type":"article-journal","volume":"192"},"uris":["http://www.mendeley.com/documents/?uuid=ae160996-4ab9-4ab2-a1f2-aa70b0e108c7"]}],"mendeley":{"formattedCitation":"(Scola et al., 2016)","plainTextFormattedCitation":"(Scola et al., 2016)","previouslyFormattedCitation":"(Scola et al., 2016)"},"properties":{"noteIndex":0},"schema":"https://github.com/citation-style-language/schema/raw/master/csl-citation.json"}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(Scola et al., 2016)</w:t>
            </w:r>
            <w:r w:rsidRPr="00892A33">
              <w:rPr>
                <w:rFonts w:ascii="Times New Roman" w:eastAsia="Calibri" w:hAnsi="Times New Roman" w:cs="Times New Roman"/>
                <w:sz w:val="16"/>
                <w:szCs w:val="16"/>
                <w:lang w:val="it-IT"/>
              </w:rPr>
              <w:fldChar w:fldCharType="end"/>
            </w:r>
          </w:p>
        </w:tc>
        <w:tc>
          <w:tcPr>
            <w:tcW w:w="895" w:type="dxa"/>
            <w:vAlign w:val="center"/>
          </w:tcPr>
          <w:p w14:paraId="4CFB14B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5757389A"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82350A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0DD9CEF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77E4B6D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1C470DE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6CEE235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06CFF16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26C692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40B2FF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7C3B400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814936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699" w:type="dxa"/>
            <w:vAlign w:val="center"/>
          </w:tcPr>
          <w:p w14:paraId="1867B34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5D54A07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129D365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9</w:t>
            </w:r>
          </w:p>
        </w:tc>
      </w:tr>
      <w:tr w:rsidR="00892A33" w:rsidRPr="00892A33" w14:paraId="2C9870C7" w14:textId="77777777" w:rsidTr="000C3C27">
        <w:tc>
          <w:tcPr>
            <w:tcW w:w="1580" w:type="dxa"/>
            <w:vAlign w:val="center"/>
          </w:tcPr>
          <w:p w14:paraId="2747695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Tsai et al., 2012</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{"citationItems":[{"id":"ITEM-1","itemData":{"DOI":"10.1016/j.jad.2011.08.022","ISSN":"01650327","PMID":"21962564","abstract":"Background: Weight gain and increased production of leptin may be associated with immuno-modulation and insulin resistance in bipolar disorder. The links among inflammatory markers, leptin, and insulin of bipolar patients from acute mania to full remission remain unclear. Methods: Thirty-three healthy, bipolar I patients under 45 years of age were enrolled. We measured the circulating levels of high-sensitivity C-reactive protein (hs-CRP), anti-inflammatory mediators (interleukin-1 receptor antagonist [IL-1Ra] and soluble tumor necrosis factor receptor 1 [sTNF-R1]), leptin, and insulin during acute mania and subsequent partial and full remission. The results were compared with 33 age- and gender-matched healthy subjects. Results: The levels of IL-1Ra and hs-CRP of bipolar patients in both acute mania and partial remission were significantly higher than their levels of control subjects. The hs-CRP level of bipolar patients was also elevated in full remission. The elevation of IL-1Ra and hs-CRP levels in acute mania was independent of each other. They were also independent of the body mass index (BMI) and levels of leptin and insulin measurements. The levels of leptin were all positively associated with insulin levels in the normal subjects and bipolar patients in three phases. However, a significant relationship between leptin and immunoparameter was only seen in full remission with sTNF-R1 (r = 0.51). Furthermore, IL-1Ra was inversely correlated with sTNF-R1 (r = - 0.37, p &lt; 0.05) during partly remission, and while levels of IL-1Ra tended to normalize when patients remitted, levels of hs-CRP and sTNF-R1 showed the opposite trend. Conclusions: Activated inflammation was found in acute mania, as evidenced by high levels of IL-1Ra, hs-CRP, and sTNF-R1. The production of leptin may be more tightly linked to insulin than the immunomodulators. Chronic inflammation may exist in bipolar patients and is reflected by elevations of IL-1Ra and hs-CRP levels in acute mania and persistent higher hs-CRP in full remission. © 2011 Elsevier B.V.","author":[{"dropping-particle":"","family":"Tsai","given":"Shang Ying","non-dropping-particle":"","parse-names":false,"suffix":""},{"dropping-particle":"","family":"Chung","given":"Kuo Hsuan","non-dropping-particle":"","parse-names":false,"suffix":""},{"dropping-particle":"","family":"Wu","given":"Jui Yu","non-dropping-particle":"","parse-names":false,"suffix":""},{"dropping-particle":"","family":"Kuo","given":"Chian Jue","non-dropping-particle":"","parse-names":false,"suffix":""},{"dropping-particle":"","family":"Lee","given":"Hsin Chien","non-dropping-particle":"","parse-names":false,"suffix":""},{"dropping-particle":"","family":"Huang","given":"Shou Hung","non-dropping-particle":"","parse-names":false,"suffix":""}],"container-title":"Journal of Affective Disorders","id":"ITEM-1","issue":"1-2","issued":{"date-parts":[["2012","1"]]},"page":"110-116","publisher":"J Affect Disord","title":"Inflammatory markers and their relationships with leptin and insulin from acute mania to full remission in bipolar disorder","type":"article-journal","volume":"136"},"uris":["http://www.mendeley.com/documents/?uuid=004de177-77b7-4066-ad90-cd2252093df4"]}],"mendeley":{"formattedCitation":"(Tsai et al., 2012)","plainTextFormattedCitation":"(Tsai et al., 2012)","previouslyFormattedCitation":"(Tsai et al., 2012)"},"properties":{"noteIndex":0},"schema":"https://github.com/citation-style-language/schema/raw/master/csl-citation.json"}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(Tsai et al., 2012)</w:t>
            </w:r>
            <w:r w:rsidRPr="00892A33">
              <w:rPr>
                <w:rFonts w:ascii="Times New Roman" w:eastAsia="Calibri" w:hAnsi="Times New Roman" w:cs="Times New Roman"/>
                <w:sz w:val="16"/>
                <w:szCs w:val="16"/>
                <w:lang w:val="it-IT"/>
              </w:rPr>
              <w:fldChar w:fldCharType="end"/>
            </w:r>
          </w:p>
        </w:tc>
        <w:tc>
          <w:tcPr>
            <w:tcW w:w="895" w:type="dxa"/>
            <w:vAlign w:val="center"/>
          </w:tcPr>
          <w:p w14:paraId="79A10E5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32B0E4D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474905D2"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58" w:type="dxa"/>
            <w:vAlign w:val="center"/>
          </w:tcPr>
          <w:p w14:paraId="577115B7"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285AF1D0"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43FB745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20AB9EF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72FDAC9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08D2EE4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1F0CEAE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4D9C34B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7CA0704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1FF6AE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63" w:type="dxa"/>
            <w:vAlign w:val="center"/>
          </w:tcPr>
          <w:p w14:paraId="2EB4A1A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62A9F13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10</w:t>
            </w:r>
          </w:p>
        </w:tc>
      </w:tr>
      <w:tr w:rsidR="00892A33" w:rsidRPr="00892A33" w14:paraId="04E73C50" w14:textId="77777777" w:rsidTr="000C3C27">
        <w:tc>
          <w:tcPr>
            <w:tcW w:w="1580" w:type="dxa"/>
            <w:vAlign w:val="center"/>
          </w:tcPr>
          <w:p w14:paraId="6F2B3DEF"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Tunc et al., 2019</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lang w:val="it-IT"/>
              </w:rPr>
              <w:instrText>ADDIN CSL_CITATION {"citationItems":[{"id":"ITEM-1","itemData":{"DOI":"10.1080/24750573.2019.1584489","ISSN":"2475-0573","abstract":"OBJECTIVE: In this study, we aimed to study copper metabolism in schizophrenia, bipolar disorder, major depression compared with healthy control. METHODS: This is a single-centered cross-sectional study. The patients with schizophrenia (n = 36), bipolar disorder (n = 37), major depression (n = 40), and healthy control (n = 32) were included in the study. All participants were initially evaluated by a clinical psychiatrist to confirm the appropriate diagnosis using the Structured Clinical Interview for Diagnostic and Statistical Manuel of Mental Disorders-IV (DSM-IV) Axis I Disorders (SCID-I). Serum copper level, ceruloplasmin mass, and ceruloplasmin-ferroxidase activity were measured. One-way ANOVA and Kruskal–Wallis Tests were performed for statistical analyses. RESULTS: Serum ceruloplasmin-ferroxidase activity (χ2 = 9.11, p = 0.028) demonstrated a significant statistical difference in all groups compared with the control group. Serum ceruloplasmin-ferroxidase activity of the bipolar disorder group was significantly higher than the healthy control group (p = 0.012), major depression group (p = 0.027), and the schizophrenia group (p = 0.019). Erythrocyte sedimentation rate (ESR) (p = 0.028) and waist circumference (p = 0.005) in bipolar disorder group, and the C-reactive protein (CRP) (p &lt; 0.001) and cholesterol (p = 0.043) in the schizophrenia group were found as the determinants of ceruloplasmin-ferroxidase activity. CONCLUSION: In this study, ceruloplasmin-ferroxidase activity is higher in all groups in comparison to the healthy control. The significantly higher ceruloplasmin-ferroxidase activity was shown in bipolar disorder followed by the major depression and schizophrenia. The ceruloplasmin-ferroxidase activity was correlated with erythrocyte sedimentation rate in the bipolar disorder group and with C-reactive protein in the schizophrenia group. Therefore, the ceruloplasmin-ferroxidase activity may be an encouraging candidate in the neuro-immune modulation and become a reliable clinical tool for demonstrating the strong association of inflammation in these disorders.","author":[{"dropping-particle":"","family":"Tunç","given":"Serhat","non-dropping-particle":"","parse-names":false,"suffix":""},{"dropping-particle":"","family":"Atagün","given":"Murat İlhan","non-dropping-particle":"","parse-names":false,"suffix":""},{"dropping-particle":"","family":"Başbuğ","given":"Hamit Serdar","non-dropping-particle":"","parse-names":false,"suffix":""},{"dropping-particle":"","family":"Erel","given":"Özcan","non-dropping-particle":"","parse-names":false,"suffix":""}],"container-title":"Psychiatry and Clinical Psychopharmacology","id":"ITEM-1","issue":"3","issued":{"date-parts":[["2019","7"]]},"page":"307-314","publisher":"Taylor and Francis Ltd.","title":"Serum ceruloplasmin-ferroxidase activity in bipolar disorder is elevated compared to major depressive disorder and schizophrenia: a controlled study","type":"article-journal","volume":"29"},"uris":["http://www.mendeley.com/documents/?uuid=f83e4fd9-50f0-4d13-87cb-b611e5d52ec9"]}],"mendeley":{"formattedCitation":"(Tunç et al., 2019)","plainTextFormattedCitation":"(Tunç et al., 2019)","previouslyFormattedCitation":"(Tunç et al., 2019)"},"properties":{"noteIndex":0},"schema":"https://github.com/citation-style-language/schema/raw/master/csl-citation.json"}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lang w:val="it-IT"/>
              </w:rPr>
              <w:t>(Tunç et al., 2019)</w:t>
            </w:r>
            <w:r w:rsidRPr="00892A33">
              <w:rPr>
                <w:rFonts w:ascii="Times New Roman" w:eastAsia="Calibri" w:hAnsi="Times New Roman" w:cs="Times New Roman"/>
                <w:sz w:val="16"/>
                <w:szCs w:val="16"/>
                <w:lang w:val="it-IT"/>
              </w:rPr>
              <w:fldChar w:fldCharType="end"/>
            </w:r>
          </w:p>
        </w:tc>
        <w:tc>
          <w:tcPr>
            <w:tcW w:w="895" w:type="dxa"/>
            <w:vAlign w:val="center"/>
          </w:tcPr>
          <w:p w14:paraId="68F3EA2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40" w:type="dxa"/>
            <w:vAlign w:val="center"/>
          </w:tcPr>
          <w:p w14:paraId="706A4BB4"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45" w:type="dxa"/>
            <w:vAlign w:val="center"/>
          </w:tcPr>
          <w:p w14:paraId="38E7366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58" w:type="dxa"/>
            <w:vAlign w:val="center"/>
          </w:tcPr>
          <w:p w14:paraId="191F94CB"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35" w:type="dxa"/>
            <w:vAlign w:val="center"/>
          </w:tcPr>
          <w:p w14:paraId="6B9BF52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993" w:type="dxa"/>
            <w:vAlign w:val="center"/>
          </w:tcPr>
          <w:p w14:paraId="5917D478"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870" w:type="dxa"/>
            <w:vAlign w:val="center"/>
          </w:tcPr>
          <w:p w14:paraId="023EE59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41F9F4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D143A51"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01" w:type="dxa"/>
            <w:vAlign w:val="center"/>
          </w:tcPr>
          <w:p w14:paraId="7C0E0A9E"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1010" w:type="dxa"/>
            <w:vAlign w:val="center"/>
          </w:tcPr>
          <w:p w14:paraId="41BA3D65"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1010" w:type="dxa"/>
            <w:vAlign w:val="center"/>
          </w:tcPr>
          <w:p w14:paraId="20D2180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0</w:t>
            </w:r>
          </w:p>
        </w:tc>
        <w:tc>
          <w:tcPr>
            <w:tcW w:w="699" w:type="dxa"/>
            <w:vAlign w:val="center"/>
          </w:tcPr>
          <w:p w14:paraId="36F13B5C"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963" w:type="dxa"/>
            <w:vAlign w:val="center"/>
          </w:tcPr>
          <w:p w14:paraId="5F7EF856"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w:t>
            </w:r>
          </w:p>
        </w:tc>
        <w:tc>
          <w:tcPr>
            <w:tcW w:w="590" w:type="dxa"/>
            <w:vAlign w:val="center"/>
          </w:tcPr>
          <w:p w14:paraId="2509D2C3"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11</w:t>
            </w:r>
          </w:p>
        </w:tc>
      </w:tr>
      <w:tr w:rsidR="00892A33" w:rsidRPr="00892A33" w14:paraId="5913C7C5" w14:textId="77777777" w:rsidTr="000C3C27">
        <w:tc>
          <w:tcPr>
            <w:tcW w:w="1580" w:type="dxa"/>
            <w:vAlign w:val="center"/>
          </w:tcPr>
          <w:p w14:paraId="360188C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Van den Ameele et al., 2018</w:t>
            </w:r>
            <w:r w:rsidRPr="00892A33">
              <w:rPr>
                <w:rFonts w:ascii="Times New Roman" w:eastAsia="Calibri" w:hAnsi="Times New Roman" w:cs="Times New Roman"/>
                <w:sz w:val="16"/>
                <w:szCs w:val="16"/>
                <w:lang w:val="it-IT"/>
              </w:rPr>
              <w:fldChar w:fldCharType="begin" w:fldLock="1"/>
            </w:r>
            <w:r w:rsidRPr="00892A33">
              <w:rPr>
                <w:rFonts w:ascii="Times New Roman" w:eastAsia="Calibri" w:hAnsi="Times New Roman" w:cs="Times New Roman"/>
                <w:sz w:val="16"/>
                <w:szCs w:val="16"/>
              </w:rPr>
              <w:instrText>ADDIN CSL_CITATION {"citationItems":[{"id":"ITEM-1","itemData":{"DOI":"10.3389/fpsyt.2018.00250","ISSN":"16640640","abstract":"Background: A mild pro-inflammatory status accompanies bipolar disorder (BD). Inflammation can cause a shift in monoamine metabolism, thereby activating more cytotoxic pathways. The extent to which low-grade inflammation in BD interacts with monoamine metabolism and how this accords to aging and clinical course is unknown. Objectives: We evaluated the presence of alterations in inflammation and monoamine metabolism in BD throughout different mood states and the role of aging therein. Methods: Sixty-seven patients with BD were included during an acute mood episode, either depressive (n = 29), (hypo)manic (n = 29), or mixed (n = 9). Plasma levels of inflammatory markers [tumor necrosis factor alpha (TNF-α), interferon gamma (IFN-y), interleukin-6 (IL-6), and C-reactive protein (CRP)] and markers of monoamine metabolism (neopterin, tryptophan, kynurenine, phenylalanine, and tyrosine) were measured repeatedly during a follow-up of 8 months. Levels in patients were compared to controls (n = 35) and correlated to HDRS-17 and YMRS scores. Spearman correlations and linear mixed model analysis were used for statistical analysis. Results: Forty-nine patients and 30 controls (age range: 22-62 years) completed the study. No significant differences in inflammatory markers were found between patients and controls overall. Tryptophan, tyrosine, and phenylalanine levels were lower in patients. In both patients and controls, markers of inflammation correlated only weakly with markers of monoamine metabolism, but correlations representative for activity of cytotoxic pathways in monoamine metabolism were more pronounced in patients. In patients, but not in controls, older age was associated with increases in inflammatory markers (IL-6, CRP, neopterin) and the kynurenine/tryptophan ratio. None of the biological markers correlated significantly with mood symptom severity. Conclusion: Our data suggest an increased susceptibility of patients with BD to develop a pro-inflammatory state and to shift monoamine metabolism toward more cytotoxic pathways. These findings are in support of the theory of neuroprogression and accelerated aging in BD. Since associations between biological markers and clinical characteristics are limited, it remains to be determined if alterations in biological markers are due to a disease effect or rather are a consequence of confounding factors.","author":[{"dropping-particle":"","family":"Ameele","given":"Seline","non-dropping-particle":"van den","parse-names":false,"suffix":""},{"dropping-particle":"","family":"Fuchs","given":"Dietmar","non-dropping-particle":"","parse-names":false,"suffix":""},{"dropping-particle":"","family":"Coppens","given":"Violette","non-dropping-particle":"","parse-names":false,"suffix":""},{"dropping-particle":"","family":"Boer","given":"Peter","non-dropping-particle":"de","parse-names":false,"suffix":""},{"dropping-particle":"","family":"Timmers","given":"Maarten","non-dropping-particle":"","parse-names":false,"suffix":""},{"dropping-particle":"","family":"Sabbe","given":"Bernard","non-dropping-particle":"","parse-names":false,"suffix":""},{"dropping-particle":"","family":"Morrens","given":"Manuel","non-dropping-particle":"","parse-names":false,"suffix":""}],"container-title":"Frontiers in Psychiatry","id":"ITEM-1","issue":"JUN","issued":{"date-parts":[["2018","6"]]},"publisher":"Frontiers Media S.A.","title":"Markers of inflammation and monoamine metabolism indicate accelerated aging in bipolar disorder","type":"article-journal","volume":"9"},"uris":["http://www.mendeley.com/documents/?uuid=3c075007-ce38-4fee-b09a-26392c5e2415"]}],"mendeley":{"formattedCitation":"(van den Ameele et al., 2018)","plainTextFormattedCitation":"(van den Ameele et al., 2018)","previouslyFormattedCitation":"(van den Ameele et al., 2018)"},"properties":{"noteIndex":0},"schema":"https://github.com/citation-style-language/schema/raw/master/csl-citation.json"}</w:instrText>
            </w:r>
            <w:r w:rsidRPr="00892A33">
              <w:rPr>
                <w:rFonts w:ascii="Times New Roman" w:eastAsia="Calibri" w:hAnsi="Times New Roman" w:cs="Times New Roman"/>
                <w:sz w:val="16"/>
                <w:szCs w:val="16"/>
                <w:lang w:val="it-IT"/>
              </w:rPr>
              <w:fldChar w:fldCharType="separate"/>
            </w:r>
            <w:r w:rsidRPr="00892A33">
              <w:rPr>
                <w:rFonts w:ascii="Times New Roman" w:eastAsia="Calibri" w:hAnsi="Times New Roman" w:cs="Times New Roman"/>
                <w:noProof/>
                <w:sz w:val="16"/>
                <w:szCs w:val="16"/>
              </w:rPr>
              <w:t>(van den Ameele et al., 2018)</w:t>
            </w:r>
            <w:r w:rsidRPr="00892A33">
              <w:rPr>
                <w:rFonts w:ascii="Times New Roman" w:eastAsia="Calibri" w:hAnsi="Times New Roman" w:cs="Times New Roman"/>
                <w:sz w:val="16"/>
                <w:szCs w:val="16"/>
                <w:lang w:val="it-IT"/>
              </w:rPr>
              <w:fldChar w:fldCharType="end"/>
            </w:r>
          </w:p>
        </w:tc>
        <w:tc>
          <w:tcPr>
            <w:tcW w:w="895" w:type="dxa"/>
            <w:vAlign w:val="center"/>
          </w:tcPr>
          <w:p w14:paraId="73E816B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29BCA36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44D58B5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58" w:type="dxa"/>
            <w:vAlign w:val="center"/>
          </w:tcPr>
          <w:p w14:paraId="4F4FA28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35" w:type="dxa"/>
            <w:vAlign w:val="center"/>
          </w:tcPr>
          <w:p w14:paraId="3D1A328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3110AAE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6779153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2B2ED84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3F2B458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7A18097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072EF80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2FED5B5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3FD5E0B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63" w:type="dxa"/>
            <w:vAlign w:val="center"/>
          </w:tcPr>
          <w:p w14:paraId="0B198FB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590" w:type="dxa"/>
            <w:vAlign w:val="center"/>
          </w:tcPr>
          <w:p w14:paraId="6EAC0A4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10</w:t>
            </w:r>
          </w:p>
        </w:tc>
      </w:tr>
      <w:tr w:rsidR="00892A33" w:rsidRPr="00892A33" w14:paraId="2C47C58B" w14:textId="77777777" w:rsidTr="000C3C27">
        <w:tc>
          <w:tcPr>
            <w:tcW w:w="1580" w:type="dxa"/>
            <w:vAlign w:val="center"/>
          </w:tcPr>
          <w:p w14:paraId="66E3B96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Vasconcelos-Moreno et al., 2017</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rPr>
              <w:instrText>ADDIN CSL_CITATION {"citationItems":[{"id":"ITEM-1","itemData":{"DOI":"10.1093/ijnp/pyx001","ISSN":"14695111","PMID":"28339618","abstract":"Background: Growing evidence supports the existence of neurobiological trait abnormalities in individuals at genetic risk for bipolar disorder. The aim of this study was to examine potential differences in brain-derived neurotrophic factor, cytokines, oxidative stress, and telomere length markers between patients with bipolar disorder, their siblings, and healthy controls. Methods: Thirty-six patients with bipolar disorder type I, 39 siblings, and 44 healthy controls were assessed. Serum levels of brain-derived neurotrophic factor, interleukin-6, interleukin-10, tumor necrosis factor-α, C-C motif chemokine 11, C-C motif chemokine 24, and 3-nitrotyrosine were measured, as were the activities of glutathione peroxidase, glutathione reductase, and glutathione S-Transferase. Telomere length (T/S ratio) was measured using quantitative polymerase chain reaction. Results: Telomere length was different between the 3 groups (P = .041) with both patients and siblings showing a shorter T/S ratio compared with healthy controls. Patients showed increased levels of interleukin-6 (P = .005) and interleukin-10 (P = .002) compared with controls as well as increased levels of interleukin-6 (p = 0.014) and CCL24 (P = .016) compared with their siblings. C-C motif chemokine 11 levels were increased in siblings compared with controls (P = .015), and a similar tendency was found in patients compared with controls (P = .045). Glutathione peroxidase activity was decreased in patients compared with controls (P = .006) and siblings (P = .025). No differences were found for the other markers. Conclusions: The present results suggest that unaffected siblings may present accelerated aging features. These neurobiological findings may be considered as endophenotypic traits. Further prospective studies are warranted.","author":[{"dropping-particle":"","family":"Vasconcelos-Moreno","given":"Mirela Paiva","non-dropping-particle":"","parse-names":false,"suffix":""},{"dropping-particle":"","family":"Fries","given":"Gabriel Rodrigo","non-dropping-particle":"","parse-names":false,"suffix":""},{"dropping-particle":"","family":"Gubert","given":"Carolina","non-dropping-particle":"","parse-names":false,"suffix":""},{"dropping-particle":"","family":"Santos","given":"Bárbara Tietböhl Martins Quadros","non-dropping-particle":"Dos","parse-names":false,"suffix":""},{"dropping-particle":"","family":"Fijtman","given":"Adam","non-dropping-particle":"","parse-names":false,"suffix":""},{"dropping-particle":"","family":"Sartori","given":"Juliana","non-dropping-particle":"","parse-names":false,"suffix":""},{"dropping-particle":"","family":"Ferrari","given":"Pamela","non-dropping-particle":"","parse-names":false,"suffix":""},{"dropping-particle":"","family":"Grun","given":"Lucas Kich","non-dropping-particle":"","parse-names":false,"suffix":""},{"dropping-particle":"","family":"Parisi","given":"Mariana Migliorini","non-dropping-particle":"","parse-names":false,"suffix":""},{"dropping-particle":"","family":"Guma","given":"Fátima Theresinha Costa Rodrigues","non-dropping-particle":"","parse-names":false,"suffix":""},{"dropping-particle":"","family":"Barbé-Tuana","given":"Florencia Maria","non-dropping-particle":"","parse-names":false,"suffix":""},{"dropping-particle":"","family":"Kapczinski","given":"Flávio","non-dropping-particle":"","parse-names":false,"suffix":""},{"dropping-particle":"","family":"Rosa","given":"Adriane Ribeiro","non-dropping-particle":"","parse-names":false,"suffix":""},{"dropping-particle":"","family":"Yatham","given":"Lakshmi N.","non-dropping-particle":"","parse-names":false,"suffix":""},{"dropping-particle":"","family":"Kauer-Sant'Anna","given":"Marcia","non-dropping-particle":"","parse-names":false,"suffix":""}],"container-title":"International Journal of Neuropsychopharmacology","id":"ITEM-1","issue":"6","issued":{"date-parts":[["2017","6"]]},"page":"445-454","publisher":"Oxford University Press","title":"Telomere Length, Oxidative Stress, Inflammation and BDNF Levels in Siblings of Patients with Bipolar Disorder: Implications for Accelerated Cellular Aging","type":"article-journal","volume":"20"},"uris":["http://www.mendeley.com/documents/?uuid=4cc38c3a-2794-4302-a657-478672a81514"]}],"mendeley":{"formattedCitation":"(Vasconcelos-Moreno et al., 2017)","plainTextFormattedCitation":"(Vasconcelos-Moreno et al., 2017)","previouslyFormattedCitation":"(Vasconcelos-Moreno et al., 2017)"},"properties":{"noteIndex":0},"schema":"https://github.com/citation-style-language/schema/raw/master/csl-citation.json"}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rPr>
              <w:t>(Vasconcelos-Moreno et al., 2017)</w:t>
            </w:r>
            <w:r w:rsidRPr="00892A33">
              <w:rPr>
                <w:rFonts w:ascii="Times New Roman" w:eastAsia="Calibri" w:hAnsi="Times New Roman" w:cs="Times New Roman"/>
                <w:sz w:val="16"/>
                <w:szCs w:val="16"/>
              </w:rPr>
              <w:fldChar w:fldCharType="end"/>
            </w:r>
          </w:p>
        </w:tc>
        <w:tc>
          <w:tcPr>
            <w:tcW w:w="895" w:type="dxa"/>
            <w:vAlign w:val="center"/>
          </w:tcPr>
          <w:p w14:paraId="494C0F9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05FEDAA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1D17783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58" w:type="dxa"/>
            <w:vAlign w:val="center"/>
          </w:tcPr>
          <w:p w14:paraId="286A876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35" w:type="dxa"/>
            <w:vAlign w:val="center"/>
          </w:tcPr>
          <w:p w14:paraId="19D95C9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42C14B4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0C72589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19BC376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64A6088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50A270B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02CB33D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48906F4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680A157E"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63" w:type="dxa"/>
            <w:vAlign w:val="center"/>
          </w:tcPr>
          <w:p w14:paraId="65E768A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590" w:type="dxa"/>
            <w:vAlign w:val="center"/>
          </w:tcPr>
          <w:p w14:paraId="79A78FE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8</w:t>
            </w:r>
          </w:p>
        </w:tc>
      </w:tr>
      <w:tr w:rsidR="00892A33" w:rsidRPr="00892A33" w14:paraId="5E719537" w14:textId="77777777" w:rsidTr="000C3C27">
        <w:tc>
          <w:tcPr>
            <w:tcW w:w="1580" w:type="dxa"/>
            <w:vAlign w:val="center"/>
          </w:tcPr>
          <w:p w14:paraId="5872237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Wadee et al., 2002</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rPr>
              <w:instrText>ADDIN CSL_CITATION {"citationItems":[{"id":"ITEM-1","itemData":{"DOI":"10.1002/hup.390","ISSN":"08856222","PMID":"12404684","abstract":"Although abnormalities of the immune system have been described in depression, information on serological alteration in acutely manic patients has been scarce. The present study undertook to investigate the levels of C-reactive proteins, circulating immune complexes, total immunoglobulins and immunoglobulin subclasses, complement proteins C3, C4, C6 and Factor B in the sera of 45 patients suffering from an acute manic episode. The findings were compared with assessments on the sera of 45 controls. The results demonstrate a number of significant differences between patients and controls. Whilst levels of immunoglobulin D were significantly lower, the levels of total immunoglobulin and immunoglobulin G1, complement proteins C3, C6 and Factor B were raised in the patient group when compared with the controls. Our results suggest a relationship between acute mania and immunological parameters associated with acute phase responses. Copyright © 2002 John Wiley &amp; Sons, Ltd.","author":[{"dropping-particle":"","family":"Wadee","given":"Ahmed A.","non-dropping-particle":"","parse-names":false,"suffix":""},{"dropping-particle":"","family":"Kuschke","given":"Reverie H.","non-dropping-particle":"","parse-names":false,"suffix":""},{"dropping-particle":"","family":"Wood","given":"Lesley A.","non-dropping-particle":"","parse-names":false,"suffix":""},{"dropping-particle":"","family":"Berk","given":"Michael","non-dropping-particle":"","parse-names":false,"suffix":""},{"dropping-particle":"","family":"Ichim","given":"Liuvu","non-dropping-particle":"","parse-names":false,"suffix":""},{"dropping-particle":"","family":"Maes","given":"Michael","non-dropping-particle":"","parse-names":false,"suffix":""}],"container-title":"Human Psychopharmacology","id":"ITEM-1","issue":"4","issued":{"date-parts":[["2002"]]},"page":"175-179","publisher":"Hum Psychopharmacol","title":"Serological observations in patients suffering from acute manic episodes","type":"article-journal","volume":"17"},"uris":["http://www.mendeley.com/documents/?uuid=acb46d16-4393-4ec5-9dc1-aacce5698bc4"]}],"mendeley":{"formattedCitation":"(Wadee et al., 2002)","plainTextFormattedCitation":"(Wadee et al., 2002)","previouslyFormattedCitation":"(Wadee et al., 2002)"},"properties":{"noteIndex":0},"schema":"https://github.com/citation-style-language/schema/raw/master/csl-citation.json"}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rPr>
              <w:t>(Wadee et al., 2002)</w:t>
            </w:r>
            <w:r w:rsidRPr="00892A33">
              <w:rPr>
                <w:rFonts w:ascii="Times New Roman" w:eastAsia="Calibri" w:hAnsi="Times New Roman" w:cs="Times New Roman"/>
                <w:sz w:val="16"/>
                <w:szCs w:val="16"/>
              </w:rPr>
              <w:fldChar w:fldCharType="end"/>
            </w:r>
          </w:p>
        </w:tc>
        <w:tc>
          <w:tcPr>
            <w:tcW w:w="895" w:type="dxa"/>
            <w:vAlign w:val="center"/>
          </w:tcPr>
          <w:p w14:paraId="2DC7480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5122E61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42E11CD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58" w:type="dxa"/>
            <w:vAlign w:val="center"/>
          </w:tcPr>
          <w:p w14:paraId="511CA8A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35" w:type="dxa"/>
            <w:vAlign w:val="center"/>
          </w:tcPr>
          <w:p w14:paraId="537E866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37F7DE3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3B13A21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7B3D3CB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774F30D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341090F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7A96929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7D81DD6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7A16B34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63" w:type="dxa"/>
            <w:vAlign w:val="center"/>
          </w:tcPr>
          <w:p w14:paraId="53E8409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590" w:type="dxa"/>
            <w:vAlign w:val="center"/>
          </w:tcPr>
          <w:p w14:paraId="1003020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7</w:t>
            </w:r>
          </w:p>
        </w:tc>
      </w:tr>
      <w:tr w:rsidR="00892A33" w:rsidRPr="00892A33" w14:paraId="0C496C37" w14:textId="77777777" w:rsidTr="000C3C27">
        <w:tc>
          <w:tcPr>
            <w:tcW w:w="1580" w:type="dxa"/>
            <w:vAlign w:val="center"/>
          </w:tcPr>
          <w:p w14:paraId="4676548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Wang et al., 2016</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rPr>
              <w:instrText>ADDIN CSL_CITATION {"citationItems":[{"id":"ITEM-1","itemData":{"DOI":"10.1093/ijnp/pyw012","ISSN":"14695111","PMID":"26865313","abstract":"Objective: Emerging evidence suggests that inflammation and neurodegeneration underlies bipolar disorder. To investigate biological markers of cytokines and brain-derived neurotrophic factor between bipolar I, bipolar II, and other specified bipolar disorder with short duration hypomania may support the association with inflammatory dysregulation and bipolar disorder and, more specifically, provide evidence for other specified bipolar disorder with short duration hypomania patients were similar to bipolar II disorder patients from a biological marker perspective. Methods: We enrolled patients with bipolar I disorder (n = 234), bipolar II disorder (n = 260), other specified bipolar disorder with short duration hypomania (n = 243), and healthy controls (n = 140). Their clinical symptoms were rated using the Hamilton Depression Rating Scale and Young Mania Rating Scale. Inflammatory cytokine (tumor necrosis factor-α, C-reactive protein, transforming growth factor-β1, and interleukin-8) and brain-derived neurotrophic factor levels were measured in each group. Multivariate analysis of covariance and linear regression controlled for possible confounders were used to compare cytokine and brain-derived neurotrophic factor levels among the groups. Results: Multivariate analysis of covariance adjusted for age and sex and a main effect of diagnosis was significant (P &lt; .001). Three of the 5 measured biomarkers (tumor necrosis factor-α, transforming growth factor-β1, and interleukin-8) were significantly (P = .006, .01, and &lt;.001) higher in all bipolar disorder patients than in controls. Moreover, covarying for multiple associated confounders showed that bipolar I disorder patients had significantly higher IL-8 levels than did bipolar II disorder and other specified bipolar disorder with short duration hypomania patients in multivariate analysis of covariance (P = .03) and linear regression (P=.02) analyses. Biomarkers differences between bipolar II disorder and other specified bipolar disorder with short duration hypomania patients were nonsignificant. Conclusion: The immunological disturbance along the bipolar spectrum was most severe in bipolar I disorder patients. Other specified bipolar disorder with short duration hypomania patients and bipolar II disorder patients did not differ in these biological markers.","author":[{"dropping-particle":"","family":"Wang","given":"Tzu Yun","non-dropping-particle":"","parse-names":false,"suffix":""},{"dropping-particle":"","family":"Lee","given":"Sheng Yu","non-dropping-particle":"","parse-names":false,"suffix":""},{"dropping-particle":"","family":"Chen","given":"Shiou Lan","non-dropping-particle":"","parse-names":false,"suffix":""},{"dropping-particle":"","family":"Chung","given":"Yi Lun","non-dropping-particle":"","parse-names":false,"suffix":""},{"dropping-particle":"","family":"Li","given":"Chia Ling","non-dropping-particle":"","parse-names":false,"suffix":""},{"dropping-particle":"","family":"Chang","given":"Yun Hsuan","non-dropping-particle":"","parse-names":false,"suffix":""},{"dropping-particle":"","family":"Wang","given":"Liang Jen","non-dropping-particle":"","parse-names":false,"suffix":""},{"dropping-particle":"","family":"Chen","given":"Po See","non-dropping-particle":"","parse-names":false,"suffix":""},{"dropping-particle":"","family":"Chen","given":"Shih Heng","non-dropping-particle":"","parse-names":false,"suffix":""},{"dropping-particle":"","family":"Chu","given":"Chun Hsien","non-dropping-particle":"","parse-names":false,"suffix":""},{"dropping-particle":"","family":"Huang","given":"San Yuan","non-dropping-particle":"","parse-names":false,"suffix":""},{"dropping-particle":"","family":"Tzeng","given":"Nian Sheng","non-dropping-particle":"","parse-names":false,"suffix":""},{"dropping-particle":"","family":"Hsieh","given":"Tsai Hsin","non-dropping-particle":"","parse-names":false,"suffix":""},{"dropping-particle":"","family":"Chiu","given":"Yen Chu","non-dropping-particle":"","parse-names":false,"suffix":""},{"dropping-particle":"","family":"Lee","given":"I. Hui","non-dropping-particle":"","parse-names":false,"suffix":""},{"dropping-particle":"","family":"Chen","given":"Kao Chin","non-dropping-particle":"","parse-names":false,"suffix":""},{"dropping-particle":"","family":"Yang","given":"Yen Kuang","non-dropping-particle":"","parse-names":false,"suffix":""},{"dropping-particle":"","family":"Hong","given":"Jau Shyong","non-dropping-particle":"","parse-names":false,"suffix":""},{"dropping-particle":"","family":"Lu","given":"Ru Band","non-dropping-particle":"","parse-names":false,"suffix":""}],"container-title":"International Journal of Neuropsychopharmacology","id":"ITEM-1","issue":"8","issued":{"date-parts":[["2016","8"]]},"page":"1-8","publisher":"Oxford University Press","title":"The differential levels of inflammatory cytokines and bdnf among bipolar spectrum disorders","type":"article-journal","volume":"19"},"uris":["http://www.mendeley.com/documents/?uuid=9d7ed600-20c4-4cd6-a038-e02f5471e182"]}],"mendeley":{"formattedCitation":"(Wang et al., 2016)","plainTextFormattedCitation":"(Wang et al., 2016)","previouslyFormattedCitation":"(Wang et al., 2016)"},"properties":{"noteIndex":0},"schema":"https://github.com/citation-style-language/schema/raw/master/csl-citation.json"}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rPr>
              <w:t>(Wang et al., 2016)</w:t>
            </w:r>
            <w:r w:rsidRPr="00892A33">
              <w:rPr>
                <w:rFonts w:ascii="Times New Roman" w:eastAsia="Calibri" w:hAnsi="Times New Roman" w:cs="Times New Roman"/>
                <w:sz w:val="16"/>
                <w:szCs w:val="16"/>
              </w:rPr>
              <w:fldChar w:fldCharType="end"/>
            </w:r>
          </w:p>
        </w:tc>
        <w:tc>
          <w:tcPr>
            <w:tcW w:w="895" w:type="dxa"/>
            <w:vAlign w:val="center"/>
          </w:tcPr>
          <w:p w14:paraId="4496321C"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510D3F4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45" w:type="dxa"/>
            <w:vAlign w:val="center"/>
          </w:tcPr>
          <w:p w14:paraId="044252B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58" w:type="dxa"/>
            <w:vAlign w:val="center"/>
          </w:tcPr>
          <w:p w14:paraId="7F6C76A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35" w:type="dxa"/>
            <w:vAlign w:val="center"/>
          </w:tcPr>
          <w:p w14:paraId="7F117ACC"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5CA0EDE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24D3924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639EB18F"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5A0EB50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0142E37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7E1C5E7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2160AAB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699" w:type="dxa"/>
            <w:vAlign w:val="center"/>
          </w:tcPr>
          <w:p w14:paraId="1482D9D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63" w:type="dxa"/>
            <w:vAlign w:val="center"/>
          </w:tcPr>
          <w:p w14:paraId="7AEB19D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590" w:type="dxa"/>
            <w:vAlign w:val="center"/>
          </w:tcPr>
          <w:p w14:paraId="284C258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9</w:t>
            </w:r>
          </w:p>
        </w:tc>
      </w:tr>
      <w:tr w:rsidR="00892A33" w:rsidRPr="00892A33" w14:paraId="1B47C364" w14:textId="77777777" w:rsidTr="000C3C27">
        <w:tc>
          <w:tcPr>
            <w:tcW w:w="1580" w:type="dxa"/>
            <w:vAlign w:val="center"/>
          </w:tcPr>
          <w:p w14:paraId="77C93339"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Wiener et al., 2017</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lang w:val="it-IT"/>
              </w:rPr>
              <w:instrText>ADDIN CSL_CITATION {"citationItems":[{"id":"ITEM-1","itemData":{"DOI":"10.1016/j.jneuroim.2017.03.003","ISSN":"18728421","PMID":"28495135","abstract":"Objective To assess the association between peripheral levels of inflammatory cytokines and functional impairment in subjects with Bipolar Disorder (BD), Major Depressive Disorder (MDD) and population controls. Methods This was a cross-sectional study with a matched sample of drug-free young adults with BD (n = 48), MDD (n = 48) and population controls (n = 48). Mood disorder was confirmed by a certified psychologist using the Structured Clinical Interview for DSM-IV (SCID-I). Functional impairment was assessed using the Functional Assessment Short Test (FAST). Serum levels of IL-6 and IL-10 were measured by ELISA. Results Peripheral levels of IL-6 and IL-10 were not significantly different between subjects with BD, MDD compared to controls. Higher levels of functional impairment were verified in subjects with BD and MDD compared to population controls (p ≤ 0.001). In addition, IL-6 and IL-10 levels were positively correlated with functional impairment in subjects with BD (IL-6: r = 0.349, p = 0.016; and IL-10: r = 0.351, p = 0.016). Conclusion Inflammatory dysregulation was associated with functional impairment among drug-free subjects with BD. This finding suggests that inflammatory dysregulation may be involved in the neuroprogression of BD.","author":[{"dropping-particle":"","family":"Wiener","given":"Carolina David","non-dropping-particle":"","parse-names":false,"suffix":""},{"dropping-particle":"","family":"Moreira","given":"Fernanda Pedrotti","non-dropping-particle":"","parse-names":false,"suffix":""},{"dropping-particle":"","family":"Cardoso","given":"Taiane Azevedo","non-dropping-particle":"","parse-names":false,"suffix":""},{"dropping-particle":"","family":"Mondin","given":"Thaise Campos","non-dropping-particle":"","parse-names":false,"suffix":""},{"dropping-particle":"","family":"Silva Magalhães","given":"Pedro Vieira","non-dropping-particle":"da","parse-names":false,"suffix":""},{"dropping-particle":"","family":"Kapczinski","given":"Flavio","non-dropping-particle":"","parse-names":false,"suffix":""},{"dropping-particle":"","family":"Mattos Souza","given":"Luciano Dias","non-dropping-particle":"de","parse-names":false,"suffix":""},{"dropping-particle":"","family":"Silva","given":"Ricardo Azevedo","non-dropping-particle":"da","parse-names":false,"suffix":""},{"dropping-particle":"","family":"Oses","given":"Jean Pierre","non-dropping-particle":"","parse-names":false,"suffix":""},{"dropping-particle":"","family":"Jansen","given":"Karen","non-dropping-particle":"","parse-names":false,"suffix":""}],"container-title":"Journal of Neuroimmunology","id":"ITEM-1","issued":{"date-parts":[["2017","6"]]},"page":"33-36","publisher":"Elsevier B.V.","title":"Inflammatory cytokines and functional impairment in drug-free subjects with mood disorder","type":"article-journal","volume":"307"},"uris":["http://www.mendeley.com/documents/?uuid=52417aa7-a3f0-4057-9ddf-3df6498ce96d"]}],"mendeley":{"formattedCitation":"(Wiener et al., 2017)","plainTextFormattedCitation":"(Wiener et al., 2017)","previouslyFormattedCitation":"(Wiener et al., 2017)"},"properties":{"noteIndex":0},"schema":"https://github.com/citation-style-language/schema/raw/master/csl-citation.json"}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lang w:val="it-IT"/>
              </w:rPr>
              <w:t>(Wiener et al., 2017)</w:t>
            </w:r>
            <w:r w:rsidRPr="00892A33">
              <w:rPr>
                <w:rFonts w:ascii="Times New Roman" w:eastAsia="Calibri" w:hAnsi="Times New Roman" w:cs="Times New Roman"/>
                <w:sz w:val="16"/>
                <w:szCs w:val="16"/>
              </w:rPr>
              <w:fldChar w:fldCharType="end"/>
            </w:r>
          </w:p>
        </w:tc>
        <w:tc>
          <w:tcPr>
            <w:tcW w:w="895" w:type="dxa"/>
            <w:vAlign w:val="center"/>
          </w:tcPr>
          <w:p w14:paraId="7CBF093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47D1786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4A04867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58" w:type="dxa"/>
            <w:vAlign w:val="center"/>
          </w:tcPr>
          <w:p w14:paraId="2AA68F6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35" w:type="dxa"/>
            <w:vAlign w:val="center"/>
          </w:tcPr>
          <w:p w14:paraId="52D7D03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3C5B7C2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1CB6205C"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1204348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465EEC7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42A3570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0F4E2BF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44F971B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308BF17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63" w:type="dxa"/>
            <w:vAlign w:val="center"/>
          </w:tcPr>
          <w:p w14:paraId="03BB2B5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590" w:type="dxa"/>
            <w:vAlign w:val="center"/>
          </w:tcPr>
          <w:p w14:paraId="3E7B4D0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8</w:t>
            </w:r>
          </w:p>
        </w:tc>
      </w:tr>
      <w:tr w:rsidR="00892A33" w:rsidRPr="00892A33" w14:paraId="4F478647" w14:textId="77777777" w:rsidTr="000C3C27">
        <w:tc>
          <w:tcPr>
            <w:tcW w:w="1580" w:type="dxa"/>
            <w:vAlign w:val="center"/>
          </w:tcPr>
          <w:p w14:paraId="2B1F9ABD" w14:textId="77777777" w:rsidR="00892A33" w:rsidRPr="00892A33" w:rsidRDefault="00892A33" w:rsidP="00892A33">
            <w:pPr>
              <w:spacing w:after="160" w:line="259" w:lineRule="auto"/>
              <w:jc w:val="center"/>
              <w:rPr>
                <w:rFonts w:ascii="Times New Roman" w:eastAsia="Calibri" w:hAnsi="Times New Roman" w:cs="Times New Roman"/>
                <w:sz w:val="16"/>
                <w:szCs w:val="16"/>
                <w:lang w:val="it-IT"/>
              </w:rPr>
            </w:pPr>
            <w:r w:rsidRPr="00892A33">
              <w:rPr>
                <w:rFonts w:ascii="Times New Roman" w:eastAsia="Calibri" w:hAnsi="Times New Roman" w:cs="Times New Roman"/>
                <w:sz w:val="16"/>
                <w:szCs w:val="16"/>
                <w:lang w:val="it-IT"/>
              </w:rPr>
              <w:t>Wiener et al., 2019</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lang w:val="it-IT"/>
              </w:rPr>
              <w:instrText>ADDIN CSL_CITATION {"citationItems":[{"id":"ITEM-1","itemData":{"DOI":"10.1016/j.psychres.2019.01.100","ISSN":"18727123","PMID":"31207853","abstract":"Objective: The aim of this study was to assess if cytokines levels (IL-6 and IL-10) are related to major depressive disorder (MDD) and bipolar disorder (BD), in a population-based study. Methods: This was a cross-sectional study population-based, involving 1037 people aged 18–35. MDD, BD, anxiety and suicide risk were assessed using the Mini International Neuropsychiatric Interview. Serum IL-6 and IL-10 were measured by ELISA using a commercial kit. Results: The total sample comprised 1034 young adults, being 14.4% with MDD and 13.7% with BD. MDD and BD groups showed significantly higher serum IL-6 levels (p ≤ 0.001) and IL-10 levels (p ≤ 0.001) when compared to healthy control group. No correlation was found between serum IL-6 and IL-10 levels in health control group (p = 0.830; r = −0.008), non-suicide risk (p = 0.337; r = 0.032) and non-anxiety disorder (p = 0.375; r = 0.031). Covariance analysis showed that mood disorders alone, increase both interleukin levels (IL-6, p = 0.019; and IL-10, p = 0.026), whilst the interaction of mood disorders and suicide risk or anxiety disorders did not. Conclusion: Our results suggest that inflammatory dysregulation may be involved in the physiopathology of mood disorders and serum IL-6 and IL-10 levels are putative biomarkers for these disorders.","author":[{"dropping-particle":"","family":"Wiener","given":"Carolina David","non-dropping-particle":"","parse-names":false,"suffix":""},{"dropping-particle":"","family":"Moreira","given":"Fernanda Pedrotti","non-dropping-particle":"","parse-names":false,"suffix":""},{"dropping-particle":"","family":"Portela","given":"Luis Valmor","non-dropping-particle":"","parse-names":false,"suffix":""},{"dropping-particle":"","family":"Strogulski","given":"Nathan R.","non-dropping-particle":"","parse-names":false,"suffix":""},{"dropping-particle":"","family":"Lara","given":"Diogo R.","non-dropping-particle":"","parse-names":false,"suffix":""},{"dropping-particle":"","family":"Silva","given":"Ricardo Azevedo","non-dropping-particle":"da","parse-names":false,"suffix":""},{"dropping-particle":"","family":"Souza","given":"Luciano Dias de Mattos","non-dropping-particle":"","parse-names":false,"suffix":""},{"dropping-particle":"","family":"Jansen","given":"Karen","non-dropping-particle":"","parse-names":false,"suffix":""},{"dropping-particle":"","family":"Oses","given":"Jean Pierre","non-dropping-particle":"","parse-names":false,"suffix":""}],"container-title":"Psychiatry Research","id":"ITEM-1","issued":{"date-parts":[["2019"]]},"title":"Interleukin-6 and Interleukin-10 in mood disorders: A population-based study","type":"article-journal"},"uris":["http://www.mendeley.com/documents/?uuid=0241cb2d-6684-48c3-bcc8-8de82d80e051"]}],"mendeley":{"formattedCitation":"(Wiener et al., 2019)","plainTextFormattedCitation":"(Wiener et al., 2019)","previouslyFormattedCitation":"(Wiener et al., 2019)"},"properties":{"noteIndex":0},"schema":"https://github.com/citation-style-language/schema/raw/master/csl-citation.json"}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lang w:val="it-IT"/>
              </w:rPr>
              <w:t>(Wiener et al., 2019)</w:t>
            </w:r>
            <w:r w:rsidRPr="00892A33">
              <w:rPr>
                <w:rFonts w:ascii="Times New Roman" w:eastAsia="Calibri" w:hAnsi="Times New Roman" w:cs="Times New Roman"/>
                <w:sz w:val="16"/>
                <w:szCs w:val="16"/>
              </w:rPr>
              <w:fldChar w:fldCharType="end"/>
            </w:r>
          </w:p>
        </w:tc>
        <w:tc>
          <w:tcPr>
            <w:tcW w:w="895" w:type="dxa"/>
            <w:vAlign w:val="center"/>
          </w:tcPr>
          <w:p w14:paraId="767FFC1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26F7818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003123A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58" w:type="dxa"/>
            <w:vAlign w:val="center"/>
          </w:tcPr>
          <w:p w14:paraId="7830E6E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35" w:type="dxa"/>
            <w:vAlign w:val="center"/>
          </w:tcPr>
          <w:p w14:paraId="0716F8B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17509A1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0A351A4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323D3A0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71E7250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4B83A61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14880E5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429AB96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44C6AAA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63" w:type="dxa"/>
            <w:vAlign w:val="center"/>
          </w:tcPr>
          <w:p w14:paraId="148DE8DE"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590" w:type="dxa"/>
            <w:vAlign w:val="center"/>
          </w:tcPr>
          <w:p w14:paraId="232B4D7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9</w:t>
            </w:r>
          </w:p>
        </w:tc>
      </w:tr>
      <w:tr w:rsidR="00892A33" w:rsidRPr="00892A33" w14:paraId="1BE2170B" w14:textId="77777777" w:rsidTr="000C3C27">
        <w:tc>
          <w:tcPr>
            <w:tcW w:w="1580" w:type="dxa"/>
            <w:vAlign w:val="center"/>
          </w:tcPr>
          <w:p w14:paraId="05F7268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Wieck et al., 2014</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rPr>
              <w:instrText>ADDIN CSL_CITATION {"citationItems":[{"id":"ITEM-1","itemData":{"DOI":"10.1016/j.neulet.2014.07.040","ISSN":"18727972","PMID":"25092610","abstract":"Mounting evidence suggests a chronic pro-inflammatory state in individuals with bipolar disorder (BD). Stress exposure is known to exacerbate several inflammatory conditions as well as psychiatric disorders. Here, we analyzed plasma levels of pro-inflammatory cytokines and their soluble receptors to realistic acute psychosocial stress challenge in BD. Thirteen euthymic type 1 BD patients and 15 matched controls underwent the Trier Social Stress Test protocol (TSST). Blood samples were collected before and after TSST and plasma cytokines interleukin IL-2, IL-6, IL-33, and tumor necrosis factor alpha (TNF-α) were measured. In addition TNF-α soluble receptors TNFR1 and TNFR2, and IL-33 soluble receptor sST2 were assessed. Increased IL-33 and reduced sST2 levels were observed in BD subjects as compared to controls, independently of stress exposure. Following TSST, there were higher levels of IL-2 and reduced levels of sTNFR1 in both groups. However, the magnitude change for both cytokines was found higher in controls than BD subjects. Our data suggest that BD patients have differential stress reactivity as compared to controls, possibly related to an immunologic imbalance and failure of regulatory mechanisms. © 2014 Elsevier Ireland Ltd.","author":[{"dropping-particle":"","family":"Wieck","given":"Andrea","non-dropping-particle":"","parse-names":false,"suffix":""},{"dropping-particle":"","family":"Grassi-Oliveira","given":"Rodrigo","non-dropping-particle":"","parse-names":false,"suffix":""},{"dropping-particle":"","family":"Prado","given":"Carine Hartmann","non-dropping-particle":"do","parse-names":false,"suffix":""},{"dropping-particle":"","family":"Rizzo","given":"Lucas Bortolotto","non-dropping-particle":"","parse-names":false,"suffix":""},{"dropping-particle":"","family":"Oliveira","given":"Agatha Schommer","non-dropping-particle":"de","parse-names":false,"suffix":""},{"dropping-particle":"","family":"Kommers-Molina","given":"Júlia","non-dropping-particle":"","parse-names":false,"suffix":""},{"dropping-particle":"","family":"Viola","given":"Thiago Wendt","non-dropping-particle":"","parse-names":false,"suffix":""},{"dropping-particle":"","family":"Marciano Vieira","given":"Érica Leandro","non-dropping-particle":"","parse-names":false,"suffix":""},{"dropping-particle":"","family":"Teixeira","given":"Ant Ônio Lúcio","non-dropping-particle":"","parse-names":false,"suffix":""},{"dropping-particle":"","family":"Bauer","given":"Moisés Evandro","non-dropping-particle":"","parse-names":false,"suffix":""}],"container-title":"Neuroscience Letters","id":"ITEM-1","issued":{"date-parts":[["2014"]]},"title":"Pro-inflammatory cytokines and soluble receptors in response to acute psychosocial stress: Differential reactivity in bipolar disorder","type":"article-journal"},"uris":["http://www.mendeley.com/documents/?uuid=ab7565dd-9367-41fa-8056-b0b8dcf09029"]}],"mendeley":{"formattedCitation":"(Wieck et al., 2014)","plainTextFormattedCitation":"(Wieck et al., 2014)","previouslyFormattedCitation":"(Wieck et al., 2014)"},"properties":{"noteIndex":0},"schema":"https://github.com/citation-style-language/schema/raw/master/csl-citation.json"}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rPr>
              <w:t>(Wieck et al., 2014)</w:t>
            </w:r>
            <w:r w:rsidRPr="00892A33">
              <w:rPr>
                <w:rFonts w:ascii="Times New Roman" w:eastAsia="Calibri" w:hAnsi="Times New Roman" w:cs="Times New Roman"/>
                <w:sz w:val="16"/>
                <w:szCs w:val="16"/>
              </w:rPr>
              <w:fldChar w:fldCharType="end"/>
            </w:r>
          </w:p>
        </w:tc>
        <w:tc>
          <w:tcPr>
            <w:tcW w:w="895" w:type="dxa"/>
            <w:vAlign w:val="center"/>
          </w:tcPr>
          <w:p w14:paraId="758E405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6D46488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3C58580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58" w:type="dxa"/>
            <w:vAlign w:val="center"/>
          </w:tcPr>
          <w:p w14:paraId="2436C6D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35" w:type="dxa"/>
            <w:vAlign w:val="center"/>
          </w:tcPr>
          <w:p w14:paraId="6475D61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17A39AA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7A70F87E"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5AF9F55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4245859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00229ED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4B336AC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0E95212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0A24AB0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63" w:type="dxa"/>
            <w:vAlign w:val="center"/>
          </w:tcPr>
          <w:p w14:paraId="3BC1322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590" w:type="dxa"/>
            <w:vAlign w:val="center"/>
          </w:tcPr>
          <w:p w14:paraId="7DAE1ED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9</w:t>
            </w:r>
          </w:p>
        </w:tc>
      </w:tr>
      <w:tr w:rsidR="00892A33" w:rsidRPr="00892A33" w14:paraId="7E52E5AD" w14:textId="77777777" w:rsidTr="000C3C27">
        <w:tc>
          <w:tcPr>
            <w:tcW w:w="1580" w:type="dxa"/>
            <w:vAlign w:val="center"/>
          </w:tcPr>
          <w:p w14:paraId="4B9ABB1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lang w:val="it-IT"/>
              </w:rPr>
              <w:t>Wu et al., 2017</w:t>
            </w:r>
            <w:r w:rsidRPr="00892A33">
              <w:rPr>
                <w:rFonts w:ascii="Times New Roman" w:eastAsia="Calibri" w:hAnsi="Times New Roman" w:cs="Times New Roman"/>
                <w:sz w:val="16"/>
                <w:szCs w:val="16"/>
              </w:rPr>
              <w:fldChar w:fldCharType="begin" w:fldLock="1"/>
            </w:r>
            <w:r w:rsidRPr="00892A33">
              <w:rPr>
                <w:rFonts w:ascii="Times New Roman" w:eastAsia="Calibri" w:hAnsi="Times New Roman" w:cs="Times New Roman"/>
                <w:sz w:val="16"/>
                <w:szCs w:val="16"/>
                <w:lang w:val="it-IT"/>
              </w:rPr>
              <w:instrText>ADDIN CSL_CITATION {"citationItems":[{"id":"ITEM-1","itemData":{"DOI":"10.1038/srep40530","ISSN":"20452322","PMID":"28074937","abstract":"This study aimed to investigate the less known activation pattern of T lymphocyte populations and immune checkpoint inhibitors on immunocytes in patients with bipolar II disorder depression (BD) or major depression (MD). A total of 23 patients with BD, 22 patients with MD, and 20 healthy controls (HCs) were recruited. The blood cell count of T lymphocyte subsets and the plasma level of cytokines (IL-2, IL-4, IL-6, IL-10, TNF-α, and IFN-λ) were selectively investigated. The expression of T-cell immunoglobulin and mucin-domain containing-3 (TIM-3), programmed cell death protein 1 (PD-1) and its ligands, PD-L1 and PD-L2, on T lymphocytes and monocytes, was detected. In results, blood proportion of cytotoxic T cells significantly decreased in BD patients than in either MD patients or HCs. The plasma level of IL-6 increased in patients with BD and MD. The expression of TIM-3 on cytotoxic T cells significantly increased, whereas the expression of PD-L2 on monocytes significantly decreased in patients with BD than in HCs. These findings extended our knowledge of the immune dysfunction in patients with affective disorders.","author":[{"dropping-particle":"","family":"Wu","given":"Wei","non-dropping-particle":"","parse-names":false,"suffix":""},{"dropping-particle":"","family":"Zheng","given":"Ya Li","non-dropping-particle":"","parse-names":false,"suffix":""},{"dropping-particle":"","family":"Tian","given":"Li Ping","non-dropping-particle":"","parse-names":false,"suffix":""},{"dropping-particle":"","family":"Lai","given":"Jian Bo","non-dropping-particle":"","parse-names":false,"suffix":""},{"dropping-particle":"","family":"Hu","given":"Chan Chan","non-dropping-particle":"","parse-names":false,"suffix":""},{"dropping-particle":"","family":"Zhang","given":"Peng","non-dropping-particle":"","parse-names":false,"suffix":""},{"dropping-particle":"","family":"Chen","given":"Jing Kai","non-dropping-particle":"","parse-names":false,"suffix":""},{"dropping-particle":"","family":"Hu","given":"Jian Bo","non-dropping-particle":"","parse-names":false,"suffix":""},{"dropping-particle":"","family":"Huang","given":"Man Li","non-dropping-particle":"","parse-names":false,"suffix":""},{"dropping-particle":"","family":"Wei","given":"Ning","non-dropping-particle":"","parse-names":false,"suffix":""},{"dropping-particle":"","family":"Xu","given":"Wei Juan","non-dropping-particle":"","parse-names":false,"suffix":""},{"dropping-particle":"","family":"Zhou","given":"Wei Hua","non-dropping-particle":"","parse-names":false,"suffix":""},{"dropping-particle":"","family":"Lu","given":"Shao Jia","non-dropping-particle":"","parse-names":false,"suffix":""},{</w:instrText>
            </w:r>
            <w:r w:rsidRPr="00892A33">
              <w:rPr>
                <w:rFonts w:ascii="Times New Roman" w:eastAsia="Calibri" w:hAnsi="Times New Roman" w:cs="Times New Roman"/>
                <w:sz w:val="16"/>
                <w:szCs w:val="16"/>
              </w:rPr>
              <w:instrText>"dropping-particle":"","family":"Lu","given":"Jing","non-dropping-particle":"","parse-names":false,"suffix":""},{"dropping-particle":"","family":"Qi","given":"Hong Li","non-dropping-particle":"","parse-names":false,"suffix":""},{"dropping-particle":"","family":"Wang","given":"Dan Dan","non-dropping-particle":"","parse-names":false,"suffix":""},{"dropping-particle":"","family":"Zhou","given":"Xiao Yi","non-dropping-particle":"","parse-names":false,"suffix":""},{"dropping-particle":"","family":"Duan","given":"Jin Feng","non-dropping-particle":"","parse-names":false,"suffix":""},{"dropping-particle":"","family":"Xu","given":"Yi","non-dropping-particle":"","parse-names":false,"suffix":""},{"dropping-particle":"","family":"Hu","given":"Shao Hua","non-dropping-particle":"","parse-names":false,"suffix":""}],"container-title":"Scientific Reports","id":"ITEM-1","issued":{"date-parts":[["2017","1"]]},"publisher":"Nature Publishing Group","title":"Circulating T lymphocyte subsets, cytokines, and immune checkpoint inhibitors in patients with bipolar II or major depression: A preliminary study","type":"article-journal","volume":"7"},"uris":["http://www.mendeley.com/documents/?uuid=d6686f03-e93a-4da4-a95e-52711889598b"]}],"mendeley":{"formattedCitation":"(Wu et al., 2017)","plainTextFormattedCitation":"(Wu et al., 2017)","previouslyFormattedCitation":"(Wu et al., 2017)"},"properties":{"noteIndex":0},"schema":"https://github.com/citation-style-language/schema/raw/master/csl-citation.json"}</w:instrText>
            </w:r>
            <w:r w:rsidRPr="00892A33">
              <w:rPr>
                <w:rFonts w:ascii="Times New Roman" w:eastAsia="Calibri" w:hAnsi="Times New Roman" w:cs="Times New Roman"/>
                <w:sz w:val="16"/>
                <w:szCs w:val="16"/>
              </w:rPr>
              <w:fldChar w:fldCharType="separate"/>
            </w:r>
            <w:r w:rsidRPr="00892A33">
              <w:rPr>
                <w:rFonts w:ascii="Times New Roman" w:eastAsia="Calibri" w:hAnsi="Times New Roman" w:cs="Times New Roman"/>
                <w:noProof/>
                <w:sz w:val="16"/>
                <w:szCs w:val="16"/>
              </w:rPr>
              <w:t>(Wu et al., 2017)</w:t>
            </w:r>
            <w:r w:rsidRPr="00892A33">
              <w:rPr>
                <w:rFonts w:ascii="Times New Roman" w:eastAsia="Calibri" w:hAnsi="Times New Roman" w:cs="Times New Roman"/>
                <w:sz w:val="16"/>
                <w:szCs w:val="16"/>
              </w:rPr>
              <w:fldChar w:fldCharType="end"/>
            </w:r>
          </w:p>
        </w:tc>
        <w:tc>
          <w:tcPr>
            <w:tcW w:w="895" w:type="dxa"/>
            <w:vAlign w:val="center"/>
          </w:tcPr>
          <w:p w14:paraId="0A074C4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40" w:type="dxa"/>
            <w:vAlign w:val="center"/>
          </w:tcPr>
          <w:p w14:paraId="5504FB4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45" w:type="dxa"/>
            <w:vAlign w:val="center"/>
          </w:tcPr>
          <w:p w14:paraId="3B27DBCF"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58" w:type="dxa"/>
            <w:vAlign w:val="center"/>
          </w:tcPr>
          <w:p w14:paraId="03285CF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35" w:type="dxa"/>
            <w:vAlign w:val="center"/>
          </w:tcPr>
          <w:p w14:paraId="3E82E4CB"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993" w:type="dxa"/>
            <w:vAlign w:val="center"/>
          </w:tcPr>
          <w:p w14:paraId="3E9005A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870" w:type="dxa"/>
            <w:vAlign w:val="center"/>
          </w:tcPr>
          <w:p w14:paraId="3635DA92"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4B0ED30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12C29208"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01" w:type="dxa"/>
            <w:vAlign w:val="center"/>
          </w:tcPr>
          <w:p w14:paraId="4D68F24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1010" w:type="dxa"/>
            <w:vAlign w:val="center"/>
          </w:tcPr>
          <w:p w14:paraId="4E228E0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1010" w:type="dxa"/>
            <w:vAlign w:val="center"/>
          </w:tcPr>
          <w:p w14:paraId="1EAFFB17"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699" w:type="dxa"/>
            <w:vAlign w:val="center"/>
          </w:tcPr>
          <w:p w14:paraId="60405295"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1</w:t>
            </w:r>
          </w:p>
        </w:tc>
        <w:tc>
          <w:tcPr>
            <w:tcW w:w="963" w:type="dxa"/>
            <w:vAlign w:val="center"/>
          </w:tcPr>
          <w:p w14:paraId="1EAD04EF"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0</w:t>
            </w:r>
          </w:p>
        </w:tc>
        <w:tc>
          <w:tcPr>
            <w:tcW w:w="590" w:type="dxa"/>
            <w:vAlign w:val="center"/>
          </w:tcPr>
          <w:p w14:paraId="6EA30064"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8</w:t>
            </w:r>
          </w:p>
        </w:tc>
      </w:tr>
      <w:tr w:rsidR="00892A33" w:rsidRPr="00892A33" w14:paraId="7906D2D1" w14:textId="77777777" w:rsidTr="00892A33">
        <w:tc>
          <w:tcPr>
            <w:tcW w:w="15500" w:type="dxa"/>
            <w:gridSpan w:val="16"/>
            <w:shd w:val="clear" w:color="auto" w:fill="BFBFBF"/>
          </w:tcPr>
          <w:p w14:paraId="4D4206AC" w14:textId="77777777" w:rsidR="00892A33" w:rsidRPr="00892A33" w:rsidRDefault="00892A33" w:rsidP="00892A33">
            <w:pPr>
              <w:spacing w:after="160" w:line="259" w:lineRule="auto"/>
              <w:rPr>
                <w:rFonts w:ascii="Times New Roman" w:eastAsia="Calibri" w:hAnsi="Times New Roman" w:cs="Times New Roman"/>
                <w:sz w:val="16"/>
                <w:szCs w:val="16"/>
              </w:rPr>
            </w:pPr>
          </w:p>
        </w:tc>
      </w:tr>
      <w:tr w:rsidR="00892A33" w:rsidRPr="00892A33" w14:paraId="3D32EACD" w14:textId="77777777" w:rsidTr="000C3C27">
        <w:tc>
          <w:tcPr>
            <w:tcW w:w="3415" w:type="dxa"/>
            <w:gridSpan w:val="3"/>
          </w:tcPr>
          <w:p w14:paraId="15D2901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n (%) studies in lower tertile (0 – 4)</w:t>
            </w:r>
          </w:p>
        </w:tc>
        <w:tc>
          <w:tcPr>
            <w:tcW w:w="1045" w:type="dxa"/>
          </w:tcPr>
          <w:p w14:paraId="49EDA4A2" w14:textId="77777777" w:rsidR="00892A33" w:rsidRPr="00892A33" w:rsidRDefault="00892A33" w:rsidP="00892A33">
            <w:pPr>
              <w:spacing w:after="160" w:line="259" w:lineRule="auto"/>
              <w:jc w:val="center"/>
              <w:rPr>
                <w:rFonts w:ascii="Times New Roman" w:eastAsia="Calibri" w:hAnsi="Times New Roman" w:cs="Times New Roman"/>
                <w:sz w:val="16"/>
                <w:szCs w:val="16"/>
              </w:rPr>
            </w:pPr>
          </w:p>
        </w:tc>
        <w:tc>
          <w:tcPr>
            <w:tcW w:w="3086" w:type="dxa"/>
            <w:gridSpan w:val="3"/>
          </w:tcPr>
          <w:p w14:paraId="3CD1A721"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n (%) studies in middle tertile (5 – 9)</w:t>
            </w:r>
          </w:p>
        </w:tc>
        <w:tc>
          <w:tcPr>
            <w:tcW w:w="870" w:type="dxa"/>
          </w:tcPr>
          <w:p w14:paraId="52057361" w14:textId="77777777" w:rsidR="00892A33" w:rsidRPr="00892A33" w:rsidRDefault="00892A33" w:rsidP="00892A33">
            <w:pPr>
              <w:spacing w:after="160" w:line="259" w:lineRule="auto"/>
              <w:jc w:val="center"/>
              <w:rPr>
                <w:rFonts w:ascii="Times New Roman" w:eastAsia="Calibri" w:hAnsi="Times New Roman" w:cs="Times New Roman"/>
                <w:sz w:val="16"/>
                <w:szCs w:val="16"/>
              </w:rPr>
            </w:pPr>
          </w:p>
        </w:tc>
        <w:tc>
          <w:tcPr>
            <w:tcW w:w="2812" w:type="dxa"/>
            <w:gridSpan w:val="3"/>
          </w:tcPr>
          <w:p w14:paraId="36283AA3"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n (%) studies in upper tertile (10 – 14)</w:t>
            </w:r>
          </w:p>
        </w:tc>
        <w:tc>
          <w:tcPr>
            <w:tcW w:w="1010" w:type="dxa"/>
          </w:tcPr>
          <w:p w14:paraId="405E565B" w14:textId="77777777" w:rsidR="00892A33" w:rsidRPr="00892A33" w:rsidRDefault="00892A33" w:rsidP="00892A33">
            <w:pPr>
              <w:spacing w:after="160" w:line="259" w:lineRule="auto"/>
              <w:rPr>
                <w:rFonts w:ascii="Times New Roman" w:eastAsia="Calibri" w:hAnsi="Times New Roman" w:cs="Times New Roman"/>
                <w:sz w:val="16"/>
                <w:szCs w:val="16"/>
              </w:rPr>
            </w:pPr>
          </w:p>
        </w:tc>
        <w:tc>
          <w:tcPr>
            <w:tcW w:w="3262" w:type="dxa"/>
            <w:gridSpan w:val="4"/>
          </w:tcPr>
          <w:p w14:paraId="7E23C469"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Median (IQR) NIH total score</w:t>
            </w:r>
          </w:p>
        </w:tc>
      </w:tr>
      <w:tr w:rsidR="00892A33" w:rsidRPr="00892A33" w14:paraId="7C054447" w14:textId="77777777" w:rsidTr="000C3C27">
        <w:tc>
          <w:tcPr>
            <w:tcW w:w="3415" w:type="dxa"/>
            <w:gridSpan w:val="3"/>
          </w:tcPr>
          <w:p w14:paraId="6566A1A6"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lastRenderedPageBreak/>
              <w:t>2 (3.77%)</w:t>
            </w:r>
          </w:p>
        </w:tc>
        <w:tc>
          <w:tcPr>
            <w:tcW w:w="1045" w:type="dxa"/>
          </w:tcPr>
          <w:p w14:paraId="2D543BB7" w14:textId="77777777" w:rsidR="00892A33" w:rsidRPr="00892A33" w:rsidRDefault="00892A33" w:rsidP="00892A33">
            <w:pPr>
              <w:spacing w:after="160" w:line="259" w:lineRule="auto"/>
              <w:jc w:val="center"/>
              <w:rPr>
                <w:rFonts w:ascii="Times New Roman" w:eastAsia="Calibri" w:hAnsi="Times New Roman" w:cs="Times New Roman"/>
                <w:sz w:val="16"/>
                <w:szCs w:val="16"/>
              </w:rPr>
            </w:pPr>
          </w:p>
        </w:tc>
        <w:tc>
          <w:tcPr>
            <w:tcW w:w="3086" w:type="dxa"/>
            <w:gridSpan w:val="3"/>
          </w:tcPr>
          <w:p w14:paraId="1383B03A"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44 (83.0%)</w:t>
            </w:r>
          </w:p>
        </w:tc>
        <w:tc>
          <w:tcPr>
            <w:tcW w:w="870" w:type="dxa"/>
          </w:tcPr>
          <w:p w14:paraId="3E0C6541" w14:textId="77777777" w:rsidR="00892A33" w:rsidRPr="00892A33" w:rsidRDefault="00892A33" w:rsidP="00892A33">
            <w:pPr>
              <w:spacing w:after="160" w:line="259" w:lineRule="auto"/>
              <w:jc w:val="center"/>
              <w:rPr>
                <w:rFonts w:ascii="Times New Roman" w:eastAsia="Calibri" w:hAnsi="Times New Roman" w:cs="Times New Roman"/>
                <w:sz w:val="16"/>
                <w:szCs w:val="16"/>
              </w:rPr>
            </w:pPr>
          </w:p>
        </w:tc>
        <w:tc>
          <w:tcPr>
            <w:tcW w:w="2812" w:type="dxa"/>
            <w:gridSpan w:val="3"/>
          </w:tcPr>
          <w:p w14:paraId="7C9553B0"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7 (13.2%)</w:t>
            </w:r>
          </w:p>
        </w:tc>
        <w:tc>
          <w:tcPr>
            <w:tcW w:w="1010" w:type="dxa"/>
          </w:tcPr>
          <w:p w14:paraId="07B8886B" w14:textId="77777777" w:rsidR="00892A33" w:rsidRPr="00892A33" w:rsidRDefault="00892A33" w:rsidP="00892A33">
            <w:pPr>
              <w:spacing w:after="160" w:line="259" w:lineRule="auto"/>
              <w:rPr>
                <w:rFonts w:ascii="Times New Roman" w:eastAsia="Calibri" w:hAnsi="Times New Roman" w:cs="Times New Roman"/>
                <w:sz w:val="16"/>
                <w:szCs w:val="16"/>
              </w:rPr>
            </w:pPr>
          </w:p>
        </w:tc>
        <w:tc>
          <w:tcPr>
            <w:tcW w:w="3262" w:type="dxa"/>
            <w:gridSpan w:val="4"/>
          </w:tcPr>
          <w:p w14:paraId="4D561F8D" w14:textId="77777777" w:rsidR="00892A33" w:rsidRPr="00892A33" w:rsidRDefault="00892A33" w:rsidP="00892A33">
            <w:pPr>
              <w:spacing w:after="160" w:line="259" w:lineRule="auto"/>
              <w:jc w:val="center"/>
              <w:rPr>
                <w:rFonts w:ascii="Times New Roman" w:eastAsia="Calibri" w:hAnsi="Times New Roman" w:cs="Times New Roman"/>
                <w:sz w:val="16"/>
                <w:szCs w:val="16"/>
              </w:rPr>
            </w:pPr>
            <w:r w:rsidRPr="00892A33">
              <w:rPr>
                <w:rFonts w:ascii="Times New Roman" w:eastAsia="Calibri" w:hAnsi="Times New Roman" w:cs="Times New Roman"/>
                <w:sz w:val="16"/>
                <w:szCs w:val="16"/>
              </w:rPr>
              <w:t>7 (6 - 9)</w:t>
            </w:r>
          </w:p>
        </w:tc>
      </w:tr>
    </w:tbl>
    <w:p w14:paraId="711952BF" w14:textId="77777777" w:rsidR="00892A33" w:rsidRPr="00892A33" w:rsidRDefault="00892A33" w:rsidP="00892A33">
      <w:pPr>
        <w:spacing w:after="160" w:line="259" w:lineRule="auto"/>
        <w:rPr>
          <w:rFonts w:ascii="Calibri" w:eastAsia="Calibri" w:hAnsi="Calibri" w:cs="Times New Roman"/>
          <w:sz w:val="22"/>
          <w:szCs w:val="22"/>
          <w:lang w:val="en-US"/>
        </w:rPr>
      </w:pPr>
    </w:p>
    <w:p w14:paraId="73886C6F" w14:textId="77777777" w:rsidR="00892A33" w:rsidRPr="00892A33" w:rsidRDefault="00892A33" w:rsidP="00892A33">
      <w:pPr>
        <w:spacing w:after="160" w:line="259" w:lineRule="auto"/>
        <w:rPr>
          <w:rFonts w:ascii="Calibri" w:eastAsia="Calibri" w:hAnsi="Calibri" w:cs="Times New Roman"/>
          <w:sz w:val="22"/>
          <w:szCs w:val="22"/>
        </w:rPr>
      </w:pPr>
    </w:p>
    <w:p w14:paraId="53B4D2B0" w14:textId="77777777" w:rsidR="00892A33" w:rsidRPr="00892A33" w:rsidRDefault="00892A33" w:rsidP="00892A33">
      <w:pPr>
        <w:spacing w:after="160" w:line="259" w:lineRule="auto"/>
        <w:rPr>
          <w:rFonts w:ascii="Calibri" w:eastAsia="Calibri" w:hAnsi="Calibri" w:cs="Times New Roman"/>
          <w:sz w:val="22"/>
          <w:szCs w:val="22"/>
        </w:rPr>
      </w:pPr>
    </w:p>
    <w:p w14:paraId="5B038739" w14:textId="77777777" w:rsidR="00892A33" w:rsidRPr="00892A33" w:rsidRDefault="00892A33" w:rsidP="00892A33">
      <w:pPr>
        <w:spacing w:after="160" w:line="259" w:lineRule="auto"/>
        <w:rPr>
          <w:rFonts w:ascii="Calibri" w:eastAsia="Calibri" w:hAnsi="Calibri" w:cs="Times New Roman"/>
          <w:sz w:val="22"/>
          <w:szCs w:val="22"/>
        </w:rPr>
      </w:pPr>
    </w:p>
    <w:p w14:paraId="31677504" w14:textId="77777777" w:rsidR="00892A33" w:rsidRPr="00892A33" w:rsidRDefault="00892A33" w:rsidP="00892A33">
      <w:pPr>
        <w:spacing w:after="160" w:line="259" w:lineRule="auto"/>
        <w:rPr>
          <w:rFonts w:ascii="Calibri" w:eastAsia="Calibri" w:hAnsi="Calibri" w:cs="Times New Roman"/>
          <w:sz w:val="22"/>
          <w:szCs w:val="22"/>
        </w:rPr>
      </w:pPr>
    </w:p>
    <w:p w14:paraId="6900F617" w14:textId="77777777" w:rsidR="00892A33" w:rsidRPr="00892A33" w:rsidRDefault="00892A33" w:rsidP="00892A33">
      <w:pPr>
        <w:spacing w:after="160" w:line="259" w:lineRule="auto"/>
        <w:rPr>
          <w:rFonts w:ascii="Calibri" w:eastAsia="Calibri" w:hAnsi="Calibri" w:cs="Times New Roman"/>
          <w:sz w:val="22"/>
          <w:szCs w:val="22"/>
        </w:rPr>
      </w:pPr>
    </w:p>
    <w:p w14:paraId="64EDAFD0" w14:textId="77777777" w:rsidR="00892A33" w:rsidRPr="00892A33" w:rsidRDefault="00892A33" w:rsidP="00892A33">
      <w:pPr>
        <w:spacing w:after="160" w:line="259" w:lineRule="auto"/>
        <w:rPr>
          <w:rFonts w:ascii="Calibri" w:eastAsia="Calibri" w:hAnsi="Calibri" w:cs="Times New Roman"/>
          <w:sz w:val="22"/>
          <w:szCs w:val="22"/>
        </w:rPr>
      </w:pPr>
    </w:p>
    <w:p w14:paraId="0D7EA824" w14:textId="77777777" w:rsidR="00892A33" w:rsidRPr="00892A33" w:rsidRDefault="00892A33" w:rsidP="00892A33">
      <w:pPr>
        <w:spacing w:after="160" w:line="259" w:lineRule="auto"/>
        <w:rPr>
          <w:rFonts w:ascii="Calibri" w:eastAsia="Calibri" w:hAnsi="Calibri" w:cs="Times New Roman"/>
          <w:sz w:val="22"/>
          <w:szCs w:val="22"/>
        </w:rPr>
      </w:pPr>
    </w:p>
    <w:p w14:paraId="4F051DEE" w14:textId="77777777" w:rsidR="00892A33" w:rsidRPr="00892A33" w:rsidRDefault="00892A33" w:rsidP="00892A33">
      <w:pPr>
        <w:spacing w:after="160" w:line="259" w:lineRule="auto"/>
        <w:rPr>
          <w:rFonts w:ascii="Calibri" w:eastAsia="Calibri" w:hAnsi="Calibri" w:cs="Times New Roman"/>
          <w:sz w:val="22"/>
          <w:szCs w:val="22"/>
        </w:rPr>
      </w:pPr>
    </w:p>
    <w:p w14:paraId="125A1DCA" w14:textId="77777777" w:rsidR="00892A33" w:rsidRPr="00892A33" w:rsidRDefault="00892A33" w:rsidP="00892A33">
      <w:pPr>
        <w:spacing w:after="160" w:line="259" w:lineRule="auto"/>
        <w:rPr>
          <w:rFonts w:ascii="Calibri" w:eastAsia="Calibri" w:hAnsi="Calibri" w:cs="Times New Roman"/>
          <w:sz w:val="22"/>
          <w:szCs w:val="22"/>
        </w:rPr>
      </w:pPr>
    </w:p>
    <w:p w14:paraId="26357832" w14:textId="77777777" w:rsidR="00892A33" w:rsidRPr="00892A33" w:rsidRDefault="00892A33" w:rsidP="00892A33">
      <w:pPr>
        <w:spacing w:after="160" w:line="259" w:lineRule="auto"/>
        <w:rPr>
          <w:rFonts w:ascii="Calibri" w:eastAsia="Calibri" w:hAnsi="Calibri" w:cs="Times New Roman"/>
          <w:sz w:val="22"/>
          <w:szCs w:val="22"/>
        </w:rPr>
      </w:pPr>
    </w:p>
    <w:p w14:paraId="6C50D746" w14:textId="77777777" w:rsidR="00892A33" w:rsidRPr="00892A33" w:rsidRDefault="00892A33" w:rsidP="00892A33">
      <w:pPr>
        <w:spacing w:after="160" w:line="259" w:lineRule="auto"/>
        <w:rPr>
          <w:rFonts w:ascii="Calibri" w:eastAsia="Calibri" w:hAnsi="Calibri" w:cs="Times New Roman"/>
          <w:sz w:val="22"/>
          <w:szCs w:val="22"/>
        </w:rPr>
      </w:pPr>
    </w:p>
    <w:p w14:paraId="745F92B6" w14:textId="77777777" w:rsidR="00892A33" w:rsidRPr="00892A33" w:rsidRDefault="00892A33" w:rsidP="00892A33">
      <w:pPr>
        <w:spacing w:after="160" w:line="259" w:lineRule="auto"/>
        <w:rPr>
          <w:rFonts w:ascii="Calibri" w:eastAsia="Calibri" w:hAnsi="Calibri" w:cs="Times New Roman"/>
          <w:sz w:val="22"/>
          <w:szCs w:val="22"/>
        </w:rPr>
      </w:pPr>
    </w:p>
    <w:p w14:paraId="118C3ABE" w14:textId="77777777" w:rsidR="00892A33" w:rsidRPr="00892A33" w:rsidRDefault="00892A33" w:rsidP="00892A33">
      <w:pPr>
        <w:spacing w:after="160" w:line="259" w:lineRule="auto"/>
        <w:rPr>
          <w:rFonts w:ascii="Calibri" w:eastAsia="Calibri" w:hAnsi="Calibri" w:cs="Times New Roman"/>
          <w:sz w:val="22"/>
          <w:szCs w:val="22"/>
        </w:rPr>
      </w:pPr>
    </w:p>
    <w:p w14:paraId="4BB650C8" w14:textId="77777777" w:rsidR="00892A33" w:rsidRPr="00892A33" w:rsidRDefault="00892A33" w:rsidP="00892A33">
      <w:pPr>
        <w:spacing w:after="160" w:line="259" w:lineRule="auto"/>
        <w:rPr>
          <w:rFonts w:ascii="Calibri" w:eastAsia="Calibri" w:hAnsi="Calibri" w:cs="Times New Roman"/>
          <w:sz w:val="22"/>
          <w:szCs w:val="22"/>
        </w:rPr>
      </w:pPr>
    </w:p>
    <w:p w14:paraId="2C45E69E"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Calibri" w:eastAsia="Calibri" w:hAnsi="Calibri" w:cs="Times New Roman"/>
          <w:sz w:val="22"/>
          <w:szCs w:val="22"/>
        </w:rPr>
        <w:br w:type="page"/>
      </w:r>
    </w:p>
    <w:p w14:paraId="10AD0CB3" w14:textId="77777777" w:rsidR="00892A33" w:rsidRPr="00892A33" w:rsidRDefault="00892A33" w:rsidP="00755272">
      <w:pPr>
        <w:pStyle w:val="Heading1"/>
      </w:pPr>
      <w:r w:rsidRPr="00892A33">
        <w:lastRenderedPageBreak/>
        <w:t>eFigure 2. Funnel plot for assessment of publication bias</w:t>
      </w:r>
    </w:p>
    <w:p w14:paraId="59CCE593"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Times New Roman" w:eastAsia="Calibri" w:hAnsi="Times New Roman" w:cs="Times New Roman"/>
          <w:noProof/>
          <w:sz w:val="22"/>
          <w:szCs w:val="22"/>
          <w:lang w:eastAsia="en-GB"/>
        </w:rPr>
        <w:drawing>
          <wp:inline distT="0" distB="0" distL="0" distR="0" wp14:anchorId="3D750CCC" wp14:editId="347D4EE3">
            <wp:extent cx="5727700" cy="4751070"/>
            <wp:effectExtent l="12700" t="12700" r="12700" b="11430"/>
            <wp:docPr id="5" name="Picture 5" descr="P324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P3240#yIS1"/>
                    <pic:cNvPicPr/>
                  </pic:nvPicPr>
                  <pic:blipFill>
                    <a:blip r:embed="rId11">
                      <a:extLst>
                        <a:ext uri="{28A0092B-C50C-407E-A947-70E740481C1C}">
                          <a14:useLocalDpi xmlns:a14="http://schemas.microsoft.com/office/drawing/2010/main" val="0"/>
                        </a:ext>
                      </a:extLst>
                    </a:blip>
                    <a:stretch>
                      <a:fillRect/>
                    </a:stretch>
                  </pic:blipFill>
                  <pic:spPr>
                    <a:xfrm>
                      <a:off x="0" y="0"/>
                      <a:ext cx="5727700" cy="4751070"/>
                    </a:xfrm>
                    <a:prstGeom prst="rect">
                      <a:avLst/>
                    </a:prstGeom>
                    <a:ln w="12700">
                      <a:solidFill>
                        <a:srgbClr val="4472C4"/>
                      </a:solidFill>
                    </a:ln>
                  </pic:spPr>
                </pic:pic>
              </a:graphicData>
            </a:graphic>
          </wp:inline>
        </w:drawing>
      </w:r>
    </w:p>
    <w:p w14:paraId="24901B3C" w14:textId="77777777" w:rsidR="00892A33" w:rsidRPr="00892A33" w:rsidRDefault="00892A33" w:rsidP="00892A33">
      <w:pPr>
        <w:spacing w:after="160" w:line="259" w:lineRule="auto"/>
        <w:rPr>
          <w:rFonts w:ascii="Calibri" w:eastAsia="Calibri" w:hAnsi="Calibri" w:cs="Times New Roman"/>
          <w:sz w:val="22"/>
          <w:szCs w:val="22"/>
        </w:rPr>
      </w:pPr>
    </w:p>
    <w:p w14:paraId="477196AD" w14:textId="77777777" w:rsidR="00892A33" w:rsidRPr="00892A33" w:rsidRDefault="00892A33" w:rsidP="00892A33">
      <w:pPr>
        <w:spacing w:after="160" w:line="259" w:lineRule="auto"/>
        <w:rPr>
          <w:rFonts w:ascii="Calibri" w:eastAsia="Calibri" w:hAnsi="Calibri" w:cs="Times New Roman"/>
          <w:sz w:val="22"/>
          <w:szCs w:val="22"/>
        </w:rPr>
      </w:pPr>
    </w:p>
    <w:p w14:paraId="6BAE486E"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Calibri" w:eastAsia="Calibri" w:hAnsi="Calibri" w:cs="Times New Roman"/>
          <w:sz w:val="22"/>
          <w:szCs w:val="22"/>
        </w:rPr>
        <w:br w:type="page"/>
      </w:r>
    </w:p>
    <w:p w14:paraId="181D9F25" w14:textId="77777777" w:rsidR="00892A33" w:rsidRPr="00892A33" w:rsidRDefault="00892A33" w:rsidP="00755272">
      <w:pPr>
        <w:pStyle w:val="Heading1"/>
      </w:pPr>
      <w:r w:rsidRPr="00892A33">
        <w:lastRenderedPageBreak/>
        <w:t>eFigure3. Sensitivity analysis excluding outliers.</w:t>
      </w:r>
    </w:p>
    <w:p w14:paraId="436F1998" w14:textId="066781FF" w:rsidR="00892A33" w:rsidRPr="00892A33" w:rsidRDefault="007E3918" w:rsidP="00892A33">
      <w:pPr>
        <w:spacing w:after="160" w:line="259" w:lineRule="auto"/>
        <w:rPr>
          <w:rFonts w:ascii="Calibri" w:eastAsia="Calibri" w:hAnsi="Calibri" w:cs="Times New Roman"/>
          <w:sz w:val="22"/>
          <w:szCs w:val="22"/>
        </w:rPr>
      </w:pPr>
      <w:r>
        <w:rPr>
          <w:rFonts w:ascii="Calibri" w:eastAsia="Calibri" w:hAnsi="Calibri" w:cs="Times New Roman"/>
          <w:noProof/>
          <w:sz w:val="22"/>
          <w:szCs w:val="22"/>
          <w:lang w:eastAsia="en-GB"/>
        </w:rPr>
        <w:t>eFigur</w:t>
      </w:r>
      <w:r w:rsidR="00892A33" w:rsidRPr="00892A33">
        <w:rPr>
          <w:rFonts w:ascii="Calibri" w:eastAsia="Calibri" w:hAnsi="Calibri" w:cs="Times New Roman"/>
          <w:noProof/>
          <w:sz w:val="22"/>
          <w:szCs w:val="22"/>
          <w:lang w:eastAsia="en-GB"/>
        </w:rPr>
        <w:drawing>
          <wp:inline distT="0" distB="0" distL="0" distR="0" wp14:anchorId="0C3F3412" wp14:editId="0BD4EA11">
            <wp:extent cx="9777730" cy="3088005"/>
            <wp:effectExtent l="0" t="0" r="0" b="0"/>
            <wp:docPr id="7" name="Imagem 7" descr="P324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P3245#yIS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1835BD2E" w14:textId="77777777" w:rsidR="00892A33" w:rsidRPr="00892A33" w:rsidRDefault="00892A33" w:rsidP="00892A33">
      <w:pPr>
        <w:spacing w:after="160" w:line="259" w:lineRule="auto"/>
        <w:rPr>
          <w:rFonts w:ascii="Calibri" w:eastAsia="Calibri" w:hAnsi="Calibri" w:cs="Times New Roman"/>
          <w:sz w:val="22"/>
          <w:szCs w:val="22"/>
        </w:rPr>
      </w:pPr>
    </w:p>
    <w:p w14:paraId="60A742D5" w14:textId="77777777" w:rsidR="00892A33" w:rsidRPr="00892A33" w:rsidRDefault="00892A33" w:rsidP="00892A33">
      <w:pPr>
        <w:spacing w:after="160" w:line="259" w:lineRule="auto"/>
        <w:rPr>
          <w:rFonts w:ascii="Calibri" w:eastAsia="Calibri" w:hAnsi="Calibri" w:cs="Times New Roman"/>
          <w:sz w:val="22"/>
          <w:szCs w:val="22"/>
        </w:rPr>
      </w:pPr>
    </w:p>
    <w:p w14:paraId="0BBBDD45" w14:textId="77777777" w:rsidR="00892A33" w:rsidRPr="00892A33" w:rsidRDefault="00892A33" w:rsidP="00892A33">
      <w:pPr>
        <w:spacing w:after="160" w:line="259" w:lineRule="auto"/>
        <w:rPr>
          <w:rFonts w:ascii="Calibri" w:eastAsia="Calibri" w:hAnsi="Calibri" w:cs="Times New Roman"/>
          <w:b/>
          <w:bCs/>
          <w:sz w:val="22"/>
          <w:szCs w:val="22"/>
        </w:rPr>
      </w:pPr>
    </w:p>
    <w:p w14:paraId="41244528" w14:textId="77777777" w:rsidR="00892A33" w:rsidRPr="00892A33" w:rsidRDefault="00892A33" w:rsidP="00892A33">
      <w:pPr>
        <w:spacing w:after="160" w:line="259" w:lineRule="auto"/>
        <w:rPr>
          <w:rFonts w:ascii="Calibri" w:eastAsia="Calibri" w:hAnsi="Calibri" w:cs="Times New Roman"/>
          <w:b/>
          <w:bCs/>
          <w:sz w:val="22"/>
          <w:szCs w:val="22"/>
        </w:rPr>
      </w:pPr>
    </w:p>
    <w:p w14:paraId="277DE600" w14:textId="77777777" w:rsidR="00892A33" w:rsidRPr="00892A33" w:rsidRDefault="00892A33" w:rsidP="00892A33">
      <w:pPr>
        <w:spacing w:after="160" w:line="259" w:lineRule="auto"/>
        <w:rPr>
          <w:rFonts w:ascii="Calibri" w:eastAsia="Calibri" w:hAnsi="Calibri" w:cs="Times New Roman"/>
          <w:b/>
          <w:bCs/>
          <w:sz w:val="22"/>
          <w:szCs w:val="22"/>
        </w:rPr>
      </w:pPr>
    </w:p>
    <w:p w14:paraId="23ED5901" w14:textId="77777777" w:rsidR="00892A33" w:rsidRPr="00892A33" w:rsidRDefault="00892A33" w:rsidP="00892A33">
      <w:pPr>
        <w:spacing w:after="160" w:line="259" w:lineRule="auto"/>
        <w:rPr>
          <w:rFonts w:ascii="Calibri" w:eastAsia="Calibri" w:hAnsi="Calibri" w:cs="Times New Roman"/>
          <w:b/>
          <w:bCs/>
          <w:sz w:val="22"/>
          <w:szCs w:val="22"/>
        </w:rPr>
      </w:pPr>
    </w:p>
    <w:p w14:paraId="637C4E62" w14:textId="77777777" w:rsidR="00892A33" w:rsidRPr="00892A33" w:rsidRDefault="00892A33" w:rsidP="00892A33">
      <w:pPr>
        <w:spacing w:after="160" w:line="259" w:lineRule="auto"/>
        <w:rPr>
          <w:rFonts w:ascii="Calibri" w:eastAsia="Calibri" w:hAnsi="Calibri" w:cs="Times New Roman"/>
          <w:b/>
          <w:bCs/>
          <w:sz w:val="22"/>
          <w:szCs w:val="22"/>
        </w:rPr>
      </w:pPr>
    </w:p>
    <w:p w14:paraId="32D7E955" w14:textId="77777777" w:rsidR="00892A33" w:rsidRPr="00892A33" w:rsidRDefault="00892A33" w:rsidP="00892A33">
      <w:pPr>
        <w:spacing w:after="160" w:line="259" w:lineRule="auto"/>
        <w:rPr>
          <w:rFonts w:ascii="Calibri" w:eastAsia="Calibri" w:hAnsi="Calibri" w:cs="Times New Roman"/>
          <w:b/>
          <w:bCs/>
          <w:sz w:val="22"/>
          <w:szCs w:val="22"/>
        </w:rPr>
      </w:pPr>
    </w:p>
    <w:p w14:paraId="201F32A7" w14:textId="77777777" w:rsidR="00892A33" w:rsidRPr="00892A33" w:rsidRDefault="00892A33" w:rsidP="00892A33">
      <w:pPr>
        <w:spacing w:after="160" w:line="259" w:lineRule="auto"/>
        <w:rPr>
          <w:rFonts w:ascii="Calibri" w:eastAsia="Calibri" w:hAnsi="Calibri" w:cs="Times New Roman"/>
          <w:b/>
          <w:bCs/>
          <w:sz w:val="22"/>
          <w:szCs w:val="22"/>
        </w:rPr>
      </w:pPr>
    </w:p>
    <w:p w14:paraId="67E70329" w14:textId="77777777" w:rsidR="00892A33" w:rsidRPr="00892A33" w:rsidRDefault="00892A33" w:rsidP="00755272">
      <w:pPr>
        <w:pStyle w:val="Heading1"/>
      </w:pPr>
      <w:r w:rsidRPr="00892A33">
        <w:lastRenderedPageBreak/>
        <w:t xml:space="preserve">eFigure 4. Sensitivity analyses only including untreated samples </w:t>
      </w:r>
    </w:p>
    <w:p w14:paraId="24713B93"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Calibri" w:eastAsia="Calibri" w:hAnsi="Calibri" w:cs="Times New Roman"/>
          <w:noProof/>
          <w:sz w:val="22"/>
          <w:szCs w:val="22"/>
          <w:lang w:eastAsia="en-GB"/>
        </w:rPr>
        <w:drawing>
          <wp:inline distT="0" distB="0" distL="0" distR="0" wp14:anchorId="4D8DB8F3" wp14:editId="2F378B0B">
            <wp:extent cx="9777730" cy="3088005"/>
            <wp:effectExtent l="0" t="0" r="0" b="0"/>
            <wp:docPr id="9" name="Imagem 9" descr="P325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P3256#yIS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27073DA9"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5BD54C44"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20DBBEAC"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292E8A87"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79851FCD"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0321F59C"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48D81825"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25231F4F"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4F74D857"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509C55C0" w14:textId="77777777" w:rsidR="00892A33" w:rsidRPr="00892A33" w:rsidRDefault="00892A33" w:rsidP="00892A33">
      <w:pPr>
        <w:tabs>
          <w:tab w:val="left" w:pos="1222"/>
        </w:tabs>
        <w:spacing w:after="160" w:line="259" w:lineRule="auto"/>
        <w:rPr>
          <w:rFonts w:ascii="Calibri" w:eastAsia="Calibri" w:hAnsi="Calibri" w:cs="Times New Roman"/>
          <w:b/>
          <w:bCs/>
          <w:sz w:val="22"/>
          <w:szCs w:val="22"/>
        </w:rPr>
      </w:pPr>
    </w:p>
    <w:p w14:paraId="18927FEB" w14:textId="77777777" w:rsidR="00892A33" w:rsidRPr="00755272" w:rsidRDefault="00892A33" w:rsidP="00755272">
      <w:pPr>
        <w:pStyle w:val="Heading1"/>
        <w:rPr>
          <w:rStyle w:val="Heading1Char"/>
        </w:rPr>
      </w:pPr>
      <w:r w:rsidRPr="00892A33">
        <w:t xml:space="preserve">eFigure 5. Sensitivity analyses only including body mass index-matched samples </w:t>
      </w:r>
    </w:p>
    <w:p w14:paraId="474213B1" w14:textId="77777777" w:rsidR="00892A33" w:rsidRPr="00892A33" w:rsidRDefault="00892A33" w:rsidP="00892A33">
      <w:pPr>
        <w:tabs>
          <w:tab w:val="left" w:pos="1222"/>
        </w:tabs>
        <w:spacing w:after="160" w:line="259" w:lineRule="auto"/>
        <w:rPr>
          <w:rFonts w:ascii="Calibri" w:eastAsia="Calibri" w:hAnsi="Calibri" w:cs="Times New Roman"/>
          <w:sz w:val="22"/>
          <w:szCs w:val="22"/>
        </w:rPr>
      </w:pPr>
      <w:r w:rsidRPr="00892A33">
        <w:rPr>
          <w:rFonts w:ascii="Calibri" w:eastAsia="Calibri" w:hAnsi="Calibri" w:cs="Times New Roman"/>
          <w:sz w:val="22"/>
          <w:szCs w:val="22"/>
        </w:rPr>
        <w:tab/>
      </w:r>
      <w:r w:rsidRPr="00892A33">
        <w:rPr>
          <w:rFonts w:ascii="Calibri" w:eastAsia="Calibri" w:hAnsi="Calibri" w:cs="Times New Roman"/>
          <w:noProof/>
          <w:sz w:val="22"/>
          <w:szCs w:val="22"/>
          <w:lang w:eastAsia="en-GB"/>
        </w:rPr>
        <w:drawing>
          <wp:inline distT="0" distB="0" distL="0" distR="0" wp14:anchorId="1A856D0E" wp14:editId="12B794CC">
            <wp:extent cx="9777730" cy="3088005"/>
            <wp:effectExtent l="0" t="0" r="0" b="0"/>
            <wp:docPr id="11" name="Imagem 11" descr="P326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P3268#yIS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4CFA456A" w14:textId="77777777" w:rsidR="00892A33" w:rsidRPr="00892A33" w:rsidRDefault="00892A33" w:rsidP="00892A33">
      <w:pPr>
        <w:spacing w:after="160" w:line="259" w:lineRule="auto"/>
        <w:rPr>
          <w:rFonts w:ascii="Calibri" w:eastAsia="Calibri" w:hAnsi="Calibri" w:cs="Times New Roman"/>
          <w:sz w:val="22"/>
          <w:szCs w:val="22"/>
        </w:rPr>
      </w:pPr>
    </w:p>
    <w:p w14:paraId="3845E4BA" w14:textId="77777777" w:rsidR="00892A33" w:rsidRPr="00892A33" w:rsidRDefault="00892A33" w:rsidP="00892A33">
      <w:pPr>
        <w:spacing w:after="160" w:line="259" w:lineRule="auto"/>
        <w:rPr>
          <w:rFonts w:ascii="Calibri" w:eastAsia="Calibri" w:hAnsi="Calibri" w:cs="Times New Roman"/>
          <w:sz w:val="22"/>
          <w:szCs w:val="22"/>
        </w:rPr>
      </w:pPr>
    </w:p>
    <w:p w14:paraId="6C6478A7" w14:textId="77777777" w:rsidR="00892A33" w:rsidRPr="00892A33" w:rsidRDefault="00892A33" w:rsidP="00892A33">
      <w:pPr>
        <w:spacing w:after="160" w:line="259" w:lineRule="auto"/>
        <w:rPr>
          <w:rFonts w:ascii="Calibri" w:eastAsia="Calibri" w:hAnsi="Calibri" w:cs="Times New Roman"/>
          <w:sz w:val="22"/>
          <w:szCs w:val="22"/>
        </w:rPr>
      </w:pPr>
    </w:p>
    <w:p w14:paraId="65758AA3" w14:textId="77777777" w:rsidR="00892A33" w:rsidRPr="00892A33" w:rsidRDefault="00892A33" w:rsidP="00892A33">
      <w:pPr>
        <w:spacing w:after="160" w:line="259" w:lineRule="auto"/>
        <w:rPr>
          <w:rFonts w:ascii="Calibri" w:eastAsia="Calibri" w:hAnsi="Calibri" w:cs="Times New Roman"/>
          <w:sz w:val="22"/>
          <w:szCs w:val="22"/>
        </w:rPr>
      </w:pPr>
    </w:p>
    <w:p w14:paraId="695485AD" w14:textId="77777777" w:rsidR="00892A33" w:rsidRPr="00892A33" w:rsidRDefault="00892A33" w:rsidP="00892A33">
      <w:pPr>
        <w:spacing w:after="160" w:line="259" w:lineRule="auto"/>
        <w:rPr>
          <w:rFonts w:ascii="Calibri" w:eastAsia="Calibri" w:hAnsi="Calibri" w:cs="Times New Roman"/>
          <w:sz w:val="22"/>
          <w:szCs w:val="22"/>
        </w:rPr>
      </w:pPr>
    </w:p>
    <w:p w14:paraId="6A991E5A" w14:textId="77777777" w:rsidR="00892A33" w:rsidRPr="00892A33" w:rsidRDefault="00892A33" w:rsidP="00892A33">
      <w:pPr>
        <w:spacing w:after="160" w:line="259" w:lineRule="auto"/>
        <w:rPr>
          <w:rFonts w:ascii="Calibri" w:eastAsia="Calibri" w:hAnsi="Calibri" w:cs="Times New Roman"/>
          <w:sz w:val="22"/>
          <w:szCs w:val="22"/>
        </w:rPr>
      </w:pPr>
    </w:p>
    <w:p w14:paraId="0F2E611A" w14:textId="77777777" w:rsidR="00892A33" w:rsidRPr="00892A33" w:rsidRDefault="00892A33" w:rsidP="00892A33">
      <w:pPr>
        <w:spacing w:after="160" w:line="259" w:lineRule="auto"/>
        <w:rPr>
          <w:rFonts w:ascii="Calibri" w:eastAsia="Calibri" w:hAnsi="Calibri" w:cs="Times New Roman"/>
          <w:sz w:val="22"/>
          <w:szCs w:val="22"/>
        </w:rPr>
      </w:pPr>
    </w:p>
    <w:p w14:paraId="014FE656" w14:textId="77777777" w:rsidR="00892A33" w:rsidRPr="00892A33" w:rsidRDefault="00892A33" w:rsidP="00892A33">
      <w:pPr>
        <w:spacing w:after="160" w:line="259" w:lineRule="auto"/>
        <w:rPr>
          <w:rFonts w:ascii="Calibri" w:eastAsia="Calibri" w:hAnsi="Calibri" w:cs="Times New Roman"/>
          <w:sz w:val="22"/>
          <w:szCs w:val="22"/>
        </w:rPr>
      </w:pPr>
    </w:p>
    <w:p w14:paraId="71441415" w14:textId="77777777" w:rsidR="00892A33" w:rsidRPr="00892A33" w:rsidRDefault="00892A33" w:rsidP="00892A33">
      <w:pPr>
        <w:spacing w:after="160" w:line="259" w:lineRule="auto"/>
        <w:rPr>
          <w:rFonts w:ascii="Calibri" w:eastAsia="Calibri" w:hAnsi="Calibri" w:cs="Times New Roman"/>
          <w:sz w:val="22"/>
          <w:szCs w:val="22"/>
        </w:rPr>
      </w:pPr>
    </w:p>
    <w:p w14:paraId="5BC3553A" w14:textId="77777777" w:rsidR="00892A33" w:rsidRPr="00892A33" w:rsidRDefault="00892A33" w:rsidP="00892A33">
      <w:pPr>
        <w:spacing w:after="160" w:line="259" w:lineRule="auto"/>
        <w:rPr>
          <w:rFonts w:ascii="Calibri" w:eastAsia="Calibri" w:hAnsi="Calibri" w:cs="Times New Roman"/>
          <w:sz w:val="22"/>
          <w:szCs w:val="22"/>
        </w:rPr>
      </w:pPr>
    </w:p>
    <w:p w14:paraId="6FA97127" w14:textId="77777777" w:rsidR="00892A33" w:rsidRPr="00892A33" w:rsidRDefault="00892A33" w:rsidP="00755272">
      <w:pPr>
        <w:pStyle w:val="Heading1"/>
      </w:pPr>
      <w:r w:rsidRPr="00892A33">
        <w:t>eFigure 6. Sensitivity analyses only including smoking-matched samples</w:t>
      </w:r>
    </w:p>
    <w:p w14:paraId="5266D243"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Calibri" w:eastAsia="Calibri" w:hAnsi="Calibri" w:cs="Times New Roman"/>
          <w:noProof/>
          <w:sz w:val="22"/>
          <w:szCs w:val="22"/>
          <w:lang w:eastAsia="en-GB"/>
        </w:rPr>
        <w:drawing>
          <wp:inline distT="0" distB="0" distL="0" distR="0" wp14:anchorId="4995D085" wp14:editId="0D53BBDD">
            <wp:extent cx="9777730" cy="3088005"/>
            <wp:effectExtent l="0" t="0" r="0" b="0"/>
            <wp:docPr id="12" name="Imagem 12" descr="P328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P3280#yIS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4D9D4029" w14:textId="77777777" w:rsidR="00892A33" w:rsidRPr="00892A33" w:rsidRDefault="00892A33" w:rsidP="00892A33">
      <w:pPr>
        <w:spacing w:after="160" w:line="259" w:lineRule="auto"/>
        <w:rPr>
          <w:rFonts w:ascii="Calibri" w:eastAsia="Calibri" w:hAnsi="Calibri" w:cs="Times New Roman"/>
          <w:sz w:val="22"/>
          <w:szCs w:val="22"/>
        </w:rPr>
      </w:pPr>
    </w:p>
    <w:p w14:paraId="24B34D59" w14:textId="77777777" w:rsidR="00892A33" w:rsidRPr="00892A33" w:rsidRDefault="00892A33" w:rsidP="00892A33">
      <w:pPr>
        <w:spacing w:after="160" w:line="259" w:lineRule="auto"/>
        <w:rPr>
          <w:rFonts w:ascii="Calibri" w:eastAsia="Calibri" w:hAnsi="Calibri" w:cs="Times New Roman"/>
          <w:b/>
          <w:bCs/>
          <w:sz w:val="22"/>
          <w:szCs w:val="22"/>
        </w:rPr>
      </w:pPr>
    </w:p>
    <w:p w14:paraId="0DAB0AC1" w14:textId="77777777" w:rsidR="00892A33" w:rsidRPr="00892A33" w:rsidRDefault="00892A33" w:rsidP="00892A33">
      <w:pPr>
        <w:spacing w:after="160" w:line="259" w:lineRule="auto"/>
        <w:rPr>
          <w:rFonts w:ascii="Calibri" w:eastAsia="Calibri" w:hAnsi="Calibri" w:cs="Times New Roman"/>
          <w:b/>
          <w:bCs/>
          <w:sz w:val="22"/>
          <w:szCs w:val="22"/>
        </w:rPr>
      </w:pPr>
    </w:p>
    <w:p w14:paraId="75C84329" w14:textId="77777777" w:rsidR="00892A33" w:rsidRPr="00892A33" w:rsidRDefault="00892A33" w:rsidP="00892A33">
      <w:pPr>
        <w:spacing w:after="160" w:line="259" w:lineRule="auto"/>
        <w:rPr>
          <w:rFonts w:ascii="Calibri" w:eastAsia="Calibri" w:hAnsi="Calibri" w:cs="Times New Roman"/>
          <w:b/>
          <w:bCs/>
          <w:sz w:val="22"/>
          <w:szCs w:val="22"/>
        </w:rPr>
      </w:pPr>
    </w:p>
    <w:p w14:paraId="1EC56CD0" w14:textId="77777777" w:rsidR="00892A33" w:rsidRPr="00892A33" w:rsidRDefault="00892A33" w:rsidP="00892A33">
      <w:pPr>
        <w:spacing w:after="160" w:line="259" w:lineRule="auto"/>
        <w:rPr>
          <w:rFonts w:ascii="Calibri" w:eastAsia="Calibri" w:hAnsi="Calibri" w:cs="Times New Roman"/>
          <w:b/>
          <w:bCs/>
          <w:sz w:val="22"/>
          <w:szCs w:val="22"/>
        </w:rPr>
      </w:pPr>
    </w:p>
    <w:p w14:paraId="16EC3737" w14:textId="6DCBF5D7" w:rsidR="00892A33" w:rsidRDefault="00892A33" w:rsidP="00892A33">
      <w:pPr>
        <w:spacing w:after="160" w:line="259" w:lineRule="auto"/>
        <w:rPr>
          <w:rFonts w:ascii="Calibri" w:eastAsia="Calibri" w:hAnsi="Calibri" w:cs="Times New Roman"/>
          <w:b/>
          <w:bCs/>
          <w:sz w:val="22"/>
          <w:szCs w:val="22"/>
        </w:rPr>
      </w:pPr>
    </w:p>
    <w:p w14:paraId="44A33DBB" w14:textId="77777777" w:rsidR="00755272" w:rsidRPr="00892A33" w:rsidRDefault="00755272" w:rsidP="00892A33">
      <w:pPr>
        <w:spacing w:after="160" w:line="259" w:lineRule="auto"/>
        <w:rPr>
          <w:rFonts w:ascii="Calibri" w:eastAsia="Calibri" w:hAnsi="Calibri" w:cs="Times New Roman"/>
          <w:b/>
          <w:bCs/>
          <w:sz w:val="22"/>
          <w:szCs w:val="22"/>
        </w:rPr>
      </w:pPr>
    </w:p>
    <w:p w14:paraId="7F0EEFAD" w14:textId="77777777" w:rsidR="00892A33" w:rsidRPr="00892A33" w:rsidRDefault="00892A33" w:rsidP="00755272">
      <w:pPr>
        <w:pStyle w:val="Heading1"/>
      </w:pPr>
      <w:r w:rsidRPr="00892A33">
        <w:lastRenderedPageBreak/>
        <w:t>eFigure 7. Sensitivity analyses only including higher quality studies.</w:t>
      </w:r>
    </w:p>
    <w:p w14:paraId="7B0DB09D" w14:textId="77777777" w:rsidR="00892A33" w:rsidRPr="00892A33" w:rsidRDefault="00892A33" w:rsidP="00892A33">
      <w:pPr>
        <w:spacing w:after="160" w:line="259" w:lineRule="auto"/>
        <w:rPr>
          <w:rFonts w:ascii="Calibri" w:eastAsia="Calibri" w:hAnsi="Calibri" w:cs="Times New Roman"/>
          <w:b/>
          <w:bCs/>
          <w:sz w:val="22"/>
          <w:szCs w:val="22"/>
        </w:rPr>
      </w:pPr>
      <w:r w:rsidRPr="00892A33">
        <w:rPr>
          <w:rFonts w:ascii="Calibri" w:eastAsia="Calibri" w:hAnsi="Calibri" w:cs="Times New Roman"/>
          <w:noProof/>
          <w:sz w:val="22"/>
          <w:szCs w:val="22"/>
          <w:lang w:eastAsia="en-GB"/>
        </w:rPr>
        <w:drawing>
          <wp:inline distT="0" distB="0" distL="0" distR="0" wp14:anchorId="62A8618D" wp14:editId="79B858E2">
            <wp:extent cx="9777730" cy="3088005"/>
            <wp:effectExtent l="0" t="0" r="0" b="0"/>
            <wp:docPr id="13" name="Imagem 13" descr="P328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P3289#yIS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573D5F1C" w14:textId="77777777" w:rsidR="00892A33" w:rsidRPr="00892A33" w:rsidRDefault="00892A33" w:rsidP="00892A33">
      <w:pPr>
        <w:spacing w:after="160" w:line="259" w:lineRule="auto"/>
        <w:rPr>
          <w:rFonts w:ascii="Calibri" w:eastAsia="Calibri" w:hAnsi="Calibri" w:cs="Times New Roman"/>
          <w:b/>
          <w:bCs/>
          <w:sz w:val="22"/>
          <w:szCs w:val="22"/>
        </w:rPr>
      </w:pPr>
    </w:p>
    <w:p w14:paraId="68769A8C" w14:textId="77777777" w:rsidR="00892A33" w:rsidRPr="00892A33" w:rsidRDefault="00892A33" w:rsidP="00892A33">
      <w:pPr>
        <w:spacing w:after="160" w:line="259" w:lineRule="auto"/>
        <w:rPr>
          <w:rFonts w:ascii="Calibri" w:eastAsia="Calibri" w:hAnsi="Calibri" w:cs="Times New Roman"/>
          <w:b/>
          <w:bCs/>
          <w:sz w:val="22"/>
          <w:szCs w:val="22"/>
        </w:rPr>
      </w:pPr>
    </w:p>
    <w:p w14:paraId="2913E3D9" w14:textId="77777777" w:rsidR="00892A33" w:rsidRPr="00892A33" w:rsidRDefault="00892A33" w:rsidP="00892A33">
      <w:pPr>
        <w:spacing w:after="160" w:line="259" w:lineRule="auto"/>
        <w:rPr>
          <w:rFonts w:ascii="Calibri" w:eastAsia="Calibri" w:hAnsi="Calibri" w:cs="Times New Roman"/>
          <w:b/>
          <w:bCs/>
          <w:sz w:val="22"/>
          <w:szCs w:val="22"/>
        </w:rPr>
      </w:pPr>
    </w:p>
    <w:p w14:paraId="7B18C063" w14:textId="77777777" w:rsidR="00892A33" w:rsidRPr="00892A33" w:rsidRDefault="00892A33" w:rsidP="00892A33">
      <w:pPr>
        <w:spacing w:after="160" w:line="259" w:lineRule="auto"/>
        <w:rPr>
          <w:rFonts w:ascii="Calibri" w:eastAsia="Calibri" w:hAnsi="Calibri" w:cs="Times New Roman"/>
          <w:b/>
          <w:bCs/>
          <w:sz w:val="22"/>
          <w:szCs w:val="22"/>
        </w:rPr>
      </w:pPr>
    </w:p>
    <w:p w14:paraId="7F999DE2" w14:textId="77777777" w:rsidR="00892A33" w:rsidRPr="00892A33" w:rsidRDefault="00892A33" w:rsidP="00892A33">
      <w:pPr>
        <w:spacing w:after="160" w:line="259" w:lineRule="auto"/>
        <w:rPr>
          <w:rFonts w:ascii="Calibri" w:eastAsia="Calibri" w:hAnsi="Calibri" w:cs="Times New Roman"/>
          <w:b/>
          <w:bCs/>
          <w:sz w:val="22"/>
          <w:szCs w:val="22"/>
        </w:rPr>
      </w:pPr>
    </w:p>
    <w:p w14:paraId="434AD41F" w14:textId="77777777" w:rsidR="00892A33" w:rsidRPr="00892A33" w:rsidRDefault="00892A33" w:rsidP="00892A33">
      <w:pPr>
        <w:spacing w:after="160" w:line="259" w:lineRule="auto"/>
        <w:rPr>
          <w:rFonts w:ascii="Calibri" w:eastAsia="Calibri" w:hAnsi="Calibri" w:cs="Times New Roman"/>
          <w:b/>
          <w:bCs/>
          <w:sz w:val="22"/>
          <w:szCs w:val="22"/>
        </w:rPr>
      </w:pPr>
    </w:p>
    <w:p w14:paraId="28B88E31" w14:textId="77777777" w:rsidR="00892A33" w:rsidRPr="00892A33" w:rsidRDefault="00892A33" w:rsidP="00892A33">
      <w:pPr>
        <w:spacing w:after="160" w:line="259" w:lineRule="auto"/>
        <w:rPr>
          <w:rFonts w:ascii="Calibri" w:eastAsia="Calibri" w:hAnsi="Calibri" w:cs="Times New Roman"/>
          <w:b/>
          <w:bCs/>
          <w:sz w:val="22"/>
          <w:szCs w:val="22"/>
        </w:rPr>
      </w:pPr>
    </w:p>
    <w:p w14:paraId="4B33BAFA" w14:textId="77777777" w:rsidR="00892A33" w:rsidRPr="00892A33" w:rsidRDefault="00892A33" w:rsidP="00892A33">
      <w:pPr>
        <w:spacing w:after="160" w:line="259" w:lineRule="auto"/>
        <w:rPr>
          <w:rFonts w:ascii="Calibri" w:eastAsia="Calibri" w:hAnsi="Calibri" w:cs="Times New Roman"/>
          <w:b/>
          <w:bCs/>
          <w:sz w:val="22"/>
          <w:szCs w:val="22"/>
        </w:rPr>
      </w:pPr>
    </w:p>
    <w:p w14:paraId="1A98E61C" w14:textId="77777777" w:rsidR="00892A33" w:rsidRPr="00892A33" w:rsidRDefault="00892A33" w:rsidP="00892A33">
      <w:pPr>
        <w:spacing w:after="160" w:line="259" w:lineRule="auto"/>
        <w:rPr>
          <w:rFonts w:ascii="Calibri" w:eastAsia="Calibri" w:hAnsi="Calibri" w:cs="Times New Roman"/>
          <w:b/>
          <w:bCs/>
          <w:sz w:val="22"/>
          <w:szCs w:val="22"/>
        </w:rPr>
      </w:pPr>
    </w:p>
    <w:p w14:paraId="76C0791D" w14:textId="77777777" w:rsidR="00892A33" w:rsidRPr="00892A33" w:rsidRDefault="00892A33" w:rsidP="00755272">
      <w:pPr>
        <w:pStyle w:val="Heading1"/>
      </w:pPr>
      <w:r w:rsidRPr="00892A33">
        <w:lastRenderedPageBreak/>
        <w:t>eFigure 8. Sensitivity analyses of CVR only including untreated samples</w:t>
      </w:r>
    </w:p>
    <w:p w14:paraId="50F34F89" w14:textId="77777777" w:rsidR="00892A33" w:rsidRPr="00892A33" w:rsidRDefault="00892A33" w:rsidP="00892A33">
      <w:pPr>
        <w:spacing w:after="160" w:line="259" w:lineRule="auto"/>
        <w:rPr>
          <w:rFonts w:ascii="Calibri" w:eastAsia="Calibri" w:hAnsi="Calibri" w:cs="Times New Roman"/>
          <w:b/>
          <w:bCs/>
          <w:sz w:val="22"/>
          <w:szCs w:val="22"/>
        </w:rPr>
      </w:pPr>
      <w:r w:rsidRPr="00892A33">
        <w:rPr>
          <w:rFonts w:ascii="Calibri" w:eastAsia="Calibri" w:hAnsi="Calibri" w:cs="Times New Roman"/>
          <w:noProof/>
          <w:sz w:val="22"/>
          <w:szCs w:val="22"/>
          <w:lang w:eastAsia="en-GB"/>
        </w:rPr>
        <w:drawing>
          <wp:inline distT="0" distB="0" distL="0" distR="0" wp14:anchorId="26B9CCA4" wp14:editId="5315700F">
            <wp:extent cx="9777730" cy="3088005"/>
            <wp:effectExtent l="0" t="0" r="0" b="0"/>
            <wp:docPr id="14" name="Imagem 14" descr="P330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m 14" descr="P3300#yIS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213F1A4E" w14:textId="77777777" w:rsidR="00892A33" w:rsidRPr="00892A33" w:rsidRDefault="00892A33" w:rsidP="00892A33">
      <w:pPr>
        <w:spacing w:after="160" w:line="259" w:lineRule="auto"/>
        <w:rPr>
          <w:rFonts w:ascii="Calibri" w:eastAsia="Calibri" w:hAnsi="Calibri" w:cs="Times New Roman"/>
          <w:sz w:val="22"/>
          <w:szCs w:val="22"/>
        </w:rPr>
      </w:pPr>
    </w:p>
    <w:p w14:paraId="0CE0EC85" w14:textId="77777777" w:rsidR="00892A33" w:rsidRPr="00892A33" w:rsidRDefault="00892A33" w:rsidP="00892A33">
      <w:pPr>
        <w:spacing w:after="160" w:line="259" w:lineRule="auto"/>
        <w:rPr>
          <w:rFonts w:ascii="Calibri" w:eastAsia="Calibri" w:hAnsi="Calibri" w:cs="Times New Roman"/>
          <w:sz w:val="22"/>
          <w:szCs w:val="22"/>
        </w:rPr>
      </w:pPr>
    </w:p>
    <w:p w14:paraId="2BDE570D" w14:textId="77777777" w:rsidR="00892A33" w:rsidRPr="00892A33" w:rsidRDefault="00892A33" w:rsidP="00892A33">
      <w:pPr>
        <w:spacing w:after="160" w:line="259" w:lineRule="auto"/>
        <w:rPr>
          <w:rFonts w:ascii="Calibri" w:eastAsia="Calibri" w:hAnsi="Calibri" w:cs="Times New Roman"/>
          <w:sz w:val="22"/>
          <w:szCs w:val="22"/>
        </w:rPr>
      </w:pPr>
    </w:p>
    <w:p w14:paraId="0BBE5210" w14:textId="77777777" w:rsidR="00892A33" w:rsidRPr="00892A33" w:rsidRDefault="00892A33" w:rsidP="00892A33">
      <w:pPr>
        <w:spacing w:after="160" w:line="259" w:lineRule="auto"/>
        <w:rPr>
          <w:rFonts w:ascii="Calibri" w:eastAsia="Calibri" w:hAnsi="Calibri" w:cs="Times New Roman"/>
          <w:sz w:val="22"/>
          <w:szCs w:val="22"/>
        </w:rPr>
      </w:pPr>
    </w:p>
    <w:p w14:paraId="1F5ED61A" w14:textId="77777777" w:rsidR="00892A33" w:rsidRPr="00892A33" w:rsidRDefault="00892A33" w:rsidP="00892A33">
      <w:pPr>
        <w:spacing w:after="160" w:line="259" w:lineRule="auto"/>
        <w:rPr>
          <w:rFonts w:ascii="Calibri" w:eastAsia="Calibri" w:hAnsi="Calibri" w:cs="Times New Roman"/>
          <w:sz w:val="22"/>
          <w:szCs w:val="22"/>
        </w:rPr>
      </w:pPr>
    </w:p>
    <w:p w14:paraId="14487652" w14:textId="77777777" w:rsidR="00892A33" w:rsidRPr="00892A33" w:rsidRDefault="00892A33" w:rsidP="00892A33">
      <w:pPr>
        <w:spacing w:after="160" w:line="259" w:lineRule="auto"/>
        <w:rPr>
          <w:rFonts w:ascii="Calibri" w:eastAsia="Calibri" w:hAnsi="Calibri" w:cs="Times New Roman"/>
          <w:sz w:val="22"/>
          <w:szCs w:val="22"/>
        </w:rPr>
      </w:pPr>
    </w:p>
    <w:p w14:paraId="3AEFD738" w14:textId="77777777" w:rsidR="00892A33" w:rsidRPr="00892A33" w:rsidRDefault="00892A33" w:rsidP="00892A33">
      <w:pPr>
        <w:spacing w:after="160" w:line="259" w:lineRule="auto"/>
        <w:rPr>
          <w:rFonts w:ascii="Calibri" w:eastAsia="Calibri" w:hAnsi="Calibri" w:cs="Times New Roman"/>
          <w:sz w:val="22"/>
          <w:szCs w:val="22"/>
        </w:rPr>
      </w:pPr>
    </w:p>
    <w:p w14:paraId="1E20585C" w14:textId="77777777" w:rsidR="00892A33" w:rsidRPr="00892A33" w:rsidRDefault="00892A33" w:rsidP="00892A33">
      <w:pPr>
        <w:spacing w:after="160" w:line="259" w:lineRule="auto"/>
        <w:rPr>
          <w:rFonts w:ascii="Calibri" w:eastAsia="Calibri" w:hAnsi="Calibri" w:cs="Times New Roman"/>
          <w:sz w:val="22"/>
          <w:szCs w:val="22"/>
        </w:rPr>
      </w:pPr>
    </w:p>
    <w:p w14:paraId="59EA932B" w14:textId="77777777" w:rsidR="00892A33" w:rsidRPr="00892A33" w:rsidRDefault="00892A33" w:rsidP="00892A33">
      <w:pPr>
        <w:spacing w:after="160" w:line="259" w:lineRule="auto"/>
        <w:rPr>
          <w:rFonts w:ascii="Calibri" w:eastAsia="Calibri" w:hAnsi="Calibri" w:cs="Times New Roman"/>
          <w:sz w:val="22"/>
          <w:szCs w:val="22"/>
        </w:rPr>
      </w:pPr>
    </w:p>
    <w:p w14:paraId="171CB8FB" w14:textId="77777777" w:rsidR="00892A33" w:rsidRPr="00892A33" w:rsidRDefault="00892A33" w:rsidP="00892A33">
      <w:pPr>
        <w:spacing w:after="160" w:line="259" w:lineRule="auto"/>
        <w:rPr>
          <w:rFonts w:ascii="Calibri" w:eastAsia="Calibri" w:hAnsi="Calibri" w:cs="Times New Roman"/>
          <w:sz w:val="22"/>
          <w:szCs w:val="22"/>
        </w:rPr>
      </w:pPr>
    </w:p>
    <w:p w14:paraId="43F13F4A" w14:textId="77777777" w:rsidR="00892A33" w:rsidRPr="00892A33" w:rsidRDefault="00892A33" w:rsidP="00755272">
      <w:pPr>
        <w:pStyle w:val="Heading1"/>
      </w:pPr>
      <w:r w:rsidRPr="00892A33">
        <w:t>eFigure 9. Variability ratios of inflammatory markers in bipolar disorders in healthy controls</w:t>
      </w:r>
    </w:p>
    <w:p w14:paraId="1915C603" w14:textId="77777777" w:rsidR="00892A33" w:rsidRPr="00892A33" w:rsidRDefault="00892A33" w:rsidP="00892A33">
      <w:pPr>
        <w:spacing w:after="160" w:line="259" w:lineRule="auto"/>
        <w:rPr>
          <w:rFonts w:ascii="Calibri" w:eastAsia="Calibri" w:hAnsi="Calibri" w:cs="Times New Roman"/>
          <w:sz w:val="22"/>
          <w:szCs w:val="22"/>
        </w:rPr>
      </w:pPr>
      <w:r w:rsidRPr="00892A33">
        <w:rPr>
          <w:rFonts w:ascii="Calibri" w:eastAsia="Calibri" w:hAnsi="Calibri" w:cs="Times New Roman"/>
          <w:noProof/>
          <w:sz w:val="22"/>
          <w:szCs w:val="22"/>
          <w:lang w:eastAsia="en-GB"/>
        </w:rPr>
        <w:drawing>
          <wp:inline distT="0" distB="0" distL="0" distR="0" wp14:anchorId="4B38B860" wp14:editId="5C53E92F">
            <wp:extent cx="9777730" cy="3088005"/>
            <wp:effectExtent l="0" t="0" r="0" b="0"/>
            <wp:docPr id="15" name="Imagem 15" descr="P331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descr="P3312#yIS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777730" cy="3088005"/>
                    </a:xfrm>
                    <a:prstGeom prst="rect">
                      <a:avLst/>
                    </a:prstGeom>
                    <a:noFill/>
                    <a:ln>
                      <a:noFill/>
                    </a:ln>
                  </pic:spPr>
                </pic:pic>
              </a:graphicData>
            </a:graphic>
          </wp:inline>
        </w:drawing>
      </w:r>
    </w:p>
    <w:p w14:paraId="735A298B" w14:textId="77777777" w:rsidR="00892A33" w:rsidRPr="00892A33" w:rsidRDefault="00892A33" w:rsidP="00892A33">
      <w:pPr>
        <w:spacing w:after="160" w:line="259" w:lineRule="auto"/>
        <w:rPr>
          <w:rFonts w:ascii="Calibri" w:eastAsia="Calibri" w:hAnsi="Calibri" w:cs="Times New Roman"/>
          <w:sz w:val="22"/>
          <w:szCs w:val="22"/>
        </w:rPr>
        <w:sectPr w:rsidR="00892A33" w:rsidRPr="00892A33" w:rsidSect="006F534D">
          <w:pgSz w:w="16838" w:h="11906" w:orient="landscape"/>
          <w:pgMar w:top="720" w:right="720" w:bottom="720" w:left="720" w:header="708" w:footer="708" w:gutter="0"/>
          <w:cols w:space="708"/>
          <w:docGrid w:linePitch="360"/>
        </w:sectPr>
      </w:pPr>
    </w:p>
    <w:p w14:paraId="64F8AC22" w14:textId="77777777" w:rsidR="00892A33" w:rsidRPr="00892A33" w:rsidRDefault="00892A33" w:rsidP="00755272">
      <w:pPr>
        <w:pStyle w:val="Heading1"/>
      </w:pPr>
      <w:r w:rsidRPr="00892A33">
        <w:lastRenderedPageBreak/>
        <w:t>References</w:t>
      </w:r>
    </w:p>
    <w:p w14:paraId="32F0914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Times New Roman"/>
          <w:sz w:val="22"/>
          <w:szCs w:val="22"/>
        </w:rPr>
        <w:fldChar w:fldCharType="begin" w:fldLock="1"/>
      </w:r>
      <w:r w:rsidRPr="00892A33">
        <w:rPr>
          <w:rFonts w:ascii="Calibri" w:eastAsia="Calibri" w:hAnsi="Calibri" w:cs="Times New Roman"/>
          <w:sz w:val="22"/>
          <w:szCs w:val="22"/>
        </w:rPr>
        <w:instrText xml:space="preserve">ADDIN Mendeley Bibliography CSL_BIBLIOGRAPHY </w:instrText>
      </w:r>
      <w:r w:rsidRPr="00892A33">
        <w:rPr>
          <w:rFonts w:ascii="Calibri" w:eastAsia="Calibri" w:hAnsi="Calibri" w:cs="Times New Roman"/>
          <w:sz w:val="22"/>
          <w:szCs w:val="22"/>
        </w:rPr>
        <w:fldChar w:fldCharType="separate"/>
      </w:r>
      <w:r w:rsidRPr="00892A33">
        <w:rPr>
          <w:rFonts w:ascii="Calibri" w:eastAsia="Calibri" w:hAnsi="Calibri" w:cs="Calibri"/>
          <w:noProof/>
          <w:sz w:val="22"/>
        </w:rPr>
        <w:t>Aas, M., Dieset, I., Hope, S., Hoseth, E., Mørch, R., Reponen, E., Steen, N.E., Laskemoen, J.F., Ueland, T., Aukrust, P., Agartz, I., Andreassen, O.A., Melle, I., 2017. Childhood maltreatment severity is associated with elevated C-reactive protein and body mass index in adults with schizophrenia and bipolar diagnoses. Brain. Behav. Immun. 65, 342–349. https://doi.org/https://doi.org/10.1016/j.bbi.2017.06.005</w:t>
      </w:r>
    </w:p>
    <w:p w14:paraId="520162F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rPr>
        <w:t xml:space="preserve">Aas, M., Vecchio, C., Pauls, A., Mehta, M., Williams, S., Hazelgrove, K., Biaggi, A., Pawlby, S., Conroy, S., Seneviratne, G., Mondelli, V., Pariante, C.M., Dazzan, P., 2020. Biological stress response in women at risk of postpartum psychosis: The role of life events and inflammation. </w:t>
      </w:r>
      <w:r w:rsidRPr="00892A33">
        <w:rPr>
          <w:rFonts w:ascii="Calibri" w:eastAsia="Calibri" w:hAnsi="Calibri" w:cs="Calibri"/>
          <w:noProof/>
          <w:sz w:val="22"/>
          <w:lang w:val="it-IT"/>
        </w:rPr>
        <w:t>Psychoneuroendocrinology 113, 104558. https://doi.org/10.1016/j.psyneuen.2019.104558</w:t>
      </w:r>
    </w:p>
    <w:p w14:paraId="1A3DD32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it-IT"/>
        </w:rPr>
        <w:t xml:space="preserve">Aguglia, A., Solano, P., Giacomini, G., Caprino, M., Conigliaro, C., Romano, M., Aguglia, E., Serafini, G., Amore, M., 2019. </w:t>
      </w:r>
      <w:r w:rsidRPr="00892A33">
        <w:rPr>
          <w:rFonts w:ascii="Calibri" w:eastAsia="Calibri" w:hAnsi="Calibri" w:cs="Calibri"/>
          <w:noProof/>
          <w:sz w:val="22"/>
        </w:rPr>
        <w:t>The Association Between Dyslipidemia and Lethality of Suicide Attempts: A Case-Control Study. Front. Psychiatry 10. https://doi.org/10.3389/fpsyt.2019.00070</w:t>
      </w:r>
    </w:p>
    <w:p w14:paraId="50DB497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Ascoli, B.M., Parisi, M.M., Bristot, G., Antqueviezc, B., Géa, L.P., Colombo, R., Kapczinski, F., Guma, F.T.C.R., Brietzke, E., Barbé-Tuana, F.M., Rosa, A.R., 2019. Attenuated inflammatory response of monocyte-derived macrophage from patients with BD: a preliminary report. Int. J. Bipolar Disord. 7, 13. https://doi.org/10.1186/s40345-019-0148-x</w:t>
      </w:r>
    </w:p>
    <w:p w14:paraId="079DB46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rPr>
        <w:t xml:space="preserve">Bai, Y.-M., Chen, M.-H., Hsu, J.-W., Huang, K.-L., Tu, P.-C., Chang, W.-C., Su, T.-P., Li, C.T., Lin, W.-C., Tsai, S.-J., 2020. A comparison study of metabolic profiles, immunity, and brain gray matter volumes between patients with bipolar disorder and depressive disorder. </w:t>
      </w:r>
      <w:r w:rsidRPr="00892A33">
        <w:rPr>
          <w:rFonts w:ascii="Calibri" w:eastAsia="Calibri" w:hAnsi="Calibri" w:cs="Calibri"/>
          <w:noProof/>
          <w:sz w:val="22"/>
          <w:lang w:val="it-IT"/>
        </w:rPr>
        <w:t>J. Neuroinflammation 17, 42. https://doi.org/10.1186/s12974-020-1724-9</w:t>
      </w:r>
    </w:p>
    <w:p w14:paraId="481E449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it-IT"/>
        </w:rPr>
        <w:t xml:space="preserve">Bai, Y.-M., Su, T.-P., Li, C.-T., Tsai, S.-J., Chen, M.-H., Tu, P.-C., Chiou, W.-F., 2015. </w:t>
      </w:r>
      <w:r w:rsidRPr="00892A33">
        <w:rPr>
          <w:rFonts w:ascii="Calibri" w:eastAsia="Calibri" w:hAnsi="Calibri" w:cs="Calibri"/>
          <w:noProof/>
          <w:sz w:val="22"/>
        </w:rPr>
        <w:t>Comparison of pro-inflammatory cytokines among patients with bipolar disorder and unipolar depression and normal controls. Bipolar Disord. 17, 269–277. https://doi.org/https://doi.org/10.1111/bdi.12259</w:t>
      </w:r>
    </w:p>
    <w:p w14:paraId="4C39E35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Barbosa, I.G., Huguet, R.B., Mendonça, V.A., Sousa, L.P., Neves, F.S., Bauer, M.E., Teixeira, A.L., 2011. Increased plasma levels of soluble TNF receptor i in patients with bipolar disorder. Eur. Arch. Psychiatry Clin. Neurosci. https://doi.org/10.1007/s00406-010-0116-z</w:t>
      </w:r>
    </w:p>
    <w:p w14:paraId="63D2767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Barbosa, I.G., Nogueira, C.R.C., Rocha, N.P., Queiroz, A.L.L., Vago, J.P., Tavares, L.P., Assis, F., Fagundes, C.T., Huguet, R.B., Bauer, M.E., Teixeira, A.L., de Sousa, L.P., 2013. Altered intracellular signaling cascades in peripheral blood mononuclear cells from BD patients. J. Psychiatr. Res. 47, 1949–1954. https://doi.org/https://doi.org/10.1016/j.jpsychires.2013.08.019</w:t>
      </w:r>
    </w:p>
    <w:p w14:paraId="1C1682A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pt-BR"/>
        </w:rPr>
        <w:t xml:space="preserve">Barbosa, I.G., Rocha, N.P., Huguet, R.B., Ferreira, R.A., Salgado, J.V., Carvalho, L.A., Pariante, C.M., Teixeira, A.L., 2012a. </w:t>
      </w:r>
      <w:r w:rsidRPr="00892A33">
        <w:rPr>
          <w:rFonts w:ascii="Calibri" w:eastAsia="Calibri" w:hAnsi="Calibri" w:cs="Calibri"/>
          <w:noProof/>
          <w:sz w:val="22"/>
        </w:rPr>
        <w:t>Executive dysfunction in euthymic bipolar disorder patients and its association with plasma biomarkers. J. Affect. Disord. 137, 151–155. https://doi.org/10.1016/j.jad.2011.12.034</w:t>
      </w:r>
    </w:p>
    <w:p w14:paraId="269E091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Barbosa, I.G., Rocha, N.P., Miranda, A.S. de, Magalhães, P.V. da S., Huguet, R.B., Souza, L.P. de, Kapczinski, F., Teixeira, A.L., 2012b. Increased levels of adipokines in bipolar disorder. J. Psychiatr. Res. 46, 389–393. https://doi.org/https://doi.org/10.1016/j.jpsychires.2011.11.010</w:t>
      </w:r>
    </w:p>
    <w:p w14:paraId="17CFB6D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pt-BR"/>
        </w:rPr>
        <w:lastRenderedPageBreak/>
        <w:t xml:space="preserve">Barbosa, I.G., Vaz, G.N., Rocha, N.P., Machado-Vieira, R., Ventura, M.R.D., Huguet, R.B., Bauer, M.E., Berk, M., Teixeira, A.L., 2017. </w:t>
      </w:r>
      <w:r w:rsidRPr="00892A33">
        <w:rPr>
          <w:rFonts w:ascii="Calibri" w:eastAsia="Calibri" w:hAnsi="Calibri" w:cs="Calibri"/>
          <w:noProof/>
          <w:sz w:val="22"/>
        </w:rPr>
        <w:t xml:space="preserve">Plasma Levels of Tumor Necrosis Factor Superfamily Molecules Are Increased in Bipolar Disorder. </w:t>
      </w:r>
      <w:r w:rsidRPr="00892A33">
        <w:rPr>
          <w:rFonts w:ascii="Calibri" w:eastAsia="Calibri" w:hAnsi="Calibri" w:cs="Calibri"/>
          <w:noProof/>
          <w:sz w:val="22"/>
          <w:lang w:val="it-IT"/>
        </w:rPr>
        <w:t>Clin. Psychopharmacol. Neurosci. 15, 269–275. https://doi.org/10.9758/cpn.2017.15.3.269</w:t>
      </w:r>
    </w:p>
    <w:p w14:paraId="16A4FBE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it-IT"/>
        </w:rPr>
        <w:t xml:space="preserve">Benedetti, F., Lucca, A., Brambilla, F., Colombo, C., Smeraldi, E., 2002. </w:t>
      </w:r>
      <w:r w:rsidRPr="00892A33">
        <w:rPr>
          <w:rFonts w:ascii="Calibri" w:eastAsia="Calibri" w:hAnsi="Calibri" w:cs="Calibri"/>
          <w:noProof/>
          <w:sz w:val="22"/>
        </w:rPr>
        <w:t>Interleukine-6 serum levels correlate with response to antidepressant sleep deprivation and sleep phase advance. Prog. Neuro-Psychopharmacology Biol. Psychiatry 26, 1167–1170. https://doi.org/10.1016/S0278-5846(02)00255-5</w:t>
      </w:r>
    </w:p>
    <w:p w14:paraId="52611C3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Benedetti, F., Poletti, S., Hoogenboezem, T.A., Locatelli, C., de Wit, H., Wijkhuijs, A.J.M., Colombo, C., Drexhage, H.A., 2017. Higher Baseline Proinflammatory Cytokines Mark Poor Antidepressant Response in Bipolar Disorder. J. Clin. Psychiatry 78, e986–e993. https://doi.org/10.4088/JCP.16m11310</w:t>
      </w:r>
    </w:p>
    <w:p w14:paraId="7285675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Bond, D.J., Andreazza, A.C., Hughes, J., Dhanoa, T., Torres, I.J., Kozicky, J.M., Young, L.T., Lam, R.W., Yatham, L.N., 2016. Association of peripheral inflammation with body mass index and depressive relapse in bipolar disorder. Psychoneuroendocrinology 65, 76–83. https://doi.org/10.1016/j.psyneuen.2015.12.012</w:t>
      </w:r>
    </w:p>
    <w:p w14:paraId="02DB49C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Boufidou, F., Nikolaou, C., Alevizos, B., Liappas, I.A., Christodoulou, G.N., 2004. Cytokine production in bipolar affective disorder patients under lithium treatment. J. Affect. Disord. 82, 309–313. https://doi.org/https://doi.org/10.1016/j.jad.2004.01.007</w:t>
      </w:r>
    </w:p>
    <w:p w14:paraId="31A94B67"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pt-BR"/>
        </w:rPr>
        <w:t xml:space="preserve">Brietzke, E., Stertz, L., Fernandes, B.S., Kauer-Sant’Anna, M., Mascarenhas, M., Escosteguy Vargas, A., Chies, J.A., Kapczinski, F., 2009. </w:t>
      </w:r>
      <w:r w:rsidRPr="00892A33">
        <w:rPr>
          <w:rFonts w:ascii="Calibri" w:eastAsia="Calibri" w:hAnsi="Calibri" w:cs="Calibri"/>
          <w:noProof/>
          <w:sz w:val="22"/>
        </w:rPr>
        <w:t>Comparison of cytokine levels in depressed, manic and euthymic patients with bipolar disorder. J. Affect. Disord. 116, 214–217. https://doi.org/https://doi.org/10.1016/j.jad.2008.12.001</w:t>
      </w:r>
    </w:p>
    <w:p w14:paraId="46BE838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pt-BR"/>
        </w:rPr>
        <w:t xml:space="preserve">Brietzke, E., Teixeira, A.L., 2010. </w:t>
      </w:r>
      <w:r w:rsidRPr="00892A33">
        <w:rPr>
          <w:rFonts w:ascii="Calibri" w:eastAsia="Calibri" w:hAnsi="Calibri" w:cs="Calibri"/>
          <w:noProof/>
          <w:sz w:val="22"/>
        </w:rPr>
        <w:t>Similar immune profile in bipolar disorder and schizophrenia: selective increase in soluble tumor necrosis factor receptor I and von Willebrand factor. Bipolar Disord. 12, 453–454. https://doi.org/10.1111/j.1399-5618.2010.00822.x</w:t>
      </w:r>
    </w:p>
    <w:p w14:paraId="15C91CC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Brunoni, A.R., Supasitthumrong, T., Teixeira, A.L., Vieira, E.L., Gattaz, W.F., Benseñor, I.M., Lotufo, P.A., Lafer, B., Berk, M., Carvalho, A.F., Maes, M., 2020. Differences in the immune-inflammatory profiles of unipolar and bipolar depression. J. Affect. Disord. 262, 8–15. https://doi.org/10.1016/j.jad.2019.10.037</w:t>
      </w:r>
    </w:p>
    <w:p w14:paraId="5F62ABE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Chakrabarty, T., Torres, I.J., Bond, D.J., Yatham, L.N., 2019. Inflammatory cytokines and cognitive functioning in early-stage bipolar I disorder. J. Affect. Disord. 245, 679–685. https://doi.org/https://doi.org/10.1016/j.jad.2018.11.018</w:t>
      </w:r>
    </w:p>
    <w:p w14:paraId="6768B48C"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Chandra, P., 2014. Prospects and advancements in C-reactive protein detection. World J. Methodol. 4, 1. https://doi.org/10.5662/wjm.v4.i1.1</w:t>
      </w:r>
    </w:p>
    <w:p w14:paraId="36E3489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Chang, H.H., Wang, T.-Y., Lee, I.H., Lee, S.-Y., Chen, K.C., Huang, S.-Y., Yang, Y.K., Lu, R.-B., Chen, P.S., 2017. C-reactive protein: A differential biomarker for major depressive disorder and bipolar II disorder. World J. Biol. Psychiatry 18, 63–70. https://doi.org/10.3109/15622975.2016.1155746</w:t>
      </w:r>
    </w:p>
    <w:p w14:paraId="4864614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lastRenderedPageBreak/>
        <w:t>Chen, M.-H., Chang, W.-C., Hsu, J.-W., Huang, K.-L., Tu, P.-C., Su, T.-P., Li, C.-T., Lin, W.-C., Bai, Y.-M., 2019. Correlation of proinflammatory cytokines levels and reduced gray matter volumes between patients with bipolar disorder and unipolar depression. J. Affect. Disord. 245, 8–15. https://doi.org/10.1016/j.jad.2018.10.106</w:t>
      </w:r>
    </w:p>
    <w:p w14:paraId="4DF4E93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Chung, K.-H., Huang, S.-H., Wu, J.-Y., Chen, P.-H., Hsu, J.-L., Tsai, S.-Y., 2013. The Link between High-Sensitivity C-Reactive Protein and Orbitofrontal Cortex in Euthymic Bipolar Disorder. Neuropsychobiology 68, 168–173. https://doi.org/10.1159/000353613</w:t>
      </w:r>
    </w:p>
    <w:p w14:paraId="47A49A1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Cingi Yirün, M., Yirün, O., Ünal, K., Yüksel, R.N., Altunsoy, N., Tatlidil Yaylaci, E., Aydemir, M.Ç., Göka, E., 2017. Serum TNF-related weak inducer of apoptosis (TWEAK) and TNF-related apoptosis-inducing ligand (TRAIL) levels of patients with bipolar disorder in manic episode, in remission and healthy controls. Psychiatry Res. 257, 338–345. https://doi.org/10.1016/j.psychres.2017.07.067</w:t>
      </w:r>
    </w:p>
    <w:p w14:paraId="10B7F81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Civil Arslan, F., Tiryaki, A., Özkorumak Karagüzel, E., Aral, G., Sarıoğlu, O.., İnce, İ., Çankaya, S., Alver, A., 2017. The Relationship of Interleukin-18 and Interleukin-6 Levels with Cognitive Functions in Bipolar Disorder. Turk Psikiyatr. Derg 28(2), 81–88.</w:t>
      </w:r>
    </w:p>
    <w:p w14:paraId="7CB44EE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Cunha, Â.B., Andreazza, A.C., Gomes, F.A., Frey, B.N., da Silveira, L.E., Gonçalves, C.A., Kapczinski, F., 2008. Investigation of serum high-sensitive C-reactive protein levels across all mood states in bipolar disorder. Eur. Arch. Psychiatry Clin. Neurosci. 258, 300–304. https://doi.org/10.1007/s00406-007-0797-0</w:t>
      </w:r>
    </w:p>
    <w:p w14:paraId="2C43227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da Silva, E.G., Pfaffenseller, B., Walz, J., Stertz, L., Fries, G., Rosa, A.R., Magalhães, P. V, 2017. Peripheral insulin-like growth factor 1 in bipolar disorder. Psychiatry Res. 250, 30–34. https://doi.org/https://doi.org/10.1016/j.psychres.2017.01.061</w:t>
      </w:r>
    </w:p>
    <w:p w14:paraId="268E44D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it-IT"/>
        </w:rPr>
        <w:t xml:space="preserve">De Berardis, D., Conti, C.M., Campanella, D., Carano, A., Scali, M., Valchera, A., Serroni, N., Pizzorno, A.M., D’Albenzio, A., Fulcheri, M., Gambi, F., La Rovere, R., Cotellessa, C., Salerno, R.M., Ferro, F.M., 2008. </w:t>
      </w:r>
      <w:r w:rsidRPr="00892A33">
        <w:rPr>
          <w:rFonts w:ascii="Calibri" w:eastAsia="Calibri" w:hAnsi="Calibri" w:cs="Calibri"/>
          <w:noProof/>
          <w:sz w:val="22"/>
        </w:rPr>
        <w:t>Evaluation of C-reactive protein and total serum cholesterol in adult patients with bipolar disorder. Int. J. Immunopathol. Pharmacol. 21, 319–324. https://doi.org/10.1177/039463200802100208</w:t>
      </w:r>
    </w:p>
    <w:p w14:paraId="3AF4A20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Dickerson, F., Adamos, M., Katsafanas, E., Khushalani, S., Origoni, A., Savage, C., Schweinfurth, L., Stallings, C., Sweeney, K., Alaedini, A., Uhde, M., Severance, E., Wilcox, H.C., Yolken, R., 2017. The association between immune markers and recent suicide attempts in patients with serious mental illness: A pilot study. Psychiatry Res. 255, 8–12. https://doi.org/10.1016/j.psychres.2017.05.005</w:t>
      </w:r>
    </w:p>
    <w:p w14:paraId="55F80AC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Dickerson, F., Stallings, C., Origoni, A., Boronow, J., Yolken, R., 2007. Elevated serum levels of C-reactive protein are associated with mania symptoms in outpatients with bipolar disorder. Prog. Neuro-Psychopharmacology Biol. Psychiatry 31, 952–955. https://doi.org/10.1016/j.pnpbp.2007.02.018</w:t>
      </w:r>
    </w:p>
    <w:p w14:paraId="27C17AC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Dickerson, F., Stallings, C., Origoni, A., Vaughan, C., Khushalani, S., Yolken, R., 2013. Elevated C-reactive protein and cognitive deficits in individuals with bipolar disorder. J. Affect. Disord. 150, 456–459. https://doi.org/10.1016/j.jad.2013.04.039</w:t>
      </w:r>
    </w:p>
    <w:p w14:paraId="448F4CD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 xml:space="preserve">do Prado, C.H., Rizzo, L.B., Wieck, A., Lopes, R.P., Teixeira, A.L., Grassi-Oliveira, R., Bauer, M.E., 2013. Reduced regulatory T cells are associated with higher levels of Th1/TH17 cytokines and activated MAPK in type 1 bipolar disorder. Psychoneuroendocrinology 38, 667–676. </w:t>
      </w:r>
      <w:r w:rsidRPr="00892A33">
        <w:rPr>
          <w:rFonts w:ascii="Calibri" w:eastAsia="Calibri" w:hAnsi="Calibri" w:cs="Calibri"/>
          <w:noProof/>
          <w:sz w:val="22"/>
        </w:rPr>
        <w:lastRenderedPageBreak/>
        <w:t>https://doi.org/10.1016/j.psyneuen.2012.08.005</w:t>
      </w:r>
    </w:p>
    <w:p w14:paraId="4884220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Doganavsargil-Baysal, O., Cinemre, B., Aksoy, U.M., Akbas, H., Metin, O., Fettahoglu, C., Gokmen, Z., Davran, F., 2013. Levels of TNF-</w:t>
      </w:r>
      <w:r w:rsidRPr="00892A33">
        <w:rPr>
          <w:rFonts w:ascii="Calibri" w:eastAsia="Calibri" w:hAnsi="Calibri" w:cs="Calibri"/>
          <w:noProof/>
          <w:sz w:val="22"/>
          <w:lang w:val="it-IT"/>
        </w:rPr>
        <w:t>α</w:t>
      </w:r>
      <w:r w:rsidRPr="00892A33">
        <w:rPr>
          <w:rFonts w:ascii="Calibri" w:eastAsia="Calibri" w:hAnsi="Calibri" w:cs="Calibri"/>
          <w:noProof/>
          <w:sz w:val="22"/>
        </w:rPr>
        <w:t>, soluble TNF receptors (sTNFR1, sTNFR2), and cognition in bipolar disorder. Hum. Psychopharmacol. Clin. Exp. 28, 160–167. https://doi.org/https://doi.org/10.1002/hup.2301</w:t>
      </w:r>
    </w:p>
    <w:p w14:paraId="1019864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Dolsen, M.R., Soehner, A.M., Harvey, A.G., 2018. Proinflammatory Cytokines, Mood, and Sleep in Interepisode Bipolar Disorder and Insomnia. Psychosom. Med. 80, 87–94. https://doi.org/10.1097/PSY.0000000000000529</w:t>
      </w:r>
    </w:p>
    <w:p w14:paraId="3E40828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Drexhage, R.C., Hoogenboezem, T.H., Versnel, M.A., Berghout, A., Nolen, W.A., Drexhage, H.A., 2011. The activation of monocyte and T cell networks in patients with bipolar disorder. Brain. Behav. Immun. 25, 1206–1213. https://doi.org/10.1016/j.bbi.2011.03.013</w:t>
      </w:r>
    </w:p>
    <w:p w14:paraId="4BDBFB6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Drexhage, R.C., Knijff, E.M., Padmos, R.C., Heul-Nieuwenhuijzen, L. van der, Beumer, W., Versnel, M.A., Drexhage, H.A., 2010. The mononuclear phagocyte system and its cytokine inflammatory networks in schizophrenia and bipolar disorder. Expert Rev. Neurother. 10, 59–76. https://doi.org/10.1586/ern.09.144</w:t>
      </w:r>
    </w:p>
    <w:p w14:paraId="5148D5D7"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Fiedorowicz, J.G., Prossin, A.R., Johnson, C.P., Christensen, G.E., Magnotta, V.A., Wemmie, J.A., 2015. Peripheral inflammation during abnormal mood states in bipolar I disorder. J. Affect. Disord. 187, 172–178. https://doi.org/10.1016/j.jad.2015.08.036</w:t>
      </w:r>
    </w:p>
    <w:p w14:paraId="72408C1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Ghafelehbashi, H., Pahlevan Kakhki, M., Kular, L., Moghbelinejad, S., Ghafelehbashi, S.H., 2017. Decreased Expression of IFNG-AS1 , IFNG and IL-1B Inflammatory Genes in Medicated Schizophrenia and Bipolar Patients. Scand. J. Immunol. 86, 479–485. https://doi.org/10.1111/sji.12620</w:t>
      </w:r>
    </w:p>
    <w:p w14:paraId="314C542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Ghafouri-Fard, S., Oskooei, V.K., Omrani, M.D., Taheri, M., 2019. Dysregulation of cytokine coding genes in peripheral blood of bipolar patients. J. Affect. Disord. 256, 578–583. https://doi.org/10.1016/j.jad.2019.06.028</w:t>
      </w:r>
    </w:p>
    <w:p w14:paraId="5844724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Glaus, J., von Känel, R., Lasserre, A.M., Strippoli, M.-P.F., Vandeleur, C.L., Castelao, E., Gholam-Rezaee, M., Marangoni, C., Wagner, E.-Y.N., Marques-Vidal, P., Waeber, G., Vollenweider, P., Preisig, M., Merikangas, K.R., 2018. Mood disorders and circulating levels of inflammatory markers in a longitudinal population-based study. Psychol. Med. 48, 961–973. https://doi.org/DOI: 10.1017/S0033291717002744</w:t>
      </w:r>
    </w:p>
    <w:p w14:paraId="54E18E32"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Goldstein, B.I., Lotrich, F., Axelson, D.A., Gill, M.K., Hower, H., Goldstein, T.R., Fan, J., Yen, S., Diler, R., Dickstein, D., Strober, M.A., Iyengar, S., Ryan, N.D., Keller, M.B., Birmaher, B., 2015. Inflammatory Markers Among Adolescents and Young Adults With Bipolar Spectrum Disorders. J. Clin. Psychiatry 76, 1556–1563. https://doi.org/10.4088/JCP.14m09395</w:t>
      </w:r>
    </w:p>
    <w:p w14:paraId="6C19040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Guloksuz, S., Aktas Cetin, E., Cetin, T., Deniz, G., Oral, E.T., Nutt, D.J., 2010. Cytokine levels in euthymic bipolar patients. J. Affect. Disord. 126, 458–462. https://doi.org/10.1016/j.jad.2010.04.027</w:t>
      </w:r>
    </w:p>
    <w:p w14:paraId="16BC8804"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Guloksuz, S., Altinbas, K., Aktas Cetin, E., Kenis, G., Bilgic Gazioglu, S., Deniz, G., Oral, E.T., van Os, J., 2012. Evidence for an association between tumor necrosis factor-alpha levels and lithium response. J. Affect. Disord. 143, 148–152. https://doi.org/10.1016/j.jad.2012.04.044</w:t>
      </w:r>
    </w:p>
    <w:p w14:paraId="59BAC48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lastRenderedPageBreak/>
        <w:t>Hope, S., Dieset, I., Agartz, I., Steen, N.E., Ueland, T., Melle, I., Aukrust, P., Andreassen, O.A., 2011. Affective symptoms are associated with markers of inflammation and immune activation in bipolar disorders but not in schizophrenia. J. Psychiatr. Res. 45, 1608–1616. https://doi.org/https://doi.org/10.1016/j.jpsychires.2011.08.003</w:t>
      </w:r>
    </w:p>
    <w:p w14:paraId="6D11C53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Hope, S., Hoseth, E., Dieset, I., Mørch, R.H., Aas, M., Aukrust, P., Djurovic, S., Melle, I., Ueland, Torill, Agartz, I., Ueland, Thor, Westlye, L.T., Andreassen, O.A., 2015. Inflammatory markers are associated with general cognitive abilities in schizophrenia and bipolar disorder patients and healthy controls. Schizophr. Res. 165, 188–194. https://doi.org/https://doi.org/10.1016/j.schres.2015.04.004</w:t>
      </w:r>
    </w:p>
    <w:p w14:paraId="5DC85AFF"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Hope, S., Melle, I., Aukrust, P., Steen, N.E., Birkenaes, A.B., Lorentzen, S., Agartz, I., Ueland, T., Andreassen, O.A., 2009. Similar immune profile in bipolar disorder and schizophrenia: selective increase in soluble tumor necrosis factor receptor I and von Willebrand factor. Bipolar Disord. 11, 726–734. https://doi.org/https://doi.org/10.1111/j.1399-5618.2009.00757.x</w:t>
      </w:r>
    </w:p>
    <w:p w14:paraId="6A57DE7F"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Hope, S., Ueland, T., Steen, N.E., Dieset, I., Lorentzen, S., Berg, A.O., Agartz, I., Aukrust, P., Andreassen, O.A., 2013. Interleukin 1 receptor antagonist and soluble tumor necrosis factor receptor 1 are associated with general severity and psychotic symptoms in schizophrenia and bipolar disorder. Schizophr. Res. 145, 36–42. https://doi.org/10.1016/j.schres.2012.12.023</w:t>
      </w:r>
    </w:p>
    <w:p w14:paraId="47FFA3A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Hornig, M., Goodman, D.B.P., Kamoun, M., Amsterdam, J.D., 1998. Positive and negative acute phase proteins in affective subtypes. J. Affect. Disord. 49, 9–18. https://doi.org/https://doi.org/10.1016/S0165-0327(97)00180-8</w:t>
      </w:r>
    </w:p>
    <w:p w14:paraId="353503C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Horsdal, H.T., Köhler-Forsberg, O., Benros, M.E., Gasse, C., 2017. C-reactive protein and white blood cell levels in schizophrenia, bipolar disorders and depression - associations with mortality and psychiatric outcomes: a population-based study. Eur. Psychiatry 44, 164–172. https://doi.org/10.1016/j.eurpsy.2017.04.012</w:t>
      </w:r>
    </w:p>
    <w:p w14:paraId="4DDE83D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Huang, T.-L., Lin, F.-C., 2007. High-sensitivity C-reactive protein levels in patients with major depressive disorder and bipolar mania. Prog. Neuro-Psychopharmacology Biol. Psychiatry 31, 370–372. https://doi.org/https://doi.org/10.1016/j.pnpbp.2006.09.010</w:t>
      </w:r>
    </w:p>
    <w:p w14:paraId="6C73CE4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Hung, Y.-J., Hsieh, C.-H., Chen, Y.-J., Pei, D., Kuo, S.-W., Shen, D.-C., Sheu, W.H.-H., Chen, Y.-C., 2007. Insulin sensitivity, proinflammatory markers and adiponectin in young males with different subtypes of depressive disorder. Clin. Endocrinol. (Oxf). 67, 784–789. https://doi.org/https://doi.org/10.1111/j.1365-2265.2007.02963.x</w:t>
      </w:r>
    </w:p>
    <w:p w14:paraId="31BE56F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Jacoby, A.S., Munkholm, K., Vinberg, M., Pedersen, B.K., Kessing, L.V., 2016. Cytokines, brain-derived neurotrophic factor and C-reactive protein in bipolar i disorder - Results from a prospective study. J. Affect. Disord. 197, 167–174. https://doi.org/10.1016/j.jad.2016.03.040</w:t>
      </w:r>
    </w:p>
    <w:p w14:paraId="6E1ADFE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Kapczinski, F., Dal-Pizzol, F., Teixeira, A.L., Magalhaes, P.V.S., Kauer-Sant’Anna, M., Klamt, F., Moreira, J.C.F., Augusto de Bittencourt Pasquali, M., Fries, G.R., Quevedo, J., Gama, C.S., Post, R., 2011. Peripheral biomarkers and illness activity in bipolar disorder. J. Psychiatr. Res. 45, 156–161. https://doi.org/https://doi.org/10.1016/j.jpsychires.2010.05.015</w:t>
      </w:r>
    </w:p>
    <w:p w14:paraId="180D68A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lastRenderedPageBreak/>
        <w:t>Karabulut, S., Tasdemir, I., Akcan, U., Kucukali, C., Tüzün, E., Cakir, S., 2019. Inflammation and Neurodegeneration in Patients with Early-Stage and Chronic Bipolar Disorder. Turkish J. Psychiatry 30. https://doi.org/10.5080/u18376</w:t>
      </w:r>
    </w:p>
    <w:p w14:paraId="5574BBB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Kargar, M., Yousefi, A., Mojtahedzadeh, M., Akhondzadeh, S., Artounian, V., Abdollahi, A., Ahmadvand, A., Ghaeli, P., 2014. Effects of celecoxib on inflammatory markers in bipolar patients undergoing electroconvulsive therapy: a placebo-controlled, double-blind, randomised study. Swiss Med. Wkly. https://doi.org/10.4414/smw.2014.13880</w:t>
      </w:r>
    </w:p>
    <w:p w14:paraId="7A5133C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Kauer-Sant’Anna, M., Kapczinski, F., Andreazza, A., Bond, D., Lam, R., Young, L., Yatham, L., 2008. Brain-derived neurotrophic factor and inflammatory markers in patients with early- vs. late-stage bipolar disorder. Int. J. Neuropsychopharmacol. 12, 447–458. https://doi.org/10.1017/S1461145708009310</w:t>
      </w:r>
    </w:p>
    <w:p w14:paraId="183CB8F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Kim, Y.-K., Jung, H.-G., Myint, A.-M., Kim, H., Park, S.-H., 2007. Imbalance between pro-inflammatory and anti-inflammatory cytokines in bipolar disorder. J. Affect. Disord. 104, 91–95. https://doi.org/https://doi.org/10.1016/j.jad.2007.02.018</w:t>
      </w:r>
    </w:p>
    <w:p w14:paraId="6C904A1F"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King, S., Jelen, L.A., Horne, C.M., Cleare, A., Pariante, C.M., Young, A.H., Stone, J.M., 2019. Inflammation, glutamate, and cognition in bipolar disorder type II: A proof of concept study. Front. Psychiatry 10. https://doi.org/10.3389/fpsyt.2019.00066</w:t>
      </w:r>
    </w:p>
    <w:p w14:paraId="76786D2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rPr>
        <w:t>Knijff, E.M., Nadine Breunis, M., Kupka, R.W., de Wit, H.J., Ruwhof, C., Akkerhuis, G.W., Nolen, W.A., Drexhage, H.A., 2007. An imbalance in the production of IL-1</w:t>
      </w:r>
      <w:r w:rsidRPr="00892A33">
        <w:rPr>
          <w:rFonts w:ascii="Calibri" w:eastAsia="Calibri" w:hAnsi="Calibri" w:cs="Calibri"/>
          <w:noProof/>
          <w:sz w:val="22"/>
          <w:lang w:val="it-IT"/>
        </w:rPr>
        <w:t>β</w:t>
      </w:r>
      <w:r w:rsidRPr="00892A33">
        <w:rPr>
          <w:rFonts w:ascii="Calibri" w:eastAsia="Calibri" w:hAnsi="Calibri" w:cs="Calibri"/>
          <w:noProof/>
          <w:sz w:val="22"/>
        </w:rPr>
        <w:t xml:space="preserve"> and IL-6 by monocytes of bipolar patients: restoration by lithium treatment. </w:t>
      </w:r>
      <w:r w:rsidRPr="00892A33">
        <w:rPr>
          <w:rFonts w:ascii="Calibri" w:eastAsia="Calibri" w:hAnsi="Calibri" w:cs="Calibri"/>
          <w:noProof/>
          <w:sz w:val="22"/>
          <w:lang w:val="it-IT"/>
        </w:rPr>
        <w:t>Bipolar Disord. 9, 743–753. https://doi.org/10.1111/j.1399-5618.2007.00444.x</w:t>
      </w:r>
    </w:p>
    <w:p w14:paraId="0500BF4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lang w:val="it-IT"/>
        </w:rPr>
        <w:t xml:space="preserve">Koga, N., Ogura, J., Yoshida, F., Hattori, K., Hori, H., Aizawa, E., Ishida, I., Kunugi, H., 2019. </w:t>
      </w:r>
      <w:r w:rsidRPr="00892A33">
        <w:rPr>
          <w:rFonts w:ascii="Calibri" w:eastAsia="Calibri" w:hAnsi="Calibri" w:cs="Calibri"/>
          <w:noProof/>
          <w:sz w:val="22"/>
        </w:rPr>
        <w:t>Altered polyunsaturated fatty acid levels in relation to proinflammatory cytokines, fatty acid desaturase genotype, and diet in bipolar disorder. Transl. Psychiatry 9, 208. https://doi.org/10.1038/s41398-019-0536-0</w:t>
      </w:r>
    </w:p>
    <w:p w14:paraId="08B794C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Kramer, N.E., Cosgrove, V.E., Dunlap, K., Subramaniapillai, M., McIntyre, R.S., Suppes, T., 2019. A clinical model for identifying an inflammatory phenotype in mood disorders. J. Psychiatr. Res. 113, 148–158. https://doi.org/10.1016/j.jpsychires.2019.02.005</w:t>
      </w:r>
    </w:p>
    <w:p w14:paraId="05D2C1A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Kunz, M., Ceresér, K.M., Goi, P.D., Fries, G.R., Teixeira, A.L., Fernandes, B.S., Belmonte-de-Abreu, P.S., Kauer-Sant’Anna, M., Kapczinski, F., Gama, C.S., 2011. Serum levels of IL-6, IL-10 and TNF-</w:t>
      </w:r>
      <w:r w:rsidRPr="00892A33">
        <w:rPr>
          <w:rFonts w:ascii="Calibri" w:eastAsia="Calibri" w:hAnsi="Calibri" w:cs="Calibri"/>
          <w:noProof/>
          <w:sz w:val="22"/>
          <w:lang w:val="it-IT"/>
        </w:rPr>
        <w:t>α</w:t>
      </w:r>
      <w:r w:rsidRPr="00892A33">
        <w:rPr>
          <w:rFonts w:ascii="Calibri" w:eastAsia="Calibri" w:hAnsi="Calibri" w:cs="Calibri"/>
          <w:noProof/>
          <w:sz w:val="22"/>
        </w:rPr>
        <w:t xml:space="preserve"> in patients with bipolar disorder and schizophrenia: differences in pro- and anti-inflammatory balance. Rev. Bras. Psiquiatr. 33, 268–274. https://doi.org/10.1590/S1516-44462011000300010</w:t>
      </w:r>
    </w:p>
    <w:p w14:paraId="015AE73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Lesh, T.A., Careaga, M., Rose, D.R., McAllister, A.K., Van de Water, J., Carter, C.S., Ashwood, P., 2018. Cytokine alterations in first-episode schizophrenia and bipolar disorder: Relationships to brain structure and symptoms. J. Neuroinflammation 15. https://doi.org/10.1186/s12974-018-1197-2</w:t>
      </w:r>
    </w:p>
    <w:p w14:paraId="1765563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Li, H., Hong, W., Zhang, C., Wu, Z., Wang, Z., Yuan, C., Li, Z., Huang, J., Lin, Z., Fang, Y., 2015. IL-23 and TGF-</w:t>
      </w:r>
      <w:r w:rsidRPr="00892A33">
        <w:rPr>
          <w:rFonts w:ascii="Calibri" w:eastAsia="Calibri" w:hAnsi="Calibri" w:cs="Calibri"/>
          <w:noProof/>
          <w:sz w:val="22"/>
          <w:lang w:val="it-IT"/>
        </w:rPr>
        <w:t>β</w:t>
      </w:r>
      <w:r w:rsidRPr="00892A33">
        <w:rPr>
          <w:rFonts w:ascii="Calibri" w:eastAsia="Calibri" w:hAnsi="Calibri" w:cs="Calibri"/>
          <w:noProof/>
          <w:sz w:val="22"/>
        </w:rPr>
        <w:t>1 levels as potential predictive biomarkers in treatment of bipolar I disorder with acute manic episode. J. Affect. Disord. 174, 361–366. https://doi.org/10.1016/j.jad.2014.12.033</w:t>
      </w:r>
    </w:p>
    <w:p w14:paraId="25A9540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lastRenderedPageBreak/>
        <w:t>Lin, K., Shao, R., Wang, R., Lu, W., Zou, W., Chen, K., Gao, Y., Brietzke, E., McIntyre, R.S., Mansur, R.B., Zhang, L., Yau, S.-Y., Su, H., Xu, G., So, K.-F., 2020. Inflammation, brain structure and cognition interrelations among individuals with differential risks for bipolar disorder. Brain. Behav. Immun. 83, 192–199. https://doi.org/10.1016/j.bbi.2019.10.010</w:t>
      </w:r>
    </w:p>
    <w:p w14:paraId="6C09399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Liu, H.-C., Yang, Y.-Y., Chou, Y.-M., Chen, K.-P., Shen, W.W., Leu, S.-J., 2004. Immunologic variables in acute mania of bipolar disorder. J. Neuroimmunol. 150, 116–122. https://doi.org/10.1016/j.jneuroim.2004.01.006</w:t>
      </w:r>
    </w:p>
    <w:p w14:paraId="38F2478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Lotrich, F.E., Butters, M.A., Aizenstein, H., Marron, M.M., Reynolds, C.F., Gildengers, A.G., 2014. The relationship between interleukin-1 receptor antagonist and cognitive function in older adults with bipolar disorder. Int. J. Geriatr. Psychiatry 29, 635–644. https://doi.org/10.1002/gps.4048</w:t>
      </w:r>
    </w:p>
    <w:p w14:paraId="41AEF22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Lu, Y.-R., Rao, Y.-B., Mou, Y.-J., Chen, Y., Lou, H.-F., Zhang, Y., Zhang, D.-X., Xie, H.-Y., Hu, L.-W., Fang, P., 2019. High concentrations of serum interleukin-6 and interleukin-8 in patients with bipolar disorder. Medicine (Baltimore). 98, e14419. https://doi.org/10.1097/MD.0000000000014419</w:t>
      </w:r>
    </w:p>
    <w:p w14:paraId="6F8D1337"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Luo, Y., He, H., Zhang, M., Huang, X., Fan, N., 2016. Altered serum levels of TNF-</w:t>
      </w:r>
      <w:r w:rsidRPr="00892A33">
        <w:rPr>
          <w:rFonts w:ascii="Calibri" w:eastAsia="Calibri" w:hAnsi="Calibri" w:cs="Calibri"/>
          <w:noProof/>
          <w:sz w:val="22"/>
          <w:lang w:val="it-IT"/>
        </w:rPr>
        <w:t>α</w:t>
      </w:r>
      <w:r w:rsidRPr="00892A33">
        <w:rPr>
          <w:rFonts w:ascii="Calibri" w:eastAsia="Calibri" w:hAnsi="Calibri" w:cs="Calibri"/>
          <w:noProof/>
          <w:sz w:val="22"/>
        </w:rPr>
        <w:t>, IL-6 and IL-18 in manic, depressive, mixed state of bipolar disorder patients. Psychiatry Res. 244, 19–23. https://doi.org/10.1016/j.psychres.2016.07.027</w:t>
      </w:r>
    </w:p>
    <w:p w14:paraId="12271CA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Maes, M., Bosmans, E., Calabrese, J., Smith, R., Meltzer, H.Y., 1995. Interleukin-2 and interleukin-6 in schizophrenia and mania: Effects of neuroleptics and mood stabilizers. J. Psychiatr. Res. 29, 141–152. https://doi.org/10.1016/0022-3956(94)00049-W</w:t>
      </w:r>
    </w:p>
    <w:p w14:paraId="01829C9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Maes, M., Meester, Scharpé, S., Desnyder, R., Ranjan, R., Meltzer, H.Y., 1996. Alterations in plasma dipeptidyl peptidase IV enzyme activity in depression and schizophrenia: effects of antidepressants and antipsychotic drugs. Acta Psychiatr. Scand. 93, 1–8. https://doi.org/10.1111/j.1600-0447.1996.tb10612.x</w:t>
      </w:r>
    </w:p>
    <w:p w14:paraId="0ABD2A1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Mao, R., Zhang, C., Chen, J., Zhao, G., Zhou, R., Wang, F., Xu, J., Yang, T., Su, Y., Huang, J., Wu, Z., Cao, L., Wang, Y., Hu, Y., Yuan, C., Yi, Z., Hong, W., Wang, Z., Peng, D., Fang, Y., 2018. Different levels of pro- and anti-inflammatory cytokines in patients with unipolar and bipolar depression. J. Affect. Disord. 237, 65–72. https://doi.org/10.1016/j.jad.2018.04.115</w:t>
      </w:r>
    </w:p>
    <w:p w14:paraId="1605604C"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Marie-Claire, C., Courtin, C., Curis, E., Bouaziz-Amar, E., Laplanche, J.-L., Jacob, A., Etain, B., Blanchard, A., Bellivier, F., 2019. Increased plasma levels of high mobility group box 1 protein in patients with bipolar disorder: A pilot study. J. Neuroimmunol. 334, 576993. https://doi.org/10.1016/j.jneuroim.2019.576993</w:t>
      </w:r>
    </w:p>
    <w:p w14:paraId="674C06B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Miklowitz, D.J., Portnoff, L.C., Armstrong, C.C., Keenan-Miller, D., Breen, E.C., Muscatell, K.A., Eisenberger, N.I., Irwin, M.R., 2016. Inflammatory cytokines and nuclear factor-kappa B activation in adolescents with bipolar and major depressive disorders. Psychiatry Res. 241, 315–322. https://doi.org/10.1016/j.psychres.2016.04.120</w:t>
      </w:r>
    </w:p>
    <w:p w14:paraId="6AAA2DB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rPr>
      </w:pPr>
      <w:r w:rsidRPr="00892A33">
        <w:rPr>
          <w:rFonts w:ascii="Calibri" w:eastAsia="Calibri" w:hAnsi="Calibri" w:cs="Calibri"/>
          <w:noProof/>
          <w:sz w:val="22"/>
        </w:rPr>
        <w:t>Millett, C.E., Perez-Rodriguez, M., Shanahan, M., Larsen, E., Yamamoto, H.S., Bukowski, C., Fichorova, R., Burdick, K.E., 2019. C-reactive protein is associated with cognitive performance in a large cohort of euthymic patients with bipolar disorder. Mol. Psychiatry. https://doi.org/10.1038/s41380-019-0591-1</w:t>
      </w:r>
    </w:p>
    <w:p w14:paraId="1DA80964"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rPr>
        <w:lastRenderedPageBreak/>
        <w:t xml:space="preserve">Mizuno, Y., Hofer, A., Suzuki, T., Frajo-Apor, B., Wartelsteiner, F., Kemmler, G., Saruta, J., Tsukinoki, K., Mimura, M., Fleischhacker, W.W., Uchida, H., 2016. Clinical and biological correlates of resilience in patients with schizophrenia and bipolar disorder: A cross-sectional study. </w:t>
      </w:r>
      <w:r w:rsidRPr="00892A33">
        <w:rPr>
          <w:rFonts w:ascii="Calibri" w:eastAsia="Calibri" w:hAnsi="Calibri" w:cs="Calibri"/>
          <w:noProof/>
          <w:sz w:val="22"/>
          <w:lang w:val="it-IT"/>
        </w:rPr>
        <w:t>Schizophr. Res. 175, 148–153. https://doi.org/10.1016/j.schres.2016.04.047</w:t>
      </w:r>
    </w:p>
    <w:p w14:paraId="527D013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Moher, D., Liberati, A., Tetzlaff, J., Altman, D.G., 2009. Preferred reporting items for systematic reviews and meta-analyses: the PRISMA statement. J. Clin. Epidemiol. 62, 1006–1012. https://doi.org/10.1016/j.jclinepi.2009.06.005</w:t>
      </w:r>
    </w:p>
    <w:p w14:paraId="20A57F0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Mondin, T.C., de Azevedo Cardoso, T., Moreira, F.P., Wiener, C., Oses, J.P., de Mattos Souza, L.D., Jansen, K., da Silva Magalhães, P.V., Kapczinski, F., da Silva, R.A., 2016. Circadian preferences, oxidative stress and inflammatory cytokines in bipolar disorder: A community study. J. Neuroimmunol. 301, 23–29. https://doi.org/10.1016/j.jneuroim.2016.10.012</w:t>
      </w:r>
    </w:p>
    <w:p w14:paraId="0807827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Monfrim, X., Gazal, M., De Leon, P.B., Quevedo, L., Souza, L.D., Jansen, K., Oses, J.P., Pinheiro, R.T., Silva, R.A., Lara, D.R., Ghisleni, G., Spessato, B., Kaster, M.P., 2014. Immune dysfunction in bipolar disorder and suicide risk: is there an association between peripheral corticotropin-releasing hormone and interleukin-1β? Bipolar Disord. 16, 741–747. https://doi.org/10.1111/bdi.12214</w:t>
      </w:r>
    </w:p>
    <w:p w14:paraId="2324F54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Mora, E., Portella, M.J., Piñol-Ripoll, G., López, R., Cuadras, D., Forcada, I., Teres, M., Vieta, E., Mur, M., 2019. High BDNF serum levels are associated to good cognitive functioning in bipolar disorder. Eur. Psychiatry 60, 97–107. https://doi.org/10.1016/j.eurpsy.2019.02.006</w:t>
      </w:r>
    </w:p>
    <w:p w14:paraId="5BE2B42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Mørch, R.H., Dieset, I., Faerden, A., Hope, S., Aas, M., Nerhus, M., Gardsjord, E.S., Haram, M., Falk, R.S., Joa, I., Morken, G., Agartz, I., Aukrust, P., Djurovic, S., Melle, I., Ueland, T., Andreassen, O.A., 2017. Persistent increase in TNF and IL-1 markers in severe mental disorders suggests trait-related inflammation: a one year follow-up study. Acta Psychiatr. Scand. 136, 400–408. https://doi.org/10.1111/acps.12783</w:t>
      </w:r>
    </w:p>
    <w:p w14:paraId="2325423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Mørch, R.H., Dieset, I., Færden, A., Hope, S., Aas, M., Nerhus, M., Gardsjord, E.S., Joa, I., Morken, G., Agartz, I., Aukrust, P., Djurovic, S., Melle, I., Ueland, T., Andreassen, O.A., 2016. Inflammatory evidence for the psychosis continuum model. Psychoneuroendocrinology 67, 189–197. https://doi.org/10.1016/j.psyneuen.2016.02.011</w:t>
      </w:r>
    </w:p>
    <w:p w14:paraId="6768EA0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Mota, R., Gazal, M., Acosta, B.A., de Leon, P.B., Jansen, K., Pinheiro, R.T., Souza, L.D., Silva, R.A., Oses, J.P., Quevedo, L., Lara, D.R., Ghisleni, G., Kaster, M.P., 2013. Interleukin-1β is associated with depressive episode in major depression but not in bipolar disorder. J. Psychiatr. Res. 47, 2011–2014. https://doi.org/10.1016/j.jpsychires.2013.08.020</w:t>
      </w:r>
    </w:p>
    <w:p w14:paraId="3EE5F58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Munkholm, K., Braüner, J.V., Kessing, L.V., Vinberg, M., 2013. Cytokines in bipolar disorder vs. healthy control subjects: A systematic review and meta-analysis. J. Psychiatr. Res. 47, 1119–1133. https://doi.org/10.1016/j.jpsychires.2013.05.018</w:t>
      </w:r>
    </w:p>
    <w:p w14:paraId="17098C6C"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Munkholm, K., Jacoby, A.S., Lenskjold, T., Bruunsgaard, H., Vinberg, M., Kessing, L.V., 2018. Leukocytes in peripheral blood in patients with bipolar disorder – Trait and state alterations and association with levels of cytokines and C-reactive protein. Psychiatry Res. 261, 383–390. https://doi.org/10.1016/j.psychres.2018.01.022</w:t>
      </w:r>
    </w:p>
    <w:p w14:paraId="645CC42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lastRenderedPageBreak/>
        <w:t>Munkholm, K., Vinberg, M., Pedersen, B.K., Poulsen, H.E., Ekstrøm, C.T., Kessing, L. V., 2019. A multisystem composite biomarker as a preliminary diagnostic test in bipolar disorder. Acta Psychiatr. Scand. 139, 227–236. https://doi.org/10.1111/acps.12983</w:t>
      </w:r>
    </w:p>
    <w:p w14:paraId="55DEF45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Munkholm, K., Weikop, P., Kessing, L.V., Vinberg, M., 2015. Elevated levels of IL-6 and IL-18 in manic and hypomanic states in rapid cycling bipolar disorder patients. Brain. Behav. Immun. 43, 205–213. https://doi.org/10.1016/j.bbi.2014.09.021</w:t>
      </w:r>
    </w:p>
    <w:p w14:paraId="6550D9C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Murata, S., Murphy, M., Hoppensteadt, D., Fareed, J., Welborn, A., Halaris, A., 2020. Effects of adjunctive inflammatory modulation on IL-1β in treatment resistant bipolar depression. Brain. Behav. Immun. 87, 369–376. https://doi.org/10.1016/j.bbi.2020.01.004</w:t>
      </w:r>
    </w:p>
    <w:p w14:paraId="69C003F4"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O’Brien, S.M., Scully, P., Scott, L. V., Dinan, T.G., 2006. Cytokine profiles in bipolar affective disorder: Focus on acutely ill patients. J. Affect. Disord. 90, 263–267. https://doi.org/10.1016/j.jad.2005.11.015</w:t>
      </w:r>
    </w:p>
    <w:p w14:paraId="0664A53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Ortiz-Domínguez, A., Hernández, M.E., Berlanga, C., Gutiérrez-Mora, D., Moreno, J., Heinze, G., Pavón, L., 2007. Immune variations in bipolar disorder: phasic differences. Bipolar Disord. 9, 596–602. https://doi.org/https://doi.org/10.1111/j.1399-5618.2007.00493.x</w:t>
      </w:r>
    </w:p>
    <w:p w14:paraId="5E233FAA"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Osimo, E.F., Cardinal, R.N., Jones, P.B., Khandaker, G.M., 2018. Prevalence and correlates of low-grade systemic inflammation in adult psychiatric inpatients: An electronic health record-based study. Psychoneuroendocrinology 91, 226–234. https://doi.org/10.1016/j.psyneuen.2018.02.031</w:t>
      </w:r>
    </w:p>
    <w:p w14:paraId="094E534C"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Palacio, J.D., Guzman, S., Vargas, C., Díaz-Zuluaga, A.M., López-Jaramillo, C., 2016. Comparación de biomarcadores inflamatorios en pacientes con trastorno afectivo bipolar tipo I y sujetos controles. Rev. Colomb. Psiquiatr. 45, 8–13. https://doi.org/10.1016/j.rcp.2015.06.002</w:t>
      </w:r>
    </w:p>
    <w:p w14:paraId="1CDE4BB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Palomino, A., Vallejo-Illarramendi, A., González-Pinto, A., Aldama, A., González-Gómez, C., Mosquera, F., González-García, G., Matute, C., 2006. Decreased levels of plasma BDNF in first-episode schizophrenia and bipolar disorder patients. Schizophr. Res. 86, 321–322. https://doi.org/10.1016/j.schres.2006.05.028</w:t>
      </w:r>
    </w:p>
    <w:p w14:paraId="170BCC2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Pantović-Stefanović, M., Petronijević, N., Dunjić-Kostić, B., Velimirović, M., Nikolić, T., Jurišić, V., Lačković, M., Damjanović, A., Totić-Poznanović, S., Jovanović, A.A., Ivković, M., 2018. sVCAM-1, sICAM-1, TNF-α and IL-6 levels in bipolar disorder type I: Acute, longitudinal and therapeutic implications. World J. Biol. Psychiatry 19, S41–S51. https://doi.org/10.1080/15622975.2016.1259498</w:t>
      </w:r>
    </w:p>
    <w:p w14:paraId="3AA2D24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Papiol, S., 2004. Interleukin-1 cluster is associated with genetic risk for schizophrenia and bipolar disorder. J. Med. Genet. 41, 219–223. https://doi.org/10.1136/jmg.2003.012914</w:t>
      </w:r>
    </w:p>
    <w:p w14:paraId="1368A6F0"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Pedrotti Moreira, F., Cardoso, T.C., Mondin, T.C., Wiener, C.D., de Mattos Souza, L.D., Oses, J.P., Jansen, K., Silva, R.A., 2019. Serum level of nerve growth factor is a potential biomarker of conversion to bipolar disorder in women with major depressive disorder. Psychiatry Clin. Neurosci. 73, 590–593. https://doi.org/10.1111/pcn.12896</w:t>
      </w:r>
    </w:p>
    <w:p w14:paraId="30D8F5D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 xml:space="preserve">Quidé, Y., Bortolasci, C.C., Spolding, B., Kidnapillai, S., Watkeys, O.J., Cohen-Woods, S., Berk, M., Carr, V.J., Walder, K., Green, M.J., 2019. Association </w:t>
      </w:r>
      <w:r w:rsidRPr="00892A33">
        <w:rPr>
          <w:rFonts w:ascii="Calibri" w:eastAsia="Calibri" w:hAnsi="Calibri" w:cs="Calibri"/>
          <w:noProof/>
          <w:sz w:val="22"/>
          <w:lang w:val="it-IT"/>
        </w:rPr>
        <w:lastRenderedPageBreak/>
        <w:t>between childhood trauma exposure and pro-inflammatory cytokines in schizophrenia and bipolar-I disorder. Psychol. Med. 49, 2736–2744. https://doi.org/10.1017/S0033291718003690</w:t>
      </w:r>
    </w:p>
    <w:p w14:paraId="0E5B285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Remlinger-Molenda, A., Wójciak, P., Michalak, M., Rybakowski, J., 2012. [Activity of selected cytokines in bipolar patients during manic and depressive  episodes]. Psychiatr. Pol. 46, 599–611.</w:t>
      </w:r>
    </w:p>
    <w:p w14:paraId="5A27948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Sahin, B., Inanli, I., Caliskan, A., Uysal, S., 2019. Chitinase-3-like protein 1 levels in bipolar disorder. Saudi Med. J. 40, 26–32. https://doi.org/10.15537/smj.2019.1.23396</w:t>
      </w:r>
    </w:p>
    <w:p w14:paraId="3B78FF37"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Sanjay, T.N., Shivakumar, V., Subbanna, M., Biradar, S.U., Muralidharan, K., Venkatasubramanian, G., 2017. Plasma interleukin-6 in remitted early bipolar I disorder and subjects at high-risk for bipolar disorder. Asian J. Psychiatr. https://doi.org/10.1016/j.ajp.2017.03.014</w:t>
      </w:r>
    </w:p>
    <w:p w14:paraId="2BE3BF77"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Scola, G., McNamara, R.K., Croarkin, P.E., Leffler, J.M., Cullen, K.R., Geske, J.R., Biernacka, J.M., Frye, M.A., Delbello, M.P., Andreazza, A.C., 2016. Lipid peroxidation biomarkers in adolescents with or at high-risk for bipolar disorder. J. Affect. Disord. 192, 176–183. https://doi.org/10.1016/j.jad.2015.12.020</w:t>
      </w:r>
    </w:p>
    <w:p w14:paraId="5B3513F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Siwek, M., Sowa-Kućma, M., Styczeń, K., Misztak, P., Nowak, R.J., Szewczyk, B., Dudek, D., Rybakowski, J.K., Nowak, G., Maes, M., 2017. Associations of Serum Cytokine Receptor Levels with Melancholia, Staging of Illness, Depressive and Manic Phases, and Severity of Depression in Bipolar Disorder. Mol. Neurobiol. 54, 5883–5893. https://doi.org/10.1007/s12035-016-0124-8</w:t>
      </w:r>
    </w:p>
    <w:p w14:paraId="1E4AEAF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Söderlund, J., Olsson, S., Samuelsson, M., Walther-Jallow, L., Johansson, C., Erhardt, S., Landén, M., Engberg, G., 2011. Elevation of cerebrospinal fluid interleukin-1β in bipolar disorder. J. Psychiatry Neurosci. 36, 114–118. https://doi.org/10.1503/jpn.100080</w:t>
      </w:r>
    </w:p>
    <w:p w14:paraId="3B255E4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Sowa-Kućma, M., Styczeń, K., Siwek, M., Misztak, P., Nowak, R.J., Dudek, D., Rybakowski, J.K., Nowak, G., Maes, M., 2018. Are there differences in lipid peroxidation and immune biomarkers between major depression and bipolar disorder: Effects of melancholia, atypical depression, severity of illness, episode number, suicidal ideation and prior suicide attempts. Prog. Neuro-Psychopharmacology Biol. Psychiatry 81, 372–383. https://doi.org/10.1016/j.pnpbp.2017.08.024</w:t>
      </w:r>
    </w:p>
    <w:p w14:paraId="239E7B0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Stroup, D.F., Berlin, J.A., Morton, S.C., Olkin, I., Williamson, G.D., Rennie, D., Moher, D., Becker, B.J., Sipe, T.A., Thacker, S.B., 2000. Meta-analysis of observational studies in epidemiology: A proposal for reporting. J. Am. Med. Assoc. 283, 2008–2012. https://doi.org/10.1001/jama.283.15.2008</w:t>
      </w:r>
    </w:p>
    <w:p w14:paraId="11E2559F"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Su, S.-C., Sun, M.-T., Wen, M.-J., Lin, C.-J., Chen, Y.-C., Hung, Y.-J., 2011. Brain-Derived Neurotrophic Factor, Adiponectin, and Proinflammatory Markers in Various Subtypes of Depression in Young Men. Int. J. Psychiatry Med. 42, 211–226. https://doi.org/10.2190/PM.42.3.a</w:t>
      </w:r>
    </w:p>
    <w:p w14:paraId="32FB705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Tanaka, T., Matsuda, T., Hayes, L.N., Yang, S., Rodriguez, K., Severance, E.G., Yolken, R.H., Sawa, A., Eaton, W.W., 2017. Infection and inflammation in schizophrenia and bipolar disorder. Neurosci. Res. 115, 59–63. https://doi.org/10.1016/j.neures.2016.11.002</w:t>
      </w:r>
    </w:p>
    <w:p w14:paraId="73112FD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lastRenderedPageBreak/>
        <w:t>Tatay-Manteiga, A., Balanzá-Martínez, V., Bristot, G., Tabarés-Seisdedos, R., Kapczinski, F., Cauli, O., 2017. Clinical staging and serum cytokines in bipolar patients during euthymia. Prog. Neuro-Psychopharmacology Biol. Psychiatry 77, 194–201. https://doi.org/10.1016/j.pnpbp.2017.04.028</w:t>
      </w:r>
    </w:p>
    <w:p w14:paraId="756619F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Teixeira, A.L., de Souza, R.T., Zanetti, M. V., Brunoni, A.R., Busatto, G.F., Zarate, C.A., Gattaz, W.F., Machado-Vieira, R., 2015. Increased plasma levels of soluble TNF receptors 1 and 2 in bipolar depression and impact of lithium treatment. Hum. Psychopharmacol. Clin. Exp. 30, 52–56. https://doi.org/10.1002/hup.2450</w:t>
      </w:r>
    </w:p>
    <w:p w14:paraId="68FEC2C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Tsai, S.-Y., Chen, K.-P., Yang, Y.-Y., Chen, C.-C., Lee, J.-C., Singh, V.K., Leu, S.-J.C., 1999. Activation of indices of cell-mediated immunity in bipolar mania. Biol. Psychiatry 45, 989–994. https://doi.org/10.1016/S0006-3223(98)00159-0</w:t>
      </w:r>
    </w:p>
    <w:p w14:paraId="1082AF4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Tsai, S.-Y., Chung, K.-H., Chen, P.-H., 2017. Levels of interleukin-6 and high-sensitivity C-reactive protein reflecting mania severity in bipolar disorder. Bipolar Disord. 19, 708–709. https://doi.org/10.1111/bdi.12570</w:t>
      </w:r>
    </w:p>
    <w:p w14:paraId="008BC523"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Tsai, S.-Y., Chung, K.-H., Huang, S.-H., Chen, P.-H., Lee, H.-C., Kuo, C.-J., 2014. Persistent inflammation and its relationship to leptin and insulin in phases of bipolar disorder from acute depression to full remission. Bipolar Disord. 16, 800–808. https://doi.org/10.1111/bdi.12240</w:t>
      </w:r>
    </w:p>
    <w:p w14:paraId="0D1690F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Tsai, S.-Y.M., Yang, Y.-Y., Kuo, C.-J., Chen, C.-C., Leu, S.-J.C., 2001. Effects of symptomatic severity on elevation of plasma soluble interleukin-2 receptor in bipolar mania. J. Affect. Disord. 64, 185–193. https://doi.org/10.1016/S0165-0327(00)00252-4</w:t>
      </w:r>
    </w:p>
    <w:p w14:paraId="35C4A8A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Tsai, S.Y., Chung, K.H., Wu, J.Y., Kuo, C.J., Lee, H.C., Huang, S.H., 2012. Inflammatory markers and their relationships with leptin and insulin from acute mania to full remission in bipolar disorder. J. Affect. Disord. 136, 110–116. https://doi.org/10.1016/j.jad.2011.08.022</w:t>
      </w:r>
    </w:p>
    <w:p w14:paraId="5487E2BB"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Tunç, S., Atagün, M.İ., Başbuğ, H.S., Erel, Ö., 2019. Serum ceruloplasmin-ferroxidase activity in bipolar disorder is elevated compared to major depressive disorder and schizophrenia: a controlled study. Psychiatry Clin. Psychopharmacol. 29, 307–314. https://doi.org/10.1080/24750573.2019.1584489</w:t>
      </w:r>
    </w:p>
    <w:p w14:paraId="7C11F50C"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Uyanik, V., Tuglu, C., Gorgulu, Y., Kunduracilar, H., Uyanik, M.S., 2015. Assessment of cytokine levels and hs-CRP in bipolar I disorder before and after treatment. Psychiatry Res. 228, 386–392. https://doi.org/10.1016/j.psychres.2015.05.078</w:t>
      </w:r>
    </w:p>
    <w:p w14:paraId="57F2DABF"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van den Ameele, S., Fuchs, D., Coppens, V., de Boer, P., Timmers, M., Sabbe, B., Morrens, M., 2018. Markers of inflammation and monoamine metabolism indicate accelerated aging in bipolar disorder. Front. Psychiatry 9. https://doi.org/10.3389/fpsyt.2018.00250</w:t>
      </w:r>
    </w:p>
    <w:p w14:paraId="1ABEC84D"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Vasconcelos-Moreno, M.P., Fries, G.R., Gubert, C., Dos Santos, B.T.M.Q., Fijtman, A., Sartori, J., Ferrari, P., Grun, L.K., Parisi, M.M., Guma, F.T.C.R., Barbé-Tuana, F.M., Kapczinski, F., Rosa, A.R., Yatham, L.N., Kauer-Sant’Anna, M., 2017. Telomere Length, Oxidative Stress, Inflammation and BDNF Levels in Siblings of Patients with Bipolar Disorder: Implications for Accelerated Cellular Aging. Int. J. Neuropsychopharmacol. 20, 445–454. https://doi.org/10.1093/ijnp/pyx001</w:t>
      </w:r>
    </w:p>
    <w:p w14:paraId="2416EF91"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 xml:space="preserve">Wadee, A.A., Kuschke, R.H., Wood, L.A., Berk, M., Ichim, L., Maes, M., 2002. Serological observations in patients suffering from acute manic episodes. Hum. </w:t>
      </w:r>
      <w:r w:rsidRPr="00892A33">
        <w:rPr>
          <w:rFonts w:ascii="Calibri" w:eastAsia="Calibri" w:hAnsi="Calibri" w:cs="Calibri"/>
          <w:noProof/>
          <w:sz w:val="22"/>
          <w:lang w:val="it-IT"/>
        </w:rPr>
        <w:lastRenderedPageBreak/>
        <w:t>Psychopharmacol. 17, 175–179. https://doi.org/10.1002/hup.390</w:t>
      </w:r>
    </w:p>
    <w:p w14:paraId="1EF14CFE"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Wang, T.Y., Lee, S.Y., Chen, S.L., Chung, Y.L., Li, C.L., Chang, Y.H., Wang, L.J., Chen, P.S., Chen, S.H., Chu, C.H., Huang, S.Y., Tzeng, N.S., Hsieh, T.H., Chiu, Y.C., Lee, I.H., Chen, K.C., Yang, Y.K., Hong, J.S., Lu, R.B., 2016. The differential levels of inflammatory cytokines and bdnf among bipolar spectrum disorders. Int. J. Neuropsychopharmacol. 19, 1–8. https://doi.org/10.1093/ijnp/pyw012</w:t>
      </w:r>
    </w:p>
    <w:p w14:paraId="2A23726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Wieck, A., Grassi-Oliveira, R., do Prado, C.H., Rizzo, L.B., de Oliveira, A.S., Kommers-Molina, J., Viola, T.W., Marciano Vieira, É.L., Teixeira, A.Ô.L., Bauer, M.E., 2014. Pro-inflammatory cytokines and soluble receptors in response to acute psychosocial stress: Differential reactivity in bipolar disorder. Neurosci. Lett. https://doi.org/10.1016/j.neulet.2014.07.040</w:t>
      </w:r>
    </w:p>
    <w:p w14:paraId="2CE8DA39"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Wieck, A., Grassi-Oliveira, R., do Prado, C.H., Viola, T.W., Petersen, L.E., Porto, B., Teixeira, A.L., Bauer, M.E., 2016. Toll-like receptor expression and function in type I bipolar disorder. Brain. Behav. Immun. 54, 110–121. https://doi.org/10.1016/j.bbi.2016.01.011</w:t>
      </w:r>
    </w:p>
    <w:p w14:paraId="7C087965"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Wiener, C.D., Moreira, F.P., Cardoso, T.A., Mondin, T.C., da Silva Magalhães, P.V., Kapczinski, F., de Mattos Souza, L.D., da Silva, R.A., Oses, J.P., Jansen, K., 2017. Inflammatory cytokines and functional impairment in drug-free subjects with mood disorder. J. Neuroimmunol. 307, 33–36. https://doi.org/10.1016/j.jneuroim.2017.03.003</w:t>
      </w:r>
    </w:p>
    <w:p w14:paraId="6C261CD6"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Wiener, C.D., Moreira, F.P., Portela, L.V., Strogulski, N.R., Lara, D.R., da Silva, R.A., Souza, L.D. de M., Jansen, K., Oses, J.P., 2019. Interleukin-6 and Interleukin-10 in mood disorders: A population-based study. Psychiatry Res. https://doi.org/10.1016/j.psychres.2019.01.100</w:t>
      </w:r>
    </w:p>
    <w:p w14:paraId="0D2D356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lang w:val="it-IT"/>
        </w:rPr>
      </w:pPr>
      <w:r w:rsidRPr="00892A33">
        <w:rPr>
          <w:rFonts w:ascii="Calibri" w:eastAsia="Calibri" w:hAnsi="Calibri" w:cs="Calibri"/>
          <w:noProof/>
          <w:sz w:val="22"/>
          <w:lang w:val="it-IT"/>
        </w:rPr>
        <w:t>Wollenhaupt-Aguiar, B., Librenza-Garcia, D., Bristot, G., Przybylski, L., Stertz, L., Kubiachi Burque, R., Ceresér, K.M., Spanemberg, L., Caldieraro, M.A., Frey, B.N., Fleck, M.P., Kauer-Sant’Anna, M., Passos, I.C., Kapczinski, F., 2020. Differential biomarker signatures in unipolar and bipolar depression: A machine learning approach. Aust. New Zeal. J. Psychiatry 54, 393–401. https://doi.org/10.1177/0004867419888027</w:t>
      </w:r>
    </w:p>
    <w:p w14:paraId="1A668D68" w14:textId="77777777" w:rsidR="00892A33" w:rsidRPr="00892A33" w:rsidRDefault="00892A33" w:rsidP="00892A33">
      <w:pPr>
        <w:widowControl w:val="0"/>
        <w:autoSpaceDE w:val="0"/>
        <w:autoSpaceDN w:val="0"/>
        <w:adjustRightInd w:val="0"/>
        <w:spacing w:after="160"/>
        <w:ind w:left="480" w:hanging="480"/>
        <w:rPr>
          <w:rFonts w:ascii="Calibri" w:eastAsia="Calibri" w:hAnsi="Calibri" w:cs="Calibri"/>
          <w:noProof/>
          <w:sz w:val="22"/>
          <w:szCs w:val="22"/>
          <w:lang w:val="it-IT"/>
        </w:rPr>
      </w:pPr>
      <w:r w:rsidRPr="00892A33">
        <w:rPr>
          <w:rFonts w:ascii="Calibri" w:eastAsia="Calibri" w:hAnsi="Calibri" w:cs="Calibri"/>
          <w:noProof/>
          <w:sz w:val="22"/>
          <w:lang w:val="it-IT"/>
        </w:rPr>
        <w:t>Wu, W., Zheng, Y.L., Tian, L.P., Lai, J.B., Hu, C.C., Zhang, P., Chen, J.K., Hu, J.B., Huang, M.L., Wei, N., Xu, W.J., Zhou, W.H., Lu, S.J., Lu, J., Qi, H.L., Wang, D.D., Zhou, X.Y., Duan, J.F., Xu, Y., Hu, S.H., 2017. Circulating T lymphocyte subsets, cytokines, and immune checkpoint inhibitors in patients with bipolar II or major depression: A preliminary study. Sci. Rep. 7. https://doi.org/10.1038/srep40530</w:t>
      </w:r>
    </w:p>
    <w:p w14:paraId="6B4B9237" w14:textId="77777777" w:rsidR="00892A33" w:rsidRPr="00892A33" w:rsidRDefault="00892A33" w:rsidP="00892A33">
      <w:pPr>
        <w:spacing w:after="160" w:line="259" w:lineRule="auto"/>
        <w:ind w:firstLine="708"/>
        <w:rPr>
          <w:rFonts w:ascii="Calibri" w:eastAsia="Calibri" w:hAnsi="Calibri" w:cs="Times New Roman"/>
          <w:sz w:val="22"/>
          <w:szCs w:val="22"/>
        </w:rPr>
      </w:pPr>
      <w:r w:rsidRPr="00892A33">
        <w:rPr>
          <w:rFonts w:ascii="Calibri" w:eastAsia="Calibri" w:hAnsi="Calibri" w:cs="Times New Roman"/>
          <w:sz w:val="22"/>
          <w:szCs w:val="22"/>
        </w:rPr>
        <w:fldChar w:fldCharType="end"/>
      </w:r>
    </w:p>
    <w:p w14:paraId="6628ADF5" w14:textId="77777777" w:rsidR="00892A33" w:rsidRPr="00D76138" w:rsidRDefault="00892A33" w:rsidP="00D76138">
      <w:pPr>
        <w:spacing w:after="200" w:line="276" w:lineRule="auto"/>
        <w:rPr>
          <w:rFonts w:ascii="Calibri" w:eastAsia="Calibri" w:hAnsi="Calibri" w:cs="Times New Roman"/>
          <w:sz w:val="22"/>
          <w:szCs w:val="22"/>
          <w:lang w:val="en-US"/>
        </w:rPr>
      </w:pPr>
    </w:p>
    <w:p w14:paraId="2946FF0C" w14:textId="78A07A9A" w:rsidR="00741164" w:rsidRPr="00446D07" w:rsidRDefault="00741164" w:rsidP="00446D07">
      <w:pPr>
        <w:spacing w:line="360" w:lineRule="auto"/>
        <w:rPr>
          <w:rFonts w:ascii="Times New Roman" w:hAnsi="Times New Roman" w:cs="Times New Roman"/>
          <w:sz w:val="22"/>
          <w:szCs w:val="22"/>
        </w:rPr>
      </w:pPr>
    </w:p>
    <w:sectPr w:rsidR="00741164" w:rsidRPr="00446D07" w:rsidSect="003A69F2">
      <w:pgSz w:w="16840" w:h="11900" w:orient="landscape"/>
      <w:pgMar w:top="1440" w:right="1440" w:bottom="126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9B1123" w14:textId="77777777" w:rsidR="00EC7069" w:rsidRDefault="00EC7069" w:rsidP="00827E8F">
      <w:r>
        <w:separator/>
      </w:r>
    </w:p>
    <w:p w14:paraId="21ED3B97" w14:textId="77777777" w:rsidR="00EC7069" w:rsidRDefault="00EC7069"/>
  </w:endnote>
  <w:endnote w:type="continuationSeparator" w:id="0">
    <w:p w14:paraId="05D6FBE9" w14:textId="77777777" w:rsidR="00EC7069" w:rsidRDefault="00EC7069" w:rsidP="00827E8F">
      <w:r>
        <w:continuationSeparator/>
      </w:r>
    </w:p>
    <w:p w14:paraId="238ADC68" w14:textId="77777777" w:rsidR="00EC7069" w:rsidRDefault="00EC70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5563402"/>
      <w:docPartObj>
        <w:docPartGallery w:val="Page Numbers (Bottom of Page)"/>
        <w:docPartUnique/>
      </w:docPartObj>
    </w:sdtPr>
    <w:sdtEndPr/>
    <w:sdtContent>
      <w:p w14:paraId="6A3A2FA8" w14:textId="2135BEDA" w:rsidR="006A5045" w:rsidRDefault="006A5045">
        <w:pPr>
          <w:pStyle w:val="Footer"/>
          <w:jc w:val="right"/>
        </w:pPr>
        <w:r>
          <w:fldChar w:fldCharType="begin"/>
        </w:r>
        <w:r>
          <w:instrText>PAGE   \* MERGEFORMAT</w:instrText>
        </w:r>
        <w:r>
          <w:fldChar w:fldCharType="separate"/>
        </w:r>
        <w:r w:rsidR="00892A33" w:rsidRPr="00892A33">
          <w:rPr>
            <w:noProof/>
            <w:lang w:val="it-IT"/>
          </w:rPr>
          <w:t>1</w:t>
        </w:r>
        <w:r>
          <w:fldChar w:fldCharType="end"/>
        </w:r>
      </w:p>
    </w:sdtContent>
  </w:sdt>
  <w:p w14:paraId="0AFD00C8" w14:textId="77777777" w:rsidR="006A5045" w:rsidRDefault="006A504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2336240"/>
      <w:docPartObj>
        <w:docPartGallery w:val="Page Numbers (Bottom of Page)"/>
        <w:docPartUnique/>
      </w:docPartObj>
    </w:sdtPr>
    <w:sdtEndPr/>
    <w:sdtContent>
      <w:p w14:paraId="341C5BC3" w14:textId="77777777" w:rsidR="00892A33" w:rsidRDefault="00892A33">
        <w:pPr>
          <w:pStyle w:val="Footer"/>
          <w:jc w:val="right"/>
        </w:pPr>
        <w:r>
          <w:fldChar w:fldCharType="begin"/>
        </w:r>
        <w:r>
          <w:instrText>PAGE   \* MERGEFORMAT</w:instrText>
        </w:r>
        <w:r>
          <w:fldChar w:fldCharType="separate"/>
        </w:r>
        <w:r>
          <w:rPr>
            <w:noProof/>
          </w:rPr>
          <w:t>26</w:t>
        </w:r>
        <w:r>
          <w:fldChar w:fldCharType="end"/>
        </w:r>
      </w:p>
    </w:sdtContent>
  </w:sdt>
  <w:p w14:paraId="3EF90535" w14:textId="77777777" w:rsidR="00892A33" w:rsidRDefault="00892A33">
    <w:pPr>
      <w:pStyle w:val="Footer"/>
    </w:pPr>
  </w:p>
  <w:p w14:paraId="72499306" w14:textId="77777777" w:rsidR="00892A33" w:rsidRDefault="00892A3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EC50A" w14:textId="77777777" w:rsidR="00EC7069" w:rsidRDefault="00EC7069" w:rsidP="00827E8F">
      <w:r>
        <w:separator/>
      </w:r>
    </w:p>
    <w:p w14:paraId="31B9F8DC" w14:textId="77777777" w:rsidR="00EC7069" w:rsidRDefault="00EC7069"/>
  </w:footnote>
  <w:footnote w:type="continuationSeparator" w:id="0">
    <w:p w14:paraId="24FF65E3" w14:textId="77777777" w:rsidR="00EC7069" w:rsidRDefault="00EC7069" w:rsidP="00827E8F">
      <w:r>
        <w:continuationSeparator/>
      </w:r>
    </w:p>
    <w:p w14:paraId="74F47EE4" w14:textId="77777777" w:rsidR="00EC7069" w:rsidRDefault="00EC706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AEFA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7741E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B585F26"/>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8B2FBAE"/>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9670D55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B1EC502"/>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D5AD7A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C8708A"/>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AAC93F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B0C02C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11D36E6"/>
    <w:multiLevelType w:val="multilevel"/>
    <w:tmpl w:val="8FAE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1C13F4C"/>
    <w:multiLevelType w:val="multilevel"/>
    <w:tmpl w:val="2C343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23E0145"/>
    <w:multiLevelType w:val="multilevel"/>
    <w:tmpl w:val="9FF40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CD122CE"/>
    <w:multiLevelType w:val="multilevel"/>
    <w:tmpl w:val="E632B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604108"/>
    <w:multiLevelType w:val="multilevel"/>
    <w:tmpl w:val="1CDA4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69318AB"/>
    <w:multiLevelType w:val="multilevel"/>
    <w:tmpl w:val="329AC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F383057"/>
    <w:multiLevelType w:val="hybridMultilevel"/>
    <w:tmpl w:val="C8E6D4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2CA2E2E"/>
    <w:multiLevelType w:val="multilevel"/>
    <w:tmpl w:val="C34CC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180CD6"/>
    <w:multiLevelType w:val="hybridMultilevel"/>
    <w:tmpl w:val="7BCEFE18"/>
    <w:lvl w:ilvl="0" w:tplc="1009000F">
      <w:start w:val="4"/>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35A94D3D"/>
    <w:multiLevelType w:val="multilevel"/>
    <w:tmpl w:val="A24A5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80B4713"/>
    <w:multiLevelType w:val="multilevel"/>
    <w:tmpl w:val="B712A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01F24C6"/>
    <w:multiLevelType w:val="multilevel"/>
    <w:tmpl w:val="20828500"/>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2F62C4A"/>
    <w:multiLevelType w:val="multilevel"/>
    <w:tmpl w:val="BD669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63656B9"/>
    <w:multiLevelType w:val="multilevel"/>
    <w:tmpl w:val="8F22A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3D42A3B"/>
    <w:multiLevelType w:val="multilevel"/>
    <w:tmpl w:val="A5543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B103FF0"/>
    <w:multiLevelType w:val="multilevel"/>
    <w:tmpl w:val="53B0E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C0B68F4"/>
    <w:multiLevelType w:val="multilevel"/>
    <w:tmpl w:val="35FEC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59308C4"/>
    <w:multiLevelType w:val="multilevel"/>
    <w:tmpl w:val="CCC40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D925232"/>
    <w:multiLevelType w:val="multilevel"/>
    <w:tmpl w:val="23AE0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58F2F9B"/>
    <w:multiLevelType w:val="multilevel"/>
    <w:tmpl w:val="28F45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5C67D42"/>
    <w:multiLevelType w:val="multilevel"/>
    <w:tmpl w:val="5F56D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705540E"/>
    <w:multiLevelType w:val="multilevel"/>
    <w:tmpl w:val="B56A23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8"/>
  </w:num>
  <w:num w:numId="2">
    <w:abstractNumId w:val="21"/>
  </w:num>
  <w:num w:numId="3">
    <w:abstractNumId w:val="17"/>
  </w:num>
  <w:num w:numId="4">
    <w:abstractNumId w:val="22"/>
  </w:num>
  <w:num w:numId="5">
    <w:abstractNumId w:val="24"/>
  </w:num>
  <w:num w:numId="6">
    <w:abstractNumId w:val="31"/>
  </w:num>
  <w:num w:numId="7">
    <w:abstractNumId w:val="23"/>
  </w:num>
  <w:num w:numId="8">
    <w:abstractNumId w:val="19"/>
  </w:num>
  <w:num w:numId="9">
    <w:abstractNumId w:val="20"/>
  </w:num>
  <w:num w:numId="10">
    <w:abstractNumId w:val="11"/>
  </w:num>
  <w:num w:numId="11">
    <w:abstractNumId w:val="18"/>
  </w:num>
  <w:num w:numId="12">
    <w:abstractNumId w:val="27"/>
  </w:num>
  <w:num w:numId="13">
    <w:abstractNumId w:val="14"/>
  </w:num>
  <w:num w:numId="14">
    <w:abstractNumId w:val="10"/>
  </w:num>
  <w:num w:numId="15">
    <w:abstractNumId w:val="25"/>
  </w:num>
  <w:num w:numId="16">
    <w:abstractNumId w:val="12"/>
  </w:num>
  <w:num w:numId="17">
    <w:abstractNumId w:val="30"/>
  </w:num>
  <w:num w:numId="18">
    <w:abstractNumId w:val="26"/>
  </w:num>
  <w:num w:numId="19">
    <w:abstractNumId w:val="13"/>
  </w:num>
  <w:num w:numId="20">
    <w:abstractNumId w:val="15"/>
  </w:num>
  <w:num w:numId="21">
    <w:abstractNumId w:val="29"/>
  </w:num>
  <w:num w:numId="22">
    <w:abstractNumId w:val="16"/>
  </w:num>
  <w:num w:numId="23">
    <w:abstractNumId w:val="9"/>
  </w:num>
  <w:num w:numId="24">
    <w:abstractNumId w:val="7"/>
  </w:num>
  <w:num w:numId="25">
    <w:abstractNumId w:val="6"/>
  </w:num>
  <w:num w:numId="26">
    <w:abstractNumId w:val="5"/>
  </w:num>
  <w:num w:numId="27">
    <w:abstractNumId w:val="4"/>
  </w:num>
  <w:num w:numId="28">
    <w:abstractNumId w:val="8"/>
  </w:num>
  <w:num w:numId="29">
    <w:abstractNumId w:val="3"/>
  </w:num>
  <w:num w:numId="30">
    <w:abstractNumId w:val="2"/>
  </w:num>
  <w:num w:numId="31">
    <w:abstractNumId w:val="1"/>
  </w:num>
  <w:num w:numId="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en-GB" w:vendorID="64" w:dllVersion="0" w:nlCheck="1" w:checkStyle="0"/>
  <w:activeWritingStyle w:appName="MSWord" w:lang="en-CA" w:vendorID="64" w:dllVersion="0" w:nlCheck="1" w:checkStyle="0"/>
  <w:activeWritingStyle w:appName="MSWord" w:lang="it-IT" w:vendorID="64" w:dllVersion="0" w:nlCheck="1" w:checkStyle="0"/>
  <w:activeWritingStyle w:appName="MSWord" w:lang="pt-BR" w:vendorID="64" w:dllVersion="0" w:nlCheck="1" w:checkStyle="0"/>
  <w:activeWritingStyle w:appName="MSWord" w:lang="en-CA" w:vendorID="64" w:dllVersion="6" w:nlCheck="1" w:checkStyle="1"/>
  <w:defaultTabStop w:val="720"/>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TAwtTQwNjS3tDC2tLBU0lEKTi0uzszPAykwrAUA4lLEIywAAAA="/>
  </w:docVars>
  <w:rsids>
    <w:rsidRoot w:val="00A740A6"/>
    <w:rsid w:val="00001B8B"/>
    <w:rsid w:val="00002773"/>
    <w:rsid w:val="00002C95"/>
    <w:rsid w:val="00002E12"/>
    <w:rsid w:val="00006B59"/>
    <w:rsid w:val="00006F9E"/>
    <w:rsid w:val="00007E38"/>
    <w:rsid w:val="00011AE3"/>
    <w:rsid w:val="00011C23"/>
    <w:rsid w:val="0001282F"/>
    <w:rsid w:val="00012E26"/>
    <w:rsid w:val="00016A27"/>
    <w:rsid w:val="0002023B"/>
    <w:rsid w:val="000234C0"/>
    <w:rsid w:val="00024D3D"/>
    <w:rsid w:val="000251C5"/>
    <w:rsid w:val="00026153"/>
    <w:rsid w:val="00027F26"/>
    <w:rsid w:val="00030E3F"/>
    <w:rsid w:val="00033486"/>
    <w:rsid w:val="00033706"/>
    <w:rsid w:val="00035339"/>
    <w:rsid w:val="00036E3A"/>
    <w:rsid w:val="000425B1"/>
    <w:rsid w:val="000437AD"/>
    <w:rsid w:val="00044AE7"/>
    <w:rsid w:val="00045A5A"/>
    <w:rsid w:val="0004727B"/>
    <w:rsid w:val="00052CE0"/>
    <w:rsid w:val="00053345"/>
    <w:rsid w:val="000536B9"/>
    <w:rsid w:val="000603F2"/>
    <w:rsid w:val="0006266F"/>
    <w:rsid w:val="00062681"/>
    <w:rsid w:val="00062816"/>
    <w:rsid w:val="00064B66"/>
    <w:rsid w:val="00067685"/>
    <w:rsid w:val="00067BC2"/>
    <w:rsid w:val="00067C50"/>
    <w:rsid w:val="00071E54"/>
    <w:rsid w:val="0007423C"/>
    <w:rsid w:val="00075C5B"/>
    <w:rsid w:val="00075EE9"/>
    <w:rsid w:val="000825E5"/>
    <w:rsid w:val="00082DAC"/>
    <w:rsid w:val="00087142"/>
    <w:rsid w:val="0009033A"/>
    <w:rsid w:val="00090F7F"/>
    <w:rsid w:val="00096441"/>
    <w:rsid w:val="00096B92"/>
    <w:rsid w:val="000974D3"/>
    <w:rsid w:val="000A09A8"/>
    <w:rsid w:val="000A111E"/>
    <w:rsid w:val="000A5E6C"/>
    <w:rsid w:val="000B066F"/>
    <w:rsid w:val="000B31AF"/>
    <w:rsid w:val="000C162A"/>
    <w:rsid w:val="000C2D82"/>
    <w:rsid w:val="000C3531"/>
    <w:rsid w:val="000D231D"/>
    <w:rsid w:val="000D6CBF"/>
    <w:rsid w:val="000E09D6"/>
    <w:rsid w:val="000E147A"/>
    <w:rsid w:val="000E2775"/>
    <w:rsid w:val="000E384E"/>
    <w:rsid w:val="000E3921"/>
    <w:rsid w:val="000E43E8"/>
    <w:rsid w:val="000E5D70"/>
    <w:rsid w:val="000F0385"/>
    <w:rsid w:val="000F0E48"/>
    <w:rsid w:val="000F1235"/>
    <w:rsid w:val="000F1757"/>
    <w:rsid w:val="000F20C0"/>
    <w:rsid w:val="000F379A"/>
    <w:rsid w:val="000F6144"/>
    <w:rsid w:val="000F61F5"/>
    <w:rsid w:val="000F66D2"/>
    <w:rsid w:val="000F6C5E"/>
    <w:rsid w:val="00101CF9"/>
    <w:rsid w:val="00103098"/>
    <w:rsid w:val="00111963"/>
    <w:rsid w:val="0011428F"/>
    <w:rsid w:val="001152A7"/>
    <w:rsid w:val="00116786"/>
    <w:rsid w:val="001167D2"/>
    <w:rsid w:val="00117984"/>
    <w:rsid w:val="00117AE3"/>
    <w:rsid w:val="00121F32"/>
    <w:rsid w:val="0012312A"/>
    <w:rsid w:val="00126837"/>
    <w:rsid w:val="00131279"/>
    <w:rsid w:val="00137500"/>
    <w:rsid w:val="00140D90"/>
    <w:rsid w:val="0014156C"/>
    <w:rsid w:val="001449E2"/>
    <w:rsid w:val="00145E58"/>
    <w:rsid w:val="00151EBB"/>
    <w:rsid w:val="001532B3"/>
    <w:rsid w:val="00153AC9"/>
    <w:rsid w:val="001575E4"/>
    <w:rsid w:val="00157A78"/>
    <w:rsid w:val="00161FCA"/>
    <w:rsid w:val="0016266A"/>
    <w:rsid w:val="001631AB"/>
    <w:rsid w:val="001635ED"/>
    <w:rsid w:val="00163723"/>
    <w:rsid w:val="00166441"/>
    <w:rsid w:val="00172290"/>
    <w:rsid w:val="00173239"/>
    <w:rsid w:val="001762D0"/>
    <w:rsid w:val="00176B6B"/>
    <w:rsid w:val="00184478"/>
    <w:rsid w:val="00184E51"/>
    <w:rsid w:val="001852FF"/>
    <w:rsid w:val="00185468"/>
    <w:rsid w:val="00187639"/>
    <w:rsid w:val="001910A6"/>
    <w:rsid w:val="00194185"/>
    <w:rsid w:val="00195DEF"/>
    <w:rsid w:val="001A3465"/>
    <w:rsid w:val="001A7C4A"/>
    <w:rsid w:val="001A7D4E"/>
    <w:rsid w:val="001B0E68"/>
    <w:rsid w:val="001B40D5"/>
    <w:rsid w:val="001B4631"/>
    <w:rsid w:val="001B4B06"/>
    <w:rsid w:val="001B61EB"/>
    <w:rsid w:val="001B6656"/>
    <w:rsid w:val="001B6AD0"/>
    <w:rsid w:val="001B7F23"/>
    <w:rsid w:val="001C35AB"/>
    <w:rsid w:val="001C3F94"/>
    <w:rsid w:val="001C48D9"/>
    <w:rsid w:val="001D213D"/>
    <w:rsid w:val="001D4014"/>
    <w:rsid w:val="001D52E1"/>
    <w:rsid w:val="001E2B2C"/>
    <w:rsid w:val="001E786E"/>
    <w:rsid w:val="001E7C72"/>
    <w:rsid w:val="001F1881"/>
    <w:rsid w:val="001F55F9"/>
    <w:rsid w:val="001F60EC"/>
    <w:rsid w:val="001F75C5"/>
    <w:rsid w:val="002013B7"/>
    <w:rsid w:val="00201470"/>
    <w:rsid w:val="00206299"/>
    <w:rsid w:val="00215433"/>
    <w:rsid w:val="00220D55"/>
    <w:rsid w:val="00224B4C"/>
    <w:rsid w:val="00224BFE"/>
    <w:rsid w:val="002256C5"/>
    <w:rsid w:val="00225AFC"/>
    <w:rsid w:val="00225DE0"/>
    <w:rsid w:val="002269AE"/>
    <w:rsid w:val="00227C3F"/>
    <w:rsid w:val="00227ECB"/>
    <w:rsid w:val="002400BC"/>
    <w:rsid w:val="00242716"/>
    <w:rsid w:val="002430C1"/>
    <w:rsid w:val="00246AD9"/>
    <w:rsid w:val="0024785A"/>
    <w:rsid w:val="00251CA6"/>
    <w:rsid w:val="002526B3"/>
    <w:rsid w:val="00252DEE"/>
    <w:rsid w:val="00262D56"/>
    <w:rsid w:val="002639FF"/>
    <w:rsid w:val="00264CBE"/>
    <w:rsid w:val="0026636B"/>
    <w:rsid w:val="00266748"/>
    <w:rsid w:val="0026763B"/>
    <w:rsid w:val="002727A4"/>
    <w:rsid w:val="002743EF"/>
    <w:rsid w:val="0027529F"/>
    <w:rsid w:val="00275C4A"/>
    <w:rsid w:val="00276882"/>
    <w:rsid w:val="00277DC6"/>
    <w:rsid w:val="002821D0"/>
    <w:rsid w:val="00282D58"/>
    <w:rsid w:val="0028526D"/>
    <w:rsid w:val="00286125"/>
    <w:rsid w:val="0028795C"/>
    <w:rsid w:val="00291EFB"/>
    <w:rsid w:val="00293DE8"/>
    <w:rsid w:val="002A036E"/>
    <w:rsid w:val="002A117D"/>
    <w:rsid w:val="002A1AFA"/>
    <w:rsid w:val="002A3A6B"/>
    <w:rsid w:val="002A5070"/>
    <w:rsid w:val="002B4A23"/>
    <w:rsid w:val="002B68A1"/>
    <w:rsid w:val="002C58D2"/>
    <w:rsid w:val="002C6173"/>
    <w:rsid w:val="002D0075"/>
    <w:rsid w:val="002D0124"/>
    <w:rsid w:val="002D2607"/>
    <w:rsid w:val="002D3EEF"/>
    <w:rsid w:val="002D42FD"/>
    <w:rsid w:val="002E025F"/>
    <w:rsid w:val="002E1121"/>
    <w:rsid w:val="002E6713"/>
    <w:rsid w:val="002F0FF5"/>
    <w:rsid w:val="002F1A58"/>
    <w:rsid w:val="002F2D4D"/>
    <w:rsid w:val="002F5051"/>
    <w:rsid w:val="002F6368"/>
    <w:rsid w:val="002F7A94"/>
    <w:rsid w:val="00302BD7"/>
    <w:rsid w:val="00304465"/>
    <w:rsid w:val="00306C98"/>
    <w:rsid w:val="00307D74"/>
    <w:rsid w:val="003119E7"/>
    <w:rsid w:val="003125FE"/>
    <w:rsid w:val="00314302"/>
    <w:rsid w:val="00314473"/>
    <w:rsid w:val="0031771F"/>
    <w:rsid w:val="00324504"/>
    <w:rsid w:val="0032519D"/>
    <w:rsid w:val="0032653F"/>
    <w:rsid w:val="00326792"/>
    <w:rsid w:val="00326FAC"/>
    <w:rsid w:val="00330A29"/>
    <w:rsid w:val="00332E1F"/>
    <w:rsid w:val="003352B7"/>
    <w:rsid w:val="00335678"/>
    <w:rsid w:val="00337E47"/>
    <w:rsid w:val="003477AF"/>
    <w:rsid w:val="003500D6"/>
    <w:rsid w:val="0035032E"/>
    <w:rsid w:val="00351217"/>
    <w:rsid w:val="00353C7E"/>
    <w:rsid w:val="003543C5"/>
    <w:rsid w:val="00355DEE"/>
    <w:rsid w:val="00357E92"/>
    <w:rsid w:val="0036489B"/>
    <w:rsid w:val="00364C98"/>
    <w:rsid w:val="00364F31"/>
    <w:rsid w:val="00365BBB"/>
    <w:rsid w:val="00366796"/>
    <w:rsid w:val="00371155"/>
    <w:rsid w:val="00372FC7"/>
    <w:rsid w:val="003763DF"/>
    <w:rsid w:val="00377DBB"/>
    <w:rsid w:val="00384328"/>
    <w:rsid w:val="00387303"/>
    <w:rsid w:val="00387381"/>
    <w:rsid w:val="00391239"/>
    <w:rsid w:val="003970AB"/>
    <w:rsid w:val="003974E0"/>
    <w:rsid w:val="003A0434"/>
    <w:rsid w:val="003A24FE"/>
    <w:rsid w:val="003A5BF1"/>
    <w:rsid w:val="003A69F2"/>
    <w:rsid w:val="003A6A40"/>
    <w:rsid w:val="003B154D"/>
    <w:rsid w:val="003B1A07"/>
    <w:rsid w:val="003B1FAB"/>
    <w:rsid w:val="003B2C53"/>
    <w:rsid w:val="003B6D29"/>
    <w:rsid w:val="003C1079"/>
    <w:rsid w:val="003C2AA5"/>
    <w:rsid w:val="003C3001"/>
    <w:rsid w:val="003C59F5"/>
    <w:rsid w:val="003C5A22"/>
    <w:rsid w:val="003C6591"/>
    <w:rsid w:val="003D151C"/>
    <w:rsid w:val="003D7966"/>
    <w:rsid w:val="003D7C9A"/>
    <w:rsid w:val="003E0F32"/>
    <w:rsid w:val="003E2150"/>
    <w:rsid w:val="003E4922"/>
    <w:rsid w:val="003E64F0"/>
    <w:rsid w:val="003E760D"/>
    <w:rsid w:val="003F1E2E"/>
    <w:rsid w:val="003F3AF1"/>
    <w:rsid w:val="003F5C4C"/>
    <w:rsid w:val="0040079D"/>
    <w:rsid w:val="00401F27"/>
    <w:rsid w:val="00406D99"/>
    <w:rsid w:val="00407D26"/>
    <w:rsid w:val="00410944"/>
    <w:rsid w:val="00415128"/>
    <w:rsid w:val="00416FE4"/>
    <w:rsid w:val="00420A12"/>
    <w:rsid w:val="0043299D"/>
    <w:rsid w:val="00433C81"/>
    <w:rsid w:val="0043617F"/>
    <w:rsid w:val="00440EED"/>
    <w:rsid w:val="004431A8"/>
    <w:rsid w:val="00443BFF"/>
    <w:rsid w:val="00444E44"/>
    <w:rsid w:val="00445997"/>
    <w:rsid w:val="00446D07"/>
    <w:rsid w:val="00451D15"/>
    <w:rsid w:val="00452214"/>
    <w:rsid w:val="0045450A"/>
    <w:rsid w:val="00457821"/>
    <w:rsid w:val="00461F5D"/>
    <w:rsid w:val="004628FF"/>
    <w:rsid w:val="00464834"/>
    <w:rsid w:val="004650DB"/>
    <w:rsid w:val="00465AFE"/>
    <w:rsid w:val="004669A2"/>
    <w:rsid w:val="0046709E"/>
    <w:rsid w:val="00467BB7"/>
    <w:rsid w:val="004704C6"/>
    <w:rsid w:val="00470A10"/>
    <w:rsid w:val="00470A91"/>
    <w:rsid w:val="00470DEC"/>
    <w:rsid w:val="00471B2D"/>
    <w:rsid w:val="00472119"/>
    <w:rsid w:val="00474A52"/>
    <w:rsid w:val="00475FAC"/>
    <w:rsid w:val="004766F3"/>
    <w:rsid w:val="00476AFC"/>
    <w:rsid w:val="004774F8"/>
    <w:rsid w:val="00477C18"/>
    <w:rsid w:val="004802C6"/>
    <w:rsid w:val="004807E6"/>
    <w:rsid w:val="004846E4"/>
    <w:rsid w:val="00490B50"/>
    <w:rsid w:val="00491FC5"/>
    <w:rsid w:val="004975E4"/>
    <w:rsid w:val="004A300A"/>
    <w:rsid w:val="004A7FE3"/>
    <w:rsid w:val="004B172F"/>
    <w:rsid w:val="004B1A98"/>
    <w:rsid w:val="004B296C"/>
    <w:rsid w:val="004B2A40"/>
    <w:rsid w:val="004B2EC0"/>
    <w:rsid w:val="004B60A9"/>
    <w:rsid w:val="004B64FC"/>
    <w:rsid w:val="004C0ADA"/>
    <w:rsid w:val="004C58FA"/>
    <w:rsid w:val="004D34BE"/>
    <w:rsid w:val="004D4BD7"/>
    <w:rsid w:val="004D5126"/>
    <w:rsid w:val="004D5BBA"/>
    <w:rsid w:val="004D67E4"/>
    <w:rsid w:val="004E13CA"/>
    <w:rsid w:val="004E2EC2"/>
    <w:rsid w:val="004E3BA3"/>
    <w:rsid w:val="004E4229"/>
    <w:rsid w:val="004E4B20"/>
    <w:rsid w:val="004E5209"/>
    <w:rsid w:val="004F0F64"/>
    <w:rsid w:val="004F116D"/>
    <w:rsid w:val="004F1735"/>
    <w:rsid w:val="004F26DE"/>
    <w:rsid w:val="004F2C30"/>
    <w:rsid w:val="004F4C68"/>
    <w:rsid w:val="004F4DC4"/>
    <w:rsid w:val="004F536F"/>
    <w:rsid w:val="004F5B9D"/>
    <w:rsid w:val="00500F25"/>
    <w:rsid w:val="00501C25"/>
    <w:rsid w:val="00507D54"/>
    <w:rsid w:val="00510AE2"/>
    <w:rsid w:val="00511371"/>
    <w:rsid w:val="005123DA"/>
    <w:rsid w:val="00514CF1"/>
    <w:rsid w:val="005164CA"/>
    <w:rsid w:val="005169DA"/>
    <w:rsid w:val="00516A74"/>
    <w:rsid w:val="00520C52"/>
    <w:rsid w:val="00521DDC"/>
    <w:rsid w:val="005222E7"/>
    <w:rsid w:val="00526A17"/>
    <w:rsid w:val="005271F1"/>
    <w:rsid w:val="005313F7"/>
    <w:rsid w:val="00531444"/>
    <w:rsid w:val="00532946"/>
    <w:rsid w:val="00541689"/>
    <w:rsid w:val="005443C9"/>
    <w:rsid w:val="00546F5D"/>
    <w:rsid w:val="005475B0"/>
    <w:rsid w:val="005511F9"/>
    <w:rsid w:val="005533C0"/>
    <w:rsid w:val="00553D1B"/>
    <w:rsid w:val="00555E65"/>
    <w:rsid w:val="00560824"/>
    <w:rsid w:val="005624EB"/>
    <w:rsid w:val="005634F4"/>
    <w:rsid w:val="005636A7"/>
    <w:rsid w:val="00564D92"/>
    <w:rsid w:val="0056702C"/>
    <w:rsid w:val="005722C5"/>
    <w:rsid w:val="00572442"/>
    <w:rsid w:val="00572943"/>
    <w:rsid w:val="00573A00"/>
    <w:rsid w:val="00574F82"/>
    <w:rsid w:val="00583052"/>
    <w:rsid w:val="005831D7"/>
    <w:rsid w:val="005843FA"/>
    <w:rsid w:val="00586E24"/>
    <w:rsid w:val="00592507"/>
    <w:rsid w:val="0059262C"/>
    <w:rsid w:val="00593C3F"/>
    <w:rsid w:val="00594491"/>
    <w:rsid w:val="00595884"/>
    <w:rsid w:val="00597B94"/>
    <w:rsid w:val="005A0217"/>
    <w:rsid w:val="005A0E80"/>
    <w:rsid w:val="005A0FDB"/>
    <w:rsid w:val="005A1D3B"/>
    <w:rsid w:val="005A5682"/>
    <w:rsid w:val="005B12BF"/>
    <w:rsid w:val="005B28E0"/>
    <w:rsid w:val="005B3E30"/>
    <w:rsid w:val="005B425E"/>
    <w:rsid w:val="005C02C2"/>
    <w:rsid w:val="005C09E4"/>
    <w:rsid w:val="005C4C7B"/>
    <w:rsid w:val="005C52DA"/>
    <w:rsid w:val="005C5EBC"/>
    <w:rsid w:val="005C60BF"/>
    <w:rsid w:val="005D5676"/>
    <w:rsid w:val="005E160D"/>
    <w:rsid w:val="005E174B"/>
    <w:rsid w:val="005E3194"/>
    <w:rsid w:val="005F03D5"/>
    <w:rsid w:val="005F0A86"/>
    <w:rsid w:val="005F0CAB"/>
    <w:rsid w:val="005F172A"/>
    <w:rsid w:val="005F246F"/>
    <w:rsid w:val="005F25DE"/>
    <w:rsid w:val="005F520B"/>
    <w:rsid w:val="005F5F99"/>
    <w:rsid w:val="006028AA"/>
    <w:rsid w:val="00603167"/>
    <w:rsid w:val="0060386E"/>
    <w:rsid w:val="00611641"/>
    <w:rsid w:val="006143D8"/>
    <w:rsid w:val="006161B1"/>
    <w:rsid w:val="0062323A"/>
    <w:rsid w:val="006241A4"/>
    <w:rsid w:val="0063031A"/>
    <w:rsid w:val="00632902"/>
    <w:rsid w:val="00632B25"/>
    <w:rsid w:val="00633EB5"/>
    <w:rsid w:val="00634286"/>
    <w:rsid w:val="00640FB2"/>
    <w:rsid w:val="00643847"/>
    <w:rsid w:val="006463FE"/>
    <w:rsid w:val="00647B98"/>
    <w:rsid w:val="00652340"/>
    <w:rsid w:val="00655A22"/>
    <w:rsid w:val="00663498"/>
    <w:rsid w:val="006659A6"/>
    <w:rsid w:val="0066645F"/>
    <w:rsid w:val="006666A6"/>
    <w:rsid w:val="0067387B"/>
    <w:rsid w:val="0067553B"/>
    <w:rsid w:val="00676000"/>
    <w:rsid w:val="00677592"/>
    <w:rsid w:val="00682418"/>
    <w:rsid w:val="00683C94"/>
    <w:rsid w:val="0068669D"/>
    <w:rsid w:val="00693832"/>
    <w:rsid w:val="006945E6"/>
    <w:rsid w:val="0069522E"/>
    <w:rsid w:val="0069705C"/>
    <w:rsid w:val="006A0D39"/>
    <w:rsid w:val="006A5045"/>
    <w:rsid w:val="006A573D"/>
    <w:rsid w:val="006A742A"/>
    <w:rsid w:val="006B2395"/>
    <w:rsid w:val="006B2E15"/>
    <w:rsid w:val="006B51FB"/>
    <w:rsid w:val="006B5565"/>
    <w:rsid w:val="006B6BD9"/>
    <w:rsid w:val="006C4341"/>
    <w:rsid w:val="006C4BE3"/>
    <w:rsid w:val="006C7090"/>
    <w:rsid w:val="006D0CCC"/>
    <w:rsid w:val="006D13D5"/>
    <w:rsid w:val="006D2976"/>
    <w:rsid w:val="006D5045"/>
    <w:rsid w:val="006D5B3E"/>
    <w:rsid w:val="006E3432"/>
    <w:rsid w:val="006E75D6"/>
    <w:rsid w:val="006F009E"/>
    <w:rsid w:val="006F091D"/>
    <w:rsid w:val="006F0E51"/>
    <w:rsid w:val="006F1998"/>
    <w:rsid w:val="006F1C5E"/>
    <w:rsid w:val="006F1E61"/>
    <w:rsid w:val="006F6B87"/>
    <w:rsid w:val="006F7744"/>
    <w:rsid w:val="006F7CF4"/>
    <w:rsid w:val="006F7D5B"/>
    <w:rsid w:val="006F7F10"/>
    <w:rsid w:val="0070077B"/>
    <w:rsid w:val="007015C4"/>
    <w:rsid w:val="00703DDB"/>
    <w:rsid w:val="0070635E"/>
    <w:rsid w:val="007067A8"/>
    <w:rsid w:val="00713BF3"/>
    <w:rsid w:val="00714AE4"/>
    <w:rsid w:val="00716033"/>
    <w:rsid w:val="00720046"/>
    <w:rsid w:val="00720D4A"/>
    <w:rsid w:val="00723BBF"/>
    <w:rsid w:val="00727C46"/>
    <w:rsid w:val="0073221D"/>
    <w:rsid w:val="00733C94"/>
    <w:rsid w:val="00734208"/>
    <w:rsid w:val="0073572B"/>
    <w:rsid w:val="00737761"/>
    <w:rsid w:val="00737A56"/>
    <w:rsid w:val="0074009D"/>
    <w:rsid w:val="00741164"/>
    <w:rsid w:val="00750091"/>
    <w:rsid w:val="007514AE"/>
    <w:rsid w:val="00751E42"/>
    <w:rsid w:val="00755272"/>
    <w:rsid w:val="00756F07"/>
    <w:rsid w:val="00757D40"/>
    <w:rsid w:val="007624B1"/>
    <w:rsid w:val="00763C72"/>
    <w:rsid w:val="00765ED7"/>
    <w:rsid w:val="00776399"/>
    <w:rsid w:val="007803AB"/>
    <w:rsid w:val="007815FF"/>
    <w:rsid w:val="007821DC"/>
    <w:rsid w:val="00782B22"/>
    <w:rsid w:val="00784001"/>
    <w:rsid w:val="007843C3"/>
    <w:rsid w:val="00786BBD"/>
    <w:rsid w:val="00790791"/>
    <w:rsid w:val="00792CAA"/>
    <w:rsid w:val="00794A7C"/>
    <w:rsid w:val="00795411"/>
    <w:rsid w:val="00796848"/>
    <w:rsid w:val="007A4186"/>
    <w:rsid w:val="007A6D7C"/>
    <w:rsid w:val="007A6D7D"/>
    <w:rsid w:val="007B1DEE"/>
    <w:rsid w:val="007C37C3"/>
    <w:rsid w:val="007C5D4E"/>
    <w:rsid w:val="007C609C"/>
    <w:rsid w:val="007C734F"/>
    <w:rsid w:val="007C7B0F"/>
    <w:rsid w:val="007D0C28"/>
    <w:rsid w:val="007D1BEE"/>
    <w:rsid w:val="007E3918"/>
    <w:rsid w:val="007E74B2"/>
    <w:rsid w:val="007F0444"/>
    <w:rsid w:val="007F1A32"/>
    <w:rsid w:val="007F41B2"/>
    <w:rsid w:val="007F4C02"/>
    <w:rsid w:val="007F7A13"/>
    <w:rsid w:val="00800C96"/>
    <w:rsid w:val="0080107E"/>
    <w:rsid w:val="008034B5"/>
    <w:rsid w:val="00803ABC"/>
    <w:rsid w:val="00804319"/>
    <w:rsid w:val="0080574B"/>
    <w:rsid w:val="008060EE"/>
    <w:rsid w:val="00806537"/>
    <w:rsid w:val="008114D3"/>
    <w:rsid w:val="00811792"/>
    <w:rsid w:val="008124F4"/>
    <w:rsid w:val="00812A47"/>
    <w:rsid w:val="008157C8"/>
    <w:rsid w:val="00816487"/>
    <w:rsid w:val="00816DC9"/>
    <w:rsid w:val="008176E7"/>
    <w:rsid w:val="008215D4"/>
    <w:rsid w:val="0082185D"/>
    <w:rsid w:val="00821A40"/>
    <w:rsid w:val="00824602"/>
    <w:rsid w:val="00827E8F"/>
    <w:rsid w:val="00831F22"/>
    <w:rsid w:val="008377CB"/>
    <w:rsid w:val="00840EB0"/>
    <w:rsid w:val="00846000"/>
    <w:rsid w:val="008462FE"/>
    <w:rsid w:val="0084668F"/>
    <w:rsid w:val="00846AAC"/>
    <w:rsid w:val="00846F08"/>
    <w:rsid w:val="008531B3"/>
    <w:rsid w:val="00853C25"/>
    <w:rsid w:val="0085580A"/>
    <w:rsid w:val="008567A6"/>
    <w:rsid w:val="00857F02"/>
    <w:rsid w:val="008601A7"/>
    <w:rsid w:val="00861CE2"/>
    <w:rsid w:val="00862A69"/>
    <w:rsid w:val="00863E11"/>
    <w:rsid w:val="00873BB2"/>
    <w:rsid w:val="00874969"/>
    <w:rsid w:val="008804E0"/>
    <w:rsid w:val="0088206D"/>
    <w:rsid w:val="00883C4E"/>
    <w:rsid w:val="00884378"/>
    <w:rsid w:val="0088452D"/>
    <w:rsid w:val="00884683"/>
    <w:rsid w:val="008858BE"/>
    <w:rsid w:val="0088605F"/>
    <w:rsid w:val="008907CF"/>
    <w:rsid w:val="00891B45"/>
    <w:rsid w:val="00892590"/>
    <w:rsid w:val="00892A33"/>
    <w:rsid w:val="0089377F"/>
    <w:rsid w:val="00895318"/>
    <w:rsid w:val="00897C51"/>
    <w:rsid w:val="008A2C54"/>
    <w:rsid w:val="008A5F3F"/>
    <w:rsid w:val="008B0290"/>
    <w:rsid w:val="008B02A7"/>
    <w:rsid w:val="008B344E"/>
    <w:rsid w:val="008B5AA4"/>
    <w:rsid w:val="008B7059"/>
    <w:rsid w:val="008C0D7A"/>
    <w:rsid w:val="008D1377"/>
    <w:rsid w:val="008D52D7"/>
    <w:rsid w:val="008D6E58"/>
    <w:rsid w:val="008E0589"/>
    <w:rsid w:val="008E1757"/>
    <w:rsid w:val="008E1A39"/>
    <w:rsid w:val="008E2204"/>
    <w:rsid w:val="008E2815"/>
    <w:rsid w:val="008E3D24"/>
    <w:rsid w:val="008E3DA5"/>
    <w:rsid w:val="008E526D"/>
    <w:rsid w:val="008F0511"/>
    <w:rsid w:val="008F06D1"/>
    <w:rsid w:val="009008AE"/>
    <w:rsid w:val="00900E73"/>
    <w:rsid w:val="00901E29"/>
    <w:rsid w:val="00902229"/>
    <w:rsid w:val="00904F6D"/>
    <w:rsid w:val="009075DD"/>
    <w:rsid w:val="00912D29"/>
    <w:rsid w:val="009140B4"/>
    <w:rsid w:val="009154A3"/>
    <w:rsid w:val="00916282"/>
    <w:rsid w:val="009179BA"/>
    <w:rsid w:val="00921DF8"/>
    <w:rsid w:val="00924399"/>
    <w:rsid w:val="00924E03"/>
    <w:rsid w:val="0092611E"/>
    <w:rsid w:val="00933AE7"/>
    <w:rsid w:val="009346C1"/>
    <w:rsid w:val="00936320"/>
    <w:rsid w:val="00936A68"/>
    <w:rsid w:val="00940D83"/>
    <w:rsid w:val="00945604"/>
    <w:rsid w:val="00951CA3"/>
    <w:rsid w:val="00960F4E"/>
    <w:rsid w:val="00961647"/>
    <w:rsid w:val="00962635"/>
    <w:rsid w:val="0096298A"/>
    <w:rsid w:val="00966D9C"/>
    <w:rsid w:val="00970474"/>
    <w:rsid w:val="00970FE7"/>
    <w:rsid w:val="00973D1B"/>
    <w:rsid w:val="0097487F"/>
    <w:rsid w:val="00981804"/>
    <w:rsid w:val="00987C22"/>
    <w:rsid w:val="00993C7A"/>
    <w:rsid w:val="009A1DBD"/>
    <w:rsid w:val="009A3D90"/>
    <w:rsid w:val="009A4779"/>
    <w:rsid w:val="009B2020"/>
    <w:rsid w:val="009C0F21"/>
    <w:rsid w:val="009C1BC5"/>
    <w:rsid w:val="009C6000"/>
    <w:rsid w:val="009C630C"/>
    <w:rsid w:val="009C6455"/>
    <w:rsid w:val="009D2D72"/>
    <w:rsid w:val="009D450B"/>
    <w:rsid w:val="009E0C3B"/>
    <w:rsid w:val="009E2382"/>
    <w:rsid w:val="009E38E7"/>
    <w:rsid w:val="009E3FFB"/>
    <w:rsid w:val="009E5720"/>
    <w:rsid w:val="009E7530"/>
    <w:rsid w:val="009F0DFF"/>
    <w:rsid w:val="009F1194"/>
    <w:rsid w:val="009F1F53"/>
    <w:rsid w:val="009F253A"/>
    <w:rsid w:val="009F3737"/>
    <w:rsid w:val="009F5080"/>
    <w:rsid w:val="009F6932"/>
    <w:rsid w:val="009F795D"/>
    <w:rsid w:val="00A01065"/>
    <w:rsid w:val="00A023B7"/>
    <w:rsid w:val="00A02D82"/>
    <w:rsid w:val="00A141F3"/>
    <w:rsid w:val="00A14325"/>
    <w:rsid w:val="00A14654"/>
    <w:rsid w:val="00A21428"/>
    <w:rsid w:val="00A237D6"/>
    <w:rsid w:val="00A23DEC"/>
    <w:rsid w:val="00A253B4"/>
    <w:rsid w:val="00A318B7"/>
    <w:rsid w:val="00A34686"/>
    <w:rsid w:val="00A34978"/>
    <w:rsid w:val="00A35524"/>
    <w:rsid w:val="00A379A5"/>
    <w:rsid w:val="00A379EE"/>
    <w:rsid w:val="00A4237A"/>
    <w:rsid w:val="00A52A14"/>
    <w:rsid w:val="00A53622"/>
    <w:rsid w:val="00A54637"/>
    <w:rsid w:val="00A60CF8"/>
    <w:rsid w:val="00A64879"/>
    <w:rsid w:val="00A73262"/>
    <w:rsid w:val="00A740A6"/>
    <w:rsid w:val="00A74C8D"/>
    <w:rsid w:val="00A76AC2"/>
    <w:rsid w:val="00A8037A"/>
    <w:rsid w:val="00A80F6A"/>
    <w:rsid w:val="00A86D43"/>
    <w:rsid w:val="00A93B12"/>
    <w:rsid w:val="00A95B6D"/>
    <w:rsid w:val="00A96272"/>
    <w:rsid w:val="00A96A19"/>
    <w:rsid w:val="00AA0CFE"/>
    <w:rsid w:val="00AA1BDC"/>
    <w:rsid w:val="00AA274C"/>
    <w:rsid w:val="00AB0974"/>
    <w:rsid w:val="00AB21EA"/>
    <w:rsid w:val="00AB3FA5"/>
    <w:rsid w:val="00AB4482"/>
    <w:rsid w:val="00AB5BC6"/>
    <w:rsid w:val="00AC216D"/>
    <w:rsid w:val="00AC3D3C"/>
    <w:rsid w:val="00AC4CE7"/>
    <w:rsid w:val="00AC6670"/>
    <w:rsid w:val="00AC6C08"/>
    <w:rsid w:val="00AD0959"/>
    <w:rsid w:val="00AD44E2"/>
    <w:rsid w:val="00AD45A8"/>
    <w:rsid w:val="00AD5E39"/>
    <w:rsid w:val="00AD601F"/>
    <w:rsid w:val="00AD695F"/>
    <w:rsid w:val="00AD7797"/>
    <w:rsid w:val="00AE06EA"/>
    <w:rsid w:val="00AE77E1"/>
    <w:rsid w:val="00AE7C9C"/>
    <w:rsid w:val="00AF0C69"/>
    <w:rsid w:val="00AF1AAB"/>
    <w:rsid w:val="00AF5CCD"/>
    <w:rsid w:val="00AF5E1D"/>
    <w:rsid w:val="00B00703"/>
    <w:rsid w:val="00B017A2"/>
    <w:rsid w:val="00B02429"/>
    <w:rsid w:val="00B0369E"/>
    <w:rsid w:val="00B04130"/>
    <w:rsid w:val="00B05A2D"/>
    <w:rsid w:val="00B06785"/>
    <w:rsid w:val="00B13DB1"/>
    <w:rsid w:val="00B13F35"/>
    <w:rsid w:val="00B141A6"/>
    <w:rsid w:val="00B150CD"/>
    <w:rsid w:val="00B2072D"/>
    <w:rsid w:val="00B24021"/>
    <w:rsid w:val="00B254C1"/>
    <w:rsid w:val="00B26061"/>
    <w:rsid w:val="00B26D69"/>
    <w:rsid w:val="00B317F8"/>
    <w:rsid w:val="00B4264D"/>
    <w:rsid w:val="00B4337B"/>
    <w:rsid w:val="00B43618"/>
    <w:rsid w:val="00B436B7"/>
    <w:rsid w:val="00B46560"/>
    <w:rsid w:val="00B47058"/>
    <w:rsid w:val="00B47F2B"/>
    <w:rsid w:val="00B50127"/>
    <w:rsid w:val="00B560AD"/>
    <w:rsid w:val="00B629F2"/>
    <w:rsid w:val="00B638A2"/>
    <w:rsid w:val="00B64171"/>
    <w:rsid w:val="00B648E9"/>
    <w:rsid w:val="00B70079"/>
    <w:rsid w:val="00B72EA8"/>
    <w:rsid w:val="00B75FCA"/>
    <w:rsid w:val="00B77545"/>
    <w:rsid w:val="00B807EC"/>
    <w:rsid w:val="00B80AFF"/>
    <w:rsid w:val="00B818A1"/>
    <w:rsid w:val="00B84093"/>
    <w:rsid w:val="00B844A9"/>
    <w:rsid w:val="00B87ABF"/>
    <w:rsid w:val="00B9197B"/>
    <w:rsid w:val="00B9217B"/>
    <w:rsid w:val="00B964B0"/>
    <w:rsid w:val="00BA22DC"/>
    <w:rsid w:val="00BB0147"/>
    <w:rsid w:val="00BB3DE7"/>
    <w:rsid w:val="00BB77B4"/>
    <w:rsid w:val="00BC6D6D"/>
    <w:rsid w:val="00BC757A"/>
    <w:rsid w:val="00BD01E2"/>
    <w:rsid w:val="00BD0B01"/>
    <w:rsid w:val="00BD3CA5"/>
    <w:rsid w:val="00BD4414"/>
    <w:rsid w:val="00BD449E"/>
    <w:rsid w:val="00BD5D38"/>
    <w:rsid w:val="00BD5F72"/>
    <w:rsid w:val="00BD6B03"/>
    <w:rsid w:val="00BD71A7"/>
    <w:rsid w:val="00BD736C"/>
    <w:rsid w:val="00BD7DC7"/>
    <w:rsid w:val="00BE279E"/>
    <w:rsid w:val="00BE285B"/>
    <w:rsid w:val="00BE2F7E"/>
    <w:rsid w:val="00BE30B4"/>
    <w:rsid w:val="00BE313A"/>
    <w:rsid w:val="00BE5241"/>
    <w:rsid w:val="00BE6F84"/>
    <w:rsid w:val="00BF20EC"/>
    <w:rsid w:val="00BF4509"/>
    <w:rsid w:val="00BF4B01"/>
    <w:rsid w:val="00BF6B87"/>
    <w:rsid w:val="00BF6DF0"/>
    <w:rsid w:val="00C00DBB"/>
    <w:rsid w:val="00C01553"/>
    <w:rsid w:val="00C032E0"/>
    <w:rsid w:val="00C04EC6"/>
    <w:rsid w:val="00C060C5"/>
    <w:rsid w:val="00C0671E"/>
    <w:rsid w:val="00C07DFA"/>
    <w:rsid w:val="00C1440C"/>
    <w:rsid w:val="00C243AA"/>
    <w:rsid w:val="00C2479A"/>
    <w:rsid w:val="00C25FC4"/>
    <w:rsid w:val="00C26980"/>
    <w:rsid w:val="00C32986"/>
    <w:rsid w:val="00C37345"/>
    <w:rsid w:val="00C402C9"/>
    <w:rsid w:val="00C4033C"/>
    <w:rsid w:val="00C40E2C"/>
    <w:rsid w:val="00C4343D"/>
    <w:rsid w:val="00C44DE8"/>
    <w:rsid w:val="00C47501"/>
    <w:rsid w:val="00C517B9"/>
    <w:rsid w:val="00C52FF7"/>
    <w:rsid w:val="00C5305F"/>
    <w:rsid w:val="00C5568D"/>
    <w:rsid w:val="00C579E8"/>
    <w:rsid w:val="00C60EAF"/>
    <w:rsid w:val="00C61934"/>
    <w:rsid w:val="00C622C5"/>
    <w:rsid w:val="00C626B0"/>
    <w:rsid w:val="00C62DF6"/>
    <w:rsid w:val="00C63F3F"/>
    <w:rsid w:val="00C6726B"/>
    <w:rsid w:val="00C67BC1"/>
    <w:rsid w:val="00C825B5"/>
    <w:rsid w:val="00C8275D"/>
    <w:rsid w:val="00C82762"/>
    <w:rsid w:val="00C84018"/>
    <w:rsid w:val="00C85731"/>
    <w:rsid w:val="00C90144"/>
    <w:rsid w:val="00C906A8"/>
    <w:rsid w:val="00C915B6"/>
    <w:rsid w:val="00C91F38"/>
    <w:rsid w:val="00C92064"/>
    <w:rsid w:val="00C94627"/>
    <w:rsid w:val="00C966F9"/>
    <w:rsid w:val="00C96AE7"/>
    <w:rsid w:val="00CA74D1"/>
    <w:rsid w:val="00CA76A0"/>
    <w:rsid w:val="00CB05C8"/>
    <w:rsid w:val="00CB126B"/>
    <w:rsid w:val="00CB3AD3"/>
    <w:rsid w:val="00CB4DE0"/>
    <w:rsid w:val="00CB5B7F"/>
    <w:rsid w:val="00CB71D8"/>
    <w:rsid w:val="00CC0467"/>
    <w:rsid w:val="00CC2156"/>
    <w:rsid w:val="00CC4D7A"/>
    <w:rsid w:val="00CC53DD"/>
    <w:rsid w:val="00CC5EA9"/>
    <w:rsid w:val="00CC69BB"/>
    <w:rsid w:val="00CD66CB"/>
    <w:rsid w:val="00CE1525"/>
    <w:rsid w:val="00CE3A33"/>
    <w:rsid w:val="00CE5C34"/>
    <w:rsid w:val="00CE6046"/>
    <w:rsid w:val="00CE742E"/>
    <w:rsid w:val="00CF373C"/>
    <w:rsid w:val="00CF4316"/>
    <w:rsid w:val="00CF49BB"/>
    <w:rsid w:val="00CF510E"/>
    <w:rsid w:val="00CF5A36"/>
    <w:rsid w:val="00CF7BD3"/>
    <w:rsid w:val="00D014CA"/>
    <w:rsid w:val="00D02449"/>
    <w:rsid w:val="00D036F3"/>
    <w:rsid w:val="00D03754"/>
    <w:rsid w:val="00D145EA"/>
    <w:rsid w:val="00D1494F"/>
    <w:rsid w:val="00D162EC"/>
    <w:rsid w:val="00D17382"/>
    <w:rsid w:val="00D17F43"/>
    <w:rsid w:val="00D2150D"/>
    <w:rsid w:val="00D2307D"/>
    <w:rsid w:val="00D27588"/>
    <w:rsid w:val="00D3150A"/>
    <w:rsid w:val="00D34BA0"/>
    <w:rsid w:val="00D34E0B"/>
    <w:rsid w:val="00D3532B"/>
    <w:rsid w:val="00D40283"/>
    <w:rsid w:val="00D440F6"/>
    <w:rsid w:val="00D506D1"/>
    <w:rsid w:val="00D53236"/>
    <w:rsid w:val="00D53637"/>
    <w:rsid w:val="00D547B7"/>
    <w:rsid w:val="00D57162"/>
    <w:rsid w:val="00D574BB"/>
    <w:rsid w:val="00D57639"/>
    <w:rsid w:val="00D57E04"/>
    <w:rsid w:val="00D57F1C"/>
    <w:rsid w:val="00D610F8"/>
    <w:rsid w:val="00D6303C"/>
    <w:rsid w:val="00D661D6"/>
    <w:rsid w:val="00D67B07"/>
    <w:rsid w:val="00D71253"/>
    <w:rsid w:val="00D71797"/>
    <w:rsid w:val="00D71D2E"/>
    <w:rsid w:val="00D747D9"/>
    <w:rsid w:val="00D74C2C"/>
    <w:rsid w:val="00D76138"/>
    <w:rsid w:val="00D7740F"/>
    <w:rsid w:val="00D82C65"/>
    <w:rsid w:val="00D82E1B"/>
    <w:rsid w:val="00D860FD"/>
    <w:rsid w:val="00D90806"/>
    <w:rsid w:val="00D9190E"/>
    <w:rsid w:val="00D96CBE"/>
    <w:rsid w:val="00DA0747"/>
    <w:rsid w:val="00DA7126"/>
    <w:rsid w:val="00DA731A"/>
    <w:rsid w:val="00DB0606"/>
    <w:rsid w:val="00DB1683"/>
    <w:rsid w:val="00DB1DF1"/>
    <w:rsid w:val="00DB6E64"/>
    <w:rsid w:val="00DC0EC0"/>
    <w:rsid w:val="00DC4411"/>
    <w:rsid w:val="00DC6999"/>
    <w:rsid w:val="00DC79B0"/>
    <w:rsid w:val="00DC7ADB"/>
    <w:rsid w:val="00DD2EF3"/>
    <w:rsid w:val="00DD3086"/>
    <w:rsid w:val="00DD5A87"/>
    <w:rsid w:val="00DD5D26"/>
    <w:rsid w:val="00DD7736"/>
    <w:rsid w:val="00DE08FC"/>
    <w:rsid w:val="00DE39A4"/>
    <w:rsid w:val="00DE4681"/>
    <w:rsid w:val="00DE4937"/>
    <w:rsid w:val="00DE6DF4"/>
    <w:rsid w:val="00DE780C"/>
    <w:rsid w:val="00DF0BD3"/>
    <w:rsid w:val="00DF25AE"/>
    <w:rsid w:val="00DF5FE2"/>
    <w:rsid w:val="00DF5FEF"/>
    <w:rsid w:val="00DF7DDC"/>
    <w:rsid w:val="00E04033"/>
    <w:rsid w:val="00E04042"/>
    <w:rsid w:val="00E04395"/>
    <w:rsid w:val="00E07A4F"/>
    <w:rsid w:val="00E1056E"/>
    <w:rsid w:val="00E14BDA"/>
    <w:rsid w:val="00E15304"/>
    <w:rsid w:val="00E17A63"/>
    <w:rsid w:val="00E2645F"/>
    <w:rsid w:val="00E2669D"/>
    <w:rsid w:val="00E26904"/>
    <w:rsid w:val="00E275D0"/>
    <w:rsid w:val="00E2774D"/>
    <w:rsid w:val="00E36624"/>
    <w:rsid w:val="00E43289"/>
    <w:rsid w:val="00E47A68"/>
    <w:rsid w:val="00E5073E"/>
    <w:rsid w:val="00E50B57"/>
    <w:rsid w:val="00E5164B"/>
    <w:rsid w:val="00E53602"/>
    <w:rsid w:val="00E53A15"/>
    <w:rsid w:val="00E56EB4"/>
    <w:rsid w:val="00E64B2A"/>
    <w:rsid w:val="00E67055"/>
    <w:rsid w:val="00E721B3"/>
    <w:rsid w:val="00E740D0"/>
    <w:rsid w:val="00E7652F"/>
    <w:rsid w:val="00E7668C"/>
    <w:rsid w:val="00E77A9E"/>
    <w:rsid w:val="00E80377"/>
    <w:rsid w:val="00E821D5"/>
    <w:rsid w:val="00E83947"/>
    <w:rsid w:val="00E83C3D"/>
    <w:rsid w:val="00E83D56"/>
    <w:rsid w:val="00E90596"/>
    <w:rsid w:val="00E978B0"/>
    <w:rsid w:val="00EA0B6B"/>
    <w:rsid w:val="00EA3883"/>
    <w:rsid w:val="00EA554E"/>
    <w:rsid w:val="00EA6956"/>
    <w:rsid w:val="00EB013E"/>
    <w:rsid w:val="00EB0852"/>
    <w:rsid w:val="00EB10C5"/>
    <w:rsid w:val="00EB1ADD"/>
    <w:rsid w:val="00EB412D"/>
    <w:rsid w:val="00EB46F0"/>
    <w:rsid w:val="00EB4AA8"/>
    <w:rsid w:val="00EB522D"/>
    <w:rsid w:val="00EB5459"/>
    <w:rsid w:val="00EB5688"/>
    <w:rsid w:val="00EB704E"/>
    <w:rsid w:val="00EC1FF1"/>
    <w:rsid w:val="00EC3A79"/>
    <w:rsid w:val="00EC451A"/>
    <w:rsid w:val="00EC7069"/>
    <w:rsid w:val="00ED1070"/>
    <w:rsid w:val="00ED1EA7"/>
    <w:rsid w:val="00ED4F60"/>
    <w:rsid w:val="00ED6DFB"/>
    <w:rsid w:val="00EE4018"/>
    <w:rsid w:val="00EF0399"/>
    <w:rsid w:val="00EF04D3"/>
    <w:rsid w:val="00EF0E5E"/>
    <w:rsid w:val="00EF4A89"/>
    <w:rsid w:val="00EF7114"/>
    <w:rsid w:val="00EF78A9"/>
    <w:rsid w:val="00F02CFD"/>
    <w:rsid w:val="00F0521A"/>
    <w:rsid w:val="00F0626A"/>
    <w:rsid w:val="00F077A4"/>
    <w:rsid w:val="00F1549F"/>
    <w:rsid w:val="00F17258"/>
    <w:rsid w:val="00F17990"/>
    <w:rsid w:val="00F2054F"/>
    <w:rsid w:val="00F2386C"/>
    <w:rsid w:val="00F24014"/>
    <w:rsid w:val="00F25A4D"/>
    <w:rsid w:val="00F27C50"/>
    <w:rsid w:val="00F349A9"/>
    <w:rsid w:val="00F34A0B"/>
    <w:rsid w:val="00F35536"/>
    <w:rsid w:val="00F36DCC"/>
    <w:rsid w:val="00F37C9A"/>
    <w:rsid w:val="00F37EF5"/>
    <w:rsid w:val="00F415B9"/>
    <w:rsid w:val="00F41676"/>
    <w:rsid w:val="00F41D23"/>
    <w:rsid w:val="00F42600"/>
    <w:rsid w:val="00F44B45"/>
    <w:rsid w:val="00F46BD9"/>
    <w:rsid w:val="00F46D2D"/>
    <w:rsid w:val="00F50E97"/>
    <w:rsid w:val="00F51074"/>
    <w:rsid w:val="00F5155B"/>
    <w:rsid w:val="00F52687"/>
    <w:rsid w:val="00F57650"/>
    <w:rsid w:val="00F629A8"/>
    <w:rsid w:val="00F70491"/>
    <w:rsid w:val="00F740C7"/>
    <w:rsid w:val="00F7443E"/>
    <w:rsid w:val="00F74E32"/>
    <w:rsid w:val="00F75974"/>
    <w:rsid w:val="00F80880"/>
    <w:rsid w:val="00F80B1A"/>
    <w:rsid w:val="00F83718"/>
    <w:rsid w:val="00F84C18"/>
    <w:rsid w:val="00F87A39"/>
    <w:rsid w:val="00F90B76"/>
    <w:rsid w:val="00F90F08"/>
    <w:rsid w:val="00F91B83"/>
    <w:rsid w:val="00FB02AC"/>
    <w:rsid w:val="00FB1063"/>
    <w:rsid w:val="00FB1C8D"/>
    <w:rsid w:val="00FB25B7"/>
    <w:rsid w:val="00FB2B88"/>
    <w:rsid w:val="00FC1274"/>
    <w:rsid w:val="00FC212E"/>
    <w:rsid w:val="00FC3928"/>
    <w:rsid w:val="00FC67B4"/>
    <w:rsid w:val="00FC70B3"/>
    <w:rsid w:val="00FC77C3"/>
    <w:rsid w:val="00FD1D80"/>
    <w:rsid w:val="00FD233A"/>
    <w:rsid w:val="00FD26AB"/>
    <w:rsid w:val="00FD39D7"/>
    <w:rsid w:val="00FD4197"/>
    <w:rsid w:val="00FE3481"/>
    <w:rsid w:val="00FE5DE3"/>
    <w:rsid w:val="00FE788A"/>
    <w:rsid w:val="00FF0BC4"/>
    <w:rsid w:val="00FF304E"/>
    <w:rsid w:val="00FF5D84"/>
    <w:rsid w:val="00FF5EA7"/>
    <w:rsid w:val="00FF6D8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322E932"/>
  <w15:chartTrackingRefBased/>
  <w15:docId w15:val="{6DD04823-EF00-014D-B6E1-BB298A5DA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Heading2"/>
    <w:next w:val="Normal"/>
    <w:link w:val="Heading1Char"/>
    <w:uiPriority w:val="9"/>
    <w:qFormat/>
    <w:rsid w:val="0011428F"/>
    <w:pPr>
      <w:jc w:val="both"/>
      <w:outlineLvl w:val="0"/>
    </w:pPr>
    <w:rPr>
      <w:b/>
      <w:i w:val="0"/>
      <w:color w:val="auto"/>
      <w:sz w:val="20"/>
      <w:szCs w:val="20"/>
      <w:lang w:val="it-IT"/>
    </w:rPr>
  </w:style>
  <w:style w:type="paragraph" w:styleId="Heading2">
    <w:name w:val="heading 2"/>
    <w:basedOn w:val="Heading3"/>
    <w:next w:val="Normal"/>
    <w:link w:val="Heading2Char"/>
    <w:uiPriority w:val="9"/>
    <w:unhideWhenUsed/>
    <w:qFormat/>
    <w:rsid w:val="0011428F"/>
    <w:pPr>
      <w:shd w:val="clear" w:color="auto" w:fill="FFFFFF"/>
      <w:outlineLvl w:val="1"/>
    </w:pPr>
    <w:rPr>
      <w:rFonts w:eastAsia="Calibri"/>
      <w:i/>
      <w:color w:val="000000"/>
    </w:rPr>
  </w:style>
  <w:style w:type="paragraph" w:styleId="Heading3">
    <w:name w:val="heading 3"/>
    <w:basedOn w:val="Normal"/>
    <w:next w:val="Normal"/>
    <w:link w:val="Heading3Char"/>
    <w:uiPriority w:val="9"/>
    <w:unhideWhenUsed/>
    <w:qFormat/>
    <w:rsid w:val="008D52D7"/>
    <w:pPr>
      <w:spacing w:line="360" w:lineRule="auto"/>
      <w:outlineLvl w:val="2"/>
    </w:pPr>
    <w:rPr>
      <w:rFonts w:ascii="Times New Roman" w:hAnsi="Times New Roman" w:cs="Times New Roman"/>
      <w:sz w:val="22"/>
      <w:szCs w:val="22"/>
      <w:lang w:val="en-US"/>
    </w:rPr>
  </w:style>
  <w:style w:type="paragraph" w:styleId="Heading4">
    <w:name w:val="heading 4"/>
    <w:basedOn w:val="Normal"/>
    <w:next w:val="Normal"/>
    <w:link w:val="Heading4Char"/>
    <w:uiPriority w:val="9"/>
    <w:unhideWhenUsed/>
    <w:qFormat/>
    <w:rsid w:val="00246AD9"/>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7600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76000"/>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76000"/>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7600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7600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26061"/>
    <w:rPr>
      <w:sz w:val="16"/>
      <w:szCs w:val="16"/>
    </w:rPr>
  </w:style>
  <w:style w:type="paragraph" w:styleId="CommentText">
    <w:name w:val="annotation text"/>
    <w:basedOn w:val="Normal"/>
    <w:link w:val="CommentTextChar"/>
    <w:uiPriority w:val="99"/>
    <w:semiHidden/>
    <w:unhideWhenUsed/>
    <w:rsid w:val="00B26061"/>
    <w:pPr>
      <w:spacing w:after="160"/>
    </w:pPr>
    <w:rPr>
      <w:sz w:val="20"/>
      <w:szCs w:val="20"/>
      <w:lang w:val="en-CA"/>
    </w:rPr>
  </w:style>
  <w:style w:type="character" w:customStyle="1" w:styleId="CommentTextChar">
    <w:name w:val="Comment Text Char"/>
    <w:basedOn w:val="DefaultParagraphFont"/>
    <w:link w:val="CommentText"/>
    <w:uiPriority w:val="99"/>
    <w:semiHidden/>
    <w:rsid w:val="00B26061"/>
    <w:rPr>
      <w:sz w:val="20"/>
      <w:szCs w:val="20"/>
      <w:lang w:val="en-CA"/>
    </w:rPr>
  </w:style>
  <w:style w:type="paragraph" w:styleId="BalloonText">
    <w:name w:val="Balloon Text"/>
    <w:basedOn w:val="Normal"/>
    <w:link w:val="BalloonTextChar"/>
    <w:uiPriority w:val="99"/>
    <w:semiHidden/>
    <w:unhideWhenUsed/>
    <w:rsid w:val="00B2606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26061"/>
    <w:rPr>
      <w:rFonts w:ascii="Times New Roman" w:hAnsi="Times New Roman" w:cs="Times New Roman"/>
      <w:sz w:val="18"/>
      <w:szCs w:val="18"/>
    </w:rPr>
  </w:style>
  <w:style w:type="character" w:customStyle="1" w:styleId="Heading2Char">
    <w:name w:val="Heading 2 Char"/>
    <w:basedOn w:val="DefaultParagraphFont"/>
    <w:link w:val="Heading2"/>
    <w:uiPriority w:val="9"/>
    <w:rsid w:val="0011428F"/>
    <w:rPr>
      <w:rFonts w:ascii="Times New Roman" w:eastAsia="Calibri" w:hAnsi="Times New Roman" w:cs="Times New Roman"/>
      <w:i/>
      <w:color w:val="000000"/>
      <w:sz w:val="22"/>
      <w:szCs w:val="22"/>
      <w:shd w:val="clear" w:color="auto" w:fill="FFFFFF"/>
      <w:lang w:val="en-US"/>
    </w:rPr>
  </w:style>
  <w:style w:type="character" w:customStyle="1" w:styleId="Heading1Char">
    <w:name w:val="Heading 1 Char"/>
    <w:basedOn w:val="DefaultParagraphFont"/>
    <w:link w:val="Heading1"/>
    <w:uiPriority w:val="9"/>
    <w:rsid w:val="0011428F"/>
    <w:rPr>
      <w:rFonts w:ascii="Times New Roman" w:eastAsia="Calibri" w:hAnsi="Times New Roman" w:cs="Times New Roman"/>
      <w:b/>
      <w:sz w:val="20"/>
      <w:szCs w:val="20"/>
      <w:shd w:val="clear" w:color="auto" w:fill="FFFFFF"/>
      <w:lang w:val="it-IT"/>
    </w:rPr>
  </w:style>
  <w:style w:type="character" w:customStyle="1" w:styleId="Heading3Char">
    <w:name w:val="Heading 3 Char"/>
    <w:basedOn w:val="DefaultParagraphFont"/>
    <w:link w:val="Heading3"/>
    <w:uiPriority w:val="9"/>
    <w:rsid w:val="008D52D7"/>
    <w:rPr>
      <w:rFonts w:ascii="Times New Roman" w:hAnsi="Times New Roman" w:cs="Times New Roman"/>
      <w:sz w:val="22"/>
      <w:szCs w:val="22"/>
      <w:lang w:val="en-US"/>
    </w:rPr>
  </w:style>
  <w:style w:type="character" w:customStyle="1" w:styleId="Heading4Char">
    <w:name w:val="Heading 4 Char"/>
    <w:basedOn w:val="DefaultParagraphFont"/>
    <w:link w:val="Heading4"/>
    <w:uiPriority w:val="9"/>
    <w:rsid w:val="00246AD9"/>
    <w:rPr>
      <w:rFonts w:asciiTheme="majorHAnsi" w:eastAsiaTheme="majorEastAsia" w:hAnsiTheme="majorHAnsi" w:cstheme="majorBidi"/>
      <w:i/>
      <w:iCs/>
      <w:color w:val="2F5496" w:themeColor="accent1" w:themeShade="BF"/>
    </w:rPr>
  </w:style>
  <w:style w:type="character" w:styleId="Emphasis">
    <w:name w:val="Emphasis"/>
    <w:basedOn w:val="DefaultParagraphFont"/>
    <w:uiPriority w:val="20"/>
    <w:qFormat/>
    <w:rsid w:val="00AB5BC6"/>
    <w:rPr>
      <w:i/>
      <w:iCs/>
    </w:rPr>
  </w:style>
  <w:style w:type="paragraph" w:customStyle="1" w:styleId="p">
    <w:name w:val="p"/>
    <w:basedOn w:val="Normal"/>
    <w:rsid w:val="00075C5B"/>
    <w:pPr>
      <w:spacing w:before="100" w:beforeAutospacing="1" w:after="100" w:afterAutospacing="1"/>
    </w:pPr>
    <w:rPr>
      <w:rFonts w:ascii="Times New Roman" w:eastAsia="Times New Roman" w:hAnsi="Times New Roman" w:cs="Times New Roman"/>
      <w:lang w:val="it-IT" w:eastAsia="it-IT"/>
    </w:rPr>
  </w:style>
  <w:style w:type="character" w:styleId="Hyperlink">
    <w:name w:val="Hyperlink"/>
    <w:basedOn w:val="DefaultParagraphFont"/>
    <w:uiPriority w:val="99"/>
    <w:unhideWhenUsed/>
    <w:rsid w:val="008D1377"/>
    <w:rPr>
      <w:color w:val="0563C1" w:themeColor="hyperlink"/>
      <w:u w:val="single"/>
    </w:rPr>
  </w:style>
  <w:style w:type="character" w:customStyle="1" w:styleId="UnresolvedMention1">
    <w:name w:val="Unresolved Mention1"/>
    <w:basedOn w:val="DefaultParagraphFont"/>
    <w:uiPriority w:val="99"/>
    <w:semiHidden/>
    <w:unhideWhenUsed/>
    <w:rsid w:val="008D1377"/>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101CF9"/>
    <w:pPr>
      <w:spacing w:after="0"/>
    </w:pPr>
    <w:rPr>
      <w:b/>
      <w:bCs/>
      <w:lang w:val="en-GB"/>
    </w:rPr>
  </w:style>
  <w:style w:type="character" w:customStyle="1" w:styleId="CommentSubjectChar">
    <w:name w:val="Comment Subject Char"/>
    <w:basedOn w:val="CommentTextChar"/>
    <w:link w:val="CommentSubject"/>
    <w:uiPriority w:val="99"/>
    <w:semiHidden/>
    <w:rsid w:val="00101CF9"/>
    <w:rPr>
      <w:b/>
      <w:bCs/>
      <w:sz w:val="20"/>
      <w:szCs w:val="20"/>
      <w:lang w:val="en-CA"/>
    </w:rPr>
  </w:style>
  <w:style w:type="paragraph" w:styleId="Revision">
    <w:name w:val="Revision"/>
    <w:hidden/>
    <w:uiPriority w:val="99"/>
    <w:semiHidden/>
    <w:rsid w:val="00101CF9"/>
  </w:style>
  <w:style w:type="paragraph" w:styleId="NormalWeb">
    <w:name w:val="Normal (Web)"/>
    <w:basedOn w:val="Normal"/>
    <w:uiPriority w:val="99"/>
    <w:semiHidden/>
    <w:unhideWhenUsed/>
    <w:rsid w:val="00DC4411"/>
    <w:pPr>
      <w:spacing w:before="100" w:beforeAutospacing="1" w:after="100" w:afterAutospacing="1"/>
    </w:pPr>
    <w:rPr>
      <w:rFonts w:ascii="Times New Roman" w:eastAsia="Times New Roman" w:hAnsi="Times New Roman" w:cs="Times New Roman"/>
      <w:lang w:val="it-IT" w:eastAsia="it-IT"/>
    </w:rPr>
  </w:style>
  <w:style w:type="paragraph" w:styleId="ListParagraph">
    <w:name w:val="List Paragraph"/>
    <w:basedOn w:val="Normal"/>
    <w:uiPriority w:val="34"/>
    <w:qFormat/>
    <w:rsid w:val="0074009D"/>
    <w:pPr>
      <w:ind w:left="720"/>
      <w:contextualSpacing/>
    </w:pPr>
  </w:style>
  <w:style w:type="paragraph" w:styleId="Header">
    <w:name w:val="header"/>
    <w:basedOn w:val="Normal"/>
    <w:link w:val="HeaderChar"/>
    <w:uiPriority w:val="99"/>
    <w:unhideWhenUsed/>
    <w:rsid w:val="00827E8F"/>
    <w:pPr>
      <w:tabs>
        <w:tab w:val="center" w:pos="4819"/>
        <w:tab w:val="right" w:pos="9638"/>
      </w:tabs>
    </w:pPr>
  </w:style>
  <w:style w:type="character" w:customStyle="1" w:styleId="HeaderChar">
    <w:name w:val="Header Char"/>
    <w:basedOn w:val="DefaultParagraphFont"/>
    <w:link w:val="Header"/>
    <w:uiPriority w:val="99"/>
    <w:rsid w:val="00827E8F"/>
  </w:style>
  <w:style w:type="paragraph" w:styleId="Footer">
    <w:name w:val="footer"/>
    <w:basedOn w:val="Normal"/>
    <w:link w:val="FooterChar"/>
    <w:uiPriority w:val="99"/>
    <w:unhideWhenUsed/>
    <w:rsid w:val="00827E8F"/>
    <w:pPr>
      <w:tabs>
        <w:tab w:val="center" w:pos="4819"/>
        <w:tab w:val="right" w:pos="9638"/>
      </w:tabs>
    </w:pPr>
  </w:style>
  <w:style w:type="character" w:customStyle="1" w:styleId="FooterChar">
    <w:name w:val="Footer Char"/>
    <w:basedOn w:val="DefaultParagraphFont"/>
    <w:link w:val="Footer"/>
    <w:uiPriority w:val="99"/>
    <w:rsid w:val="00827E8F"/>
  </w:style>
  <w:style w:type="character" w:styleId="FollowedHyperlink">
    <w:name w:val="FollowedHyperlink"/>
    <w:basedOn w:val="DefaultParagraphFont"/>
    <w:uiPriority w:val="99"/>
    <w:semiHidden/>
    <w:unhideWhenUsed/>
    <w:rsid w:val="006F091D"/>
    <w:rPr>
      <w:color w:val="954F72" w:themeColor="followedHyperlink"/>
      <w:u w:val="single"/>
    </w:rPr>
  </w:style>
  <w:style w:type="character" w:customStyle="1" w:styleId="period">
    <w:name w:val="period"/>
    <w:basedOn w:val="DefaultParagraphFont"/>
    <w:rsid w:val="00C5305F"/>
  </w:style>
  <w:style w:type="character" w:customStyle="1" w:styleId="cit">
    <w:name w:val="cit"/>
    <w:basedOn w:val="DefaultParagraphFont"/>
    <w:rsid w:val="00C5305F"/>
  </w:style>
  <w:style w:type="character" w:customStyle="1" w:styleId="citation-doi">
    <w:name w:val="citation-doi"/>
    <w:basedOn w:val="DefaultParagraphFont"/>
    <w:rsid w:val="00C5305F"/>
  </w:style>
  <w:style w:type="character" w:customStyle="1" w:styleId="secondary-date">
    <w:name w:val="secondary-date"/>
    <w:basedOn w:val="DefaultParagraphFont"/>
    <w:rsid w:val="00C5305F"/>
  </w:style>
  <w:style w:type="character" w:customStyle="1" w:styleId="authors-list-item">
    <w:name w:val="authors-list-item"/>
    <w:basedOn w:val="DefaultParagraphFont"/>
    <w:rsid w:val="00C5305F"/>
  </w:style>
  <w:style w:type="character" w:customStyle="1" w:styleId="author-sup-separator">
    <w:name w:val="author-sup-separator"/>
    <w:basedOn w:val="DefaultParagraphFont"/>
    <w:rsid w:val="00C5305F"/>
  </w:style>
  <w:style w:type="character" w:customStyle="1" w:styleId="comma">
    <w:name w:val="comma"/>
    <w:basedOn w:val="DefaultParagraphFont"/>
    <w:rsid w:val="00C5305F"/>
  </w:style>
  <w:style w:type="character" w:customStyle="1" w:styleId="equal-contrib">
    <w:name w:val="equal-contrib"/>
    <w:basedOn w:val="DefaultParagraphFont"/>
    <w:rsid w:val="009C1BC5"/>
  </w:style>
  <w:style w:type="paragraph" w:customStyle="1" w:styleId="Default">
    <w:name w:val="Default"/>
    <w:rsid w:val="006F7CF4"/>
    <w:pPr>
      <w:widowControl w:val="0"/>
      <w:autoSpaceDE w:val="0"/>
      <w:autoSpaceDN w:val="0"/>
      <w:adjustRightInd w:val="0"/>
    </w:pPr>
    <w:rPr>
      <w:rFonts w:ascii="Calibri" w:eastAsiaTheme="minorEastAsia" w:hAnsi="Calibri" w:cs="Calibri"/>
      <w:color w:val="000000"/>
      <w:lang w:val="en-CA" w:eastAsia="en-CA"/>
    </w:rPr>
  </w:style>
  <w:style w:type="paragraph" w:styleId="Title">
    <w:name w:val="Title"/>
    <w:basedOn w:val="Heading1"/>
    <w:link w:val="TitleChar"/>
    <w:uiPriority w:val="10"/>
    <w:qFormat/>
    <w:rsid w:val="00E80377"/>
    <w:rPr>
      <w:b w:val="0"/>
      <w:bCs/>
      <w:sz w:val="22"/>
      <w:szCs w:val="22"/>
      <w:lang w:val="en-US"/>
    </w:rPr>
  </w:style>
  <w:style w:type="character" w:customStyle="1" w:styleId="TitleChar">
    <w:name w:val="Title Char"/>
    <w:basedOn w:val="DefaultParagraphFont"/>
    <w:link w:val="Title"/>
    <w:uiPriority w:val="10"/>
    <w:rsid w:val="00E80377"/>
    <w:rPr>
      <w:rFonts w:ascii="Times New Roman" w:eastAsiaTheme="majorEastAsia" w:hAnsi="Times New Roman" w:cs="Times New Roman"/>
      <w:b/>
      <w:bCs/>
      <w:sz w:val="22"/>
      <w:szCs w:val="22"/>
      <w:lang w:val="en-US"/>
    </w:rPr>
  </w:style>
  <w:style w:type="paragraph" w:customStyle="1" w:styleId="TableParagraph">
    <w:name w:val="Table Paragraph"/>
    <w:basedOn w:val="Normal"/>
    <w:uiPriority w:val="1"/>
    <w:qFormat/>
    <w:rsid w:val="006F7CF4"/>
    <w:pPr>
      <w:widowControl w:val="0"/>
      <w:autoSpaceDE w:val="0"/>
      <w:autoSpaceDN w:val="0"/>
      <w:spacing w:before="57"/>
    </w:pPr>
    <w:rPr>
      <w:rFonts w:ascii="Arial" w:eastAsia="Arial" w:hAnsi="Arial" w:cs="Arial"/>
      <w:sz w:val="22"/>
      <w:szCs w:val="22"/>
      <w:lang w:val="en-US"/>
    </w:rPr>
  </w:style>
  <w:style w:type="table" w:styleId="TableGrid">
    <w:name w:val="Table Grid"/>
    <w:basedOn w:val="TableNormal"/>
    <w:uiPriority w:val="39"/>
    <w:rsid w:val="006F7CF4"/>
    <w:rPr>
      <w:sz w:val="22"/>
      <w:szCs w:val="22"/>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B560AD"/>
  </w:style>
  <w:style w:type="numbering" w:customStyle="1" w:styleId="NoList1">
    <w:name w:val="No List1"/>
    <w:next w:val="NoList"/>
    <w:uiPriority w:val="99"/>
    <w:semiHidden/>
    <w:unhideWhenUsed/>
    <w:rsid w:val="00892A33"/>
  </w:style>
  <w:style w:type="paragraph" w:customStyle="1" w:styleId="Ttulo21">
    <w:name w:val="Título 21"/>
    <w:basedOn w:val="Normal"/>
    <w:next w:val="Normal"/>
    <w:uiPriority w:val="9"/>
    <w:unhideWhenUsed/>
    <w:qFormat/>
    <w:rsid w:val="00892A33"/>
    <w:pPr>
      <w:keepNext/>
      <w:keepLines/>
      <w:spacing w:before="40"/>
      <w:outlineLvl w:val="1"/>
    </w:pPr>
    <w:rPr>
      <w:rFonts w:ascii="Calibri Light" w:eastAsia="Times New Roman" w:hAnsi="Calibri Light" w:cs="Times New Roman"/>
      <w:color w:val="2F5496"/>
      <w:sz w:val="26"/>
      <w:szCs w:val="26"/>
    </w:rPr>
  </w:style>
  <w:style w:type="character" w:customStyle="1" w:styleId="Ttulo2Char1">
    <w:name w:val="Título 2 Char1"/>
    <w:basedOn w:val="DefaultParagraphFont"/>
    <w:uiPriority w:val="9"/>
    <w:semiHidden/>
    <w:rsid w:val="00892A33"/>
    <w:rPr>
      <w:rFonts w:ascii="Calibri Light" w:eastAsia="Times New Roman" w:hAnsi="Calibri Light" w:cs="Times New Roman"/>
      <w:color w:val="2F5496"/>
      <w:sz w:val="26"/>
      <w:szCs w:val="26"/>
    </w:rPr>
  </w:style>
  <w:style w:type="paragraph" w:styleId="Bibliography">
    <w:name w:val="Bibliography"/>
    <w:basedOn w:val="Normal"/>
    <w:next w:val="Normal"/>
    <w:uiPriority w:val="37"/>
    <w:semiHidden/>
    <w:unhideWhenUsed/>
    <w:rsid w:val="00676000"/>
  </w:style>
  <w:style w:type="paragraph" w:styleId="BlockText">
    <w:name w:val="Block Text"/>
    <w:basedOn w:val="Normal"/>
    <w:uiPriority w:val="99"/>
    <w:semiHidden/>
    <w:unhideWhenUsed/>
    <w:rsid w:val="00676000"/>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eastAsiaTheme="minorEastAsia"/>
      <w:i/>
      <w:iCs/>
      <w:color w:val="4472C4" w:themeColor="accent1"/>
    </w:rPr>
  </w:style>
  <w:style w:type="paragraph" w:styleId="BodyText">
    <w:name w:val="Body Text"/>
    <w:basedOn w:val="Normal"/>
    <w:link w:val="BodyTextChar"/>
    <w:uiPriority w:val="99"/>
    <w:semiHidden/>
    <w:unhideWhenUsed/>
    <w:rsid w:val="00676000"/>
    <w:pPr>
      <w:spacing w:after="120"/>
    </w:pPr>
  </w:style>
  <w:style w:type="character" w:customStyle="1" w:styleId="BodyTextChar">
    <w:name w:val="Body Text Char"/>
    <w:basedOn w:val="DefaultParagraphFont"/>
    <w:link w:val="BodyText"/>
    <w:uiPriority w:val="99"/>
    <w:semiHidden/>
    <w:rsid w:val="00676000"/>
  </w:style>
  <w:style w:type="paragraph" w:styleId="BodyText2">
    <w:name w:val="Body Text 2"/>
    <w:basedOn w:val="Normal"/>
    <w:link w:val="BodyText2Char"/>
    <w:uiPriority w:val="99"/>
    <w:semiHidden/>
    <w:unhideWhenUsed/>
    <w:rsid w:val="00676000"/>
    <w:pPr>
      <w:spacing w:after="120" w:line="480" w:lineRule="auto"/>
    </w:pPr>
  </w:style>
  <w:style w:type="character" w:customStyle="1" w:styleId="BodyText2Char">
    <w:name w:val="Body Text 2 Char"/>
    <w:basedOn w:val="DefaultParagraphFont"/>
    <w:link w:val="BodyText2"/>
    <w:uiPriority w:val="99"/>
    <w:semiHidden/>
    <w:rsid w:val="00676000"/>
  </w:style>
  <w:style w:type="paragraph" w:styleId="BodyText3">
    <w:name w:val="Body Text 3"/>
    <w:basedOn w:val="Normal"/>
    <w:link w:val="BodyText3Char"/>
    <w:uiPriority w:val="99"/>
    <w:semiHidden/>
    <w:unhideWhenUsed/>
    <w:rsid w:val="00676000"/>
    <w:pPr>
      <w:spacing w:after="120"/>
    </w:pPr>
    <w:rPr>
      <w:sz w:val="16"/>
      <w:szCs w:val="16"/>
    </w:rPr>
  </w:style>
  <w:style w:type="character" w:customStyle="1" w:styleId="BodyText3Char">
    <w:name w:val="Body Text 3 Char"/>
    <w:basedOn w:val="DefaultParagraphFont"/>
    <w:link w:val="BodyText3"/>
    <w:uiPriority w:val="99"/>
    <w:semiHidden/>
    <w:rsid w:val="00676000"/>
    <w:rPr>
      <w:sz w:val="16"/>
      <w:szCs w:val="16"/>
    </w:rPr>
  </w:style>
  <w:style w:type="paragraph" w:styleId="BodyTextFirstIndent">
    <w:name w:val="Body Text First Indent"/>
    <w:basedOn w:val="BodyText"/>
    <w:link w:val="BodyTextFirstIndentChar"/>
    <w:uiPriority w:val="99"/>
    <w:semiHidden/>
    <w:unhideWhenUsed/>
    <w:rsid w:val="00676000"/>
    <w:pPr>
      <w:spacing w:after="0"/>
      <w:ind w:firstLine="360"/>
    </w:pPr>
  </w:style>
  <w:style w:type="character" w:customStyle="1" w:styleId="BodyTextFirstIndentChar">
    <w:name w:val="Body Text First Indent Char"/>
    <w:basedOn w:val="BodyTextChar"/>
    <w:link w:val="BodyTextFirstIndent"/>
    <w:uiPriority w:val="99"/>
    <w:semiHidden/>
    <w:rsid w:val="00676000"/>
  </w:style>
  <w:style w:type="paragraph" w:styleId="BodyTextIndent">
    <w:name w:val="Body Text Indent"/>
    <w:basedOn w:val="Normal"/>
    <w:link w:val="BodyTextIndentChar"/>
    <w:uiPriority w:val="99"/>
    <w:semiHidden/>
    <w:unhideWhenUsed/>
    <w:rsid w:val="00676000"/>
    <w:pPr>
      <w:spacing w:after="120"/>
      <w:ind w:left="283"/>
    </w:pPr>
  </w:style>
  <w:style w:type="character" w:customStyle="1" w:styleId="BodyTextIndentChar">
    <w:name w:val="Body Text Indent Char"/>
    <w:basedOn w:val="DefaultParagraphFont"/>
    <w:link w:val="BodyTextIndent"/>
    <w:uiPriority w:val="99"/>
    <w:semiHidden/>
    <w:rsid w:val="00676000"/>
  </w:style>
  <w:style w:type="paragraph" w:styleId="BodyTextFirstIndent2">
    <w:name w:val="Body Text First Indent 2"/>
    <w:basedOn w:val="BodyTextIndent"/>
    <w:link w:val="BodyTextFirstIndent2Char"/>
    <w:uiPriority w:val="99"/>
    <w:semiHidden/>
    <w:unhideWhenUsed/>
    <w:rsid w:val="00676000"/>
    <w:pPr>
      <w:spacing w:after="0"/>
      <w:ind w:left="360" w:firstLine="360"/>
    </w:pPr>
  </w:style>
  <w:style w:type="character" w:customStyle="1" w:styleId="BodyTextFirstIndent2Char">
    <w:name w:val="Body Text First Indent 2 Char"/>
    <w:basedOn w:val="BodyTextIndentChar"/>
    <w:link w:val="BodyTextFirstIndent2"/>
    <w:uiPriority w:val="99"/>
    <w:semiHidden/>
    <w:rsid w:val="00676000"/>
  </w:style>
  <w:style w:type="paragraph" w:styleId="BodyTextIndent2">
    <w:name w:val="Body Text Indent 2"/>
    <w:basedOn w:val="Normal"/>
    <w:link w:val="BodyTextIndent2Char"/>
    <w:uiPriority w:val="99"/>
    <w:semiHidden/>
    <w:unhideWhenUsed/>
    <w:rsid w:val="00676000"/>
    <w:pPr>
      <w:spacing w:after="120" w:line="480" w:lineRule="auto"/>
      <w:ind w:left="283"/>
    </w:pPr>
  </w:style>
  <w:style w:type="character" w:customStyle="1" w:styleId="BodyTextIndent2Char">
    <w:name w:val="Body Text Indent 2 Char"/>
    <w:basedOn w:val="DefaultParagraphFont"/>
    <w:link w:val="BodyTextIndent2"/>
    <w:uiPriority w:val="99"/>
    <w:semiHidden/>
    <w:rsid w:val="00676000"/>
  </w:style>
  <w:style w:type="paragraph" w:styleId="BodyTextIndent3">
    <w:name w:val="Body Text Indent 3"/>
    <w:basedOn w:val="Normal"/>
    <w:link w:val="BodyTextIndent3Char"/>
    <w:uiPriority w:val="99"/>
    <w:semiHidden/>
    <w:unhideWhenUsed/>
    <w:rsid w:val="00676000"/>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676000"/>
    <w:rPr>
      <w:sz w:val="16"/>
      <w:szCs w:val="16"/>
    </w:rPr>
  </w:style>
  <w:style w:type="paragraph" w:styleId="Caption">
    <w:name w:val="caption"/>
    <w:basedOn w:val="Normal"/>
    <w:next w:val="Normal"/>
    <w:uiPriority w:val="35"/>
    <w:semiHidden/>
    <w:unhideWhenUsed/>
    <w:qFormat/>
    <w:rsid w:val="00676000"/>
    <w:pPr>
      <w:spacing w:after="200"/>
    </w:pPr>
    <w:rPr>
      <w:i/>
      <w:iCs/>
      <w:color w:val="44546A" w:themeColor="text2"/>
      <w:sz w:val="18"/>
      <w:szCs w:val="18"/>
    </w:rPr>
  </w:style>
  <w:style w:type="paragraph" w:styleId="Closing">
    <w:name w:val="Closing"/>
    <w:basedOn w:val="Normal"/>
    <w:link w:val="ClosingChar"/>
    <w:uiPriority w:val="99"/>
    <w:semiHidden/>
    <w:unhideWhenUsed/>
    <w:rsid w:val="00676000"/>
    <w:pPr>
      <w:ind w:left="4252"/>
    </w:pPr>
  </w:style>
  <w:style w:type="character" w:customStyle="1" w:styleId="ClosingChar">
    <w:name w:val="Closing Char"/>
    <w:basedOn w:val="DefaultParagraphFont"/>
    <w:link w:val="Closing"/>
    <w:uiPriority w:val="99"/>
    <w:semiHidden/>
    <w:rsid w:val="00676000"/>
  </w:style>
  <w:style w:type="paragraph" w:styleId="Date">
    <w:name w:val="Date"/>
    <w:basedOn w:val="Normal"/>
    <w:next w:val="Normal"/>
    <w:link w:val="DateChar"/>
    <w:uiPriority w:val="99"/>
    <w:semiHidden/>
    <w:unhideWhenUsed/>
    <w:rsid w:val="00676000"/>
  </w:style>
  <w:style w:type="character" w:customStyle="1" w:styleId="DateChar">
    <w:name w:val="Date Char"/>
    <w:basedOn w:val="DefaultParagraphFont"/>
    <w:link w:val="Date"/>
    <w:uiPriority w:val="99"/>
    <w:semiHidden/>
    <w:rsid w:val="00676000"/>
  </w:style>
  <w:style w:type="paragraph" w:styleId="DocumentMap">
    <w:name w:val="Document Map"/>
    <w:basedOn w:val="Normal"/>
    <w:link w:val="DocumentMapChar"/>
    <w:uiPriority w:val="99"/>
    <w:semiHidden/>
    <w:unhideWhenUsed/>
    <w:rsid w:val="00676000"/>
    <w:rPr>
      <w:rFonts w:ascii="Segoe UI" w:hAnsi="Segoe UI" w:cs="Segoe UI"/>
      <w:sz w:val="16"/>
      <w:szCs w:val="16"/>
    </w:rPr>
  </w:style>
  <w:style w:type="character" w:customStyle="1" w:styleId="DocumentMapChar">
    <w:name w:val="Document Map Char"/>
    <w:basedOn w:val="DefaultParagraphFont"/>
    <w:link w:val="DocumentMap"/>
    <w:uiPriority w:val="99"/>
    <w:semiHidden/>
    <w:rsid w:val="00676000"/>
    <w:rPr>
      <w:rFonts w:ascii="Segoe UI" w:hAnsi="Segoe UI" w:cs="Segoe UI"/>
      <w:sz w:val="16"/>
      <w:szCs w:val="16"/>
    </w:rPr>
  </w:style>
  <w:style w:type="paragraph" w:styleId="E-mailSignature">
    <w:name w:val="E-mail Signature"/>
    <w:basedOn w:val="Normal"/>
    <w:link w:val="E-mailSignatureChar"/>
    <w:uiPriority w:val="99"/>
    <w:semiHidden/>
    <w:unhideWhenUsed/>
    <w:rsid w:val="00676000"/>
  </w:style>
  <w:style w:type="character" w:customStyle="1" w:styleId="E-mailSignatureChar">
    <w:name w:val="E-mail Signature Char"/>
    <w:basedOn w:val="DefaultParagraphFont"/>
    <w:link w:val="E-mailSignature"/>
    <w:uiPriority w:val="99"/>
    <w:semiHidden/>
    <w:rsid w:val="00676000"/>
  </w:style>
  <w:style w:type="paragraph" w:styleId="EndnoteText">
    <w:name w:val="endnote text"/>
    <w:basedOn w:val="Normal"/>
    <w:link w:val="EndnoteTextChar"/>
    <w:uiPriority w:val="99"/>
    <w:semiHidden/>
    <w:unhideWhenUsed/>
    <w:rsid w:val="00676000"/>
    <w:rPr>
      <w:sz w:val="20"/>
      <w:szCs w:val="20"/>
    </w:rPr>
  </w:style>
  <w:style w:type="character" w:customStyle="1" w:styleId="EndnoteTextChar">
    <w:name w:val="Endnote Text Char"/>
    <w:basedOn w:val="DefaultParagraphFont"/>
    <w:link w:val="EndnoteText"/>
    <w:uiPriority w:val="99"/>
    <w:semiHidden/>
    <w:rsid w:val="00676000"/>
    <w:rPr>
      <w:sz w:val="20"/>
      <w:szCs w:val="20"/>
    </w:rPr>
  </w:style>
  <w:style w:type="paragraph" w:styleId="EnvelopeAddress">
    <w:name w:val="envelope address"/>
    <w:basedOn w:val="Normal"/>
    <w:uiPriority w:val="99"/>
    <w:semiHidden/>
    <w:unhideWhenUsed/>
    <w:rsid w:val="00676000"/>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676000"/>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676000"/>
    <w:rPr>
      <w:sz w:val="20"/>
      <w:szCs w:val="20"/>
    </w:rPr>
  </w:style>
  <w:style w:type="character" w:customStyle="1" w:styleId="FootnoteTextChar">
    <w:name w:val="Footnote Text Char"/>
    <w:basedOn w:val="DefaultParagraphFont"/>
    <w:link w:val="FootnoteText"/>
    <w:uiPriority w:val="99"/>
    <w:semiHidden/>
    <w:rsid w:val="00676000"/>
    <w:rPr>
      <w:sz w:val="20"/>
      <w:szCs w:val="20"/>
    </w:rPr>
  </w:style>
  <w:style w:type="character" w:customStyle="1" w:styleId="Heading5Char">
    <w:name w:val="Heading 5 Char"/>
    <w:basedOn w:val="DefaultParagraphFont"/>
    <w:link w:val="Heading5"/>
    <w:uiPriority w:val="9"/>
    <w:semiHidden/>
    <w:rsid w:val="00676000"/>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76000"/>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76000"/>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76000"/>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76000"/>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676000"/>
    <w:rPr>
      <w:i/>
      <w:iCs/>
    </w:rPr>
  </w:style>
  <w:style w:type="character" w:customStyle="1" w:styleId="HTMLAddressChar">
    <w:name w:val="HTML Address Char"/>
    <w:basedOn w:val="DefaultParagraphFont"/>
    <w:link w:val="HTMLAddress"/>
    <w:uiPriority w:val="99"/>
    <w:semiHidden/>
    <w:rsid w:val="00676000"/>
    <w:rPr>
      <w:i/>
      <w:iCs/>
    </w:rPr>
  </w:style>
  <w:style w:type="paragraph" w:styleId="HTMLPreformatted">
    <w:name w:val="HTML Preformatted"/>
    <w:basedOn w:val="Normal"/>
    <w:link w:val="HTMLPreformattedChar"/>
    <w:uiPriority w:val="99"/>
    <w:semiHidden/>
    <w:unhideWhenUsed/>
    <w:rsid w:val="00676000"/>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676000"/>
    <w:rPr>
      <w:rFonts w:ascii="Consolas" w:hAnsi="Consolas"/>
      <w:sz w:val="20"/>
      <w:szCs w:val="20"/>
    </w:rPr>
  </w:style>
  <w:style w:type="paragraph" w:styleId="Index1">
    <w:name w:val="index 1"/>
    <w:basedOn w:val="Normal"/>
    <w:next w:val="Normal"/>
    <w:autoRedefine/>
    <w:uiPriority w:val="99"/>
    <w:semiHidden/>
    <w:unhideWhenUsed/>
    <w:rsid w:val="00676000"/>
    <w:pPr>
      <w:ind w:left="240" w:hanging="240"/>
    </w:pPr>
  </w:style>
  <w:style w:type="paragraph" w:styleId="Index2">
    <w:name w:val="index 2"/>
    <w:basedOn w:val="Normal"/>
    <w:next w:val="Normal"/>
    <w:autoRedefine/>
    <w:uiPriority w:val="99"/>
    <w:semiHidden/>
    <w:unhideWhenUsed/>
    <w:rsid w:val="00676000"/>
    <w:pPr>
      <w:ind w:left="480" w:hanging="240"/>
    </w:pPr>
  </w:style>
  <w:style w:type="paragraph" w:styleId="Index3">
    <w:name w:val="index 3"/>
    <w:basedOn w:val="Normal"/>
    <w:next w:val="Normal"/>
    <w:autoRedefine/>
    <w:uiPriority w:val="99"/>
    <w:semiHidden/>
    <w:unhideWhenUsed/>
    <w:rsid w:val="00676000"/>
    <w:pPr>
      <w:ind w:left="720" w:hanging="240"/>
    </w:pPr>
  </w:style>
  <w:style w:type="paragraph" w:styleId="Index4">
    <w:name w:val="index 4"/>
    <w:basedOn w:val="Normal"/>
    <w:next w:val="Normal"/>
    <w:autoRedefine/>
    <w:uiPriority w:val="99"/>
    <w:semiHidden/>
    <w:unhideWhenUsed/>
    <w:rsid w:val="00676000"/>
    <w:pPr>
      <w:ind w:left="960" w:hanging="240"/>
    </w:pPr>
  </w:style>
  <w:style w:type="paragraph" w:styleId="Index5">
    <w:name w:val="index 5"/>
    <w:basedOn w:val="Normal"/>
    <w:next w:val="Normal"/>
    <w:autoRedefine/>
    <w:uiPriority w:val="99"/>
    <w:semiHidden/>
    <w:unhideWhenUsed/>
    <w:rsid w:val="00676000"/>
    <w:pPr>
      <w:ind w:left="1200" w:hanging="240"/>
    </w:pPr>
  </w:style>
  <w:style w:type="paragraph" w:styleId="Index6">
    <w:name w:val="index 6"/>
    <w:basedOn w:val="Normal"/>
    <w:next w:val="Normal"/>
    <w:autoRedefine/>
    <w:uiPriority w:val="99"/>
    <w:semiHidden/>
    <w:unhideWhenUsed/>
    <w:rsid w:val="00676000"/>
    <w:pPr>
      <w:ind w:left="1440" w:hanging="240"/>
    </w:pPr>
  </w:style>
  <w:style w:type="paragraph" w:styleId="Index7">
    <w:name w:val="index 7"/>
    <w:basedOn w:val="Normal"/>
    <w:next w:val="Normal"/>
    <w:autoRedefine/>
    <w:uiPriority w:val="99"/>
    <w:semiHidden/>
    <w:unhideWhenUsed/>
    <w:rsid w:val="00676000"/>
    <w:pPr>
      <w:ind w:left="1680" w:hanging="240"/>
    </w:pPr>
  </w:style>
  <w:style w:type="paragraph" w:styleId="Index8">
    <w:name w:val="index 8"/>
    <w:basedOn w:val="Normal"/>
    <w:next w:val="Normal"/>
    <w:autoRedefine/>
    <w:uiPriority w:val="99"/>
    <w:semiHidden/>
    <w:unhideWhenUsed/>
    <w:rsid w:val="00676000"/>
    <w:pPr>
      <w:ind w:left="1920" w:hanging="240"/>
    </w:pPr>
  </w:style>
  <w:style w:type="paragraph" w:styleId="Index9">
    <w:name w:val="index 9"/>
    <w:basedOn w:val="Normal"/>
    <w:next w:val="Normal"/>
    <w:autoRedefine/>
    <w:uiPriority w:val="99"/>
    <w:semiHidden/>
    <w:unhideWhenUsed/>
    <w:rsid w:val="00676000"/>
    <w:pPr>
      <w:ind w:left="2160" w:hanging="240"/>
    </w:pPr>
  </w:style>
  <w:style w:type="paragraph" w:styleId="IndexHeading">
    <w:name w:val="index heading"/>
    <w:basedOn w:val="Normal"/>
    <w:next w:val="Index1"/>
    <w:uiPriority w:val="99"/>
    <w:semiHidden/>
    <w:unhideWhenUsed/>
    <w:rsid w:val="00676000"/>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676000"/>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76000"/>
    <w:rPr>
      <w:i/>
      <w:iCs/>
      <w:color w:val="4472C4" w:themeColor="accent1"/>
    </w:rPr>
  </w:style>
  <w:style w:type="paragraph" w:styleId="List">
    <w:name w:val="List"/>
    <w:basedOn w:val="Normal"/>
    <w:uiPriority w:val="99"/>
    <w:semiHidden/>
    <w:unhideWhenUsed/>
    <w:rsid w:val="00676000"/>
    <w:pPr>
      <w:ind w:left="283" w:hanging="283"/>
      <w:contextualSpacing/>
    </w:pPr>
  </w:style>
  <w:style w:type="paragraph" w:styleId="List2">
    <w:name w:val="List 2"/>
    <w:basedOn w:val="Normal"/>
    <w:uiPriority w:val="99"/>
    <w:semiHidden/>
    <w:unhideWhenUsed/>
    <w:rsid w:val="00676000"/>
    <w:pPr>
      <w:ind w:left="566" w:hanging="283"/>
      <w:contextualSpacing/>
    </w:pPr>
  </w:style>
  <w:style w:type="paragraph" w:styleId="List3">
    <w:name w:val="List 3"/>
    <w:basedOn w:val="Normal"/>
    <w:uiPriority w:val="99"/>
    <w:semiHidden/>
    <w:unhideWhenUsed/>
    <w:rsid w:val="00676000"/>
    <w:pPr>
      <w:ind w:left="849" w:hanging="283"/>
      <w:contextualSpacing/>
    </w:pPr>
  </w:style>
  <w:style w:type="paragraph" w:styleId="List4">
    <w:name w:val="List 4"/>
    <w:basedOn w:val="Normal"/>
    <w:uiPriority w:val="99"/>
    <w:semiHidden/>
    <w:unhideWhenUsed/>
    <w:rsid w:val="00676000"/>
    <w:pPr>
      <w:ind w:left="1132" w:hanging="283"/>
      <w:contextualSpacing/>
    </w:pPr>
  </w:style>
  <w:style w:type="paragraph" w:styleId="List5">
    <w:name w:val="List 5"/>
    <w:basedOn w:val="Normal"/>
    <w:uiPriority w:val="99"/>
    <w:semiHidden/>
    <w:unhideWhenUsed/>
    <w:rsid w:val="00676000"/>
    <w:pPr>
      <w:ind w:left="1415" w:hanging="283"/>
      <w:contextualSpacing/>
    </w:pPr>
  </w:style>
  <w:style w:type="paragraph" w:styleId="ListBullet">
    <w:name w:val="List Bullet"/>
    <w:basedOn w:val="Normal"/>
    <w:uiPriority w:val="99"/>
    <w:semiHidden/>
    <w:unhideWhenUsed/>
    <w:rsid w:val="00676000"/>
    <w:pPr>
      <w:numPr>
        <w:numId w:val="23"/>
      </w:numPr>
      <w:contextualSpacing/>
    </w:pPr>
  </w:style>
  <w:style w:type="paragraph" w:styleId="ListBullet2">
    <w:name w:val="List Bullet 2"/>
    <w:basedOn w:val="Normal"/>
    <w:uiPriority w:val="99"/>
    <w:semiHidden/>
    <w:unhideWhenUsed/>
    <w:rsid w:val="00676000"/>
    <w:pPr>
      <w:numPr>
        <w:numId w:val="24"/>
      </w:numPr>
      <w:contextualSpacing/>
    </w:pPr>
  </w:style>
  <w:style w:type="paragraph" w:styleId="ListBullet3">
    <w:name w:val="List Bullet 3"/>
    <w:basedOn w:val="Normal"/>
    <w:uiPriority w:val="99"/>
    <w:semiHidden/>
    <w:unhideWhenUsed/>
    <w:rsid w:val="00676000"/>
    <w:pPr>
      <w:numPr>
        <w:numId w:val="25"/>
      </w:numPr>
      <w:contextualSpacing/>
    </w:pPr>
  </w:style>
  <w:style w:type="paragraph" w:styleId="ListBullet4">
    <w:name w:val="List Bullet 4"/>
    <w:basedOn w:val="Normal"/>
    <w:uiPriority w:val="99"/>
    <w:semiHidden/>
    <w:unhideWhenUsed/>
    <w:rsid w:val="00676000"/>
    <w:pPr>
      <w:numPr>
        <w:numId w:val="26"/>
      </w:numPr>
      <w:contextualSpacing/>
    </w:pPr>
  </w:style>
  <w:style w:type="paragraph" w:styleId="ListBullet5">
    <w:name w:val="List Bullet 5"/>
    <w:basedOn w:val="Normal"/>
    <w:uiPriority w:val="99"/>
    <w:semiHidden/>
    <w:unhideWhenUsed/>
    <w:rsid w:val="00676000"/>
    <w:pPr>
      <w:numPr>
        <w:numId w:val="27"/>
      </w:numPr>
      <w:contextualSpacing/>
    </w:pPr>
  </w:style>
  <w:style w:type="paragraph" w:styleId="ListContinue">
    <w:name w:val="List Continue"/>
    <w:basedOn w:val="Normal"/>
    <w:uiPriority w:val="99"/>
    <w:semiHidden/>
    <w:unhideWhenUsed/>
    <w:rsid w:val="00676000"/>
    <w:pPr>
      <w:spacing w:after="120"/>
      <w:ind w:left="283"/>
      <w:contextualSpacing/>
    </w:pPr>
  </w:style>
  <w:style w:type="paragraph" w:styleId="ListContinue2">
    <w:name w:val="List Continue 2"/>
    <w:basedOn w:val="Normal"/>
    <w:uiPriority w:val="99"/>
    <w:semiHidden/>
    <w:unhideWhenUsed/>
    <w:rsid w:val="00676000"/>
    <w:pPr>
      <w:spacing w:after="120"/>
      <w:ind w:left="566"/>
      <w:contextualSpacing/>
    </w:pPr>
  </w:style>
  <w:style w:type="paragraph" w:styleId="ListContinue3">
    <w:name w:val="List Continue 3"/>
    <w:basedOn w:val="Normal"/>
    <w:uiPriority w:val="99"/>
    <w:semiHidden/>
    <w:unhideWhenUsed/>
    <w:rsid w:val="00676000"/>
    <w:pPr>
      <w:spacing w:after="120"/>
      <w:ind w:left="849"/>
      <w:contextualSpacing/>
    </w:pPr>
  </w:style>
  <w:style w:type="paragraph" w:styleId="ListContinue4">
    <w:name w:val="List Continue 4"/>
    <w:basedOn w:val="Normal"/>
    <w:uiPriority w:val="99"/>
    <w:semiHidden/>
    <w:unhideWhenUsed/>
    <w:rsid w:val="00676000"/>
    <w:pPr>
      <w:spacing w:after="120"/>
      <w:ind w:left="1132"/>
      <w:contextualSpacing/>
    </w:pPr>
  </w:style>
  <w:style w:type="paragraph" w:styleId="ListContinue5">
    <w:name w:val="List Continue 5"/>
    <w:basedOn w:val="Normal"/>
    <w:uiPriority w:val="99"/>
    <w:semiHidden/>
    <w:unhideWhenUsed/>
    <w:rsid w:val="00676000"/>
    <w:pPr>
      <w:spacing w:after="120"/>
      <w:ind w:left="1415"/>
      <w:contextualSpacing/>
    </w:pPr>
  </w:style>
  <w:style w:type="paragraph" w:styleId="ListNumber">
    <w:name w:val="List Number"/>
    <w:basedOn w:val="Normal"/>
    <w:uiPriority w:val="99"/>
    <w:semiHidden/>
    <w:unhideWhenUsed/>
    <w:rsid w:val="00676000"/>
    <w:pPr>
      <w:numPr>
        <w:numId w:val="28"/>
      </w:numPr>
      <w:contextualSpacing/>
    </w:pPr>
  </w:style>
  <w:style w:type="paragraph" w:styleId="ListNumber2">
    <w:name w:val="List Number 2"/>
    <w:basedOn w:val="Normal"/>
    <w:uiPriority w:val="99"/>
    <w:semiHidden/>
    <w:unhideWhenUsed/>
    <w:rsid w:val="00676000"/>
    <w:pPr>
      <w:numPr>
        <w:numId w:val="29"/>
      </w:numPr>
      <w:contextualSpacing/>
    </w:pPr>
  </w:style>
  <w:style w:type="paragraph" w:styleId="ListNumber3">
    <w:name w:val="List Number 3"/>
    <w:basedOn w:val="Normal"/>
    <w:uiPriority w:val="99"/>
    <w:semiHidden/>
    <w:unhideWhenUsed/>
    <w:rsid w:val="00676000"/>
    <w:pPr>
      <w:numPr>
        <w:numId w:val="30"/>
      </w:numPr>
      <w:contextualSpacing/>
    </w:pPr>
  </w:style>
  <w:style w:type="paragraph" w:styleId="ListNumber4">
    <w:name w:val="List Number 4"/>
    <w:basedOn w:val="Normal"/>
    <w:uiPriority w:val="99"/>
    <w:semiHidden/>
    <w:unhideWhenUsed/>
    <w:rsid w:val="00676000"/>
    <w:pPr>
      <w:numPr>
        <w:numId w:val="31"/>
      </w:numPr>
      <w:contextualSpacing/>
    </w:pPr>
  </w:style>
  <w:style w:type="paragraph" w:styleId="ListNumber5">
    <w:name w:val="List Number 5"/>
    <w:basedOn w:val="Normal"/>
    <w:uiPriority w:val="99"/>
    <w:semiHidden/>
    <w:unhideWhenUsed/>
    <w:rsid w:val="00676000"/>
    <w:pPr>
      <w:numPr>
        <w:numId w:val="32"/>
      </w:numPr>
      <w:contextualSpacing/>
    </w:pPr>
  </w:style>
  <w:style w:type="paragraph" w:styleId="MacroText">
    <w:name w:val="macro"/>
    <w:link w:val="MacroTextChar"/>
    <w:uiPriority w:val="99"/>
    <w:semiHidden/>
    <w:unhideWhenUsed/>
    <w:rsid w:val="0067600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croTextChar">
    <w:name w:val="Macro Text Char"/>
    <w:basedOn w:val="DefaultParagraphFont"/>
    <w:link w:val="MacroText"/>
    <w:uiPriority w:val="99"/>
    <w:semiHidden/>
    <w:rsid w:val="00676000"/>
    <w:rPr>
      <w:rFonts w:ascii="Consolas" w:hAnsi="Consolas"/>
      <w:sz w:val="20"/>
      <w:szCs w:val="20"/>
    </w:rPr>
  </w:style>
  <w:style w:type="paragraph" w:styleId="MessageHeader">
    <w:name w:val="Message Header"/>
    <w:basedOn w:val="Normal"/>
    <w:link w:val="MessageHeaderChar"/>
    <w:uiPriority w:val="99"/>
    <w:semiHidden/>
    <w:unhideWhenUsed/>
    <w:rsid w:val="0067600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676000"/>
    <w:rPr>
      <w:rFonts w:asciiTheme="majorHAnsi" w:eastAsiaTheme="majorEastAsia" w:hAnsiTheme="majorHAnsi" w:cstheme="majorBidi"/>
      <w:shd w:val="pct20" w:color="auto" w:fill="auto"/>
    </w:rPr>
  </w:style>
  <w:style w:type="paragraph" w:styleId="NoSpacing">
    <w:name w:val="No Spacing"/>
    <w:uiPriority w:val="1"/>
    <w:qFormat/>
    <w:rsid w:val="00676000"/>
  </w:style>
  <w:style w:type="paragraph" w:styleId="NormalIndent">
    <w:name w:val="Normal Indent"/>
    <w:basedOn w:val="Normal"/>
    <w:uiPriority w:val="99"/>
    <w:semiHidden/>
    <w:unhideWhenUsed/>
    <w:rsid w:val="00676000"/>
    <w:pPr>
      <w:ind w:left="720"/>
    </w:pPr>
  </w:style>
  <w:style w:type="paragraph" w:styleId="NoteHeading">
    <w:name w:val="Note Heading"/>
    <w:basedOn w:val="Normal"/>
    <w:next w:val="Normal"/>
    <w:link w:val="NoteHeadingChar"/>
    <w:uiPriority w:val="99"/>
    <w:semiHidden/>
    <w:unhideWhenUsed/>
    <w:rsid w:val="00676000"/>
  </w:style>
  <w:style w:type="character" w:customStyle="1" w:styleId="NoteHeadingChar">
    <w:name w:val="Note Heading Char"/>
    <w:basedOn w:val="DefaultParagraphFont"/>
    <w:link w:val="NoteHeading"/>
    <w:uiPriority w:val="99"/>
    <w:semiHidden/>
    <w:rsid w:val="00676000"/>
  </w:style>
  <w:style w:type="paragraph" w:styleId="PlainText">
    <w:name w:val="Plain Text"/>
    <w:basedOn w:val="Normal"/>
    <w:link w:val="PlainTextChar"/>
    <w:uiPriority w:val="99"/>
    <w:semiHidden/>
    <w:unhideWhenUsed/>
    <w:rsid w:val="00676000"/>
    <w:rPr>
      <w:rFonts w:ascii="Consolas" w:hAnsi="Consolas"/>
      <w:sz w:val="21"/>
      <w:szCs w:val="21"/>
    </w:rPr>
  </w:style>
  <w:style w:type="character" w:customStyle="1" w:styleId="PlainTextChar">
    <w:name w:val="Plain Text Char"/>
    <w:basedOn w:val="DefaultParagraphFont"/>
    <w:link w:val="PlainText"/>
    <w:uiPriority w:val="99"/>
    <w:semiHidden/>
    <w:rsid w:val="00676000"/>
    <w:rPr>
      <w:rFonts w:ascii="Consolas" w:hAnsi="Consolas"/>
      <w:sz w:val="21"/>
      <w:szCs w:val="21"/>
    </w:rPr>
  </w:style>
  <w:style w:type="paragraph" w:styleId="Quote">
    <w:name w:val="Quote"/>
    <w:basedOn w:val="Normal"/>
    <w:next w:val="Normal"/>
    <w:link w:val="QuoteChar"/>
    <w:uiPriority w:val="29"/>
    <w:qFormat/>
    <w:rsid w:val="00676000"/>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76000"/>
    <w:rPr>
      <w:i/>
      <w:iCs/>
      <w:color w:val="404040" w:themeColor="text1" w:themeTint="BF"/>
    </w:rPr>
  </w:style>
  <w:style w:type="paragraph" w:styleId="Salutation">
    <w:name w:val="Salutation"/>
    <w:basedOn w:val="Normal"/>
    <w:next w:val="Normal"/>
    <w:link w:val="SalutationChar"/>
    <w:uiPriority w:val="99"/>
    <w:semiHidden/>
    <w:unhideWhenUsed/>
    <w:rsid w:val="00676000"/>
  </w:style>
  <w:style w:type="character" w:customStyle="1" w:styleId="SalutationChar">
    <w:name w:val="Salutation Char"/>
    <w:basedOn w:val="DefaultParagraphFont"/>
    <w:link w:val="Salutation"/>
    <w:uiPriority w:val="99"/>
    <w:semiHidden/>
    <w:rsid w:val="00676000"/>
  </w:style>
  <w:style w:type="paragraph" w:styleId="Signature">
    <w:name w:val="Signature"/>
    <w:basedOn w:val="Normal"/>
    <w:link w:val="SignatureChar"/>
    <w:uiPriority w:val="99"/>
    <w:semiHidden/>
    <w:unhideWhenUsed/>
    <w:rsid w:val="00676000"/>
    <w:pPr>
      <w:ind w:left="4252"/>
    </w:pPr>
  </w:style>
  <w:style w:type="character" w:customStyle="1" w:styleId="SignatureChar">
    <w:name w:val="Signature Char"/>
    <w:basedOn w:val="DefaultParagraphFont"/>
    <w:link w:val="Signature"/>
    <w:uiPriority w:val="99"/>
    <w:semiHidden/>
    <w:rsid w:val="00676000"/>
  </w:style>
  <w:style w:type="paragraph" w:styleId="Subtitle">
    <w:name w:val="Subtitle"/>
    <w:basedOn w:val="Normal"/>
    <w:next w:val="Normal"/>
    <w:link w:val="SubtitleChar"/>
    <w:uiPriority w:val="11"/>
    <w:qFormat/>
    <w:rsid w:val="00676000"/>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676000"/>
    <w:rPr>
      <w:rFonts w:eastAsiaTheme="minorEastAsia"/>
      <w:color w:val="5A5A5A" w:themeColor="text1" w:themeTint="A5"/>
      <w:spacing w:val="15"/>
      <w:sz w:val="22"/>
      <w:szCs w:val="22"/>
    </w:rPr>
  </w:style>
  <w:style w:type="paragraph" w:styleId="TableofAuthorities">
    <w:name w:val="table of authorities"/>
    <w:basedOn w:val="Normal"/>
    <w:next w:val="Normal"/>
    <w:uiPriority w:val="99"/>
    <w:semiHidden/>
    <w:unhideWhenUsed/>
    <w:rsid w:val="00676000"/>
    <w:pPr>
      <w:ind w:left="240" w:hanging="240"/>
    </w:pPr>
  </w:style>
  <w:style w:type="paragraph" w:styleId="TableofFigures">
    <w:name w:val="table of figures"/>
    <w:basedOn w:val="Normal"/>
    <w:next w:val="Normal"/>
    <w:uiPriority w:val="99"/>
    <w:semiHidden/>
    <w:unhideWhenUsed/>
    <w:rsid w:val="00676000"/>
  </w:style>
  <w:style w:type="paragraph" w:styleId="TOAHeading">
    <w:name w:val="toa heading"/>
    <w:basedOn w:val="Normal"/>
    <w:next w:val="Normal"/>
    <w:uiPriority w:val="99"/>
    <w:semiHidden/>
    <w:unhideWhenUsed/>
    <w:rsid w:val="00676000"/>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676000"/>
    <w:pPr>
      <w:spacing w:after="100"/>
    </w:pPr>
  </w:style>
  <w:style w:type="paragraph" w:styleId="TOC2">
    <w:name w:val="toc 2"/>
    <w:basedOn w:val="Normal"/>
    <w:next w:val="Normal"/>
    <w:autoRedefine/>
    <w:uiPriority w:val="39"/>
    <w:semiHidden/>
    <w:unhideWhenUsed/>
    <w:rsid w:val="00676000"/>
    <w:pPr>
      <w:spacing w:after="100"/>
      <w:ind w:left="240"/>
    </w:pPr>
  </w:style>
  <w:style w:type="paragraph" w:styleId="TOC3">
    <w:name w:val="toc 3"/>
    <w:basedOn w:val="Normal"/>
    <w:next w:val="Normal"/>
    <w:autoRedefine/>
    <w:uiPriority w:val="39"/>
    <w:semiHidden/>
    <w:unhideWhenUsed/>
    <w:rsid w:val="00676000"/>
    <w:pPr>
      <w:spacing w:after="100"/>
      <w:ind w:left="480"/>
    </w:pPr>
  </w:style>
  <w:style w:type="paragraph" w:styleId="TOC4">
    <w:name w:val="toc 4"/>
    <w:basedOn w:val="Normal"/>
    <w:next w:val="Normal"/>
    <w:autoRedefine/>
    <w:uiPriority w:val="39"/>
    <w:semiHidden/>
    <w:unhideWhenUsed/>
    <w:rsid w:val="00676000"/>
    <w:pPr>
      <w:spacing w:after="100"/>
      <w:ind w:left="720"/>
    </w:pPr>
  </w:style>
  <w:style w:type="paragraph" w:styleId="TOC5">
    <w:name w:val="toc 5"/>
    <w:basedOn w:val="Normal"/>
    <w:next w:val="Normal"/>
    <w:autoRedefine/>
    <w:uiPriority w:val="39"/>
    <w:semiHidden/>
    <w:unhideWhenUsed/>
    <w:rsid w:val="00676000"/>
    <w:pPr>
      <w:spacing w:after="100"/>
      <w:ind w:left="960"/>
    </w:pPr>
  </w:style>
  <w:style w:type="paragraph" w:styleId="TOC6">
    <w:name w:val="toc 6"/>
    <w:basedOn w:val="Normal"/>
    <w:next w:val="Normal"/>
    <w:autoRedefine/>
    <w:uiPriority w:val="39"/>
    <w:semiHidden/>
    <w:unhideWhenUsed/>
    <w:rsid w:val="00676000"/>
    <w:pPr>
      <w:spacing w:after="100"/>
      <w:ind w:left="1200"/>
    </w:pPr>
  </w:style>
  <w:style w:type="paragraph" w:styleId="TOC7">
    <w:name w:val="toc 7"/>
    <w:basedOn w:val="Normal"/>
    <w:next w:val="Normal"/>
    <w:autoRedefine/>
    <w:uiPriority w:val="39"/>
    <w:semiHidden/>
    <w:unhideWhenUsed/>
    <w:rsid w:val="00676000"/>
    <w:pPr>
      <w:spacing w:after="100"/>
      <w:ind w:left="1440"/>
    </w:pPr>
  </w:style>
  <w:style w:type="paragraph" w:styleId="TOC8">
    <w:name w:val="toc 8"/>
    <w:basedOn w:val="Normal"/>
    <w:next w:val="Normal"/>
    <w:autoRedefine/>
    <w:uiPriority w:val="39"/>
    <w:semiHidden/>
    <w:unhideWhenUsed/>
    <w:rsid w:val="00676000"/>
    <w:pPr>
      <w:spacing w:after="100"/>
      <w:ind w:left="1680"/>
    </w:pPr>
  </w:style>
  <w:style w:type="paragraph" w:styleId="TOC9">
    <w:name w:val="toc 9"/>
    <w:basedOn w:val="Normal"/>
    <w:next w:val="Normal"/>
    <w:autoRedefine/>
    <w:uiPriority w:val="39"/>
    <w:semiHidden/>
    <w:unhideWhenUsed/>
    <w:rsid w:val="00676000"/>
    <w:pPr>
      <w:spacing w:after="100"/>
      <w:ind w:left="1920"/>
    </w:pPr>
  </w:style>
  <w:style w:type="paragraph" w:styleId="TOCHeading">
    <w:name w:val="TOC Heading"/>
    <w:basedOn w:val="Heading1"/>
    <w:next w:val="Normal"/>
    <w:uiPriority w:val="39"/>
    <w:semiHidden/>
    <w:unhideWhenUsed/>
    <w:qFormat/>
    <w:rsid w:val="00676000"/>
    <w:pPr>
      <w:keepNext/>
      <w:keepLines/>
      <w:shd w:val="clear" w:color="auto" w:fill="auto"/>
      <w:spacing w:before="240" w:line="240" w:lineRule="auto"/>
      <w:jc w:val="left"/>
      <w:outlineLvl w:val="9"/>
    </w:pPr>
    <w:rPr>
      <w:rFonts w:asciiTheme="majorHAnsi" w:eastAsiaTheme="majorEastAsia" w:hAnsiTheme="majorHAnsi" w:cstheme="majorBidi"/>
      <w:b w:val="0"/>
      <w:color w:val="2F5496" w:themeColor="accent1" w:themeShade="BF"/>
      <w:sz w:val="32"/>
      <w:szCs w:val="3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22089">
      <w:bodyDiv w:val="1"/>
      <w:marLeft w:val="0"/>
      <w:marRight w:val="0"/>
      <w:marTop w:val="0"/>
      <w:marBottom w:val="0"/>
      <w:divBdr>
        <w:top w:val="none" w:sz="0" w:space="0" w:color="auto"/>
        <w:left w:val="none" w:sz="0" w:space="0" w:color="auto"/>
        <w:bottom w:val="none" w:sz="0" w:space="0" w:color="auto"/>
        <w:right w:val="none" w:sz="0" w:space="0" w:color="auto"/>
      </w:divBdr>
      <w:divsChild>
        <w:div w:id="645401524">
          <w:marLeft w:val="0"/>
          <w:marRight w:val="0"/>
          <w:marTop w:val="0"/>
          <w:marBottom w:val="0"/>
          <w:divBdr>
            <w:top w:val="none" w:sz="0" w:space="0" w:color="auto"/>
            <w:left w:val="none" w:sz="0" w:space="0" w:color="auto"/>
            <w:bottom w:val="none" w:sz="0" w:space="0" w:color="auto"/>
            <w:right w:val="none" w:sz="0" w:space="0" w:color="auto"/>
          </w:divBdr>
          <w:divsChild>
            <w:div w:id="1065178669">
              <w:marLeft w:val="0"/>
              <w:marRight w:val="0"/>
              <w:marTop w:val="0"/>
              <w:marBottom w:val="0"/>
              <w:divBdr>
                <w:top w:val="none" w:sz="0" w:space="0" w:color="auto"/>
                <w:left w:val="none" w:sz="0" w:space="0" w:color="auto"/>
                <w:bottom w:val="none" w:sz="0" w:space="0" w:color="auto"/>
                <w:right w:val="none" w:sz="0" w:space="0" w:color="auto"/>
              </w:divBdr>
              <w:divsChild>
                <w:div w:id="2033260213">
                  <w:marLeft w:val="0"/>
                  <w:marRight w:val="0"/>
                  <w:marTop w:val="0"/>
                  <w:marBottom w:val="0"/>
                  <w:divBdr>
                    <w:top w:val="none" w:sz="0" w:space="0" w:color="auto"/>
                    <w:left w:val="none" w:sz="0" w:space="0" w:color="auto"/>
                    <w:bottom w:val="none" w:sz="0" w:space="0" w:color="auto"/>
                    <w:right w:val="none" w:sz="0" w:space="0" w:color="auto"/>
                  </w:divBdr>
                  <w:divsChild>
                    <w:div w:id="154475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648127">
          <w:marLeft w:val="0"/>
          <w:marRight w:val="0"/>
          <w:marTop w:val="0"/>
          <w:marBottom w:val="0"/>
          <w:divBdr>
            <w:top w:val="none" w:sz="0" w:space="0" w:color="auto"/>
            <w:left w:val="none" w:sz="0" w:space="0" w:color="auto"/>
            <w:bottom w:val="none" w:sz="0" w:space="0" w:color="auto"/>
            <w:right w:val="none" w:sz="0" w:space="0" w:color="auto"/>
          </w:divBdr>
          <w:divsChild>
            <w:div w:id="666632599">
              <w:marLeft w:val="0"/>
              <w:marRight w:val="0"/>
              <w:marTop w:val="0"/>
              <w:marBottom w:val="0"/>
              <w:divBdr>
                <w:top w:val="none" w:sz="0" w:space="0" w:color="auto"/>
                <w:left w:val="none" w:sz="0" w:space="0" w:color="auto"/>
                <w:bottom w:val="none" w:sz="0" w:space="0" w:color="auto"/>
                <w:right w:val="none" w:sz="0" w:space="0" w:color="auto"/>
              </w:divBdr>
              <w:divsChild>
                <w:div w:id="30405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37735">
      <w:bodyDiv w:val="1"/>
      <w:marLeft w:val="0"/>
      <w:marRight w:val="0"/>
      <w:marTop w:val="0"/>
      <w:marBottom w:val="0"/>
      <w:divBdr>
        <w:top w:val="none" w:sz="0" w:space="0" w:color="auto"/>
        <w:left w:val="none" w:sz="0" w:space="0" w:color="auto"/>
        <w:bottom w:val="none" w:sz="0" w:space="0" w:color="auto"/>
        <w:right w:val="none" w:sz="0" w:space="0" w:color="auto"/>
      </w:divBdr>
      <w:divsChild>
        <w:div w:id="1330327470">
          <w:marLeft w:val="0"/>
          <w:marRight w:val="0"/>
          <w:marTop w:val="0"/>
          <w:marBottom w:val="0"/>
          <w:divBdr>
            <w:top w:val="none" w:sz="0" w:space="0" w:color="auto"/>
            <w:left w:val="none" w:sz="0" w:space="0" w:color="auto"/>
            <w:bottom w:val="none" w:sz="0" w:space="0" w:color="auto"/>
            <w:right w:val="none" w:sz="0" w:space="0" w:color="auto"/>
          </w:divBdr>
          <w:divsChild>
            <w:div w:id="896357033">
              <w:marLeft w:val="0"/>
              <w:marRight w:val="0"/>
              <w:marTop w:val="0"/>
              <w:marBottom w:val="0"/>
              <w:divBdr>
                <w:top w:val="none" w:sz="0" w:space="0" w:color="auto"/>
                <w:left w:val="none" w:sz="0" w:space="0" w:color="auto"/>
                <w:bottom w:val="none" w:sz="0" w:space="0" w:color="auto"/>
                <w:right w:val="none" w:sz="0" w:space="0" w:color="auto"/>
              </w:divBdr>
              <w:divsChild>
                <w:div w:id="1708751945">
                  <w:marLeft w:val="0"/>
                  <w:marRight w:val="0"/>
                  <w:marTop w:val="0"/>
                  <w:marBottom w:val="0"/>
                  <w:divBdr>
                    <w:top w:val="none" w:sz="0" w:space="0" w:color="auto"/>
                    <w:left w:val="none" w:sz="0" w:space="0" w:color="auto"/>
                    <w:bottom w:val="none" w:sz="0" w:space="0" w:color="auto"/>
                    <w:right w:val="none" w:sz="0" w:space="0" w:color="auto"/>
                  </w:divBdr>
                  <w:divsChild>
                    <w:div w:id="211019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42605">
          <w:marLeft w:val="0"/>
          <w:marRight w:val="0"/>
          <w:marTop w:val="0"/>
          <w:marBottom w:val="0"/>
          <w:divBdr>
            <w:top w:val="none" w:sz="0" w:space="0" w:color="auto"/>
            <w:left w:val="none" w:sz="0" w:space="0" w:color="auto"/>
            <w:bottom w:val="none" w:sz="0" w:space="0" w:color="auto"/>
            <w:right w:val="none" w:sz="0" w:space="0" w:color="auto"/>
          </w:divBdr>
          <w:divsChild>
            <w:div w:id="496001765">
              <w:marLeft w:val="0"/>
              <w:marRight w:val="0"/>
              <w:marTop w:val="0"/>
              <w:marBottom w:val="0"/>
              <w:divBdr>
                <w:top w:val="none" w:sz="0" w:space="0" w:color="auto"/>
                <w:left w:val="none" w:sz="0" w:space="0" w:color="auto"/>
                <w:bottom w:val="none" w:sz="0" w:space="0" w:color="auto"/>
                <w:right w:val="none" w:sz="0" w:space="0" w:color="auto"/>
              </w:divBdr>
              <w:divsChild>
                <w:div w:id="109767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497313">
      <w:bodyDiv w:val="1"/>
      <w:marLeft w:val="0"/>
      <w:marRight w:val="0"/>
      <w:marTop w:val="0"/>
      <w:marBottom w:val="0"/>
      <w:divBdr>
        <w:top w:val="none" w:sz="0" w:space="0" w:color="auto"/>
        <w:left w:val="none" w:sz="0" w:space="0" w:color="auto"/>
        <w:bottom w:val="none" w:sz="0" w:space="0" w:color="auto"/>
        <w:right w:val="none" w:sz="0" w:space="0" w:color="auto"/>
      </w:divBdr>
      <w:divsChild>
        <w:div w:id="1638949651">
          <w:marLeft w:val="0"/>
          <w:marRight w:val="0"/>
          <w:marTop w:val="0"/>
          <w:marBottom w:val="0"/>
          <w:divBdr>
            <w:top w:val="none" w:sz="0" w:space="0" w:color="auto"/>
            <w:left w:val="none" w:sz="0" w:space="0" w:color="auto"/>
            <w:bottom w:val="none" w:sz="0" w:space="0" w:color="auto"/>
            <w:right w:val="none" w:sz="0" w:space="0" w:color="auto"/>
          </w:divBdr>
          <w:divsChild>
            <w:div w:id="598682846">
              <w:marLeft w:val="0"/>
              <w:marRight w:val="0"/>
              <w:marTop w:val="0"/>
              <w:marBottom w:val="0"/>
              <w:divBdr>
                <w:top w:val="none" w:sz="0" w:space="0" w:color="auto"/>
                <w:left w:val="none" w:sz="0" w:space="0" w:color="auto"/>
                <w:bottom w:val="none" w:sz="0" w:space="0" w:color="auto"/>
                <w:right w:val="none" w:sz="0" w:space="0" w:color="auto"/>
              </w:divBdr>
              <w:divsChild>
                <w:div w:id="1974169792">
                  <w:marLeft w:val="0"/>
                  <w:marRight w:val="0"/>
                  <w:marTop w:val="0"/>
                  <w:marBottom w:val="0"/>
                  <w:divBdr>
                    <w:top w:val="none" w:sz="0" w:space="0" w:color="auto"/>
                    <w:left w:val="none" w:sz="0" w:space="0" w:color="auto"/>
                    <w:bottom w:val="none" w:sz="0" w:space="0" w:color="auto"/>
                    <w:right w:val="none" w:sz="0" w:space="0" w:color="auto"/>
                  </w:divBdr>
                  <w:divsChild>
                    <w:div w:id="207647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428170">
          <w:marLeft w:val="0"/>
          <w:marRight w:val="0"/>
          <w:marTop w:val="0"/>
          <w:marBottom w:val="0"/>
          <w:divBdr>
            <w:top w:val="none" w:sz="0" w:space="0" w:color="auto"/>
            <w:left w:val="none" w:sz="0" w:space="0" w:color="auto"/>
            <w:bottom w:val="none" w:sz="0" w:space="0" w:color="auto"/>
            <w:right w:val="none" w:sz="0" w:space="0" w:color="auto"/>
          </w:divBdr>
          <w:divsChild>
            <w:div w:id="618225677">
              <w:marLeft w:val="0"/>
              <w:marRight w:val="0"/>
              <w:marTop w:val="0"/>
              <w:marBottom w:val="0"/>
              <w:divBdr>
                <w:top w:val="none" w:sz="0" w:space="0" w:color="auto"/>
                <w:left w:val="none" w:sz="0" w:space="0" w:color="auto"/>
                <w:bottom w:val="none" w:sz="0" w:space="0" w:color="auto"/>
                <w:right w:val="none" w:sz="0" w:space="0" w:color="auto"/>
              </w:divBdr>
              <w:divsChild>
                <w:div w:id="2018649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201500">
          <w:marLeft w:val="0"/>
          <w:marRight w:val="0"/>
          <w:marTop w:val="0"/>
          <w:marBottom w:val="0"/>
          <w:divBdr>
            <w:top w:val="none" w:sz="0" w:space="0" w:color="auto"/>
            <w:left w:val="none" w:sz="0" w:space="0" w:color="auto"/>
            <w:bottom w:val="none" w:sz="0" w:space="0" w:color="auto"/>
            <w:right w:val="none" w:sz="0" w:space="0" w:color="auto"/>
          </w:divBdr>
        </w:div>
      </w:divsChild>
    </w:div>
    <w:div w:id="306469726">
      <w:bodyDiv w:val="1"/>
      <w:marLeft w:val="0"/>
      <w:marRight w:val="0"/>
      <w:marTop w:val="0"/>
      <w:marBottom w:val="0"/>
      <w:divBdr>
        <w:top w:val="none" w:sz="0" w:space="0" w:color="auto"/>
        <w:left w:val="none" w:sz="0" w:space="0" w:color="auto"/>
        <w:bottom w:val="none" w:sz="0" w:space="0" w:color="auto"/>
        <w:right w:val="none" w:sz="0" w:space="0" w:color="auto"/>
      </w:divBdr>
      <w:divsChild>
        <w:div w:id="1489708491">
          <w:marLeft w:val="0"/>
          <w:marRight w:val="0"/>
          <w:marTop w:val="0"/>
          <w:marBottom w:val="0"/>
          <w:divBdr>
            <w:top w:val="none" w:sz="0" w:space="0" w:color="auto"/>
            <w:left w:val="none" w:sz="0" w:space="0" w:color="auto"/>
            <w:bottom w:val="none" w:sz="0" w:space="0" w:color="auto"/>
            <w:right w:val="none" w:sz="0" w:space="0" w:color="auto"/>
          </w:divBdr>
          <w:divsChild>
            <w:div w:id="830296108">
              <w:marLeft w:val="0"/>
              <w:marRight w:val="0"/>
              <w:marTop w:val="0"/>
              <w:marBottom w:val="0"/>
              <w:divBdr>
                <w:top w:val="none" w:sz="0" w:space="0" w:color="auto"/>
                <w:left w:val="none" w:sz="0" w:space="0" w:color="auto"/>
                <w:bottom w:val="none" w:sz="0" w:space="0" w:color="auto"/>
                <w:right w:val="none" w:sz="0" w:space="0" w:color="auto"/>
              </w:divBdr>
              <w:divsChild>
                <w:div w:id="2075158196">
                  <w:marLeft w:val="0"/>
                  <w:marRight w:val="0"/>
                  <w:marTop w:val="0"/>
                  <w:marBottom w:val="0"/>
                  <w:divBdr>
                    <w:top w:val="none" w:sz="0" w:space="0" w:color="auto"/>
                    <w:left w:val="none" w:sz="0" w:space="0" w:color="auto"/>
                    <w:bottom w:val="none" w:sz="0" w:space="0" w:color="auto"/>
                    <w:right w:val="none" w:sz="0" w:space="0" w:color="auto"/>
                  </w:divBdr>
                  <w:divsChild>
                    <w:div w:id="161725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214962">
          <w:marLeft w:val="0"/>
          <w:marRight w:val="0"/>
          <w:marTop w:val="0"/>
          <w:marBottom w:val="0"/>
          <w:divBdr>
            <w:top w:val="none" w:sz="0" w:space="0" w:color="auto"/>
            <w:left w:val="none" w:sz="0" w:space="0" w:color="auto"/>
            <w:bottom w:val="none" w:sz="0" w:space="0" w:color="auto"/>
            <w:right w:val="none" w:sz="0" w:space="0" w:color="auto"/>
          </w:divBdr>
          <w:divsChild>
            <w:div w:id="900141369">
              <w:marLeft w:val="0"/>
              <w:marRight w:val="0"/>
              <w:marTop w:val="0"/>
              <w:marBottom w:val="0"/>
              <w:divBdr>
                <w:top w:val="none" w:sz="0" w:space="0" w:color="auto"/>
                <w:left w:val="none" w:sz="0" w:space="0" w:color="auto"/>
                <w:bottom w:val="none" w:sz="0" w:space="0" w:color="auto"/>
                <w:right w:val="none" w:sz="0" w:space="0" w:color="auto"/>
              </w:divBdr>
              <w:divsChild>
                <w:div w:id="1568684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333413">
      <w:bodyDiv w:val="1"/>
      <w:marLeft w:val="0"/>
      <w:marRight w:val="0"/>
      <w:marTop w:val="0"/>
      <w:marBottom w:val="0"/>
      <w:divBdr>
        <w:top w:val="none" w:sz="0" w:space="0" w:color="auto"/>
        <w:left w:val="none" w:sz="0" w:space="0" w:color="auto"/>
        <w:bottom w:val="none" w:sz="0" w:space="0" w:color="auto"/>
        <w:right w:val="none" w:sz="0" w:space="0" w:color="auto"/>
      </w:divBdr>
    </w:div>
    <w:div w:id="562759236">
      <w:bodyDiv w:val="1"/>
      <w:marLeft w:val="0"/>
      <w:marRight w:val="0"/>
      <w:marTop w:val="0"/>
      <w:marBottom w:val="0"/>
      <w:divBdr>
        <w:top w:val="none" w:sz="0" w:space="0" w:color="auto"/>
        <w:left w:val="none" w:sz="0" w:space="0" w:color="auto"/>
        <w:bottom w:val="none" w:sz="0" w:space="0" w:color="auto"/>
        <w:right w:val="none" w:sz="0" w:space="0" w:color="auto"/>
      </w:divBdr>
      <w:divsChild>
        <w:div w:id="1773162462">
          <w:marLeft w:val="0"/>
          <w:marRight w:val="0"/>
          <w:marTop w:val="0"/>
          <w:marBottom w:val="0"/>
          <w:divBdr>
            <w:top w:val="none" w:sz="0" w:space="0" w:color="auto"/>
            <w:left w:val="none" w:sz="0" w:space="0" w:color="auto"/>
            <w:bottom w:val="none" w:sz="0" w:space="0" w:color="auto"/>
            <w:right w:val="none" w:sz="0" w:space="0" w:color="auto"/>
          </w:divBdr>
          <w:divsChild>
            <w:div w:id="1575898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266185">
      <w:bodyDiv w:val="1"/>
      <w:marLeft w:val="0"/>
      <w:marRight w:val="0"/>
      <w:marTop w:val="0"/>
      <w:marBottom w:val="0"/>
      <w:divBdr>
        <w:top w:val="none" w:sz="0" w:space="0" w:color="auto"/>
        <w:left w:val="none" w:sz="0" w:space="0" w:color="auto"/>
        <w:bottom w:val="none" w:sz="0" w:space="0" w:color="auto"/>
        <w:right w:val="none" w:sz="0" w:space="0" w:color="auto"/>
      </w:divBdr>
      <w:divsChild>
        <w:div w:id="1086538875">
          <w:marLeft w:val="0"/>
          <w:marRight w:val="0"/>
          <w:marTop w:val="0"/>
          <w:marBottom w:val="0"/>
          <w:divBdr>
            <w:top w:val="none" w:sz="0" w:space="0" w:color="auto"/>
            <w:left w:val="none" w:sz="0" w:space="0" w:color="auto"/>
            <w:bottom w:val="none" w:sz="0" w:space="0" w:color="auto"/>
            <w:right w:val="none" w:sz="0" w:space="0" w:color="auto"/>
          </w:divBdr>
          <w:divsChild>
            <w:div w:id="1503856569">
              <w:marLeft w:val="0"/>
              <w:marRight w:val="0"/>
              <w:marTop w:val="0"/>
              <w:marBottom w:val="0"/>
              <w:divBdr>
                <w:top w:val="none" w:sz="0" w:space="0" w:color="auto"/>
                <w:left w:val="none" w:sz="0" w:space="0" w:color="auto"/>
                <w:bottom w:val="none" w:sz="0" w:space="0" w:color="auto"/>
                <w:right w:val="none" w:sz="0" w:space="0" w:color="auto"/>
              </w:divBdr>
              <w:divsChild>
                <w:div w:id="1269851802">
                  <w:marLeft w:val="0"/>
                  <w:marRight w:val="0"/>
                  <w:marTop w:val="0"/>
                  <w:marBottom w:val="0"/>
                  <w:divBdr>
                    <w:top w:val="none" w:sz="0" w:space="0" w:color="auto"/>
                    <w:left w:val="none" w:sz="0" w:space="0" w:color="auto"/>
                    <w:bottom w:val="none" w:sz="0" w:space="0" w:color="auto"/>
                    <w:right w:val="none" w:sz="0" w:space="0" w:color="auto"/>
                  </w:divBdr>
                  <w:divsChild>
                    <w:div w:id="1614361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758187">
          <w:marLeft w:val="0"/>
          <w:marRight w:val="0"/>
          <w:marTop w:val="0"/>
          <w:marBottom w:val="0"/>
          <w:divBdr>
            <w:top w:val="none" w:sz="0" w:space="0" w:color="auto"/>
            <w:left w:val="none" w:sz="0" w:space="0" w:color="auto"/>
            <w:bottom w:val="none" w:sz="0" w:space="0" w:color="auto"/>
            <w:right w:val="none" w:sz="0" w:space="0" w:color="auto"/>
          </w:divBdr>
          <w:divsChild>
            <w:div w:id="583224070">
              <w:marLeft w:val="0"/>
              <w:marRight w:val="0"/>
              <w:marTop w:val="0"/>
              <w:marBottom w:val="0"/>
              <w:divBdr>
                <w:top w:val="none" w:sz="0" w:space="0" w:color="auto"/>
                <w:left w:val="none" w:sz="0" w:space="0" w:color="auto"/>
                <w:bottom w:val="none" w:sz="0" w:space="0" w:color="auto"/>
                <w:right w:val="none" w:sz="0" w:space="0" w:color="auto"/>
              </w:divBdr>
              <w:divsChild>
                <w:div w:id="1371759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182156">
      <w:bodyDiv w:val="1"/>
      <w:marLeft w:val="0"/>
      <w:marRight w:val="0"/>
      <w:marTop w:val="0"/>
      <w:marBottom w:val="0"/>
      <w:divBdr>
        <w:top w:val="none" w:sz="0" w:space="0" w:color="auto"/>
        <w:left w:val="none" w:sz="0" w:space="0" w:color="auto"/>
        <w:bottom w:val="none" w:sz="0" w:space="0" w:color="auto"/>
        <w:right w:val="none" w:sz="0" w:space="0" w:color="auto"/>
      </w:divBdr>
    </w:div>
    <w:div w:id="739061784">
      <w:bodyDiv w:val="1"/>
      <w:marLeft w:val="0"/>
      <w:marRight w:val="0"/>
      <w:marTop w:val="0"/>
      <w:marBottom w:val="0"/>
      <w:divBdr>
        <w:top w:val="none" w:sz="0" w:space="0" w:color="auto"/>
        <w:left w:val="none" w:sz="0" w:space="0" w:color="auto"/>
        <w:bottom w:val="none" w:sz="0" w:space="0" w:color="auto"/>
        <w:right w:val="none" w:sz="0" w:space="0" w:color="auto"/>
      </w:divBdr>
      <w:divsChild>
        <w:div w:id="1895390237">
          <w:marLeft w:val="0"/>
          <w:marRight w:val="0"/>
          <w:marTop w:val="0"/>
          <w:marBottom w:val="0"/>
          <w:divBdr>
            <w:top w:val="none" w:sz="0" w:space="0" w:color="auto"/>
            <w:left w:val="none" w:sz="0" w:space="0" w:color="auto"/>
            <w:bottom w:val="none" w:sz="0" w:space="0" w:color="auto"/>
            <w:right w:val="none" w:sz="0" w:space="0" w:color="auto"/>
          </w:divBdr>
          <w:divsChild>
            <w:div w:id="1344670026">
              <w:marLeft w:val="0"/>
              <w:marRight w:val="0"/>
              <w:marTop w:val="0"/>
              <w:marBottom w:val="0"/>
              <w:divBdr>
                <w:top w:val="none" w:sz="0" w:space="0" w:color="auto"/>
                <w:left w:val="none" w:sz="0" w:space="0" w:color="auto"/>
                <w:bottom w:val="none" w:sz="0" w:space="0" w:color="auto"/>
                <w:right w:val="none" w:sz="0" w:space="0" w:color="auto"/>
              </w:divBdr>
              <w:divsChild>
                <w:div w:id="1616595905">
                  <w:marLeft w:val="0"/>
                  <w:marRight w:val="0"/>
                  <w:marTop w:val="0"/>
                  <w:marBottom w:val="0"/>
                  <w:divBdr>
                    <w:top w:val="none" w:sz="0" w:space="0" w:color="auto"/>
                    <w:left w:val="none" w:sz="0" w:space="0" w:color="auto"/>
                    <w:bottom w:val="none" w:sz="0" w:space="0" w:color="auto"/>
                    <w:right w:val="none" w:sz="0" w:space="0" w:color="auto"/>
                  </w:divBdr>
                  <w:divsChild>
                    <w:div w:id="5767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9030299">
          <w:marLeft w:val="0"/>
          <w:marRight w:val="0"/>
          <w:marTop w:val="0"/>
          <w:marBottom w:val="0"/>
          <w:divBdr>
            <w:top w:val="none" w:sz="0" w:space="0" w:color="auto"/>
            <w:left w:val="none" w:sz="0" w:space="0" w:color="auto"/>
            <w:bottom w:val="none" w:sz="0" w:space="0" w:color="auto"/>
            <w:right w:val="none" w:sz="0" w:space="0" w:color="auto"/>
          </w:divBdr>
          <w:divsChild>
            <w:div w:id="475610009">
              <w:marLeft w:val="0"/>
              <w:marRight w:val="0"/>
              <w:marTop w:val="0"/>
              <w:marBottom w:val="0"/>
              <w:divBdr>
                <w:top w:val="none" w:sz="0" w:space="0" w:color="auto"/>
                <w:left w:val="none" w:sz="0" w:space="0" w:color="auto"/>
                <w:bottom w:val="none" w:sz="0" w:space="0" w:color="auto"/>
                <w:right w:val="none" w:sz="0" w:space="0" w:color="auto"/>
              </w:divBdr>
              <w:divsChild>
                <w:div w:id="1732315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825507">
      <w:bodyDiv w:val="1"/>
      <w:marLeft w:val="0"/>
      <w:marRight w:val="0"/>
      <w:marTop w:val="0"/>
      <w:marBottom w:val="0"/>
      <w:divBdr>
        <w:top w:val="none" w:sz="0" w:space="0" w:color="auto"/>
        <w:left w:val="none" w:sz="0" w:space="0" w:color="auto"/>
        <w:bottom w:val="none" w:sz="0" w:space="0" w:color="auto"/>
        <w:right w:val="none" w:sz="0" w:space="0" w:color="auto"/>
      </w:divBdr>
      <w:divsChild>
        <w:div w:id="240481481">
          <w:marLeft w:val="0"/>
          <w:marRight w:val="0"/>
          <w:marTop w:val="0"/>
          <w:marBottom w:val="0"/>
          <w:divBdr>
            <w:top w:val="none" w:sz="0" w:space="0" w:color="auto"/>
            <w:left w:val="none" w:sz="0" w:space="0" w:color="auto"/>
            <w:bottom w:val="none" w:sz="0" w:space="0" w:color="auto"/>
            <w:right w:val="none" w:sz="0" w:space="0" w:color="auto"/>
          </w:divBdr>
          <w:divsChild>
            <w:div w:id="1682047637">
              <w:marLeft w:val="0"/>
              <w:marRight w:val="0"/>
              <w:marTop w:val="0"/>
              <w:marBottom w:val="0"/>
              <w:divBdr>
                <w:top w:val="none" w:sz="0" w:space="0" w:color="auto"/>
                <w:left w:val="none" w:sz="0" w:space="0" w:color="auto"/>
                <w:bottom w:val="none" w:sz="0" w:space="0" w:color="auto"/>
                <w:right w:val="none" w:sz="0" w:space="0" w:color="auto"/>
              </w:divBdr>
              <w:divsChild>
                <w:div w:id="1946040163">
                  <w:marLeft w:val="0"/>
                  <w:marRight w:val="0"/>
                  <w:marTop w:val="0"/>
                  <w:marBottom w:val="0"/>
                  <w:divBdr>
                    <w:top w:val="none" w:sz="0" w:space="0" w:color="auto"/>
                    <w:left w:val="none" w:sz="0" w:space="0" w:color="auto"/>
                    <w:bottom w:val="none" w:sz="0" w:space="0" w:color="auto"/>
                    <w:right w:val="none" w:sz="0" w:space="0" w:color="auto"/>
                  </w:divBdr>
                  <w:divsChild>
                    <w:div w:id="863446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273981">
          <w:marLeft w:val="0"/>
          <w:marRight w:val="0"/>
          <w:marTop w:val="0"/>
          <w:marBottom w:val="0"/>
          <w:divBdr>
            <w:top w:val="none" w:sz="0" w:space="0" w:color="auto"/>
            <w:left w:val="none" w:sz="0" w:space="0" w:color="auto"/>
            <w:bottom w:val="none" w:sz="0" w:space="0" w:color="auto"/>
            <w:right w:val="none" w:sz="0" w:space="0" w:color="auto"/>
          </w:divBdr>
          <w:divsChild>
            <w:div w:id="923027592">
              <w:marLeft w:val="0"/>
              <w:marRight w:val="0"/>
              <w:marTop w:val="0"/>
              <w:marBottom w:val="0"/>
              <w:divBdr>
                <w:top w:val="none" w:sz="0" w:space="0" w:color="auto"/>
                <w:left w:val="none" w:sz="0" w:space="0" w:color="auto"/>
                <w:bottom w:val="none" w:sz="0" w:space="0" w:color="auto"/>
                <w:right w:val="none" w:sz="0" w:space="0" w:color="auto"/>
              </w:divBdr>
              <w:divsChild>
                <w:div w:id="210603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787076">
      <w:bodyDiv w:val="1"/>
      <w:marLeft w:val="0"/>
      <w:marRight w:val="0"/>
      <w:marTop w:val="0"/>
      <w:marBottom w:val="0"/>
      <w:divBdr>
        <w:top w:val="none" w:sz="0" w:space="0" w:color="auto"/>
        <w:left w:val="none" w:sz="0" w:space="0" w:color="auto"/>
        <w:bottom w:val="none" w:sz="0" w:space="0" w:color="auto"/>
        <w:right w:val="none" w:sz="0" w:space="0" w:color="auto"/>
      </w:divBdr>
      <w:divsChild>
        <w:div w:id="1852839938">
          <w:marLeft w:val="0"/>
          <w:marRight w:val="0"/>
          <w:marTop w:val="0"/>
          <w:marBottom w:val="0"/>
          <w:divBdr>
            <w:top w:val="none" w:sz="0" w:space="0" w:color="auto"/>
            <w:left w:val="none" w:sz="0" w:space="0" w:color="auto"/>
            <w:bottom w:val="none" w:sz="0" w:space="0" w:color="auto"/>
            <w:right w:val="none" w:sz="0" w:space="0" w:color="auto"/>
          </w:divBdr>
          <w:divsChild>
            <w:div w:id="418066906">
              <w:marLeft w:val="0"/>
              <w:marRight w:val="0"/>
              <w:marTop w:val="0"/>
              <w:marBottom w:val="0"/>
              <w:divBdr>
                <w:top w:val="none" w:sz="0" w:space="0" w:color="auto"/>
                <w:left w:val="none" w:sz="0" w:space="0" w:color="auto"/>
                <w:bottom w:val="none" w:sz="0" w:space="0" w:color="auto"/>
                <w:right w:val="none" w:sz="0" w:space="0" w:color="auto"/>
              </w:divBdr>
            </w:div>
            <w:div w:id="1176119665">
              <w:marLeft w:val="0"/>
              <w:marRight w:val="0"/>
              <w:marTop w:val="0"/>
              <w:marBottom w:val="0"/>
              <w:divBdr>
                <w:top w:val="none" w:sz="0" w:space="0" w:color="auto"/>
                <w:left w:val="none" w:sz="0" w:space="0" w:color="auto"/>
                <w:bottom w:val="none" w:sz="0" w:space="0" w:color="auto"/>
                <w:right w:val="none" w:sz="0" w:space="0" w:color="auto"/>
              </w:divBdr>
              <w:divsChild>
                <w:div w:id="726536902">
                  <w:marLeft w:val="0"/>
                  <w:marRight w:val="0"/>
                  <w:marTop w:val="0"/>
                  <w:marBottom w:val="0"/>
                  <w:divBdr>
                    <w:top w:val="none" w:sz="0" w:space="0" w:color="auto"/>
                    <w:left w:val="none" w:sz="0" w:space="0" w:color="auto"/>
                    <w:bottom w:val="none" w:sz="0" w:space="0" w:color="auto"/>
                    <w:right w:val="none" w:sz="0" w:space="0" w:color="auto"/>
                  </w:divBdr>
                  <w:divsChild>
                    <w:div w:id="110437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394272">
          <w:marLeft w:val="0"/>
          <w:marRight w:val="0"/>
          <w:marTop w:val="0"/>
          <w:marBottom w:val="0"/>
          <w:divBdr>
            <w:top w:val="none" w:sz="0" w:space="0" w:color="auto"/>
            <w:left w:val="none" w:sz="0" w:space="0" w:color="auto"/>
            <w:bottom w:val="none" w:sz="0" w:space="0" w:color="auto"/>
            <w:right w:val="none" w:sz="0" w:space="0" w:color="auto"/>
          </w:divBdr>
          <w:divsChild>
            <w:div w:id="1065569072">
              <w:marLeft w:val="0"/>
              <w:marRight w:val="0"/>
              <w:marTop w:val="0"/>
              <w:marBottom w:val="0"/>
              <w:divBdr>
                <w:top w:val="none" w:sz="0" w:space="0" w:color="auto"/>
                <w:left w:val="none" w:sz="0" w:space="0" w:color="auto"/>
                <w:bottom w:val="none" w:sz="0" w:space="0" w:color="auto"/>
                <w:right w:val="none" w:sz="0" w:space="0" w:color="auto"/>
              </w:divBdr>
              <w:divsChild>
                <w:div w:id="60106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062364">
      <w:bodyDiv w:val="1"/>
      <w:marLeft w:val="0"/>
      <w:marRight w:val="0"/>
      <w:marTop w:val="0"/>
      <w:marBottom w:val="0"/>
      <w:divBdr>
        <w:top w:val="none" w:sz="0" w:space="0" w:color="auto"/>
        <w:left w:val="none" w:sz="0" w:space="0" w:color="auto"/>
        <w:bottom w:val="none" w:sz="0" w:space="0" w:color="auto"/>
        <w:right w:val="none" w:sz="0" w:space="0" w:color="auto"/>
      </w:divBdr>
    </w:div>
    <w:div w:id="1065296072">
      <w:bodyDiv w:val="1"/>
      <w:marLeft w:val="0"/>
      <w:marRight w:val="0"/>
      <w:marTop w:val="0"/>
      <w:marBottom w:val="0"/>
      <w:divBdr>
        <w:top w:val="none" w:sz="0" w:space="0" w:color="auto"/>
        <w:left w:val="none" w:sz="0" w:space="0" w:color="auto"/>
        <w:bottom w:val="none" w:sz="0" w:space="0" w:color="auto"/>
        <w:right w:val="none" w:sz="0" w:space="0" w:color="auto"/>
      </w:divBdr>
      <w:divsChild>
        <w:div w:id="502211420">
          <w:marLeft w:val="0"/>
          <w:marRight w:val="0"/>
          <w:marTop w:val="0"/>
          <w:marBottom w:val="0"/>
          <w:divBdr>
            <w:top w:val="none" w:sz="0" w:space="0" w:color="auto"/>
            <w:left w:val="none" w:sz="0" w:space="0" w:color="auto"/>
            <w:bottom w:val="none" w:sz="0" w:space="0" w:color="auto"/>
            <w:right w:val="none" w:sz="0" w:space="0" w:color="auto"/>
          </w:divBdr>
        </w:div>
        <w:div w:id="264919533">
          <w:marLeft w:val="0"/>
          <w:marRight w:val="0"/>
          <w:marTop w:val="0"/>
          <w:marBottom w:val="0"/>
          <w:divBdr>
            <w:top w:val="none" w:sz="0" w:space="0" w:color="auto"/>
            <w:left w:val="none" w:sz="0" w:space="0" w:color="auto"/>
            <w:bottom w:val="none" w:sz="0" w:space="0" w:color="auto"/>
            <w:right w:val="none" w:sz="0" w:space="0" w:color="auto"/>
          </w:divBdr>
        </w:div>
        <w:div w:id="2124110631">
          <w:marLeft w:val="0"/>
          <w:marRight w:val="0"/>
          <w:marTop w:val="0"/>
          <w:marBottom w:val="0"/>
          <w:divBdr>
            <w:top w:val="none" w:sz="0" w:space="0" w:color="auto"/>
            <w:left w:val="none" w:sz="0" w:space="0" w:color="auto"/>
            <w:bottom w:val="none" w:sz="0" w:space="0" w:color="auto"/>
            <w:right w:val="none" w:sz="0" w:space="0" w:color="auto"/>
          </w:divBdr>
        </w:div>
        <w:div w:id="361127855">
          <w:marLeft w:val="0"/>
          <w:marRight w:val="0"/>
          <w:marTop w:val="0"/>
          <w:marBottom w:val="0"/>
          <w:divBdr>
            <w:top w:val="none" w:sz="0" w:space="0" w:color="auto"/>
            <w:left w:val="none" w:sz="0" w:space="0" w:color="auto"/>
            <w:bottom w:val="none" w:sz="0" w:space="0" w:color="auto"/>
            <w:right w:val="none" w:sz="0" w:space="0" w:color="auto"/>
          </w:divBdr>
        </w:div>
        <w:div w:id="1515919016">
          <w:marLeft w:val="0"/>
          <w:marRight w:val="0"/>
          <w:marTop w:val="0"/>
          <w:marBottom w:val="0"/>
          <w:divBdr>
            <w:top w:val="none" w:sz="0" w:space="0" w:color="auto"/>
            <w:left w:val="none" w:sz="0" w:space="0" w:color="auto"/>
            <w:bottom w:val="none" w:sz="0" w:space="0" w:color="auto"/>
            <w:right w:val="none" w:sz="0" w:space="0" w:color="auto"/>
          </w:divBdr>
        </w:div>
        <w:div w:id="1277299850">
          <w:marLeft w:val="0"/>
          <w:marRight w:val="0"/>
          <w:marTop w:val="0"/>
          <w:marBottom w:val="0"/>
          <w:divBdr>
            <w:top w:val="none" w:sz="0" w:space="0" w:color="auto"/>
            <w:left w:val="none" w:sz="0" w:space="0" w:color="auto"/>
            <w:bottom w:val="none" w:sz="0" w:space="0" w:color="auto"/>
            <w:right w:val="none" w:sz="0" w:space="0" w:color="auto"/>
          </w:divBdr>
        </w:div>
        <w:div w:id="492257868">
          <w:marLeft w:val="0"/>
          <w:marRight w:val="0"/>
          <w:marTop w:val="0"/>
          <w:marBottom w:val="0"/>
          <w:divBdr>
            <w:top w:val="none" w:sz="0" w:space="0" w:color="auto"/>
            <w:left w:val="none" w:sz="0" w:space="0" w:color="auto"/>
            <w:bottom w:val="none" w:sz="0" w:space="0" w:color="auto"/>
            <w:right w:val="none" w:sz="0" w:space="0" w:color="auto"/>
          </w:divBdr>
        </w:div>
        <w:div w:id="1852337021">
          <w:marLeft w:val="0"/>
          <w:marRight w:val="0"/>
          <w:marTop w:val="0"/>
          <w:marBottom w:val="0"/>
          <w:divBdr>
            <w:top w:val="none" w:sz="0" w:space="0" w:color="auto"/>
            <w:left w:val="none" w:sz="0" w:space="0" w:color="auto"/>
            <w:bottom w:val="none" w:sz="0" w:space="0" w:color="auto"/>
            <w:right w:val="none" w:sz="0" w:space="0" w:color="auto"/>
          </w:divBdr>
        </w:div>
      </w:divsChild>
    </w:div>
    <w:div w:id="1140265369">
      <w:bodyDiv w:val="1"/>
      <w:marLeft w:val="0"/>
      <w:marRight w:val="0"/>
      <w:marTop w:val="0"/>
      <w:marBottom w:val="0"/>
      <w:divBdr>
        <w:top w:val="none" w:sz="0" w:space="0" w:color="auto"/>
        <w:left w:val="none" w:sz="0" w:space="0" w:color="auto"/>
        <w:bottom w:val="none" w:sz="0" w:space="0" w:color="auto"/>
        <w:right w:val="none" w:sz="0" w:space="0" w:color="auto"/>
      </w:divBdr>
      <w:divsChild>
        <w:div w:id="842626532">
          <w:marLeft w:val="0"/>
          <w:marRight w:val="0"/>
          <w:marTop w:val="0"/>
          <w:marBottom w:val="0"/>
          <w:divBdr>
            <w:top w:val="none" w:sz="0" w:space="0" w:color="auto"/>
            <w:left w:val="none" w:sz="0" w:space="0" w:color="auto"/>
            <w:bottom w:val="none" w:sz="0" w:space="0" w:color="auto"/>
            <w:right w:val="none" w:sz="0" w:space="0" w:color="auto"/>
          </w:divBdr>
          <w:divsChild>
            <w:div w:id="1134054944">
              <w:marLeft w:val="0"/>
              <w:marRight w:val="0"/>
              <w:marTop w:val="0"/>
              <w:marBottom w:val="0"/>
              <w:divBdr>
                <w:top w:val="none" w:sz="0" w:space="0" w:color="auto"/>
                <w:left w:val="none" w:sz="0" w:space="0" w:color="auto"/>
                <w:bottom w:val="none" w:sz="0" w:space="0" w:color="auto"/>
                <w:right w:val="none" w:sz="0" w:space="0" w:color="auto"/>
              </w:divBdr>
              <w:divsChild>
                <w:div w:id="1626622482">
                  <w:marLeft w:val="0"/>
                  <w:marRight w:val="0"/>
                  <w:marTop w:val="0"/>
                  <w:marBottom w:val="0"/>
                  <w:divBdr>
                    <w:top w:val="none" w:sz="0" w:space="0" w:color="auto"/>
                    <w:left w:val="none" w:sz="0" w:space="0" w:color="auto"/>
                    <w:bottom w:val="none" w:sz="0" w:space="0" w:color="auto"/>
                    <w:right w:val="none" w:sz="0" w:space="0" w:color="auto"/>
                  </w:divBdr>
                  <w:divsChild>
                    <w:div w:id="162800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85281">
          <w:marLeft w:val="0"/>
          <w:marRight w:val="0"/>
          <w:marTop w:val="0"/>
          <w:marBottom w:val="0"/>
          <w:divBdr>
            <w:top w:val="none" w:sz="0" w:space="0" w:color="auto"/>
            <w:left w:val="none" w:sz="0" w:space="0" w:color="auto"/>
            <w:bottom w:val="none" w:sz="0" w:space="0" w:color="auto"/>
            <w:right w:val="none" w:sz="0" w:space="0" w:color="auto"/>
          </w:divBdr>
          <w:divsChild>
            <w:div w:id="90472249">
              <w:marLeft w:val="0"/>
              <w:marRight w:val="0"/>
              <w:marTop w:val="0"/>
              <w:marBottom w:val="0"/>
              <w:divBdr>
                <w:top w:val="none" w:sz="0" w:space="0" w:color="auto"/>
                <w:left w:val="none" w:sz="0" w:space="0" w:color="auto"/>
                <w:bottom w:val="none" w:sz="0" w:space="0" w:color="auto"/>
                <w:right w:val="none" w:sz="0" w:space="0" w:color="auto"/>
              </w:divBdr>
              <w:divsChild>
                <w:div w:id="137299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5727817">
      <w:bodyDiv w:val="1"/>
      <w:marLeft w:val="0"/>
      <w:marRight w:val="0"/>
      <w:marTop w:val="0"/>
      <w:marBottom w:val="0"/>
      <w:divBdr>
        <w:top w:val="none" w:sz="0" w:space="0" w:color="auto"/>
        <w:left w:val="none" w:sz="0" w:space="0" w:color="auto"/>
        <w:bottom w:val="none" w:sz="0" w:space="0" w:color="auto"/>
        <w:right w:val="none" w:sz="0" w:space="0" w:color="auto"/>
      </w:divBdr>
      <w:divsChild>
        <w:div w:id="1246720110">
          <w:marLeft w:val="0"/>
          <w:marRight w:val="0"/>
          <w:marTop w:val="0"/>
          <w:marBottom w:val="0"/>
          <w:divBdr>
            <w:top w:val="none" w:sz="0" w:space="0" w:color="auto"/>
            <w:left w:val="none" w:sz="0" w:space="0" w:color="auto"/>
            <w:bottom w:val="none" w:sz="0" w:space="0" w:color="auto"/>
            <w:right w:val="none" w:sz="0" w:space="0" w:color="auto"/>
          </w:divBdr>
          <w:divsChild>
            <w:div w:id="447893585">
              <w:marLeft w:val="0"/>
              <w:marRight w:val="0"/>
              <w:marTop w:val="0"/>
              <w:marBottom w:val="0"/>
              <w:divBdr>
                <w:top w:val="none" w:sz="0" w:space="0" w:color="auto"/>
                <w:left w:val="none" w:sz="0" w:space="0" w:color="auto"/>
                <w:bottom w:val="none" w:sz="0" w:space="0" w:color="auto"/>
                <w:right w:val="none" w:sz="0" w:space="0" w:color="auto"/>
              </w:divBdr>
              <w:divsChild>
                <w:div w:id="724566050">
                  <w:marLeft w:val="0"/>
                  <w:marRight w:val="0"/>
                  <w:marTop w:val="0"/>
                  <w:marBottom w:val="0"/>
                  <w:divBdr>
                    <w:top w:val="none" w:sz="0" w:space="0" w:color="auto"/>
                    <w:left w:val="none" w:sz="0" w:space="0" w:color="auto"/>
                    <w:bottom w:val="none" w:sz="0" w:space="0" w:color="auto"/>
                    <w:right w:val="none" w:sz="0" w:space="0" w:color="auto"/>
                  </w:divBdr>
                  <w:divsChild>
                    <w:div w:id="5240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3191522">
      <w:bodyDiv w:val="1"/>
      <w:marLeft w:val="0"/>
      <w:marRight w:val="0"/>
      <w:marTop w:val="0"/>
      <w:marBottom w:val="0"/>
      <w:divBdr>
        <w:top w:val="none" w:sz="0" w:space="0" w:color="auto"/>
        <w:left w:val="none" w:sz="0" w:space="0" w:color="auto"/>
        <w:bottom w:val="none" w:sz="0" w:space="0" w:color="auto"/>
        <w:right w:val="none" w:sz="0" w:space="0" w:color="auto"/>
      </w:divBdr>
      <w:divsChild>
        <w:div w:id="420375314">
          <w:marLeft w:val="0"/>
          <w:marRight w:val="0"/>
          <w:marTop w:val="0"/>
          <w:marBottom w:val="0"/>
          <w:divBdr>
            <w:top w:val="none" w:sz="0" w:space="0" w:color="auto"/>
            <w:left w:val="none" w:sz="0" w:space="0" w:color="auto"/>
            <w:bottom w:val="none" w:sz="0" w:space="0" w:color="auto"/>
            <w:right w:val="none" w:sz="0" w:space="0" w:color="auto"/>
          </w:divBdr>
          <w:divsChild>
            <w:div w:id="648562450">
              <w:marLeft w:val="0"/>
              <w:marRight w:val="0"/>
              <w:marTop w:val="0"/>
              <w:marBottom w:val="0"/>
              <w:divBdr>
                <w:top w:val="none" w:sz="0" w:space="0" w:color="auto"/>
                <w:left w:val="none" w:sz="0" w:space="0" w:color="auto"/>
                <w:bottom w:val="none" w:sz="0" w:space="0" w:color="auto"/>
                <w:right w:val="none" w:sz="0" w:space="0" w:color="auto"/>
              </w:divBdr>
              <w:divsChild>
                <w:div w:id="51664820">
                  <w:marLeft w:val="0"/>
                  <w:marRight w:val="0"/>
                  <w:marTop w:val="0"/>
                  <w:marBottom w:val="0"/>
                  <w:divBdr>
                    <w:top w:val="none" w:sz="0" w:space="0" w:color="auto"/>
                    <w:left w:val="none" w:sz="0" w:space="0" w:color="auto"/>
                    <w:bottom w:val="none" w:sz="0" w:space="0" w:color="auto"/>
                    <w:right w:val="none" w:sz="0" w:space="0" w:color="auto"/>
                  </w:divBdr>
                  <w:divsChild>
                    <w:div w:id="61972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079642">
          <w:marLeft w:val="0"/>
          <w:marRight w:val="0"/>
          <w:marTop w:val="0"/>
          <w:marBottom w:val="0"/>
          <w:divBdr>
            <w:top w:val="none" w:sz="0" w:space="0" w:color="auto"/>
            <w:left w:val="none" w:sz="0" w:space="0" w:color="auto"/>
            <w:bottom w:val="none" w:sz="0" w:space="0" w:color="auto"/>
            <w:right w:val="none" w:sz="0" w:space="0" w:color="auto"/>
          </w:divBdr>
          <w:divsChild>
            <w:div w:id="370808017">
              <w:marLeft w:val="0"/>
              <w:marRight w:val="0"/>
              <w:marTop w:val="0"/>
              <w:marBottom w:val="0"/>
              <w:divBdr>
                <w:top w:val="none" w:sz="0" w:space="0" w:color="auto"/>
                <w:left w:val="none" w:sz="0" w:space="0" w:color="auto"/>
                <w:bottom w:val="none" w:sz="0" w:space="0" w:color="auto"/>
                <w:right w:val="none" w:sz="0" w:space="0" w:color="auto"/>
              </w:divBdr>
              <w:divsChild>
                <w:div w:id="952518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865349">
      <w:bodyDiv w:val="1"/>
      <w:marLeft w:val="0"/>
      <w:marRight w:val="0"/>
      <w:marTop w:val="0"/>
      <w:marBottom w:val="0"/>
      <w:divBdr>
        <w:top w:val="none" w:sz="0" w:space="0" w:color="auto"/>
        <w:left w:val="none" w:sz="0" w:space="0" w:color="auto"/>
        <w:bottom w:val="none" w:sz="0" w:space="0" w:color="auto"/>
        <w:right w:val="none" w:sz="0" w:space="0" w:color="auto"/>
      </w:divBdr>
      <w:divsChild>
        <w:div w:id="1478956102">
          <w:marLeft w:val="0"/>
          <w:marRight w:val="0"/>
          <w:marTop w:val="0"/>
          <w:marBottom w:val="0"/>
          <w:divBdr>
            <w:top w:val="none" w:sz="0" w:space="0" w:color="auto"/>
            <w:left w:val="none" w:sz="0" w:space="0" w:color="auto"/>
            <w:bottom w:val="none" w:sz="0" w:space="0" w:color="auto"/>
            <w:right w:val="none" w:sz="0" w:space="0" w:color="auto"/>
          </w:divBdr>
          <w:divsChild>
            <w:div w:id="520633143">
              <w:marLeft w:val="0"/>
              <w:marRight w:val="0"/>
              <w:marTop w:val="0"/>
              <w:marBottom w:val="0"/>
              <w:divBdr>
                <w:top w:val="none" w:sz="0" w:space="0" w:color="auto"/>
                <w:left w:val="none" w:sz="0" w:space="0" w:color="auto"/>
                <w:bottom w:val="none" w:sz="0" w:space="0" w:color="auto"/>
                <w:right w:val="none" w:sz="0" w:space="0" w:color="auto"/>
              </w:divBdr>
              <w:divsChild>
                <w:div w:id="1784183080">
                  <w:marLeft w:val="0"/>
                  <w:marRight w:val="0"/>
                  <w:marTop w:val="0"/>
                  <w:marBottom w:val="0"/>
                  <w:divBdr>
                    <w:top w:val="none" w:sz="0" w:space="0" w:color="auto"/>
                    <w:left w:val="none" w:sz="0" w:space="0" w:color="auto"/>
                    <w:bottom w:val="none" w:sz="0" w:space="0" w:color="auto"/>
                    <w:right w:val="none" w:sz="0" w:space="0" w:color="auto"/>
                  </w:divBdr>
                  <w:divsChild>
                    <w:div w:id="109952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8243947">
          <w:marLeft w:val="0"/>
          <w:marRight w:val="0"/>
          <w:marTop w:val="0"/>
          <w:marBottom w:val="0"/>
          <w:divBdr>
            <w:top w:val="none" w:sz="0" w:space="0" w:color="auto"/>
            <w:left w:val="none" w:sz="0" w:space="0" w:color="auto"/>
            <w:bottom w:val="none" w:sz="0" w:space="0" w:color="auto"/>
            <w:right w:val="none" w:sz="0" w:space="0" w:color="auto"/>
          </w:divBdr>
          <w:divsChild>
            <w:div w:id="1472165609">
              <w:marLeft w:val="0"/>
              <w:marRight w:val="0"/>
              <w:marTop w:val="0"/>
              <w:marBottom w:val="0"/>
              <w:divBdr>
                <w:top w:val="none" w:sz="0" w:space="0" w:color="auto"/>
                <w:left w:val="none" w:sz="0" w:space="0" w:color="auto"/>
                <w:bottom w:val="none" w:sz="0" w:space="0" w:color="auto"/>
                <w:right w:val="none" w:sz="0" w:space="0" w:color="auto"/>
              </w:divBdr>
              <w:divsChild>
                <w:div w:id="1041973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004273">
      <w:bodyDiv w:val="1"/>
      <w:marLeft w:val="0"/>
      <w:marRight w:val="0"/>
      <w:marTop w:val="0"/>
      <w:marBottom w:val="0"/>
      <w:divBdr>
        <w:top w:val="none" w:sz="0" w:space="0" w:color="auto"/>
        <w:left w:val="none" w:sz="0" w:space="0" w:color="auto"/>
        <w:bottom w:val="none" w:sz="0" w:space="0" w:color="auto"/>
        <w:right w:val="none" w:sz="0" w:space="0" w:color="auto"/>
      </w:divBdr>
      <w:divsChild>
        <w:div w:id="64226737">
          <w:marLeft w:val="0"/>
          <w:marRight w:val="0"/>
          <w:marTop w:val="0"/>
          <w:marBottom w:val="0"/>
          <w:divBdr>
            <w:top w:val="none" w:sz="0" w:space="0" w:color="auto"/>
            <w:left w:val="none" w:sz="0" w:space="0" w:color="auto"/>
            <w:bottom w:val="none" w:sz="0" w:space="0" w:color="auto"/>
            <w:right w:val="none" w:sz="0" w:space="0" w:color="auto"/>
          </w:divBdr>
          <w:divsChild>
            <w:div w:id="239564335">
              <w:marLeft w:val="0"/>
              <w:marRight w:val="0"/>
              <w:marTop w:val="0"/>
              <w:marBottom w:val="0"/>
              <w:divBdr>
                <w:top w:val="none" w:sz="0" w:space="0" w:color="auto"/>
                <w:left w:val="none" w:sz="0" w:space="0" w:color="auto"/>
                <w:bottom w:val="none" w:sz="0" w:space="0" w:color="auto"/>
                <w:right w:val="none" w:sz="0" w:space="0" w:color="auto"/>
              </w:divBdr>
              <w:divsChild>
                <w:div w:id="31274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157757">
      <w:bodyDiv w:val="1"/>
      <w:marLeft w:val="0"/>
      <w:marRight w:val="0"/>
      <w:marTop w:val="0"/>
      <w:marBottom w:val="0"/>
      <w:divBdr>
        <w:top w:val="none" w:sz="0" w:space="0" w:color="auto"/>
        <w:left w:val="none" w:sz="0" w:space="0" w:color="auto"/>
        <w:bottom w:val="none" w:sz="0" w:space="0" w:color="auto"/>
        <w:right w:val="none" w:sz="0" w:space="0" w:color="auto"/>
      </w:divBdr>
      <w:divsChild>
        <w:div w:id="1480345557">
          <w:marLeft w:val="0"/>
          <w:marRight w:val="0"/>
          <w:marTop w:val="0"/>
          <w:marBottom w:val="0"/>
          <w:divBdr>
            <w:top w:val="none" w:sz="0" w:space="0" w:color="auto"/>
            <w:left w:val="none" w:sz="0" w:space="0" w:color="auto"/>
            <w:bottom w:val="none" w:sz="0" w:space="0" w:color="auto"/>
            <w:right w:val="none" w:sz="0" w:space="0" w:color="auto"/>
          </w:divBdr>
          <w:divsChild>
            <w:div w:id="2048142705">
              <w:marLeft w:val="0"/>
              <w:marRight w:val="0"/>
              <w:marTop w:val="0"/>
              <w:marBottom w:val="0"/>
              <w:divBdr>
                <w:top w:val="none" w:sz="0" w:space="0" w:color="auto"/>
                <w:left w:val="none" w:sz="0" w:space="0" w:color="auto"/>
                <w:bottom w:val="none" w:sz="0" w:space="0" w:color="auto"/>
                <w:right w:val="none" w:sz="0" w:space="0" w:color="auto"/>
              </w:divBdr>
              <w:divsChild>
                <w:div w:id="1020472957">
                  <w:marLeft w:val="0"/>
                  <w:marRight w:val="0"/>
                  <w:marTop w:val="0"/>
                  <w:marBottom w:val="0"/>
                  <w:divBdr>
                    <w:top w:val="none" w:sz="0" w:space="0" w:color="auto"/>
                    <w:left w:val="none" w:sz="0" w:space="0" w:color="auto"/>
                    <w:bottom w:val="none" w:sz="0" w:space="0" w:color="auto"/>
                    <w:right w:val="none" w:sz="0" w:space="0" w:color="auto"/>
                  </w:divBdr>
                  <w:divsChild>
                    <w:div w:id="133838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190771">
          <w:marLeft w:val="0"/>
          <w:marRight w:val="0"/>
          <w:marTop w:val="0"/>
          <w:marBottom w:val="0"/>
          <w:divBdr>
            <w:top w:val="none" w:sz="0" w:space="0" w:color="auto"/>
            <w:left w:val="none" w:sz="0" w:space="0" w:color="auto"/>
            <w:bottom w:val="none" w:sz="0" w:space="0" w:color="auto"/>
            <w:right w:val="none" w:sz="0" w:space="0" w:color="auto"/>
          </w:divBdr>
          <w:divsChild>
            <w:div w:id="675807710">
              <w:marLeft w:val="0"/>
              <w:marRight w:val="0"/>
              <w:marTop w:val="0"/>
              <w:marBottom w:val="0"/>
              <w:divBdr>
                <w:top w:val="none" w:sz="0" w:space="0" w:color="auto"/>
                <w:left w:val="none" w:sz="0" w:space="0" w:color="auto"/>
                <w:bottom w:val="none" w:sz="0" w:space="0" w:color="auto"/>
                <w:right w:val="none" w:sz="0" w:space="0" w:color="auto"/>
              </w:divBdr>
              <w:divsChild>
                <w:div w:id="1274751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429361">
      <w:bodyDiv w:val="1"/>
      <w:marLeft w:val="0"/>
      <w:marRight w:val="0"/>
      <w:marTop w:val="0"/>
      <w:marBottom w:val="0"/>
      <w:divBdr>
        <w:top w:val="none" w:sz="0" w:space="0" w:color="auto"/>
        <w:left w:val="none" w:sz="0" w:space="0" w:color="auto"/>
        <w:bottom w:val="none" w:sz="0" w:space="0" w:color="auto"/>
        <w:right w:val="none" w:sz="0" w:space="0" w:color="auto"/>
      </w:divBdr>
      <w:divsChild>
        <w:div w:id="302544733">
          <w:marLeft w:val="0"/>
          <w:marRight w:val="0"/>
          <w:marTop w:val="0"/>
          <w:marBottom w:val="0"/>
          <w:divBdr>
            <w:top w:val="none" w:sz="0" w:space="0" w:color="auto"/>
            <w:left w:val="none" w:sz="0" w:space="0" w:color="auto"/>
            <w:bottom w:val="none" w:sz="0" w:space="0" w:color="auto"/>
            <w:right w:val="none" w:sz="0" w:space="0" w:color="auto"/>
          </w:divBdr>
          <w:divsChild>
            <w:div w:id="59913757">
              <w:marLeft w:val="0"/>
              <w:marRight w:val="0"/>
              <w:marTop w:val="0"/>
              <w:marBottom w:val="0"/>
              <w:divBdr>
                <w:top w:val="none" w:sz="0" w:space="0" w:color="auto"/>
                <w:left w:val="none" w:sz="0" w:space="0" w:color="auto"/>
                <w:bottom w:val="none" w:sz="0" w:space="0" w:color="auto"/>
                <w:right w:val="none" w:sz="0" w:space="0" w:color="auto"/>
              </w:divBdr>
              <w:divsChild>
                <w:div w:id="1598175363">
                  <w:marLeft w:val="0"/>
                  <w:marRight w:val="0"/>
                  <w:marTop w:val="0"/>
                  <w:marBottom w:val="0"/>
                  <w:divBdr>
                    <w:top w:val="none" w:sz="0" w:space="0" w:color="auto"/>
                    <w:left w:val="none" w:sz="0" w:space="0" w:color="auto"/>
                    <w:bottom w:val="none" w:sz="0" w:space="0" w:color="auto"/>
                    <w:right w:val="none" w:sz="0" w:space="0" w:color="auto"/>
                  </w:divBdr>
                  <w:divsChild>
                    <w:div w:id="197964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464886">
          <w:marLeft w:val="0"/>
          <w:marRight w:val="0"/>
          <w:marTop w:val="0"/>
          <w:marBottom w:val="0"/>
          <w:divBdr>
            <w:top w:val="none" w:sz="0" w:space="0" w:color="auto"/>
            <w:left w:val="none" w:sz="0" w:space="0" w:color="auto"/>
            <w:bottom w:val="none" w:sz="0" w:space="0" w:color="auto"/>
            <w:right w:val="none" w:sz="0" w:space="0" w:color="auto"/>
          </w:divBdr>
          <w:divsChild>
            <w:div w:id="1424456463">
              <w:marLeft w:val="0"/>
              <w:marRight w:val="0"/>
              <w:marTop w:val="0"/>
              <w:marBottom w:val="0"/>
              <w:divBdr>
                <w:top w:val="none" w:sz="0" w:space="0" w:color="auto"/>
                <w:left w:val="none" w:sz="0" w:space="0" w:color="auto"/>
                <w:bottom w:val="none" w:sz="0" w:space="0" w:color="auto"/>
                <w:right w:val="none" w:sz="0" w:space="0" w:color="auto"/>
              </w:divBdr>
              <w:divsChild>
                <w:div w:id="153291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421449">
      <w:bodyDiv w:val="1"/>
      <w:marLeft w:val="0"/>
      <w:marRight w:val="0"/>
      <w:marTop w:val="0"/>
      <w:marBottom w:val="0"/>
      <w:divBdr>
        <w:top w:val="none" w:sz="0" w:space="0" w:color="auto"/>
        <w:left w:val="none" w:sz="0" w:space="0" w:color="auto"/>
        <w:bottom w:val="none" w:sz="0" w:space="0" w:color="auto"/>
        <w:right w:val="none" w:sz="0" w:space="0" w:color="auto"/>
      </w:divBdr>
    </w:div>
    <w:div w:id="1948154297">
      <w:bodyDiv w:val="1"/>
      <w:marLeft w:val="0"/>
      <w:marRight w:val="0"/>
      <w:marTop w:val="0"/>
      <w:marBottom w:val="0"/>
      <w:divBdr>
        <w:top w:val="none" w:sz="0" w:space="0" w:color="auto"/>
        <w:left w:val="none" w:sz="0" w:space="0" w:color="auto"/>
        <w:bottom w:val="none" w:sz="0" w:space="0" w:color="auto"/>
        <w:right w:val="none" w:sz="0" w:space="0" w:color="auto"/>
      </w:divBdr>
      <w:divsChild>
        <w:div w:id="110980905">
          <w:marLeft w:val="0"/>
          <w:marRight w:val="0"/>
          <w:marTop w:val="0"/>
          <w:marBottom w:val="0"/>
          <w:divBdr>
            <w:top w:val="none" w:sz="0" w:space="0" w:color="auto"/>
            <w:left w:val="none" w:sz="0" w:space="0" w:color="auto"/>
            <w:bottom w:val="none" w:sz="0" w:space="0" w:color="auto"/>
            <w:right w:val="none" w:sz="0" w:space="0" w:color="auto"/>
          </w:divBdr>
          <w:divsChild>
            <w:div w:id="979531721">
              <w:marLeft w:val="0"/>
              <w:marRight w:val="0"/>
              <w:marTop w:val="0"/>
              <w:marBottom w:val="0"/>
              <w:divBdr>
                <w:top w:val="none" w:sz="0" w:space="0" w:color="auto"/>
                <w:left w:val="none" w:sz="0" w:space="0" w:color="auto"/>
                <w:bottom w:val="none" w:sz="0" w:space="0" w:color="auto"/>
                <w:right w:val="none" w:sz="0" w:space="0" w:color="auto"/>
              </w:divBdr>
              <w:divsChild>
                <w:div w:id="1236545784">
                  <w:marLeft w:val="0"/>
                  <w:marRight w:val="0"/>
                  <w:marTop w:val="0"/>
                  <w:marBottom w:val="0"/>
                  <w:divBdr>
                    <w:top w:val="none" w:sz="0" w:space="0" w:color="auto"/>
                    <w:left w:val="none" w:sz="0" w:space="0" w:color="auto"/>
                    <w:bottom w:val="none" w:sz="0" w:space="0" w:color="auto"/>
                    <w:right w:val="none" w:sz="0" w:space="0" w:color="auto"/>
                  </w:divBdr>
                  <w:divsChild>
                    <w:div w:id="67399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299133">
          <w:marLeft w:val="0"/>
          <w:marRight w:val="0"/>
          <w:marTop w:val="0"/>
          <w:marBottom w:val="0"/>
          <w:divBdr>
            <w:top w:val="none" w:sz="0" w:space="0" w:color="auto"/>
            <w:left w:val="none" w:sz="0" w:space="0" w:color="auto"/>
            <w:bottom w:val="none" w:sz="0" w:space="0" w:color="auto"/>
            <w:right w:val="none" w:sz="0" w:space="0" w:color="auto"/>
          </w:divBdr>
          <w:divsChild>
            <w:div w:id="875895362">
              <w:marLeft w:val="0"/>
              <w:marRight w:val="0"/>
              <w:marTop w:val="0"/>
              <w:marBottom w:val="0"/>
              <w:divBdr>
                <w:top w:val="none" w:sz="0" w:space="0" w:color="auto"/>
                <w:left w:val="none" w:sz="0" w:space="0" w:color="auto"/>
                <w:bottom w:val="none" w:sz="0" w:space="0" w:color="auto"/>
                <w:right w:val="none" w:sz="0" w:space="0" w:color="auto"/>
              </w:divBdr>
              <w:divsChild>
                <w:div w:id="411047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118817">
      <w:bodyDiv w:val="1"/>
      <w:marLeft w:val="0"/>
      <w:marRight w:val="0"/>
      <w:marTop w:val="0"/>
      <w:marBottom w:val="0"/>
      <w:divBdr>
        <w:top w:val="none" w:sz="0" w:space="0" w:color="auto"/>
        <w:left w:val="none" w:sz="0" w:space="0" w:color="auto"/>
        <w:bottom w:val="none" w:sz="0" w:space="0" w:color="auto"/>
        <w:right w:val="none" w:sz="0" w:space="0" w:color="auto"/>
      </w:divBdr>
      <w:divsChild>
        <w:div w:id="749161733">
          <w:marLeft w:val="0"/>
          <w:marRight w:val="0"/>
          <w:marTop w:val="0"/>
          <w:marBottom w:val="0"/>
          <w:divBdr>
            <w:top w:val="none" w:sz="0" w:space="0" w:color="auto"/>
            <w:left w:val="none" w:sz="0" w:space="0" w:color="auto"/>
            <w:bottom w:val="none" w:sz="0" w:space="0" w:color="auto"/>
            <w:right w:val="none" w:sz="0" w:space="0" w:color="auto"/>
          </w:divBdr>
          <w:divsChild>
            <w:div w:id="734738490">
              <w:marLeft w:val="0"/>
              <w:marRight w:val="0"/>
              <w:marTop w:val="0"/>
              <w:marBottom w:val="0"/>
              <w:divBdr>
                <w:top w:val="none" w:sz="0" w:space="0" w:color="auto"/>
                <w:left w:val="none" w:sz="0" w:space="0" w:color="auto"/>
                <w:bottom w:val="none" w:sz="0" w:space="0" w:color="auto"/>
                <w:right w:val="none" w:sz="0" w:space="0" w:color="auto"/>
              </w:divBdr>
              <w:divsChild>
                <w:div w:id="171381712">
                  <w:marLeft w:val="0"/>
                  <w:marRight w:val="0"/>
                  <w:marTop w:val="0"/>
                  <w:marBottom w:val="0"/>
                  <w:divBdr>
                    <w:top w:val="none" w:sz="0" w:space="0" w:color="auto"/>
                    <w:left w:val="none" w:sz="0" w:space="0" w:color="auto"/>
                    <w:bottom w:val="none" w:sz="0" w:space="0" w:color="auto"/>
                    <w:right w:val="none" w:sz="0" w:space="0" w:color="auto"/>
                  </w:divBdr>
                  <w:divsChild>
                    <w:div w:id="1383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965306">
          <w:marLeft w:val="0"/>
          <w:marRight w:val="0"/>
          <w:marTop w:val="0"/>
          <w:marBottom w:val="0"/>
          <w:divBdr>
            <w:top w:val="none" w:sz="0" w:space="0" w:color="auto"/>
            <w:left w:val="none" w:sz="0" w:space="0" w:color="auto"/>
            <w:bottom w:val="none" w:sz="0" w:space="0" w:color="auto"/>
            <w:right w:val="none" w:sz="0" w:space="0" w:color="auto"/>
          </w:divBdr>
          <w:divsChild>
            <w:div w:id="123281412">
              <w:marLeft w:val="0"/>
              <w:marRight w:val="0"/>
              <w:marTop w:val="0"/>
              <w:marBottom w:val="0"/>
              <w:divBdr>
                <w:top w:val="none" w:sz="0" w:space="0" w:color="auto"/>
                <w:left w:val="none" w:sz="0" w:space="0" w:color="auto"/>
                <w:bottom w:val="none" w:sz="0" w:space="0" w:color="auto"/>
                <w:right w:val="none" w:sz="0" w:space="0" w:color="auto"/>
              </w:divBdr>
              <w:divsChild>
                <w:div w:id="126931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633751">
      <w:bodyDiv w:val="1"/>
      <w:marLeft w:val="0"/>
      <w:marRight w:val="0"/>
      <w:marTop w:val="0"/>
      <w:marBottom w:val="0"/>
      <w:divBdr>
        <w:top w:val="none" w:sz="0" w:space="0" w:color="auto"/>
        <w:left w:val="none" w:sz="0" w:space="0" w:color="auto"/>
        <w:bottom w:val="none" w:sz="0" w:space="0" w:color="auto"/>
        <w:right w:val="none" w:sz="0" w:space="0" w:color="auto"/>
      </w:divBdr>
      <w:divsChild>
        <w:div w:id="691953155">
          <w:marLeft w:val="0"/>
          <w:marRight w:val="0"/>
          <w:marTop w:val="0"/>
          <w:marBottom w:val="0"/>
          <w:divBdr>
            <w:top w:val="none" w:sz="0" w:space="0" w:color="auto"/>
            <w:left w:val="none" w:sz="0" w:space="0" w:color="auto"/>
            <w:bottom w:val="none" w:sz="0" w:space="0" w:color="auto"/>
            <w:right w:val="none" w:sz="0" w:space="0" w:color="auto"/>
          </w:divBdr>
          <w:divsChild>
            <w:div w:id="718627194">
              <w:marLeft w:val="0"/>
              <w:marRight w:val="0"/>
              <w:marTop w:val="0"/>
              <w:marBottom w:val="0"/>
              <w:divBdr>
                <w:top w:val="none" w:sz="0" w:space="0" w:color="auto"/>
                <w:left w:val="none" w:sz="0" w:space="0" w:color="auto"/>
                <w:bottom w:val="none" w:sz="0" w:space="0" w:color="auto"/>
                <w:right w:val="none" w:sz="0" w:space="0" w:color="auto"/>
              </w:divBdr>
              <w:divsChild>
                <w:div w:id="1524129202">
                  <w:marLeft w:val="0"/>
                  <w:marRight w:val="0"/>
                  <w:marTop w:val="0"/>
                  <w:marBottom w:val="0"/>
                  <w:divBdr>
                    <w:top w:val="none" w:sz="0" w:space="0" w:color="auto"/>
                    <w:left w:val="none" w:sz="0" w:space="0" w:color="auto"/>
                    <w:bottom w:val="none" w:sz="0" w:space="0" w:color="auto"/>
                    <w:right w:val="none" w:sz="0" w:space="0" w:color="auto"/>
                  </w:divBdr>
                  <w:divsChild>
                    <w:div w:id="79818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852674">
          <w:marLeft w:val="0"/>
          <w:marRight w:val="0"/>
          <w:marTop w:val="0"/>
          <w:marBottom w:val="0"/>
          <w:divBdr>
            <w:top w:val="none" w:sz="0" w:space="0" w:color="auto"/>
            <w:left w:val="none" w:sz="0" w:space="0" w:color="auto"/>
            <w:bottom w:val="none" w:sz="0" w:space="0" w:color="auto"/>
            <w:right w:val="none" w:sz="0" w:space="0" w:color="auto"/>
          </w:divBdr>
          <w:divsChild>
            <w:div w:id="623194323">
              <w:marLeft w:val="0"/>
              <w:marRight w:val="0"/>
              <w:marTop w:val="0"/>
              <w:marBottom w:val="0"/>
              <w:divBdr>
                <w:top w:val="none" w:sz="0" w:space="0" w:color="auto"/>
                <w:left w:val="none" w:sz="0" w:space="0" w:color="auto"/>
                <w:bottom w:val="none" w:sz="0" w:space="0" w:color="auto"/>
                <w:right w:val="none" w:sz="0" w:space="0" w:color="auto"/>
              </w:divBdr>
              <w:divsChild>
                <w:div w:id="119839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124807">
      <w:bodyDiv w:val="1"/>
      <w:marLeft w:val="0"/>
      <w:marRight w:val="0"/>
      <w:marTop w:val="0"/>
      <w:marBottom w:val="0"/>
      <w:divBdr>
        <w:top w:val="none" w:sz="0" w:space="0" w:color="auto"/>
        <w:left w:val="none" w:sz="0" w:space="0" w:color="auto"/>
        <w:bottom w:val="none" w:sz="0" w:space="0" w:color="auto"/>
        <w:right w:val="none" w:sz="0" w:space="0" w:color="auto"/>
      </w:divBdr>
      <w:divsChild>
        <w:div w:id="2110809467">
          <w:marLeft w:val="0"/>
          <w:marRight w:val="0"/>
          <w:marTop w:val="0"/>
          <w:marBottom w:val="0"/>
          <w:divBdr>
            <w:top w:val="none" w:sz="0" w:space="0" w:color="auto"/>
            <w:left w:val="none" w:sz="0" w:space="0" w:color="auto"/>
            <w:bottom w:val="none" w:sz="0" w:space="0" w:color="auto"/>
            <w:right w:val="none" w:sz="0" w:space="0" w:color="auto"/>
          </w:divBdr>
          <w:divsChild>
            <w:div w:id="1349138162">
              <w:marLeft w:val="0"/>
              <w:marRight w:val="0"/>
              <w:marTop w:val="0"/>
              <w:marBottom w:val="0"/>
              <w:divBdr>
                <w:top w:val="none" w:sz="0" w:space="0" w:color="auto"/>
                <w:left w:val="none" w:sz="0" w:space="0" w:color="auto"/>
                <w:bottom w:val="none" w:sz="0" w:space="0" w:color="auto"/>
                <w:right w:val="none" w:sz="0" w:space="0" w:color="auto"/>
              </w:divBdr>
              <w:divsChild>
                <w:div w:id="1516840127">
                  <w:marLeft w:val="0"/>
                  <w:marRight w:val="0"/>
                  <w:marTop w:val="0"/>
                  <w:marBottom w:val="0"/>
                  <w:divBdr>
                    <w:top w:val="none" w:sz="0" w:space="0" w:color="auto"/>
                    <w:left w:val="none" w:sz="0" w:space="0" w:color="auto"/>
                    <w:bottom w:val="none" w:sz="0" w:space="0" w:color="auto"/>
                    <w:right w:val="none" w:sz="0" w:space="0" w:color="auto"/>
                  </w:divBdr>
                  <w:divsChild>
                    <w:div w:id="137307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025358">
          <w:marLeft w:val="0"/>
          <w:marRight w:val="0"/>
          <w:marTop w:val="0"/>
          <w:marBottom w:val="0"/>
          <w:divBdr>
            <w:top w:val="none" w:sz="0" w:space="0" w:color="auto"/>
            <w:left w:val="none" w:sz="0" w:space="0" w:color="auto"/>
            <w:bottom w:val="none" w:sz="0" w:space="0" w:color="auto"/>
            <w:right w:val="none" w:sz="0" w:space="0" w:color="auto"/>
          </w:divBdr>
          <w:divsChild>
            <w:div w:id="1294602109">
              <w:marLeft w:val="0"/>
              <w:marRight w:val="0"/>
              <w:marTop w:val="0"/>
              <w:marBottom w:val="0"/>
              <w:divBdr>
                <w:top w:val="none" w:sz="0" w:space="0" w:color="auto"/>
                <w:left w:val="none" w:sz="0" w:space="0" w:color="auto"/>
                <w:bottom w:val="none" w:sz="0" w:space="0" w:color="auto"/>
                <w:right w:val="none" w:sz="0" w:space="0" w:color="auto"/>
              </w:divBdr>
              <w:divsChild>
                <w:div w:id="100042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DB127F-C894-48A7-B70B-7559686966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65</Pages>
  <Words>18772</Words>
  <Characters>113545</Characters>
  <Application>Microsoft Office Word</Application>
  <DocSecurity>0</DocSecurity>
  <Lines>4531</Lines>
  <Paragraphs>2567</Paragraphs>
  <ScaleCrop>false</ScaleCrop>
  <HeadingPairs>
    <vt:vector size="6" baseType="variant">
      <vt:variant>
        <vt:lpstr>Title</vt:lpstr>
      </vt:variant>
      <vt:variant>
        <vt:i4>1</vt:i4>
      </vt:variant>
      <vt:variant>
        <vt:lpstr>Titolo</vt:lpstr>
      </vt:variant>
      <vt:variant>
        <vt:i4>1</vt:i4>
      </vt:variant>
      <vt:variant>
        <vt:lpstr>Título</vt:lpstr>
      </vt:variant>
      <vt:variant>
        <vt:i4>1</vt:i4>
      </vt:variant>
    </vt:vector>
  </HeadingPairs>
  <TitlesOfParts>
    <vt:vector size="3" baseType="lpstr">
      <vt:lpstr/>
      <vt:lpstr/>
      <vt:lpstr/>
    </vt:vector>
  </TitlesOfParts>
  <Company>Imperial College London</Company>
  <LinksUpToDate>false</LinksUpToDate>
  <CharactersWithSpaces>129614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Emanuele F Osimo</dc:creator>
  <cp:keywords/>
  <dc:description/>
  <cp:lastModifiedBy>Blanshard, Lisa</cp:lastModifiedBy>
  <cp:revision>16</cp:revision>
  <cp:lastPrinted>2021-07-26T09:51:00Z</cp:lastPrinted>
  <dcterms:created xsi:type="dcterms:W3CDTF">2021-07-22T19:40:00Z</dcterms:created>
  <dcterms:modified xsi:type="dcterms:W3CDTF">2021-07-26T09:57:00Z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http://csl.mendeley.com/styles/575820321/american-medical-association-2G</vt:lpwstr>
  </property>
  <property fmtid="{D5CDD505-2E9C-101B-9397-08002B2CF9AE}" pid="5" name="Mendeley Recent Style Name 1_1">
    <vt:lpwstr>American Medical Association 11th edition - Giovanni Croatto</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http://www.zotero.org/styles/brain-behavior-and-immunity</vt:lpwstr>
  </property>
  <property fmtid="{D5CDD505-2E9C-101B-9397-08002B2CF9AE}" pid="9" name="Mendeley Recent Style Name 3_1">
    <vt:lpwstr>Brain Behavior and Immunity</vt:lpwstr>
  </property>
  <property fmtid="{D5CDD505-2E9C-101B-9397-08002B2CF9AE}" pid="10" name="Mendeley Recent Style Id 4_1">
    <vt:lpwstr>http://www.zotero.org/styles/molecular-psychiatry</vt:lpwstr>
  </property>
  <property fmtid="{D5CDD505-2E9C-101B-9397-08002B2CF9AE}" pid="11" name="Mendeley Recent Style Name 4_1">
    <vt:lpwstr>Molecular Psychiatry</vt:lpwstr>
  </property>
  <property fmtid="{D5CDD505-2E9C-101B-9397-08002B2CF9AE}" pid="12" name="Mendeley Recent Style Id 5_1">
    <vt:lpwstr>http://www.zotero.org/styles/the-canadian-journal-of-psychiatry</vt:lpwstr>
  </property>
  <property fmtid="{D5CDD505-2E9C-101B-9397-08002B2CF9AE}" pid="13" name="Mendeley Recent Style Name 5_1">
    <vt:lpwstr>The Canadian Journal of Psychiatry</vt:lpwstr>
  </property>
  <property fmtid="{D5CDD505-2E9C-101B-9397-08002B2CF9AE}" pid="14" name="Mendeley Recent Style Id 6_1">
    <vt:lpwstr>http://www.zotero.org/styles/vancouver</vt:lpwstr>
  </property>
  <property fmtid="{D5CDD505-2E9C-101B-9397-08002B2CF9AE}" pid="15" name="Mendeley Recent Style Name 6_1">
    <vt:lpwstr>Vancouver</vt:lpwstr>
  </property>
  <property fmtid="{D5CDD505-2E9C-101B-9397-08002B2CF9AE}" pid="16" name="Mendeley Recent Style Id 7_1">
    <vt:lpwstr>http://www.zotero.org/styles/world-psychiatry</vt:lpwstr>
  </property>
  <property fmtid="{D5CDD505-2E9C-101B-9397-08002B2CF9AE}" pid="17" name="Mendeley Recent Style Name 7_1">
    <vt:lpwstr>World Psychiatry</vt:lpwstr>
  </property>
  <property fmtid="{D5CDD505-2E9C-101B-9397-08002B2CF9AE}" pid="18" name="Mendeley Recent Style Id 8_1">
    <vt:lpwstr>http://csl.mendeley.com/styles/495891941/vancouver</vt:lpwstr>
  </property>
  <property fmtid="{D5CDD505-2E9C-101B-9397-08002B2CF9AE}" pid="19" name="Mendeley Recent Style Name 8_1">
    <vt:lpwstr>cv - solmi marco</vt:lpwstr>
  </property>
  <property fmtid="{D5CDD505-2E9C-101B-9397-08002B2CF9AE}" pid="20" name="Mendeley Recent Style Id 9_1">
    <vt:lpwstr>https://csl.mendeley.com/styles/495891941/maj</vt:lpwstr>
  </property>
  <property fmtid="{D5CDD505-2E9C-101B-9397-08002B2CF9AE}" pid="21" name="Mendeley Recent Style Name 9_1">
    <vt:lpwstr>maj</vt:lpwstr>
  </property>
  <property fmtid="{D5CDD505-2E9C-101B-9397-08002B2CF9AE}" pid="22" name="Mendeley Document_1">
    <vt:lpwstr>True</vt:lpwstr>
  </property>
  <property fmtid="{D5CDD505-2E9C-101B-9397-08002B2CF9AE}" pid="23" name="Mendeley Unique User Id_1">
    <vt:lpwstr>2dc8d73d-3aa5-3d28-b1d5-0f8720ba48b7</vt:lpwstr>
  </property>
  <property fmtid="{D5CDD505-2E9C-101B-9397-08002B2CF9AE}" pid="24" name="Mendeley Citation Style_1">
    <vt:lpwstr>http://www.zotero.org/styles/brain-behavior-and-immunity</vt:lpwstr>
  </property>
</Properties>
</file>