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20141" w14:textId="77777777" w:rsidR="0028539D" w:rsidRPr="004440E4" w:rsidRDefault="0028539D" w:rsidP="002A59D0">
      <w:pPr>
        <w:pStyle w:val="MDPI11articletype"/>
        <w:rPr>
          <w:highlight w:val="yellow"/>
        </w:rPr>
      </w:pPr>
      <w:r w:rsidRPr="004440E4">
        <w:rPr>
          <w:highlight w:val="yellow"/>
        </w:rPr>
        <w:t>Article</w:t>
      </w:r>
    </w:p>
    <w:p w14:paraId="78B6E47D" w14:textId="77777777" w:rsidR="0028539D" w:rsidRPr="002A59D0" w:rsidRDefault="0028539D" w:rsidP="002A59D0">
      <w:pPr>
        <w:pStyle w:val="MDPI12title"/>
      </w:pPr>
      <w:r w:rsidRPr="002A59D0">
        <w:t>An Analysis of the Potential for the Formation of ‘Nodes of Persisting Complexity’</w:t>
      </w:r>
    </w:p>
    <w:p w14:paraId="61CF8564" w14:textId="6CD3EC20" w:rsidR="00CD1ED9" w:rsidRPr="002A59D0" w:rsidRDefault="0028539D" w:rsidP="001C5D95">
      <w:pPr>
        <w:pStyle w:val="MDPI13authornames"/>
      </w:pPr>
      <w:r w:rsidRPr="006E6686">
        <w:rPr>
          <w:highlight w:val="yellow"/>
        </w:rPr>
        <w:t>Nick</w:t>
      </w:r>
      <w:r w:rsidR="006E6686" w:rsidRPr="006E6686">
        <w:rPr>
          <w:highlight w:val="yellow"/>
        </w:rPr>
        <w:t xml:space="preserve"> </w:t>
      </w:r>
      <w:r w:rsidR="006E6686">
        <w:t>King</w:t>
      </w:r>
      <w:r w:rsidRPr="002A59D0">
        <w:t xml:space="preserve"> and </w:t>
      </w:r>
      <w:r w:rsidR="006E6686" w:rsidRPr="002A59D0">
        <w:t xml:space="preserve">Aled </w:t>
      </w:r>
      <w:r w:rsidRPr="002A59D0">
        <w:t>Jones</w:t>
      </w:r>
      <w:r w:rsidR="006E6686">
        <w:t xml:space="preserve"> </w:t>
      </w:r>
      <w:r w:rsidR="00DE52EE" w:rsidRPr="004440E4">
        <w:t>*</w:t>
      </w:r>
    </w:p>
    <w:tbl>
      <w:tblPr>
        <w:tblStyle w:val="MDPITable"/>
        <w:tblpPr w:leftFromText="198" w:rightFromText="198" w:vertAnchor="page" w:horzAnchor="margin" w:tblpY="9281"/>
        <w:tblW w:w="2409" w:type="dxa"/>
        <w:tblLayout w:type="fixed"/>
        <w:tblLook w:val="04A0" w:firstRow="1" w:lastRow="0" w:firstColumn="1" w:lastColumn="0" w:noHBand="0" w:noVBand="1"/>
      </w:tblPr>
      <w:tblGrid>
        <w:gridCol w:w="2409"/>
      </w:tblGrid>
      <w:tr w:rsidR="00CD1ED9" w14:paraId="3F8C2D5A" w14:textId="77777777" w:rsidTr="00ED2C5E">
        <w:trPr>
          <w:cantSplit/>
        </w:trPr>
        <w:tc>
          <w:tcPr>
            <w:tcW w:w="2409" w:type="dxa"/>
          </w:tcPr>
          <w:p w14:paraId="55DF2E95" w14:textId="604B5761" w:rsidR="00CD1ED9" w:rsidRPr="00CD1ED9" w:rsidRDefault="00CD1ED9" w:rsidP="00ED2C5E">
            <w:pPr>
              <w:pStyle w:val="MDPI61Citation"/>
            </w:pPr>
            <w:r w:rsidRPr="00CD1ED9">
              <w:rPr>
                <w:b/>
              </w:rPr>
              <w:t>Citation:</w:t>
            </w:r>
            <w:r>
              <w:t xml:space="preserve"> </w:t>
            </w:r>
            <w:r w:rsidR="00F11F17">
              <w:t xml:space="preserve">King, N.; Jones, A. </w:t>
            </w:r>
            <w:r w:rsidRPr="002A59D0">
              <w:t xml:space="preserve">An Analysis of the Potential for the </w:t>
            </w:r>
            <w:r w:rsidR="00ED2C5E">
              <w:br/>
            </w:r>
            <w:r w:rsidRPr="002A59D0">
              <w:t>Formation of ‘Nodes of Persisting Complexity’</w:t>
            </w:r>
            <w:r>
              <w:t xml:space="preserve">. </w:t>
            </w:r>
            <w:r>
              <w:rPr>
                <w:i/>
              </w:rPr>
              <w:t xml:space="preserve">Sustainability </w:t>
            </w:r>
            <w:r>
              <w:rPr>
                <w:b/>
              </w:rPr>
              <w:t>2021</w:t>
            </w:r>
            <w:r>
              <w:t xml:space="preserve">, </w:t>
            </w:r>
            <w:r>
              <w:rPr>
                <w:i/>
              </w:rPr>
              <w:t>13</w:t>
            </w:r>
            <w:r>
              <w:t>, x. https://doi.org/10.3390/xxxxx</w:t>
            </w:r>
          </w:p>
          <w:p w14:paraId="22C2057D" w14:textId="034012C6" w:rsidR="00CD1ED9" w:rsidRDefault="00CD1ED9" w:rsidP="00ED2C5E">
            <w:pPr>
              <w:pStyle w:val="MDPI15academiceditor"/>
              <w:spacing w:after="240"/>
            </w:pPr>
            <w:r>
              <w:t xml:space="preserve">Academic Editor(s): </w:t>
            </w:r>
            <w:proofErr w:type="spellStart"/>
            <w:r w:rsidR="001C5D95" w:rsidRPr="001C5D95">
              <w:t>JinHyo</w:t>
            </w:r>
            <w:proofErr w:type="spellEnd"/>
            <w:r w:rsidR="001C5D95" w:rsidRPr="001C5D95">
              <w:t xml:space="preserve"> Joseph Yun</w:t>
            </w:r>
          </w:p>
          <w:p w14:paraId="47BE21C4" w14:textId="2F54ABEE" w:rsidR="00CD1ED9" w:rsidRPr="00CD1ED9" w:rsidRDefault="00CD1ED9" w:rsidP="001C5D95">
            <w:pPr>
              <w:pStyle w:val="MDPI14history"/>
            </w:pPr>
            <w:r w:rsidRPr="00CD1ED9">
              <w:t xml:space="preserve">Received: </w:t>
            </w:r>
            <w:r w:rsidR="001C5D95" w:rsidRPr="001C5D95">
              <w:t>18 June 2021</w:t>
            </w:r>
          </w:p>
          <w:p w14:paraId="10E485A2" w14:textId="50F04C6A" w:rsidR="00CD1ED9" w:rsidRPr="00CD1ED9" w:rsidRDefault="00CD1ED9" w:rsidP="00ED2C5E">
            <w:pPr>
              <w:pStyle w:val="MDPI14history"/>
            </w:pPr>
            <w:r w:rsidRPr="00CD1ED9">
              <w:t xml:space="preserve">Accepted: </w:t>
            </w:r>
            <w:r w:rsidR="001C5D95">
              <w:t>19</w:t>
            </w:r>
            <w:r w:rsidR="001C5D95" w:rsidRPr="001C5D95">
              <w:t xml:space="preserve"> Ju</w:t>
            </w:r>
            <w:r w:rsidR="001C5D95">
              <w:rPr>
                <w:rFonts w:asciiTheme="minorEastAsia" w:eastAsiaTheme="minorEastAsia" w:hAnsiTheme="minorEastAsia" w:hint="eastAsia"/>
                <w:lang w:eastAsia="zh-CN"/>
              </w:rPr>
              <w:t>ly</w:t>
            </w:r>
            <w:r w:rsidR="001C5D95" w:rsidRPr="001C5D95">
              <w:t xml:space="preserve"> 2021</w:t>
            </w:r>
          </w:p>
          <w:p w14:paraId="2D18BAF6" w14:textId="77777777" w:rsidR="00CD1ED9" w:rsidRPr="00CD1ED9" w:rsidRDefault="00CD1ED9" w:rsidP="00ED2C5E">
            <w:pPr>
              <w:pStyle w:val="MDPI14history"/>
              <w:spacing w:after="240"/>
            </w:pPr>
            <w:r w:rsidRPr="00CD1ED9">
              <w:t>Published: date</w:t>
            </w:r>
          </w:p>
          <w:p w14:paraId="34D75279" w14:textId="77777777" w:rsidR="00CD1ED9" w:rsidRDefault="00CD1ED9" w:rsidP="00ED2C5E">
            <w:pPr>
              <w:pStyle w:val="MDPI63Notes"/>
              <w:spacing w:after="0"/>
              <w:jc w:val="both"/>
            </w:pPr>
            <w:r w:rsidRPr="00CD1ED9">
              <w:rPr>
                <w:b/>
              </w:rPr>
              <w:t>Publisher’s Note:</w:t>
            </w:r>
            <w:r w:rsidRPr="00CD1ED9">
              <w:t xml:space="preserve"> MDPI stays neutral </w:t>
            </w:r>
            <w:proofErr w:type="gramStart"/>
            <w:r w:rsidRPr="00CD1ED9">
              <w:t>with regard to</w:t>
            </w:r>
            <w:proofErr w:type="gramEnd"/>
            <w:r w:rsidRPr="00CD1ED9">
              <w:t xml:space="preserve"> jurisdictional claims in published maps and institutional affiliations.</w:t>
            </w:r>
          </w:p>
          <w:p w14:paraId="2C12E5AE" w14:textId="77777777" w:rsidR="00CD1ED9" w:rsidRDefault="00CD1ED9" w:rsidP="00ED2C5E">
            <w:pPr>
              <w:pStyle w:val="MDPI63Notes"/>
              <w:spacing w:before="240" w:after="0"/>
              <w:jc w:val="both"/>
            </w:pPr>
            <w:r>
              <w:rPr>
                <w:noProof/>
                <w:snapToGrid/>
                <w:lang w:bidi="ar-SA"/>
              </w:rPr>
              <w:drawing>
                <wp:inline distT="0" distB="0" distL="0" distR="0" wp14:anchorId="0F194B00" wp14:editId="4525AC6B">
                  <wp:extent cx="694800" cy="2484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52D7E57F" w14:textId="7035905A" w:rsidR="00CD1ED9" w:rsidRPr="00CD1ED9" w:rsidRDefault="00CD1ED9" w:rsidP="00ED2C5E">
            <w:pPr>
              <w:pStyle w:val="MDPI63Notes"/>
              <w:spacing w:before="60" w:after="0"/>
              <w:jc w:val="both"/>
            </w:pPr>
            <w:r w:rsidRPr="00CD1ED9">
              <w:rPr>
                <w:b/>
              </w:rPr>
              <w:t>Copyright:</w:t>
            </w:r>
            <w:r w:rsidRPr="00CD1ED9">
              <w:t xml:space="preserve"> © 2021 by the authors. Submitted for possible open access publication under the terms and conditions of the Creative Commons Attribution (CC BY) license (http://creativecommons.org/licenses/by/4.0/).</w:t>
            </w:r>
          </w:p>
        </w:tc>
      </w:tr>
    </w:tbl>
    <w:p w14:paraId="0D2D8CF7" w14:textId="1765ABAA" w:rsidR="0028539D" w:rsidRPr="002A59D0" w:rsidRDefault="0028539D" w:rsidP="006557F7">
      <w:pPr>
        <w:pStyle w:val="MDPI16affiliation"/>
        <w:ind w:left="2608" w:firstLine="0"/>
      </w:pPr>
      <w:r w:rsidRPr="002A59D0">
        <w:t xml:space="preserve">Global Sustainability Institute, Anglia Ruskin </w:t>
      </w:r>
      <w:r w:rsidRPr="00DE52EE">
        <w:rPr>
          <w:highlight w:val="yellow"/>
        </w:rPr>
        <w:t>University</w:t>
      </w:r>
      <w:r w:rsidRPr="002A59D0">
        <w:t>, Cambridge CB1 1PT, UK</w:t>
      </w:r>
      <w:r w:rsidR="00DE52EE">
        <w:t xml:space="preserve">; </w:t>
      </w:r>
      <w:r w:rsidR="00DE52EE" w:rsidRPr="00DE52EE">
        <w:t>nseymourk84@gmail.com</w:t>
      </w:r>
    </w:p>
    <w:p w14:paraId="2785A963" w14:textId="665E97A1" w:rsidR="0028539D" w:rsidRPr="002A59D0" w:rsidRDefault="00F11F17" w:rsidP="00F11F17">
      <w:pPr>
        <w:pStyle w:val="MDPI16affiliation"/>
      </w:pPr>
      <w:r w:rsidRPr="00F11F17">
        <w:rPr>
          <w:b/>
        </w:rPr>
        <w:t>*</w:t>
      </w:r>
      <w:r w:rsidRPr="00F11F17">
        <w:tab/>
        <w:t xml:space="preserve">Correspondence: </w:t>
      </w:r>
      <w:r w:rsidR="0028539D" w:rsidRPr="000F2B89">
        <w:rPr>
          <w:highlight w:val="yellow"/>
        </w:rPr>
        <w:t>aled.jones@a</w:t>
      </w:r>
      <w:r w:rsidR="007C799C">
        <w:rPr>
          <w:highlight w:val="yellow"/>
        </w:rPr>
        <w:t>ru</w:t>
      </w:r>
      <w:r w:rsidR="0028539D" w:rsidRPr="000F2B89">
        <w:rPr>
          <w:highlight w:val="yellow"/>
        </w:rPr>
        <w:t>.ac.uk</w:t>
      </w:r>
      <w:r w:rsidR="0028539D" w:rsidRPr="002A59D0">
        <w:t>; Tel.: +44-1223-6989</w:t>
      </w:r>
      <w:r w:rsidR="00DE52EE">
        <w:t>-</w:t>
      </w:r>
      <w:r w:rsidR="0028539D" w:rsidRPr="002A59D0">
        <w:t>31</w:t>
      </w:r>
    </w:p>
    <w:p w14:paraId="1FFE8245" w14:textId="6D545689" w:rsidR="0028539D" w:rsidRPr="002A59D0" w:rsidRDefault="0028539D" w:rsidP="006E6686">
      <w:pPr>
        <w:pStyle w:val="MDPI17abstract"/>
      </w:pPr>
      <w:r w:rsidRPr="006E6686">
        <w:rPr>
          <w:b/>
        </w:rPr>
        <w:t xml:space="preserve">Abstract: </w:t>
      </w:r>
      <w:r w:rsidRPr="002A59D0">
        <w:t xml:space="preserve">Human </w:t>
      </w:r>
      <w:proofErr w:type="spellStart"/>
      <w:r w:rsidRPr="002A59D0">
        <w:t>civilisation</w:t>
      </w:r>
      <w:proofErr w:type="spellEnd"/>
      <w:r w:rsidRPr="002A59D0">
        <w:t xml:space="preserve"> has undergone a continuous trajectory of rising sociopolitical complexity since its inception; a trend which has undergone a dramatic recent acceleration.</w:t>
      </w:r>
      <w:r w:rsidR="008D52EA">
        <w:t xml:space="preserve"> </w:t>
      </w:r>
      <w:r w:rsidRPr="002A59D0">
        <w:t>This phenomenon has resulted in increasingly severe perturbation of the Earth System, manifesting recently as global-scale effects such as climate change.</w:t>
      </w:r>
      <w:r w:rsidR="008D52EA">
        <w:t xml:space="preserve"> </w:t>
      </w:r>
      <w:r w:rsidRPr="002A59D0">
        <w:t xml:space="preserve">These effects create an increased risk of a global </w:t>
      </w:r>
      <w:bookmarkStart w:id="0" w:name="_Hlk73984254"/>
      <w:r w:rsidRPr="002A59D0">
        <w:t xml:space="preserve">‘de-complexification’ </w:t>
      </w:r>
      <w:bookmarkEnd w:id="0"/>
      <w:r w:rsidRPr="002A59D0">
        <w:t>(collapse) event in which complexity could undergo widespread reversal.</w:t>
      </w:r>
      <w:r w:rsidR="008D52EA">
        <w:t xml:space="preserve"> </w:t>
      </w:r>
      <w:r w:rsidRPr="002A59D0">
        <w:t>‘N</w:t>
      </w:r>
      <w:bookmarkStart w:id="1" w:name="_Hlk73984568"/>
      <w:r w:rsidRPr="002A59D0">
        <w:t xml:space="preserve">odes of persisting complexity’ </w:t>
      </w:r>
      <w:bookmarkEnd w:id="1"/>
      <w:r w:rsidRPr="002A59D0">
        <w:t>are geographical locations which may experience lesser effects from ‘de-complexification’ due to having ‘</w:t>
      </w:r>
      <w:proofErr w:type="spellStart"/>
      <w:r w:rsidRPr="002A59D0">
        <w:t>favourable</w:t>
      </w:r>
      <w:proofErr w:type="spellEnd"/>
      <w:r w:rsidRPr="002A59D0">
        <w:t xml:space="preserve"> starting conditions’ that may allow </w:t>
      </w:r>
      <w:r w:rsidR="000E50ED" w:rsidRPr="002A59D0">
        <w:t xml:space="preserve">the </w:t>
      </w:r>
      <w:r w:rsidRPr="002A59D0">
        <w:t xml:space="preserve">retention of a degree of complexity. </w:t>
      </w:r>
      <w:r w:rsidR="000E50ED" w:rsidRPr="002A59D0">
        <w:t>A</w:t>
      </w:r>
      <w:r w:rsidRPr="002A59D0">
        <w:t xml:space="preserve"> shortlist of nations (New Zealand, Iceland, the United Kingdom, </w:t>
      </w:r>
      <w:proofErr w:type="gramStart"/>
      <w:r w:rsidRPr="002A59D0">
        <w:t>Australia</w:t>
      </w:r>
      <w:proofErr w:type="gramEnd"/>
      <w:r w:rsidRPr="002A59D0">
        <w:t xml:space="preserve"> and Ireland) </w:t>
      </w:r>
      <w:r w:rsidR="000E50ED" w:rsidRPr="002A59D0">
        <w:t xml:space="preserve">were identified and </w:t>
      </w:r>
      <w:r w:rsidRPr="002A59D0">
        <w:t xml:space="preserve">qualitatively </w:t>
      </w:r>
      <w:proofErr w:type="spellStart"/>
      <w:r w:rsidRPr="002A59D0">
        <w:t>analysed</w:t>
      </w:r>
      <w:proofErr w:type="spellEnd"/>
      <w:r w:rsidRPr="002A59D0">
        <w:t xml:space="preserve"> in detail to ascertain their potential to form ‘nodes of persisting complexity’ (New Zealand is identified as having the greatest potential).</w:t>
      </w:r>
      <w:r w:rsidR="008D52EA">
        <w:t xml:space="preserve"> </w:t>
      </w:r>
      <w:r w:rsidRPr="002A59D0">
        <w:t>The analysis outputs are applied to identify insights for enhancing resilience to ‘de-complexification’.</w:t>
      </w:r>
    </w:p>
    <w:p w14:paraId="01D84AC4" w14:textId="5788AA79" w:rsidR="0028539D" w:rsidRPr="002A59D0" w:rsidRDefault="00AA698B" w:rsidP="00AA698B">
      <w:pPr>
        <w:pStyle w:val="MDPI18keywords"/>
      </w:pPr>
      <w:r w:rsidRPr="00AA698B">
        <w:rPr>
          <w:b/>
        </w:rPr>
        <w:t>Keywords:</w:t>
      </w:r>
      <w:r w:rsidR="0028539D" w:rsidRPr="00AA698B">
        <w:rPr>
          <w:b/>
        </w:rPr>
        <w:t xml:space="preserve"> </w:t>
      </w:r>
      <w:r w:rsidR="003B4D97">
        <w:t>s</w:t>
      </w:r>
      <w:r w:rsidR="0028539D" w:rsidRPr="002A59D0">
        <w:t xml:space="preserve">ociopolitical complexity; </w:t>
      </w:r>
      <w:r w:rsidR="003B4D97">
        <w:t>c</w:t>
      </w:r>
      <w:r w:rsidR="0028539D" w:rsidRPr="002A59D0">
        <w:t xml:space="preserve">ollapse; </w:t>
      </w:r>
      <w:r w:rsidR="003B4D97">
        <w:t>d</w:t>
      </w:r>
      <w:r w:rsidR="0028539D" w:rsidRPr="002A59D0">
        <w:t xml:space="preserve">e-complexification; </w:t>
      </w:r>
      <w:r w:rsidR="003B4D97">
        <w:t>l</w:t>
      </w:r>
      <w:r w:rsidR="0028539D" w:rsidRPr="002A59D0">
        <w:t xml:space="preserve">ifeboats; </w:t>
      </w:r>
      <w:r w:rsidR="003B4D97">
        <w:t>c</w:t>
      </w:r>
      <w:r w:rsidR="0028539D" w:rsidRPr="002A59D0">
        <w:t xml:space="preserve">arrying </w:t>
      </w:r>
      <w:r w:rsidR="003B4D97">
        <w:t>c</w:t>
      </w:r>
      <w:r w:rsidR="0028539D" w:rsidRPr="002A59D0">
        <w:t xml:space="preserve">apacity; </w:t>
      </w:r>
      <w:r w:rsidR="000878B9">
        <w:br/>
      </w:r>
      <w:r w:rsidR="003B4D97">
        <w:t>r</w:t>
      </w:r>
      <w:r w:rsidR="0028539D" w:rsidRPr="002A59D0">
        <w:t>esilience</w:t>
      </w:r>
    </w:p>
    <w:p w14:paraId="1471D41A" w14:textId="77777777" w:rsidR="00A86E9F" w:rsidRPr="002A59D0" w:rsidRDefault="00A86E9F" w:rsidP="00AA698B">
      <w:pPr>
        <w:pStyle w:val="MDPI19line"/>
        <w:pBdr>
          <w:bottom w:val="single" w:sz="4" w:space="1" w:color="000000"/>
        </w:pBdr>
      </w:pPr>
    </w:p>
    <w:p w14:paraId="22C8B0E8" w14:textId="3DF484F8" w:rsidR="00886311" w:rsidRPr="002A59D0" w:rsidRDefault="006E6686" w:rsidP="006E6686">
      <w:pPr>
        <w:pStyle w:val="MDPI21heading1"/>
      </w:pPr>
      <w:r>
        <w:t xml:space="preserve">1. </w:t>
      </w:r>
      <w:r w:rsidR="00886311" w:rsidRPr="002A59D0">
        <w:t>Introduction</w:t>
      </w:r>
    </w:p>
    <w:p w14:paraId="0837801D" w14:textId="47664F9D" w:rsidR="00886311" w:rsidRPr="006E6686" w:rsidRDefault="006E6686" w:rsidP="006E6686">
      <w:pPr>
        <w:pStyle w:val="MDPI22heading2"/>
      </w:pPr>
      <w:r w:rsidRPr="006E6686">
        <w:t xml:space="preserve">1.1. </w:t>
      </w:r>
      <w:r w:rsidR="00886311" w:rsidRPr="006E6686">
        <w:t xml:space="preserve">The </w:t>
      </w:r>
      <w:r w:rsidR="00112244" w:rsidRPr="006E6686">
        <w:t xml:space="preserve">Human </w:t>
      </w:r>
      <w:r w:rsidR="00886311" w:rsidRPr="006E6686">
        <w:t xml:space="preserve">and Earth System </w:t>
      </w:r>
      <w:r w:rsidR="00112244" w:rsidRPr="006E6686">
        <w:t>Predicament</w:t>
      </w:r>
    </w:p>
    <w:p w14:paraId="543A851E" w14:textId="55EBDA32" w:rsidR="00886311" w:rsidRPr="002A59D0" w:rsidRDefault="00886311" w:rsidP="00BF63F1">
      <w:pPr>
        <w:pStyle w:val="MDPI31text"/>
      </w:pPr>
      <w:r w:rsidRPr="002A59D0">
        <w:t xml:space="preserve">The globe-spanning, energy-intensive industrial </w:t>
      </w:r>
      <w:proofErr w:type="spellStart"/>
      <w:r w:rsidRPr="002A59D0">
        <w:t>civilisation</w:t>
      </w:r>
      <w:proofErr w:type="spellEnd"/>
      <w:r w:rsidRPr="002A59D0">
        <w:t xml:space="preserve"> that </w:t>
      </w:r>
      <w:proofErr w:type="spellStart"/>
      <w:r w:rsidRPr="002A59D0">
        <w:t>characterises</w:t>
      </w:r>
      <w:proofErr w:type="spellEnd"/>
      <w:r w:rsidRPr="002A59D0">
        <w:t xml:space="preserve"> the modern era represents an anomalous situation when </w:t>
      </w:r>
      <w:r w:rsidR="00234B3D">
        <w:t xml:space="preserve">it is </w:t>
      </w:r>
      <w:r w:rsidRPr="002A59D0">
        <w:t xml:space="preserve">considered against </w:t>
      </w:r>
      <w:proofErr w:type="gramStart"/>
      <w:r w:rsidRPr="002A59D0">
        <w:t>the majority of</w:t>
      </w:r>
      <w:proofErr w:type="gramEnd"/>
      <w:r w:rsidRPr="002A59D0">
        <w:t xml:space="preserve"> human history.</w:t>
      </w:r>
      <w:r w:rsidR="008D52EA">
        <w:t xml:space="preserve"> </w:t>
      </w:r>
      <w:r w:rsidRPr="002A59D0">
        <w:t xml:space="preserve">Several large revolutions in terms of population (total size and rate of change), social </w:t>
      </w:r>
      <w:proofErr w:type="spellStart"/>
      <w:r w:rsidRPr="002A59D0">
        <w:t>organisation</w:t>
      </w:r>
      <w:proofErr w:type="spellEnd"/>
      <w:r w:rsidRPr="002A59D0">
        <w:t xml:space="preserve"> and patterns of energy and other resource use have occurred to bring about the modern world.</w:t>
      </w:r>
      <w:r w:rsidR="008D52EA">
        <w:t xml:space="preserve"> </w:t>
      </w:r>
      <w:r w:rsidRPr="002A59D0">
        <w:t xml:space="preserve">The first major change that humans achieved after a long period (approximately </w:t>
      </w:r>
      <w:r w:rsidR="008F6090" w:rsidRPr="002A59D0">
        <w:t>3</w:t>
      </w:r>
      <w:r w:rsidR="008F6090">
        <w:t xml:space="preserve"> × </w:t>
      </w:r>
      <w:r w:rsidR="008F6090" w:rsidRPr="002A59D0">
        <w:t>1</w:t>
      </w:r>
      <w:r w:rsidRPr="002A59D0">
        <w:t>0</w:t>
      </w:r>
      <w:r w:rsidRPr="002A59D0">
        <w:rPr>
          <w:vertAlign w:val="superscript"/>
        </w:rPr>
        <w:t>5</w:t>
      </w:r>
      <w:r w:rsidRPr="002A59D0">
        <w:t xml:space="preserve"> years) of living in small, dispersed bands of hunter-gatherers was the transition to an agriculture-based </w:t>
      </w:r>
      <w:proofErr w:type="spellStart"/>
      <w:r w:rsidRPr="002A59D0">
        <w:t>civilisation</w:t>
      </w:r>
      <w:proofErr w:type="spellEnd"/>
      <w:r w:rsidRPr="002A59D0">
        <w:t>, which occurred independently in multiple locations.</w:t>
      </w:r>
      <w:r w:rsidR="008D52EA">
        <w:t xml:space="preserve"> </w:t>
      </w:r>
      <w:r w:rsidRPr="002A59D0">
        <w:t xml:space="preserve">This was enabled to a large degree </w:t>
      </w:r>
      <w:r w:rsidR="00281559" w:rsidRPr="002A59D0">
        <w:t xml:space="preserve">by </w:t>
      </w:r>
      <w:r w:rsidRPr="002A59D0">
        <w:t xml:space="preserve">the shift approximately </w:t>
      </w:r>
      <w:r w:rsidR="008F6090" w:rsidRPr="002A59D0">
        <w:t>1</w:t>
      </w:r>
      <w:r w:rsidR="008F6090">
        <w:t xml:space="preserve"> × </w:t>
      </w:r>
      <w:r w:rsidR="008F6090" w:rsidRPr="002A59D0">
        <w:t>1</w:t>
      </w:r>
      <w:r w:rsidRPr="002A59D0">
        <w:t>0</w:t>
      </w:r>
      <w:r w:rsidRPr="002A59D0">
        <w:rPr>
          <w:vertAlign w:val="superscript"/>
        </w:rPr>
        <w:t>4</w:t>
      </w:r>
      <w:r w:rsidRPr="002A59D0">
        <w:t xml:space="preserve"> years ago to a warmer, more stable interglacial climate at global scale that has</w:t>
      </w:r>
      <w:r w:rsidR="001D4AC6" w:rsidRPr="002A59D0">
        <w:t xml:space="preserve"> been</w:t>
      </w:r>
      <w:r w:rsidRPr="002A59D0">
        <w:t xml:space="preserve"> </w:t>
      </w:r>
      <w:proofErr w:type="spellStart"/>
      <w:r w:rsidRPr="002A59D0">
        <w:t>characterised</w:t>
      </w:r>
      <w:proofErr w:type="spellEnd"/>
      <w:r w:rsidRPr="002A59D0">
        <w:t xml:space="preserve"> </w:t>
      </w:r>
      <w:r w:rsidR="00234B3D">
        <w:t xml:space="preserve">as </w:t>
      </w:r>
      <w:r w:rsidRPr="002A59D0">
        <w:t>the Holocene</w:t>
      </w:r>
      <w:r w:rsidR="00C127D3" w:rsidRPr="002A59D0">
        <w:t xml:space="preserve"> [</w:t>
      </w:r>
      <w:r w:rsidR="00F30CEE">
        <w:t>1</w:t>
      </w:r>
      <w:r w:rsidR="00C127D3" w:rsidRPr="002A59D0">
        <w:t>]</w:t>
      </w:r>
      <w:r w:rsidRPr="002A59D0">
        <w:t>.</w:t>
      </w:r>
    </w:p>
    <w:p w14:paraId="3EABBC64" w14:textId="541EA0C8" w:rsidR="00886311" w:rsidRPr="002A59D0" w:rsidRDefault="00886311" w:rsidP="00BF63F1">
      <w:pPr>
        <w:pStyle w:val="MDPI31text"/>
      </w:pPr>
      <w:r w:rsidRPr="002A59D0">
        <w:t>The major shift resulting from the spread of agriculture led to consistent energetic and material surpluses which</w:t>
      </w:r>
      <w:r w:rsidR="00234B3D">
        <w:t>,</w:t>
      </w:r>
      <w:r w:rsidRPr="002A59D0">
        <w:t xml:space="preserve"> in turn</w:t>
      </w:r>
      <w:r w:rsidR="00234B3D">
        <w:t>,</w:t>
      </w:r>
      <w:r w:rsidRPr="002A59D0">
        <w:t xml:space="preserve"> allowed </w:t>
      </w:r>
      <w:r w:rsidR="00234B3D">
        <w:t xml:space="preserve">for </w:t>
      </w:r>
      <w:r w:rsidRPr="002A59D0">
        <w:t xml:space="preserve">the establishment of fixed urban settlements, hierarchal societies and </w:t>
      </w:r>
      <w:proofErr w:type="spellStart"/>
      <w:r w:rsidRPr="002A59D0">
        <w:t>organisational</w:t>
      </w:r>
      <w:proofErr w:type="spellEnd"/>
      <w:r w:rsidRPr="002A59D0">
        <w:t xml:space="preserve"> complexity such as </w:t>
      </w:r>
      <w:proofErr w:type="spellStart"/>
      <w:r w:rsidRPr="002A59D0">
        <w:t>labour</w:t>
      </w:r>
      <w:proofErr w:type="spellEnd"/>
      <w:r w:rsidRPr="002A59D0">
        <w:t xml:space="preserve"> </w:t>
      </w:r>
      <w:proofErr w:type="spellStart"/>
      <w:r w:rsidRPr="002A59D0">
        <w:t>specialisation</w:t>
      </w:r>
      <w:proofErr w:type="spellEnd"/>
      <w:r w:rsidRPr="002A59D0">
        <w:t>.</w:t>
      </w:r>
      <w:r w:rsidR="008D52EA">
        <w:t xml:space="preserve"> </w:t>
      </w:r>
      <w:r w:rsidRPr="002A59D0">
        <w:t>The emergence of these phenomena set in motion enhancing feedback mechanisms (e.g.</w:t>
      </w:r>
      <w:r w:rsidR="00CF3497">
        <w:t>,</w:t>
      </w:r>
      <w:r w:rsidRPr="002A59D0">
        <w:t xml:space="preserve"> food surpluses) that led to increasing populations and the spatial expansion of agriculture and human activity over </w:t>
      </w:r>
      <w:proofErr w:type="gramStart"/>
      <w:r w:rsidRPr="002A59D0">
        <w:t>the majority of</w:t>
      </w:r>
      <w:proofErr w:type="gramEnd"/>
      <w:r w:rsidRPr="002A59D0">
        <w:t xml:space="preserve"> the Earth </w:t>
      </w:r>
      <w:bookmarkStart w:id="2" w:name="_Hlk71567853"/>
      <w:r w:rsidR="00EC092E" w:rsidRPr="002A59D0">
        <w:t>[</w:t>
      </w:r>
      <w:r w:rsidR="00FD0DFA" w:rsidRPr="002A59D0">
        <w:t>1</w:t>
      </w:r>
      <w:r w:rsidR="00EC092E" w:rsidRPr="002A59D0">
        <w:t>]</w:t>
      </w:r>
      <w:r w:rsidRPr="002A59D0">
        <w:t>.</w:t>
      </w:r>
      <w:bookmarkEnd w:id="2"/>
      <w:r w:rsidR="00CD6BFC" w:rsidRPr="002A59D0">
        <w:t xml:space="preserve"> </w:t>
      </w:r>
      <w:r w:rsidRPr="002A59D0">
        <w:t xml:space="preserve">The growth of the extent and complexity of human </w:t>
      </w:r>
      <w:proofErr w:type="spellStart"/>
      <w:r w:rsidRPr="002A59D0">
        <w:t>civilisation</w:t>
      </w:r>
      <w:proofErr w:type="spellEnd"/>
      <w:r w:rsidRPr="002A59D0">
        <w:t xml:space="preserve"> continued for centuries but was ultimately constrained by reliance on natural flows of energy (primarily insolation captured through photosynthesis and the availability of biomass in which it was stored) and the application of human/animal muscle power to </w:t>
      </w:r>
      <w:proofErr w:type="spellStart"/>
      <w:r w:rsidRPr="002A59D0">
        <w:t>utilise</w:t>
      </w:r>
      <w:proofErr w:type="spellEnd"/>
      <w:r w:rsidRPr="002A59D0">
        <w:t xml:space="preserve"> energy and material resources. Overcoming this limit commenced from approximately 1800 (the start of the Industrial Revolution) through the </w:t>
      </w:r>
      <w:r w:rsidRPr="002A59D0">
        <w:lastRenderedPageBreak/>
        <w:t>large-scale exploitation of the very large energy stock contained within fossil carbon deposits using newly</w:t>
      </w:r>
      <w:r w:rsidR="00234B3D">
        <w:t xml:space="preserve"> </w:t>
      </w:r>
      <w:r w:rsidRPr="002A59D0">
        <w:t xml:space="preserve">developed technologies. This </w:t>
      </w:r>
      <w:proofErr w:type="gramStart"/>
      <w:r w:rsidRPr="002A59D0">
        <w:t>set in</w:t>
      </w:r>
      <w:proofErr w:type="gramEnd"/>
      <w:r w:rsidRPr="002A59D0">
        <w:t xml:space="preserve"> motion new enhancing feedbacks (e.g.</w:t>
      </w:r>
      <w:r w:rsidR="00CF3497">
        <w:t>,</w:t>
      </w:r>
      <w:r w:rsidRPr="002A59D0">
        <w:t xml:space="preserve"> coal-fired pumps </w:t>
      </w:r>
      <w:r w:rsidR="00234B3D">
        <w:t xml:space="preserve">which </w:t>
      </w:r>
      <w:r w:rsidRPr="002A59D0">
        <w:t>allowed previously</w:t>
      </w:r>
      <w:r w:rsidR="00234B3D">
        <w:t xml:space="preserve"> </w:t>
      </w:r>
      <w:r w:rsidRPr="002A59D0">
        <w:t xml:space="preserve">inaccessible coal seams to be mined, providing further energy for industrial development) </w:t>
      </w:r>
      <w:r w:rsidR="00EC092E" w:rsidRPr="002A59D0">
        <w:t>[</w:t>
      </w:r>
      <w:r w:rsidR="00FD0DFA" w:rsidRPr="002A59D0">
        <w:t>1</w:t>
      </w:r>
      <w:r w:rsidR="00EC092E" w:rsidRPr="002A59D0">
        <w:t>]</w:t>
      </w:r>
      <w:r w:rsidRPr="002A59D0">
        <w:t xml:space="preserve">. </w:t>
      </w:r>
      <w:r w:rsidR="00234B3D">
        <w:t>The g</w:t>
      </w:r>
      <w:r w:rsidRPr="002A59D0">
        <w:t>lobal population and industrial capacity grew rapidly for approximately 150 years but achieved near-exponential growth only from approximately the middle of the 20</w:t>
      </w:r>
      <w:r w:rsidRPr="00086989">
        <w:t>th</w:t>
      </w:r>
      <w:r w:rsidRPr="002A59D0">
        <w:t xml:space="preserve"> century. This period, </w:t>
      </w:r>
      <w:proofErr w:type="spellStart"/>
      <w:r w:rsidRPr="002A59D0">
        <w:t>characterised</w:t>
      </w:r>
      <w:proofErr w:type="spellEnd"/>
      <w:r w:rsidRPr="002A59D0">
        <w:t xml:space="preserve"> as the </w:t>
      </w:r>
      <w:bookmarkStart w:id="3" w:name="_Hlk69239520"/>
      <w:r w:rsidRPr="002A59D0">
        <w:t xml:space="preserve">‘Great Acceleration’ </w:t>
      </w:r>
      <w:bookmarkEnd w:id="3"/>
      <w:r w:rsidR="00EC092E" w:rsidRPr="002A59D0">
        <w:t>[</w:t>
      </w:r>
      <w:r w:rsidR="005F06CB">
        <w:t>2</w:t>
      </w:r>
      <w:r w:rsidR="00EC092E" w:rsidRPr="002A59D0">
        <w:t>]</w:t>
      </w:r>
      <w:r w:rsidRPr="002A59D0">
        <w:t>, has generated the most rapid and profound of all the changes described above, resulting from the strengthening of the feedbacks initiated at the start of the Industrial Revolution.</w:t>
      </w:r>
    </w:p>
    <w:p w14:paraId="56D071BA" w14:textId="776760F0" w:rsidR="00886311" w:rsidRPr="002A59D0" w:rsidRDefault="00886311" w:rsidP="00BF63F1">
      <w:pPr>
        <w:pStyle w:val="MDPI31text"/>
      </w:pPr>
      <w:r w:rsidRPr="002A59D0">
        <w:t xml:space="preserve">The ‘Great Acceleration’ is </w:t>
      </w:r>
      <w:proofErr w:type="spellStart"/>
      <w:r w:rsidRPr="002A59D0">
        <w:t>characterised</w:t>
      </w:r>
      <w:proofErr w:type="spellEnd"/>
      <w:r w:rsidRPr="002A59D0">
        <w:t xml:space="preserve"> by substantial and ongoing increases in societal complexity and the extent and intensity of human activities across a broad spectrum of measures including, but not limited to, population growth, energy and freshwater usage, nitrogen fixation and cement production. The aggregate effect of this dramatic growth has been </w:t>
      </w:r>
      <w:r w:rsidR="00234B3D">
        <w:t xml:space="preserve">the </w:t>
      </w:r>
      <w:r w:rsidRPr="002A59D0">
        <w:t xml:space="preserve">strong and increasing perturbation of the Earth system and the biosphere, making collective human </w:t>
      </w:r>
      <w:proofErr w:type="spellStart"/>
      <w:r w:rsidRPr="002A59D0">
        <w:t>civilisation</w:t>
      </w:r>
      <w:proofErr w:type="spellEnd"/>
      <w:r w:rsidRPr="002A59D0">
        <w:t xml:space="preserve"> a major force acting at global scale. This has led to the </w:t>
      </w:r>
      <w:proofErr w:type="spellStart"/>
      <w:r w:rsidRPr="002A59D0">
        <w:t>characterisation</w:t>
      </w:r>
      <w:proofErr w:type="spellEnd"/>
      <w:r w:rsidRPr="002A59D0">
        <w:t xml:space="preserve"> of recent Earth history as the ‘Anthropocene’ </w:t>
      </w:r>
      <w:r w:rsidR="00EC092E" w:rsidRPr="002A59D0">
        <w:t>[</w:t>
      </w:r>
      <w:r w:rsidR="00FD0DFA" w:rsidRPr="002A59D0">
        <w:t>2</w:t>
      </w:r>
      <w:r w:rsidR="00EC092E" w:rsidRPr="002A59D0">
        <w:t>,</w:t>
      </w:r>
      <w:r w:rsidR="00620B43" w:rsidRPr="00620B43">
        <w:rPr>
          <w:rStyle w:val="EndnoteReference"/>
          <w:vertAlign w:val="baseline"/>
        </w:rPr>
        <w:t>3</w:t>
      </w:r>
      <w:r w:rsidR="00EC092E" w:rsidRPr="002A59D0">
        <w:t>]</w:t>
      </w:r>
      <w:r w:rsidRPr="002A59D0">
        <w:t>.</w:t>
      </w:r>
    </w:p>
    <w:p w14:paraId="6039FE67" w14:textId="6FE33FC9" w:rsidR="00886311" w:rsidRPr="002A59D0" w:rsidRDefault="00886311" w:rsidP="00BF63F1">
      <w:pPr>
        <w:pStyle w:val="MDPI31text"/>
      </w:pPr>
      <w:r w:rsidRPr="002A59D0">
        <w:t xml:space="preserve">From a biophysical perspective, human </w:t>
      </w:r>
      <w:proofErr w:type="spellStart"/>
      <w:r w:rsidRPr="002A59D0">
        <w:t>civilisation</w:t>
      </w:r>
      <w:proofErr w:type="spellEnd"/>
      <w:r w:rsidRPr="002A59D0">
        <w:t xml:space="preserve"> is a non-equilibrium thermodynamic or dissipative system that must maintain a minimum level of available exergy to avoid entropic decay and a yet higher level to permit physical growth </w:t>
      </w:r>
      <w:bookmarkStart w:id="4" w:name="_Hlk72174106"/>
      <w:r w:rsidR="00D60304" w:rsidRPr="002A59D0">
        <w:t>[</w:t>
      </w:r>
      <w:r w:rsidR="00620B43" w:rsidRPr="00620B43">
        <w:rPr>
          <w:rStyle w:val="EndnoteReference"/>
          <w:vertAlign w:val="baseline"/>
        </w:rPr>
        <w:t>4</w:t>
      </w:r>
      <w:r w:rsidR="00D60304" w:rsidRPr="002A59D0">
        <w:t>]</w:t>
      </w:r>
      <w:r w:rsidRPr="002A59D0">
        <w:t>.</w:t>
      </w:r>
      <w:r w:rsidR="008D52EA">
        <w:t xml:space="preserve"> </w:t>
      </w:r>
      <w:bookmarkEnd w:id="4"/>
      <w:r w:rsidRPr="002A59D0">
        <w:t xml:space="preserve">From the ecological economics perspective, it can be viewed as an ‘economic superorganism’ that seeks to </w:t>
      </w:r>
      <w:proofErr w:type="spellStart"/>
      <w:r w:rsidRPr="002A59D0">
        <w:t>maximise</w:t>
      </w:r>
      <w:proofErr w:type="spellEnd"/>
      <w:r w:rsidRPr="002A59D0">
        <w:t xml:space="preserve"> energy consumption through self-</w:t>
      </w:r>
      <w:proofErr w:type="spellStart"/>
      <w:r w:rsidRPr="002A59D0">
        <w:t>organisation</w:t>
      </w:r>
      <w:proofErr w:type="spellEnd"/>
      <w:r w:rsidRPr="002A59D0">
        <w:t xml:space="preserve"> at </w:t>
      </w:r>
      <w:r w:rsidR="00234B3D">
        <w:t>a</w:t>
      </w:r>
      <w:r w:rsidR="00234B3D" w:rsidRPr="002A59D0">
        <w:t xml:space="preserve"> </w:t>
      </w:r>
      <w:r w:rsidRPr="002A59D0">
        <w:t>large</w:t>
      </w:r>
      <w:r w:rsidR="00234B3D">
        <w:t xml:space="preserve"> </w:t>
      </w:r>
      <w:r w:rsidRPr="002A59D0">
        <w:t xml:space="preserve">scale </w:t>
      </w:r>
      <w:r w:rsidR="00EC092E" w:rsidRPr="002A59D0">
        <w:t>[</w:t>
      </w:r>
      <w:r w:rsidR="00FD0DFA" w:rsidRPr="002A59D0">
        <w:t>1</w:t>
      </w:r>
      <w:r w:rsidR="00EC092E" w:rsidRPr="002A59D0">
        <w:t>]</w:t>
      </w:r>
      <w:r w:rsidRPr="002A59D0">
        <w:t>, or the ‘megamachine’ driven to ever greater size and scope by the enhancing</w:t>
      </w:r>
      <w:r w:rsidR="00234B3D">
        <w:t xml:space="preserve"> </w:t>
      </w:r>
      <w:r w:rsidRPr="002A59D0">
        <w:t>feedbacks of capital accumulation</w:t>
      </w:r>
      <w:r w:rsidR="00D60304" w:rsidRPr="002A59D0">
        <w:t xml:space="preserve"> [</w:t>
      </w:r>
      <w:r w:rsidR="00620B43" w:rsidRPr="00620B43">
        <w:rPr>
          <w:rStyle w:val="EndnoteReference"/>
          <w:vertAlign w:val="baseline"/>
        </w:rPr>
        <w:t>5</w:t>
      </w:r>
      <w:r w:rsidR="00D60304" w:rsidRPr="002A59D0">
        <w:t>]</w:t>
      </w:r>
      <w:r w:rsidRPr="002A59D0">
        <w:t>.</w:t>
      </w:r>
    </w:p>
    <w:p w14:paraId="080ADF99" w14:textId="7C52642D" w:rsidR="00886311" w:rsidRPr="002A59D0" w:rsidRDefault="00886311" w:rsidP="00BF63F1">
      <w:pPr>
        <w:pStyle w:val="MDPI31text"/>
      </w:pPr>
      <w:r w:rsidRPr="002A59D0">
        <w:t>The Earth System is</w:t>
      </w:r>
      <w:r w:rsidR="00234B3D">
        <w:t>,</w:t>
      </w:r>
      <w:r w:rsidRPr="002A59D0">
        <w:t xml:space="preserve"> however</w:t>
      </w:r>
      <w:r w:rsidR="00234B3D">
        <w:t>,</w:t>
      </w:r>
      <w:r w:rsidRPr="002A59D0">
        <w:t xml:space="preserve"> finite in spatial extent, energetic capacity and overall complexity, and the ongoing expansion of human </w:t>
      </w:r>
      <w:proofErr w:type="spellStart"/>
      <w:r w:rsidRPr="002A59D0">
        <w:t>endeavours</w:t>
      </w:r>
      <w:proofErr w:type="spellEnd"/>
      <w:r w:rsidRPr="002A59D0">
        <w:t xml:space="preserve"> has and will continue to result in </w:t>
      </w:r>
      <w:r w:rsidR="00234B3D">
        <w:t xml:space="preserve">the </w:t>
      </w:r>
      <w:r w:rsidRPr="002A59D0">
        <w:t>Earth System</w:t>
      </w:r>
      <w:r w:rsidR="00234B3D">
        <w:t>’s</w:t>
      </w:r>
      <w:r w:rsidRPr="002A59D0">
        <w:t xml:space="preserve"> limits being exceeded and the system </w:t>
      </w:r>
      <w:r w:rsidR="00234B3D">
        <w:t>being</w:t>
      </w:r>
      <w:r w:rsidRPr="002A59D0">
        <w:t xml:space="preserve"> moved out of equilibrium.</w:t>
      </w:r>
      <w:r w:rsidR="008D52EA">
        <w:t xml:space="preserve"> </w:t>
      </w:r>
      <w:r w:rsidR="00B16C22" w:rsidRPr="002A59D0">
        <w:t>T</w:t>
      </w:r>
      <w:r w:rsidRPr="002A59D0">
        <w:t>he Earth System (</w:t>
      </w:r>
      <w:proofErr w:type="spellStart"/>
      <w:r w:rsidRPr="002A59D0">
        <w:t>characterised</w:t>
      </w:r>
      <w:proofErr w:type="spellEnd"/>
      <w:r w:rsidRPr="002A59D0">
        <w:t xml:space="preserve"> as ‘Gaia’) </w:t>
      </w:r>
      <w:r w:rsidR="00B16C22" w:rsidRPr="002A59D0">
        <w:t xml:space="preserve">is </w:t>
      </w:r>
      <w:r w:rsidRPr="002A59D0">
        <w:t>a self-regulating mechanism</w:t>
      </w:r>
      <w:r w:rsidR="00B16C22" w:rsidRPr="002A59D0">
        <w:t xml:space="preserve"> [</w:t>
      </w:r>
      <w:r w:rsidR="00620B43" w:rsidRPr="00620B43">
        <w:rPr>
          <w:rStyle w:val="EndnoteReference"/>
          <w:vertAlign w:val="baseline"/>
        </w:rPr>
        <w:t>6</w:t>
      </w:r>
      <w:r w:rsidR="00B16C22" w:rsidRPr="002A59D0">
        <w:t>]</w:t>
      </w:r>
      <w:r w:rsidRPr="002A59D0">
        <w:t xml:space="preserve">, and observable shifts in the </w:t>
      </w:r>
      <w:proofErr w:type="spellStart"/>
      <w:r w:rsidRPr="002A59D0">
        <w:t>behaviour</w:t>
      </w:r>
      <w:proofErr w:type="spellEnd"/>
      <w:r w:rsidRPr="002A59D0">
        <w:t xml:space="preserve"> of Earth Systems may be manifestations of balancing feedbacks resulting from the strong and growing perturbation from human activities.</w:t>
      </w:r>
      <w:r w:rsidR="008D52EA">
        <w:t xml:space="preserve"> </w:t>
      </w:r>
      <w:r w:rsidRPr="002A59D0">
        <w:t xml:space="preserve">These may have the potential to fundamentally undermine the agriculture-based </w:t>
      </w:r>
      <w:proofErr w:type="spellStart"/>
      <w:r w:rsidRPr="002A59D0">
        <w:t>civilisation</w:t>
      </w:r>
      <w:proofErr w:type="spellEnd"/>
      <w:r w:rsidRPr="002A59D0">
        <w:t xml:space="preserve"> that has flourished in benign Holocene conditions.</w:t>
      </w:r>
    </w:p>
    <w:p w14:paraId="2430B60B" w14:textId="7611DC8B" w:rsidR="00886311" w:rsidRPr="002A59D0" w:rsidRDefault="00886311" w:rsidP="00BF63F1">
      <w:pPr>
        <w:pStyle w:val="MDPI31text"/>
      </w:pPr>
      <w:r w:rsidRPr="002A59D0">
        <w:t xml:space="preserve">The threats to the ongoing and future viability of </w:t>
      </w:r>
      <w:proofErr w:type="spellStart"/>
      <w:r w:rsidRPr="002A59D0">
        <w:t>globalised</w:t>
      </w:r>
      <w:proofErr w:type="spellEnd"/>
      <w:r w:rsidRPr="002A59D0">
        <w:t xml:space="preserve"> </w:t>
      </w:r>
      <w:proofErr w:type="spellStart"/>
      <w:r w:rsidRPr="002A59D0">
        <w:t>civilisation</w:t>
      </w:r>
      <w:proofErr w:type="spellEnd"/>
      <w:r w:rsidRPr="002A59D0">
        <w:t xml:space="preserve"> have been the subject of academic</w:t>
      </w:r>
      <w:r w:rsidR="00234B3D">
        <w:t>s</w:t>
      </w:r>
      <w:r w:rsidRPr="002A59D0">
        <w:t xml:space="preserve">, popular </w:t>
      </w:r>
      <w:proofErr w:type="gramStart"/>
      <w:r w:rsidRPr="002A59D0">
        <w:t>science</w:t>
      </w:r>
      <w:proofErr w:type="gramEnd"/>
      <w:r w:rsidRPr="002A59D0">
        <w:t xml:space="preserve"> and literature at various points in history, but this subject area has garnered particular attention in recent years.</w:t>
      </w:r>
      <w:r w:rsidR="008D52EA">
        <w:t xml:space="preserve"> </w:t>
      </w:r>
      <w:r w:rsidRPr="002A59D0">
        <w:t xml:space="preserve">The following subsections describe the most significant of these effects and why they might be significant for the predicament of human </w:t>
      </w:r>
      <w:proofErr w:type="spellStart"/>
      <w:r w:rsidRPr="002A59D0">
        <w:t>civilisation</w:t>
      </w:r>
      <w:proofErr w:type="spellEnd"/>
      <w:r w:rsidRPr="002A59D0">
        <w:t>.</w:t>
      </w:r>
    </w:p>
    <w:p w14:paraId="7BC48614" w14:textId="58FE091E" w:rsidR="00886311" w:rsidRPr="00BF63F1" w:rsidRDefault="00BF63F1" w:rsidP="00BF63F1">
      <w:pPr>
        <w:pStyle w:val="MDPI22heading2"/>
        <w:spacing w:before="240"/>
      </w:pPr>
      <w:r w:rsidRPr="00BF63F1">
        <w:t>1.</w:t>
      </w:r>
      <w:r w:rsidR="0062780A">
        <w:t>2</w:t>
      </w:r>
      <w:r w:rsidRPr="00BF63F1">
        <w:t xml:space="preserve">. </w:t>
      </w:r>
      <w:r w:rsidR="00886311" w:rsidRPr="00BF63F1">
        <w:t xml:space="preserve">Literature </w:t>
      </w:r>
      <w:r w:rsidR="00112244" w:rsidRPr="00BF63F1">
        <w:t xml:space="preserve">Review </w:t>
      </w:r>
      <w:r w:rsidR="00886311" w:rsidRPr="00BF63F1">
        <w:t xml:space="preserve">of </w:t>
      </w:r>
      <w:r w:rsidR="00112244" w:rsidRPr="00BF63F1">
        <w:t>Global Environmental Threats</w:t>
      </w:r>
    </w:p>
    <w:p w14:paraId="00F1D877" w14:textId="58FC4BDA" w:rsidR="00886311" w:rsidRPr="002A59D0" w:rsidRDefault="00886311" w:rsidP="00BF63F1">
      <w:pPr>
        <w:pStyle w:val="MDPI31text"/>
      </w:pPr>
      <w:r w:rsidRPr="002A59D0">
        <w:t xml:space="preserve">The following subsections describe four major categories of threats to the ongoing viability of the high-intensity </w:t>
      </w:r>
      <w:proofErr w:type="spellStart"/>
      <w:r w:rsidRPr="002A59D0">
        <w:t>civilisation</w:t>
      </w:r>
      <w:proofErr w:type="spellEnd"/>
      <w:r w:rsidRPr="002A59D0">
        <w:t xml:space="preserve"> that has emerged from the ‘Great Acceleration’.</w:t>
      </w:r>
      <w:r w:rsidR="008D52EA">
        <w:t xml:space="preserve"> </w:t>
      </w:r>
      <w:r w:rsidRPr="002A59D0">
        <w:t>These phenomena are</w:t>
      </w:r>
      <w:r w:rsidR="006A132F" w:rsidRPr="002A59D0">
        <w:t xml:space="preserve"> the e</w:t>
      </w:r>
      <w:r w:rsidR="006A132F" w:rsidRPr="002A59D0">
        <w:rPr>
          <w:bCs/>
        </w:rPr>
        <w:t>ncountering of limits</w:t>
      </w:r>
      <w:r w:rsidR="006A132F" w:rsidRPr="002A59D0">
        <w:rPr>
          <w:b/>
          <w:bCs/>
        </w:rPr>
        <w:t>;</w:t>
      </w:r>
      <w:r w:rsidR="006A132F" w:rsidRPr="002A59D0">
        <w:t xml:space="preserve"> diminishment of returns; ecological destruction; and ‘risk </w:t>
      </w:r>
      <w:proofErr w:type="gramStart"/>
      <w:r w:rsidR="006A132F" w:rsidRPr="002A59D0">
        <w:t>multipliers’</w:t>
      </w:r>
      <w:proofErr w:type="gramEnd"/>
      <w:r w:rsidR="006A132F" w:rsidRPr="002A59D0">
        <w:t>.</w:t>
      </w:r>
      <w:r w:rsidR="008D52EA">
        <w:t xml:space="preserve"> </w:t>
      </w:r>
      <w:r w:rsidR="006A132F" w:rsidRPr="002A59D0">
        <w:t xml:space="preserve">These are discussed in detail in the following subsections. </w:t>
      </w:r>
    </w:p>
    <w:p w14:paraId="590A002E" w14:textId="28DF1EEF" w:rsidR="00886311" w:rsidRPr="00BF63F1" w:rsidRDefault="00BF63F1" w:rsidP="00BF63F1">
      <w:pPr>
        <w:pStyle w:val="MDPI23heading3"/>
        <w:spacing w:before="240"/>
      </w:pPr>
      <w:r w:rsidRPr="00BF63F1">
        <w:t>1.</w:t>
      </w:r>
      <w:r w:rsidR="0062780A">
        <w:t>2</w:t>
      </w:r>
      <w:r w:rsidRPr="00BF63F1">
        <w:t xml:space="preserve">.1. </w:t>
      </w:r>
      <w:r w:rsidR="00886311" w:rsidRPr="00BF63F1">
        <w:t xml:space="preserve">Encountering of </w:t>
      </w:r>
      <w:r w:rsidR="00112244" w:rsidRPr="00BF63F1">
        <w:t>Limits</w:t>
      </w:r>
    </w:p>
    <w:p w14:paraId="5FBD4201" w14:textId="1E76FF39" w:rsidR="00886311" w:rsidRPr="002A59D0" w:rsidRDefault="00886311" w:rsidP="00BF63F1">
      <w:pPr>
        <w:pStyle w:val="MDPI31text"/>
        <w:rPr>
          <w:bCs/>
        </w:rPr>
      </w:pPr>
      <w:r w:rsidRPr="002A59D0">
        <w:t xml:space="preserve">The ‘Limits to Growth’ studies </w:t>
      </w:r>
      <w:r w:rsidR="00273DC4">
        <w:t>[</w:t>
      </w:r>
      <w:r w:rsidR="0096006D">
        <w:t>7</w:t>
      </w:r>
      <w:r w:rsidR="00273DC4">
        <w:t>,</w:t>
      </w:r>
      <w:r w:rsidR="0096006D">
        <w:t>8</w:t>
      </w:r>
      <w:r w:rsidR="00CF300F" w:rsidRPr="002A59D0">
        <w:t>]</w:t>
      </w:r>
      <w:r w:rsidRPr="002A59D0">
        <w:t xml:space="preserve"> were seminal in that they first </w:t>
      </w:r>
      <w:r w:rsidR="00212BCC" w:rsidRPr="002A59D0">
        <w:t xml:space="preserve">applied global scale modelling to </w:t>
      </w:r>
      <w:r w:rsidRPr="002A59D0">
        <w:t xml:space="preserve">human population, the industrial economy and global biophysical limits </w:t>
      </w:r>
      <w:r w:rsidR="00212BCC" w:rsidRPr="002A59D0">
        <w:t>and identified the potential for future collapses of human population and welfare to occur.</w:t>
      </w:r>
      <w:r w:rsidRPr="002A59D0">
        <w:t xml:space="preserve"> </w:t>
      </w:r>
      <w:r w:rsidR="00212BCC" w:rsidRPr="002A59D0">
        <w:t>R</w:t>
      </w:r>
      <w:r w:rsidRPr="002A59D0">
        <w:rPr>
          <w:bCs/>
        </w:rPr>
        <w:t>ecent re-analysis</w:t>
      </w:r>
      <w:r w:rsidR="00F36A94" w:rsidRPr="002A59D0">
        <w:rPr>
          <w:bCs/>
        </w:rPr>
        <w:t xml:space="preserve"> </w:t>
      </w:r>
      <w:r w:rsidR="0001183F">
        <w:rPr>
          <w:bCs/>
        </w:rPr>
        <w:t>[</w:t>
      </w:r>
      <w:r w:rsidR="0096006D">
        <w:rPr>
          <w:bCs/>
        </w:rPr>
        <w:t>9</w:t>
      </w:r>
      <w:r w:rsidR="0001183F">
        <w:rPr>
          <w:bCs/>
        </w:rPr>
        <w:t>]</w:t>
      </w:r>
      <w:r w:rsidR="00212BCC" w:rsidRPr="002A59D0">
        <w:rPr>
          <w:bCs/>
        </w:rPr>
        <w:t xml:space="preserve"> </w:t>
      </w:r>
      <w:r w:rsidRPr="002A59D0">
        <w:rPr>
          <w:bCs/>
        </w:rPr>
        <w:t xml:space="preserve">suggests a strong correlation between the characteristics of worst-case modelling scenarios and real-world trends for the early 21st century. </w:t>
      </w:r>
      <w:r w:rsidR="00E25929" w:rsidRPr="002A59D0">
        <w:rPr>
          <w:bCs/>
        </w:rPr>
        <w:t>A recent calibration of the ‘Limits to Growth’ World3 model with real-world data (from 1995 to 2012)</w:t>
      </w:r>
      <w:r w:rsidR="00F36A94" w:rsidRPr="002A59D0">
        <w:rPr>
          <w:bCs/>
        </w:rPr>
        <w:t xml:space="preserve"> </w:t>
      </w:r>
      <w:r w:rsidR="0001183F">
        <w:rPr>
          <w:bCs/>
        </w:rPr>
        <w:t>[</w:t>
      </w:r>
      <w:r w:rsidR="00273EA0">
        <w:rPr>
          <w:bCs/>
        </w:rPr>
        <w:t>10</w:t>
      </w:r>
      <w:r w:rsidR="0001183F">
        <w:rPr>
          <w:bCs/>
        </w:rPr>
        <w:t>]</w:t>
      </w:r>
      <w:r w:rsidR="00E25929" w:rsidRPr="002A59D0">
        <w:rPr>
          <w:bCs/>
        </w:rPr>
        <w:t xml:space="preserve"> </w:t>
      </w:r>
      <w:r w:rsidRPr="002A59D0">
        <w:rPr>
          <w:bCs/>
        </w:rPr>
        <w:t>identifie</w:t>
      </w:r>
      <w:r w:rsidR="00E25929" w:rsidRPr="002A59D0">
        <w:rPr>
          <w:bCs/>
        </w:rPr>
        <w:t>d</w:t>
      </w:r>
      <w:r w:rsidRPr="002A59D0">
        <w:rPr>
          <w:bCs/>
        </w:rPr>
        <w:t xml:space="preserve"> some departures between the model and </w:t>
      </w:r>
      <w:r w:rsidR="00E25929" w:rsidRPr="002A59D0">
        <w:rPr>
          <w:bCs/>
        </w:rPr>
        <w:t>reality</w:t>
      </w:r>
      <w:r w:rsidR="00234B3D">
        <w:rPr>
          <w:bCs/>
        </w:rPr>
        <w:t>,</w:t>
      </w:r>
      <w:r w:rsidR="005447E0" w:rsidRPr="002A59D0">
        <w:rPr>
          <w:bCs/>
        </w:rPr>
        <w:t xml:space="preserve"> although the broad findings held true</w:t>
      </w:r>
      <w:r w:rsidRPr="002A59D0">
        <w:rPr>
          <w:bCs/>
        </w:rPr>
        <w:t>. Despite the differing interpretation, the findings remain highly compelling and have inspired more recent work</w:t>
      </w:r>
      <w:r w:rsidR="00F36A94" w:rsidRPr="002A59D0">
        <w:rPr>
          <w:bCs/>
        </w:rPr>
        <w:t xml:space="preserve"> </w:t>
      </w:r>
      <w:r w:rsidR="0001183F">
        <w:rPr>
          <w:bCs/>
        </w:rPr>
        <w:t>[</w:t>
      </w:r>
      <w:r w:rsidR="00273EA0">
        <w:rPr>
          <w:bCs/>
        </w:rPr>
        <w:t>11</w:t>
      </w:r>
      <w:r w:rsidR="00956F38">
        <w:rPr>
          <w:bCs/>
        </w:rPr>
        <w:t>–</w:t>
      </w:r>
      <w:r w:rsidR="00273EA0">
        <w:rPr>
          <w:bCs/>
        </w:rPr>
        <w:t>13</w:t>
      </w:r>
      <w:r w:rsidR="0001183F">
        <w:rPr>
          <w:bCs/>
        </w:rPr>
        <w:t>]</w:t>
      </w:r>
      <w:r w:rsidR="00212BCC" w:rsidRPr="002A59D0">
        <w:rPr>
          <w:bCs/>
        </w:rPr>
        <w:t>,</w:t>
      </w:r>
      <w:r w:rsidRPr="002A59D0">
        <w:rPr>
          <w:bCs/>
        </w:rPr>
        <w:t xml:space="preserve"> </w:t>
      </w:r>
      <w:r w:rsidR="00212BCC" w:rsidRPr="002A59D0">
        <w:rPr>
          <w:bCs/>
        </w:rPr>
        <w:t>which reapplied</w:t>
      </w:r>
      <w:r w:rsidRPr="002A59D0">
        <w:rPr>
          <w:bCs/>
        </w:rPr>
        <w:t xml:space="preserve"> system dynamics </w:t>
      </w:r>
      <w:r w:rsidRPr="002A59D0">
        <w:rPr>
          <w:bCs/>
        </w:rPr>
        <w:lastRenderedPageBreak/>
        <w:t>models to the economy</w:t>
      </w:r>
      <w:r w:rsidR="00234B3D">
        <w:rPr>
          <w:bCs/>
        </w:rPr>
        <w:t>–</w:t>
      </w:r>
      <w:r w:rsidRPr="002A59D0">
        <w:rPr>
          <w:bCs/>
        </w:rPr>
        <w:t xml:space="preserve">environment system and identified </w:t>
      </w:r>
      <w:r w:rsidR="00212BCC" w:rsidRPr="002A59D0">
        <w:rPr>
          <w:bCs/>
        </w:rPr>
        <w:t>the ‘Seneca Effect’, in which collapses might occur over short timescales.</w:t>
      </w:r>
    </w:p>
    <w:p w14:paraId="00400D25" w14:textId="58D4D5E7" w:rsidR="00886311" w:rsidRPr="002A59D0" w:rsidRDefault="00E56A4F" w:rsidP="00BF63F1">
      <w:pPr>
        <w:pStyle w:val="MDPI31text"/>
        <w:rPr>
          <w:b/>
        </w:rPr>
      </w:pPr>
      <w:r w:rsidRPr="002A59D0">
        <w:t xml:space="preserve">Other attempts to describe the encountering of global-scale limits include the </w:t>
      </w:r>
      <w:r w:rsidR="00886311" w:rsidRPr="002A59D0">
        <w:t xml:space="preserve">‘Planetary Boundaries’ framework </w:t>
      </w:r>
      <w:r w:rsidR="0001183F">
        <w:t>[</w:t>
      </w:r>
      <w:r w:rsidR="00273EA0">
        <w:rPr>
          <w:bCs/>
        </w:rPr>
        <w:t>14</w:t>
      </w:r>
      <w:r w:rsidR="0001183F">
        <w:rPr>
          <w:bCs/>
        </w:rPr>
        <w:t>]</w:t>
      </w:r>
      <w:r w:rsidR="00F36A94" w:rsidRPr="002A59D0">
        <w:t xml:space="preserve"> </w:t>
      </w:r>
      <w:r w:rsidRPr="002A59D0">
        <w:t>which defines the Holocen</w:t>
      </w:r>
      <w:r w:rsidR="0037460F" w:rsidRPr="002A59D0">
        <w:t>e</w:t>
      </w:r>
      <w:r w:rsidR="00234B3D">
        <w:t>’s</w:t>
      </w:r>
      <w:r w:rsidRPr="002A59D0">
        <w:t xml:space="preserve"> biophysical conditions in which </w:t>
      </w:r>
      <w:proofErr w:type="spellStart"/>
      <w:r w:rsidRPr="002A59D0">
        <w:t>civilisation</w:t>
      </w:r>
      <w:proofErr w:type="spellEnd"/>
      <w:r w:rsidRPr="002A59D0">
        <w:t xml:space="preserve"> developed and flourished as having boundaries for stability.</w:t>
      </w:r>
      <w:r w:rsidR="008D52EA">
        <w:t xml:space="preserve"> </w:t>
      </w:r>
      <w:r w:rsidRPr="002A59D0">
        <w:t xml:space="preserve">Nine separate boundaries are defined, three of which (biodiversity loss, the nitrogen cycle and climate change) have been transgressed; further transgression may risk moving the Earth </w:t>
      </w:r>
      <w:r w:rsidR="00234B3D">
        <w:t>S</w:t>
      </w:r>
      <w:r w:rsidRPr="002A59D0">
        <w:t>ystem to conditions inconducive</w:t>
      </w:r>
      <w:r w:rsidR="0037460F" w:rsidRPr="002A59D0">
        <w:t xml:space="preserve"> to</w:t>
      </w:r>
      <w:r w:rsidRPr="002A59D0">
        <w:t xml:space="preserve"> supporting large human populations. </w:t>
      </w:r>
      <w:r w:rsidR="00B41E22" w:rsidRPr="002A59D0">
        <w:t xml:space="preserve">Another </w:t>
      </w:r>
      <w:r w:rsidRPr="002A59D0">
        <w:t>study</w:t>
      </w:r>
      <w:r w:rsidR="00886311" w:rsidRPr="002A59D0">
        <w:t xml:space="preserve"> </w:t>
      </w:r>
      <w:r w:rsidR="0001183F">
        <w:t>[</w:t>
      </w:r>
      <w:r w:rsidR="00273EA0">
        <w:rPr>
          <w:bCs/>
        </w:rPr>
        <w:t>15</w:t>
      </w:r>
      <w:r w:rsidR="0001183F">
        <w:rPr>
          <w:bCs/>
        </w:rPr>
        <w:t>]</w:t>
      </w:r>
      <w:r w:rsidR="00B41E22" w:rsidRPr="002A59D0">
        <w:t xml:space="preserve"> </w:t>
      </w:r>
      <w:r w:rsidRPr="002A59D0">
        <w:t>combined the</w:t>
      </w:r>
      <w:r w:rsidR="00886311" w:rsidRPr="002A59D0">
        <w:t xml:space="preserve"> socioeconomic Sustainable Development Goals (SDGs) with an integrated socioeconomic model of global human activity/biophysical model (‘Earth</w:t>
      </w:r>
      <w:r w:rsidR="00CF3497" w:rsidRPr="002A59D0">
        <w:t>3</w:t>
      </w:r>
      <w:r w:rsidR="005A3AF8">
        <w:t>’</w:t>
      </w:r>
      <w:r w:rsidR="00886311" w:rsidRPr="002A59D0">
        <w:t>)</w:t>
      </w:r>
      <w:r w:rsidRPr="002A59D0">
        <w:t xml:space="preserve"> to conclude that</w:t>
      </w:r>
      <w:r w:rsidR="00886311" w:rsidRPr="002A59D0">
        <w:t xml:space="preserve"> meeting </w:t>
      </w:r>
      <w:r w:rsidRPr="002A59D0">
        <w:t xml:space="preserve">the </w:t>
      </w:r>
      <w:r w:rsidR="00886311" w:rsidRPr="002A59D0">
        <w:t>SDGs cannot be achieved within global environmental limits.</w:t>
      </w:r>
      <w:r w:rsidR="008D52EA">
        <w:t xml:space="preserve"> </w:t>
      </w:r>
    </w:p>
    <w:p w14:paraId="53CE10B8" w14:textId="54BBA1A3" w:rsidR="00886311" w:rsidRPr="002A59D0" w:rsidRDefault="00886311" w:rsidP="00BF63F1">
      <w:pPr>
        <w:pStyle w:val="MDPI31text"/>
        <w:rPr>
          <w:b/>
        </w:rPr>
      </w:pPr>
      <w:r w:rsidRPr="002A59D0">
        <w:t xml:space="preserve">The studies described above consider the holistic, systemic viewpoint, but numerous studies also provide underpinning evidence for limit transgression with </w:t>
      </w:r>
      <w:r w:rsidR="009B5828" w:rsidRPr="002A59D0">
        <w:t xml:space="preserve">a </w:t>
      </w:r>
      <w:r w:rsidRPr="002A59D0">
        <w:t xml:space="preserve">narrower focus on resource depletion. </w:t>
      </w:r>
      <w:r w:rsidR="00767157" w:rsidRPr="002A59D0">
        <w:t>T</w:t>
      </w:r>
      <w:r w:rsidRPr="002A59D0">
        <w:t>he declin</w:t>
      </w:r>
      <w:r w:rsidR="00E54CCA">
        <w:t>e in</w:t>
      </w:r>
      <w:r w:rsidRPr="002A59D0">
        <w:t xml:space="preserve"> production experienced </w:t>
      </w:r>
      <w:r w:rsidR="0001183F">
        <w:t>[</w:t>
      </w:r>
      <w:r w:rsidR="00273EA0">
        <w:rPr>
          <w:bCs/>
        </w:rPr>
        <w:t>16</w:t>
      </w:r>
      <w:r w:rsidR="0001183F">
        <w:rPr>
          <w:bCs/>
        </w:rPr>
        <w:t>]</w:t>
      </w:r>
      <w:r w:rsidR="00767157" w:rsidRPr="002A59D0">
        <w:t xml:space="preserve"> </w:t>
      </w:r>
      <w:r w:rsidRPr="002A59D0">
        <w:t>in multiple major oilfields worldwide and the low rate of discovery of large, new hydrocarbon sources in recent decades</w:t>
      </w:r>
      <w:r w:rsidR="009B5828" w:rsidRPr="002A59D0">
        <w:t xml:space="preserve"> has significant implications for constraining key societal functions such as mass logistics. </w:t>
      </w:r>
      <w:r w:rsidR="00767157" w:rsidRPr="002A59D0">
        <w:t xml:space="preserve">The </w:t>
      </w:r>
      <w:r w:rsidRPr="002A59D0">
        <w:t>peak use rates across multiple crucial resource types</w:t>
      </w:r>
      <w:r w:rsidR="00D33556" w:rsidRPr="002A59D0">
        <w:t xml:space="preserve"> </w:t>
      </w:r>
      <w:r w:rsidR="00767157" w:rsidRPr="002A59D0">
        <w:t>shows</w:t>
      </w:r>
      <w:r w:rsidR="00D33556" w:rsidRPr="002A59D0">
        <w:t xml:space="preserve"> that numerous resources had a synchrony of peak use </w:t>
      </w:r>
      <w:proofErr w:type="spellStart"/>
      <w:r w:rsidR="00D33556" w:rsidRPr="002A59D0">
        <w:t>centred</w:t>
      </w:r>
      <w:proofErr w:type="spellEnd"/>
      <w:r w:rsidR="00D33556" w:rsidRPr="002A59D0">
        <w:t xml:space="preserve"> on the year 2006</w:t>
      </w:r>
      <w:r w:rsidR="00767157" w:rsidRPr="002A59D0">
        <w:t xml:space="preserve"> </w:t>
      </w:r>
      <w:r w:rsidR="0001183F">
        <w:t>[</w:t>
      </w:r>
      <w:r w:rsidR="00273EA0">
        <w:rPr>
          <w:bCs/>
        </w:rPr>
        <w:t>17</w:t>
      </w:r>
      <w:r w:rsidR="0001183F">
        <w:rPr>
          <w:bCs/>
        </w:rPr>
        <w:t>]</w:t>
      </w:r>
      <w:r w:rsidR="00D33556" w:rsidRPr="002A59D0">
        <w:t xml:space="preserve">. The phenomenon has implications in terms of </w:t>
      </w:r>
      <w:r w:rsidRPr="002A59D0">
        <w:t xml:space="preserve">the capacity of global society to adapt to physical scarcity </w:t>
      </w:r>
      <w:r w:rsidR="00D33556" w:rsidRPr="002A59D0">
        <w:t>given that</w:t>
      </w:r>
      <w:r w:rsidRPr="002A59D0">
        <w:t xml:space="preserve"> </w:t>
      </w:r>
      <w:r w:rsidR="00CA3A0B" w:rsidRPr="002A59D0">
        <w:t xml:space="preserve">limits on </w:t>
      </w:r>
      <w:r w:rsidRPr="002A59D0">
        <w:t>the availability of multiple resources may have to be managed simultaneously</w:t>
      </w:r>
      <w:r w:rsidR="00D33556" w:rsidRPr="002A59D0">
        <w:t>, and this may</w:t>
      </w:r>
      <w:r w:rsidRPr="002A59D0">
        <w:t xml:space="preserve"> constrain the capacity for substitution and ‘de-coupling’ of resource use</w:t>
      </w:r>
      <w:r w:rsidR="006A130C" w:rsidRPr="002A59D0">
        <w:t xml:space="preserve"> </w:t>
      </w:r>
      <w:r w:rsidR="0001183F">
        <w:t>[</w:t>
      </w:r>
      <w:r w:rsidR="000213B8">
        <w:rPr>
          <w:bCs/>
        </w:rPr>
        <w:t>1</w:t>
      </w:r>
      <w:r w:rsidR="00273EA0">
        <w:rPr>
          <w:bCs/>
        </w:rPr>
        <w:t>8</w:t>
      </w:r>
      <w:r w:rsidR="0001183F">
        <w:rPr>
          <w:bCs/>
        </w:rPr>
        <w:t>]</w:t>
      </w:r>
      <w:r w:rsidRPr="002A59D0">
        <w:t>.</w:t>
      </w:r>
    </w:p>
    <w:p w14:paraId="2364387D" w14:textId="6356EA1D" w:rsidR="00886311" w:rsidRPr="00BF63F1" w:rsidRDefault="00BF63F1" w:rsidP="00BF63F1">
      <w:pPr>
        <w:pStyle w:val="MDPI23heading3"/>
        <w:spacing w:before="240"/>
      </w:pPr>
      <w:r w:rsidRPr="00BF63F1">
        <w:t>1.</w:t>
      </w:r>
      <w:r w:rsidR="0062780A">
        <w:t>2</w:t>
      </w:r>
      <w:r w:rsidRPr="00BF63F1">
        <w:t>.</w:t>
      </w:r>
      <w:r w:rsidR="0062780A">
        <w:t>2</w:t>
      </w:r>
      <w:r w:rsidRPr="00BF63F1">
        <w:t xml:space="preserve">. </w:t>
      </w:r>
      <w:r w:rsidR="00886311" w:rsidRPr="00BF63F1">
        <w:t xml:space="preserve">Diminishment of </w:t>
      </w:r>
      <w:r w:rsidR="00112244" w:rsidRPr="00BF63F1">
        <w:t>Returns</w:t>
      </w:r>
    </w:p>
    <w:p w14:paraId="3BC525E8" w14:textId="3D34C2DB" w:rsidR="00886311" w:rsidRPr="004446AD" w:rsidRDefault="00886311" w:rsidP="00BF63F1">
      <w:pPr>
        <w:pStyle w:val="MDPI31text"/>
        <w:rPr>
          <w:bCs/>
        </w:rPr>
      </w:pPr>
      <w:r w:rsidRPr="002A59D0">
        <w:t xml:space="preserve">Energy Return on Investment (EROI) </w:t>
      </w:r>
      <w:r w:rsidR="0001183F">
        <w:t>[</w:t>
      </w:r>
      <w:r w:rsidR="000213B8">
        <w:rPr>
          <w:bCs/>
          <w:lang w:eastAsia="zh-CN"/>
        </w:rPr>
        <w:t>1</w:t>
      </w:r>
      <w:r w:rsidR="00DB572D">
        <w:rPr>
          <w:bCs/>
          <w:lang w:eastAsia="zh-CN"/>
        </w:rPr>
        <w:t>9</w:t>
      </w:r>
      <w:r w:rsidR="0001183F">
        <w:rPr>
          <w:bCs/>
          <w:lang w:eastAsia="zh-CN"/>
        </w:rPr>
        <w:t>,</w:t>
      </w:r>
      <w:r w:rsidR="00DB572D">
        <w:rPr>
          <w:bCs/>
          <w:lang w:eastAsia="zh-CN"/>
        </w:rPr>
        <w:t>20</w:t>
      </w:r>
      <w:r w:rsidR="0001183F">
        <w:rPr>
          <w:bCs/>
          <w:lang w:eastAsia="zh-CN"/>
        </w:rPr>
        <w:t>]</w:t>
      </w:r>
      <w:r w:rsidRPr="002A59D0">
        <w:t xml:space="preserve"> </w:t>
      </w:r>
      <w:r w:rsidR="006A130C" w:rsidRPr="002A59D0">
        <w:t>i</w:t>
      </w:r>
      <w:r w:rsidRPr="002A59D0">
        <w:t>s a measure that has utility as a fundamental measure of the ‘minimum energy’ that is required to support continued economic activity and social function.</w:t>
      </w:r>
      <w:r w:rsidR="008D52EA">
        <w:t xml:space="preserve"> </w:t>
      </w:r>
      <w:r w:rsidR="006A130C" w:rsidRPr="002A59D0">
        <w:t>E</w:t>
      </w:r>
      <w:r w:rsidRPr="002A59D0">
        <w:t>xpand</w:t>
      </w:r>
      <w:r w:rsidR="006A130C" w:rsidRPr="002A59D0">
        <w:t>ing</w:t>
      </w:r>
      <w:r w:rsidRPr="002A59D0">
        <w:t xml:space="preserve"> on this </w:t>
      </w:r>
      <w:r w:rsidR="0001183F">
        <w:t>[</w:t>
      </w:r>
      <w:r w:rsidR="00DB572D">
        <w:rPr>
          <w:bCs/>
          <w:lang w:eastAsia="zh-CN"/>
        </w:rPr>
        <w:t>21</w:t>
      </w:r>
      <w:r w:rsidR="0001183F">
        <w:rPr>
          <w:bCs/>
          <w:lang w:eastAsia="zh-CN"/>
        </w:rPr>
        <w:t>,</w:t>
      </w:r>
      <w:r w:rsidR="00DB572D">
        <w:rPr>
          <w:bCs/>
          <w:lang w:eastAsia="zh-CN"/>
        </w:rPr>
        <w:t>22</w:t>
      </w:r>
      <w:r w:rsidR="0001183F">
        <w:rPr>
          <w:bCs/>
          <w:lang w:eastAsia="zh-CN"/>
        </w:rPr>
        <w:t>]</w:t>
      </w:r>
      <w:r w:rsidR="00E54CCA">
        <w:rPr>
          <w:bCs/>
          <w:lang w:eastAsia="zh-CN"/>
        </w:rPr>
        <w:t>,</w:t>
      </w:r>
      <w:r w:rsidR="006A130C" w:rsidRPr="002A59D0">
        <w:t xml:space="preserve"> </w:t>
      </w:r>
      <w:r w:rsidRPr="002A59D0">
        <w:t xml:space="preserve">the availability of high EROI energy sources (that provide an ‘excess’ of energy) </w:t>
      </w:r>
      <w:r w:rsidR="006A130C" w:rsidRPr="002A59D0">
        <w:t xml:space="preserve">can be linked </w:t>
      </w:r>
      <w:r w:rsidRPr="002A59D0">
        <w:t>with socioeconomic complexity and ‘higher’ societal functions (e.g.</w:t>
      </w:r>
      <w:r w:rsidR="00CF3497">
        <w:t>,</w:t>
      </w:r>
      <w:r w:rsidRPr="002A59D0">
        <w:t xml:space="preserve"> education, health care, culture) that are indicative of higher living standards.</w:t>
      </w:r>
      <w:r w:rsidR="0072561C" w:rsidRPr="002A59D0">
        <w:t xml:space="preserve"> </w:t>
      </w:r>
      <w:r w:rsidRPr="002A59D0">
        <w:t xml:space="preserve">‘Traditional’ fossil fuels have provided a high EROI value for many decades, but the decline in the </w:t>
      </w:r>
      <w:r w:rsidR="001A0971" w:rsidRPr="002A59D0">
        <w:t>quality and accessibility</w:t>
      </w:r>
      <w:r w:rsidRPr="002A59D0">
        <w:t xml:space="preserve"> (and therefore EROI) of these fuels, in parallel with </w:t>
      </w:r>
      <w:r w:rsidR="00CA3A0B" w:rsidRPr="002A59D0">
        <w:t>the generally lower</w:t>
      </w:r>
      <w:r w:rsidRPr="002A59D0">
        <w:t xml:space="preserve"> net energy provided by other energy sources, could result in </w:t>
      </w:r>
      <w:r w:rsidR="00EF6C59" w:rsidRPr="002A59D0">
        <w:t xml:space="preserve">a </w:t>
      </w:r>
      <w:r w:rsidRPr="002A59D0">
        <w:t xml:space="preserve">reduction in global economic output and quality of life </w:t>
      </w:r>
      <w:r w:rsidR="00273DC4">
        <w:t>[</w:t>
      </w:r>
      <w:r w:rsidR="00DB572D">
        <w:t>23</w:t>
      </w:r>
      <w:r w:rsidR="00273DC4">
        <w:t>–</w:t>
      </w:r>
      <w:r w:rsidR="00DB572D">
        <w:t>25</w:t>
      </w:r>
      <w:r w:rsidR="00273DC4">
        <w:t>]</w:t>
      </w:r>
      <w:r w:rsidRPr="002A59D0">
        <w:t>.</w:t>
      </w:r>
      <w:r w:rsidR="008D52EA">
        <w:t xml:space="preserve"> </w:t>
      </w:r>
      <w:r w:rsidR="001A0971" w:rsidRPr="002A59D0">
        <w:t xml:space="preserve">This is supported by the </w:t>
      </w:r>
      <w:r w:rsidRPr="002A59D0">
        <w:t>MEDEAS model</w:t>
      </w:r>
      <w:r w:rsidR="001A0971" w:rsidRPr="002A59D0">
        <w:t xml:space="preserve"> which indicate</w:t>
      </w:r>
      <w:r w:rsidR="00E54CCA">
        <w:t>s</w:t>
      </w:r>
      <w:r w:rsidR="001A0971" w:rsidRPr="002A59D0">
        <w:t xml:space="preserve"> that</w:t>
      </w:r>
      <w:r w:rsidRPr="002A59D0">
        <w:t xml:space="preserve"> a transition to an energy system with a high proportion of renewables</w:t>
      </w:r>
      <w:r w:rsidR="001A0971" w:rsidRPr="002A59D0">
        <w:t xml:space="preserve"> may lead to an</w:t>
      </w:r>
      <w:r w:rsidRPr="002A59D0">
        <w:t xml:space="preserve"> ‘energy trap’ </w:t>
      </w:r>
      <w:r w:rsidR="0001183F">
        <w:t>[</w:t>
      </w:r>
      <w:r w:rsidR="00DB572D">
        <w:rPr>
          <w:bCs/>
          <w:lang w:eastAsia="zh-CN"/>
        </w:rPr>
        <w:t>26</w:t>
      </w:r>
      <w:r w:rsidR="0001183F">
        <w:rPr>
          <w:bCs/>
          <w:lang w:eastAsia="zh-CN"/>
        </w:rPr>
        <w:t>]</w:t>
      </w:r>
      <w:r w:rsidRPr="002A59D0">
        <w:t>.</w:t>
      </w:r>
      <w:r w:rsidR="001A0971" w:rsidRPr="002A59D0">
        <w:t xml:space="preserve"> </w:t>
      </w:r>
      <w:r w:rsidRPr="002A59D0">
        <w:t xml:space="preserve">Together, these studies </w:t>
      </w:r>
      <w:r w:rsidR="001A0971" w:rsidRPr="002A59D0">
        <w:t xml:space="preserve">indicate </w:t>
      </w:r>
      <w:r w:rsidRPr="002A59D0">
        <w:t xml:space="preserve">the crucial role </w:t>
      </w:r>
      <w:r w:rsidR="001A0971" w:rsidRPr="002A59D0">
        <w:t>of</w:t>
      </w:r>
      <w:r w:rsidRPr="002A59D0">
        <w:t xml:space="preserve"> abundant</w:t>
      </w:r>
      <w:r w:rsidR="001A0971" w:rsidRPr="002A59D0">
        <w:t>,</w:t>
      </w:r>
      <w:r w:rsidRPr="002A59D0">
        <w:t xml:space="preserve"> high EROI </w:t>
      </w:r>
      <w:r w:rsidR="001A0971" w:rsidRPr="002A59D0">
        <w:t>energy sources in</w:t>
      </w:r>
      <w:r w:rsidRPr="002A59D0">
        <w:t xml:space="preserve"> maintaining societal functionality </w:t>
      </w:r>
      <w:r w:rsidR="001A0971" w:rsidRPr="002A59D0">
        <w:t>and growth, which contrasts with much of the extant economic worldview</w:t>
      </w:r>
      <w:r w:rsidR="000261B6" w:rsidRPr="002A59D0">
        <w:t xml:space="preserve"> </w:t>
      </w:r>
      <w:r w:rsidR="0001183F">
        <w:t>[</w:t>
      </w:r>
      <w:r w:rsidR="00DB572D">
        <w:rPr>
          <w:bCs/>
          <w:lang w:eastAsia="zh-CN"/>
        </w:rPr>
        <w:t>27</w:t>
      </w:r>
      <w:r w:rsidR="0001183F">
        <w:rPr>
          <w:bCs/>
          <w:lang w:eastAsia="zh-CN"/>
        </w:rPr>
        <w:t>]</w:t>
      </w:r>
      <w:r w:rsidRPr="002A59D0">
        <w:t>.</w:t>
      </w:r>
    </w:p>
    <w:p w14:paraId="204C1CB0" w14:textId="2C2420D4" w:rsidR="00886311" w:rsidRPr="002A59D0" w:rsidRDefault="00005407" w:rsidP="00BF63F1">
      <w:pPr>
        <w:pStyle w:val="MDPI31text"/>
        <w:rPr>
          <w:b/>
        </w:rPr>
      </w:pPr>
      <w:r w:rsidRPr="002A59D0">
        <w:t>The ‘excess’ of energy provide</w:t>
      </w:r>
      <w:r w:rsidR="00EF6C59" w:rsidRPr="002A59D0">
        <w:t>d</w:t>
      </w:r>
      <w:r w:rsidRPr="002A59D0">
        <w:t xml:space="preserve"> by high-EROI energy resources has also provided the conditions for the enhancing feedback mechanisms of capital accumulation to permit the accumulation of wealth by sub-regions and -populations of the world. </w:t>
      </w:r>
      <w:r w:rsidR="00EF6C59" w:rsidRPr="002A59D0">
        <w:t>Evaluating</w:t>
      </w:r>
      <w:r w:rsidR="008C1D6E" w:rsidRPr="002A59D0">
        <w:t xml:space="preserve"> </w:t>
      </w:r>
      <w:r w:rsidR="000C63D3" w:rsidRPr="002A59D0">
        <w:t>[</w:t>
      </w:r>
      <w:r w:rsidR="00FD0DFA" w:rsidRPr="002A59D0">
        <w:t>28</w:t>
      </w:r>
      <w:r w:rsidR="000C63D3" w:rsidRPr="002A59D0">
        <w:t xml:space="preserve">] </w:t>
      </w:r>
      <w:r w:rsidRPr="002A59D0">
        <w:t xml:space="preserve">this phenomenon quantitatively through the application of </w:t>
      </w:r>
      <w:r w:rsidR="00886311" w:rsidRPr="002A59D0">
        <w:t xml:space="preserve">predator–prey population dynamics models </w:t>
      </w:r>
      <w:r w:rsidRPr="002A59D0">
        <w:t>to assess</w:t>
      </w:r>
      <w:r w:rsidR="00886311" w:rsidRPr="002A59D0">
        <w:t xml:space="preserve"> the evolution of four factors (‘elites/commoners/nature/wealth’)</w:t>
      </w:r>
      <w:r w:rsidR="00EF6C59" w:rsidRPr="002A59D0">
        <w:t>,</w:t>
      </w:r>
      <w:r w:rsidR="00886311" w:rsidRPr="002A59D0">
        <w:t xml:space="preserve"> identifies that (economic) ‘elites’ preying on resources and the </w:t>
      </w:r>
      <w:proofErr w:type="spellStart"/>
      <w:r w:rsidR="00886311" w:rsidRPr="002A59D0">
        <w:t>labour</w:t>
      </w:r>
      <w:proofErr w:type="spellEnd"/>
      <w:r w:rsidR="00886311" w:rsidRPr="002A59D0">
        <w:t xml:space="preserve"> of ‘</w:t>
      </w:r>
      <w:proofErr w:type="gramStart"/>
      <w:r w:rsidR="00886311" w:rsidRPr="002A59D0">
        <w:t>commoners’</w:t>
      </w:r>
      <w:proofErr w:type="gramEnd"/>
      <w:r w:rsidR="00886311" w:rsidRPr="002A59D0">
        <w:t xml:space="preserve"> can lead to economic stratification and ecological strain and</w:t>
      </w:r>
      <w:r w:rsidR="00E54CCA">
        <w:t>,</w:t>
      </w:r>
      <w:r w:rsidR="00886311" w:rsidRPr="002A59D0">
        <w:t xml:space="preserve"> ultimately</w:t>
      </w:r>
      <w:r w:rsidR="00E54CCA">
        <w:t>,</w:t>
      </w:r>
      <w:r w:rsidR="00886311" w:rsidRPr="002A59D0">
        <w:t xml:space="preserve"> irreversible societal collapse.</w:t>
      </w:r>
      <w:r w:rsidR="000C63D3" w:rsidRPr="002A59D0">
        <w:t xml:space="preserve"> </w:t>
      </w:r>
      <w:r w:rsidR="00EF6C59" w:rsidRPr="002A59D0">
        <w:t>Applying</w:t>
      </w:r>
      <w:r w:rsidR="008C1D6E" w:rsidRPr="002A59D0">
        <w:t xml:space="preserve"> </w:t>
      </w:r>
      <w:r w:rsidR="000C63D3" w:rsidRPr="002A59D0">
        <w:t>[</w:t>
      </w:r>
      <w:r w:rsidR="00FD0DFA" w:rsidRPr="002A59D0">
        <w:t>29</w:t>
      </w:r>
      <w:r w:rsidR="000C63D3" w:rsidRPr="002A59D0">
        <w:t>]</w:t>
      </w:r>
      <w:r w:rsidR="00886311" w:rsidRPr="002A59D0">
        <w:t xml:space="preserve"> qualitative arguments demonstrate</w:t>
      </w:r>
      <w:r w:rsidR="00EF6C59" w:rsidRPr="002A59D0">
        <w:t>s</w:t>
      </w:r>
      <w:r w:rsidR="00886311" w:rsidRPr="002A59D0">
        <w:t xml:space="preserve"> that the affluent proportion of the human population have disproportionate global environmental impact (resource use and pollutant emissions)</w:t>
      </w:r>
      <w:r w:rsidRPr="002A59D0">
        <w:t>, but cultural factors</w:t>
      </w:r>
      <w:r w:rsidR="00886311" w:rsidRPr="002A59D0">
        <w:t xml:space="preserve"> (wealth accumulation, consumerism, etc.) make the </w:t>
      </w:r>
      <w:r w:rsidRPr="002A59D0">
        <w:t>necessary changes to lifestyle unlikely to occur</w:t>
      </w:r>
      <w:r w:rsidR="00886311" w:rsidRPr="002A59D0">
        <w:t>.</w:t>
      </w:r>
    </w:p>
    <w:p w14:paraId="3BB510D4" w14:textId="5D0E636B" w:rsidR="00886311" w:rsidRPr="002A59D0" w:rsidRDefault="000B49CA" w:rsidP="00BF63F1">
      <w:pPr>
        <w:pStyle w:val="MDPI31text"/>
      </w:pPr>
      <w:r w:rsidRPr="002A59D0">
        <w:t>S</w:t>
      </w:r>
      <w:r w:rsidR="00886311" w:rsidRPr="002A59D0">
        <w:t xml:space="preserve">ociopolitical complexity </w:t>
      </w:r>
      <w:r w:rsidRPr="002A59D0">
        <w:t>h</w:t>
      </w:r>
      <w:r w:rsidR="00886311" w:rsidRPr="002A59D0">
        <w:t xml:space="preserve">as </w:t>
      </w:r>
      <w:r w:rsidR="006E531D" w:rsidRPr="002A59D0">
        <w:t xml:space="preserve">been </w:t>
      </w:r>
      <w:r w:rsidR="00886311" w:rsidRPr="002A59D0">
        <w:t xml:space="preserve">fundamental to the functioning and success of human societies </w:t>
      </w:r>
      <w:r w:rsidRPr="002A59D0">
        <w:t>post the Agricultural Revolu</w:t>
      </w:r>
      <w:r w:rsidR="006E531D" w:rsidRPr="002A59D0">
        <w:t>t</w:t>
      </w:r>
      <w:r w:rsidRPr="002A59D0">
        <w:t>ion</w:t>
      </w:r>
      <w:r w:rsidR="00886311" w:rsidRPr="002A59D0">
        <w:t xml:space="preserve"> </w:t>
      </w:r>
      <w:r w:rsidR="0001183F">
        <w:t>[</w:t>
      </w:r>
      <w:r w:rsidR="000213B8">
        <w:rPr>
          <w:bCs/>
        </w:rPr>
        <w:t>2</w:t>
      </w:r>
      <w:r w:rsidR="00CE2697">
        <w:rPr>
          <w:bCs/>
        </w:rPr>
        <w:t>8</w:t>
      </w:r>
      <w:r w:rsidR="0001183F">
        <w:rPr>
          <w:bCs/>
        </w:rPr>
        <w:t>]</w:t>
      </w:r>
      <w:r w:rsidRPr="002A59D0">
        <w:t xml:space="preserve"> and</w:t>
      </w:r>
      <w:r w:rsidR="00886311" w:rsidRPr="002A59D0">
        <w:t xml:space="preserve"> </w:t>
      </w:r>
      <w:r w:rsidR="008C1D6E" w:rsidRPr="002A59D0">
        <w:t xml:space="preserve">is described </w:t>
      </w:r>
      <w:r w:rsidR="00886311" w:rsidRPr="002A59D0">
        <w:t xml:space="preserve">as the collective problem-solving and efficiency-seeking strategies deployed by all </w:t>
      </w:r>
      <w:proofErr w:type="spellStart"/>
      <w:r w:rsidR="00886311" w:rsidRPr="002A59D0">
        <w:t>organised</w:t>
      </w:r>
      <w:proofErr w:type="spellEnd"/>
      <w:r w:rsidR="00886311" w:rsidRPr="002A59D0">
        <w:t xml:space="preserve"> human societies in response to encountering problems, constraints (e.g.</w:t>
      </w:r>
      <w:r w:rsidR="00CF3497">
        <w:t>,</w:t>
      </w:r>
      <w:r w:rsidR="00886311" w:rsidRPr="002A59D0">
        <w:t xml:space="preserve"> energy or water) or aspirations. </w:t>
      </w:r>
      <w:r w:rsidR="009B2818" w:rsidRPr="002A59D0">
        <w:t xml:space="preserve">It </w:t>
      </w:r>
      <w:r w:rsidR="009B2818" w:rsidRPr="002A59D0">
        <w:lastRenderedPageBreak/>
        <w:t xml:space="preserve">may include: ‘bureaucracy’ in the form of governments; </w:t>
      </w:r>
      <w:proofErr w:type="spellStart"/>
      <w:r w:rsidR="009B2818" w:rsidRPr="002A59D0">
        <w:t>specialisation</w:t>
      </w:r>
      <w:proofErr w:type="spellEnd"/>
      <w:r w:rsidR="009B2818" w:rsidRPr="002A59D0">
        <w:t xml:space="preserve"> of roles, </w:t>
      </w:r>
      <w:proofErr w:type="gramStart"/>
      <w:r w:rsidR="009B2818" w:rsidRPr="002A59D0">
        <w:t>occupations</w:t>
      </w:r>
      <w:proofErr w:type="gramEnd"/>
      <w:r w:rsidR="009B2818" w:rsidRPr="002A59D0">
        <w:t xml:space="preserve"> and industries; new technologies; and increased mobility and trade.</w:t>
      </w:r>
      <w:r w:rsidR="00886311" w:rsidRPr="002A59D0">
        <w:t xml:space="preserve"> </w:t>
      </w:r>
      <w:r w:rsidR="006E531D" w:rsidRPr="002A59D0">
        <w:t>The sociopolitical complexity</w:t>
      </w:r>
      <w:r w:rsidR="006E531D" w:rsidRPr="002A59D0" w:rsidDel="009B2818">
        <w:t xml:space="preserve"> </w:t>
      </w:r>
      <w:r w:rsidR="000C63D3" w:rsidRPr="002A59D0">
        <w:t>[</w:t>
      </w:r>
      <w:r w:rsidR="00FD0DFA" w:rsidRPr="002A59D0">
        <w:t>30</w:t>
      </w:r>
      <w:r w:rsidR="000C63D3" w:rsidRPr="002A59D0">
        <w:t>]</w:t>
      </w:r>
      <w:r w:rsidR="00886311" w:rsidRPr="002A59D0">
        <w:t xml:space="preserve"> (hereafter complexity) </w:t>
      </w:r>
      <w:r w:rsidR="00DD7500" w:rsidRPr="002A59D0">
        <w:t>provid</w:t>
      </w:r>
      <w:r w:rsidR="006E531D" w:rsidRPr="002A59D0">
        <w:t>es</w:t>
      </w:r>
      <w:r w:rsidR="00DD7500" w:rsidRPr="002A59D0">
        <w:t xml:space="preserve"> </w:t>
      </w:r>
      <w:r w:rsidR="00886311" w:rsidRPr="002A59D0">
        <w:t>marginal gains (i.e.</w:t>
      </w:r>
      <w:r w:rsidR="00CF3497">
        <w:t>,</w:t>
      </w:r>
      <w:r w:rsidR="00886311" w:rsidRPr="002A59D0">
        <w:t xml:space="preserve"> net benefits) when initially deployed, but as further complexity is added</w:t>
      </w:r>
      <w:r w:rsidR="00E54CCA">
        <w:t>,</w:t>
      </w:r>
      <w:r w:rsidR="00886311" w:rsidRPr="002A59D0">
        <w:t xml:space="preserve"> the marginal gains diminish in an inversely proportional manner. </w:t>
      </w:r>
      <w:r w:rsidR="00DD7500" w:rsidRPr="002A59D0">
        <w:t xml:space="preserve">The subsequent progression through zero and then negative marginal benefit is </w:t>
      </w:r>
      <w:r w:rsidR="001534F0" w:rsidRPr="002A59D0">
        <w:t>posited</w:t>
      </w:r>
      <w:r w:rsidR="00DD7500" w:rsidRPr="002A59D0">
        <w:t xml:space="preserve"> as the factor consistent </w:t>
      </w:r>
      <w:r w:rsidR="006E531D" w:rsidRPr="002A59D0">
        <w:t xml:space="preserve">with </w:t>
      </w:r>
      <w:r w:rsidR="00DD7500" w:rsidRPr="002A59D0">
        <w:t>societal collapses (in varied locations and timeframes) throughout history.</w:t>
      </w:r>
      <w:r w:rsidR="00886311" w:rsidRPr="002A59D0">
        <w:t xml:space="preserve"> </w:t>
      </w:r>
      <w:r w:rsidR="006E531D" w:rsidRPr="002A59D0">
        <w:t>Applying simple system dynamic models</w:t>
      </w:r>
      <w:r w:rsidR="00BF02E9" w:rsidRPr="002A59D0">
        <w:t xml:space="preserve"> </w:t>
      </w:r>
      <w:r w:rsidR="0001183F">
        <w:t>[</w:t>
      </w:r>
      <w:r w:rsidR="00B53142">
        <w:rPr>
          <w:bCs/>
        </w:rPr>
        <w:t>31</w:t>
      </w:r>
      <w:r w:rsidR="0001183F">
        <w:rPr>
          <w:bCs/>
        </w:rPr>
        <w:t>]</w:t>
      </w:r>
      <w:r w:rsidR="000C63D3" w:rsidRPr="002A59D0">
        <w:t xml:space="preserve"> </w:t>
      </w:r>
      <w:r w:rsidR="00886311" w:rsidRPr="002A59D0">
        <w:t xml:space="preserve">(‘mind sized’; </w:t>
      </w:r>
      <w:r w:rsidR="000C63D3" w:rsidRPr="002A59D0">
        <w:t>[</w:t>
      </w:r>
      <w:r w:rsidR="00FD0DFA" w:rsidRPr="002A59D0">
        <w:t>11</w:t>
      </w:r>
      <w:r w:rsidR="000C63D3" w:rsidRPr="002A59D0">
        <w:t>]</w:t>
      </w:r>
      <w:r w:rsidR="00886311" w:rsidRPr="002A59D0">
        <w:t xml:space="preserve">) </w:t>
      </w:r>
      <w:r w:rsidR="006539F4" w:rsidRPr="002A59D0">
        <w:t>demonstrate</w:t>
      </w:r>
      <w:r w:rsidR="006E531D" w:rsidRPr="002A59D0">
        <w:t>s</w:t>
      </w:r>
      <w:r w:rsidR="006539F4" w:rsidRPr="002A59D0">
        <w:t xml:space="preserve"> the</w:t>
      </w:r>
      <w:r w:rsidR="00886311" w:rsidRPr="002A59D0">
        <w:t xml:space="preserve"> tendency for complexity to peak and then diminish.</w:t>
      </w:r>
    </w:p>
    <w:p w14:paraId="2B697E52" w14:textId="0C08F344" w:rsidR="00886311" w:rsidRPr="002A59D0" w:rsidRDefault="00D17B71" w:rsidP="00BF63F1">
      <w:pPr>
        <w:pStyle w:val="MDPI31text"/>
      </w:pPr>
      <w:r w:rsidRPr="002A59D0">
        <w:t>M</w:t>
      </w:r>
      <w:r w:rsidR="00886311" w:rsidRPr="002A59D0">
        <w:t xml:space="preserve">odern, </w:t>
      </w:r>
      <w:proofErr w:type="spellStart"/>
      <w:r w:rsidR="00886311" w:rsidRPr="002A59D0">
        <w:t>globalised</w:t>
      </w:r>
      <w:proofErr w:type="spellEnd"/>
      <w:r w:rsidR="00886311" w:rsidRPr="002A59D0">
        <w:t xml:space="preserve"> </w:t>
      </w:r>
      <w:proofErr w:type="spellStart"/>
      <w:r w:rsidR="00886311" w:rsidRPr="002A59D0">
        <w:t>civilisation</w:t>
      </w:r>
      <w:proofErr w:type="spellEnd"/>
      <w:r w:rsidR="00886311" w:rsidRPr="002A59D0">
        <w:t xml:space="preserve"> </w:t>
      </w:r>
      <w:r w:rsidRPr="002A59D0">
        <w:t xml:space="preserve">is </w:t>
      </w:r>
      <w:proofErr w:type="spellStart"/>
      <w:r w:rsidRPr="002A59D0">
        <w:t>characterised</w:t>
      </w:r>
      <w:proofErr w:type="spellEnd"/>
      <w:r w:rsidRPr="002A59D0">
        <w:t xml:space="preserve"> by extreme levels of complexity, which has the potential to introduce additional risks</w:t>
      </w:r>
      <w:r w:rsidR="00886311" w:rsidRPr="002A59D0">
        <w:t xml:space="preserve">. </w:t>
      </w:r>
      <w:r w:rsidR="00584E97" w:rsidRPr="002A59D0">
        <w:t>For example, nuclear technology</w:t>
      </w:r>
      <w:r w:rsidR="00BF02E9" w:rsidRPr="002A59D0">
        <w:t xml:space="preserve"> </w:t>
      </w:r>
      <w:r w:rsidR="0001183F">
        <w:t>[</w:t>
      </w:r>
      <w:r w:rsidR="00B53142">
        <w:t>32</w:t>
      </w:r>
      <w:r w:rsidR="0001183F">
        <w:t>]</w:t>
      </w:r>
      <w:r w:rsidR="00584E97" w:rsidRPr="002A59D0">
        <w:t xml:space="preserve"> </w:t>
      </w:r>
      <w:r w:rsidR="00886311" w:rsidRPr="002A59D0">
        <w:t>in the context of its development and the externalities (highly hazardous redundant facilities and long-lived waste that require highly</w:t>
      </w:r>
      <w:r w:rsidR="00E54CCA">
        <w:t xml:space="preserve"> </w:t>
      </w:r>
      <w:r w:rsidR="00886311" w:rsidRPr="002A59D0">
        <w:t>controlled management) that it generates</w:t>
      </w:r>
      <w:r w:rsidR="00584E97" w:rsidRPr="002A59D0">
        <w:t xml:space="preserve"> demonstrates </w:t>
      </w:r>
      <w:r w:rsidR="00E54CCA">
        <w:t>the</w:t>
      </w:r>
      <w:r w:rsidR="00886311" w:rsidRPr="002A59D0">
        <w:t xml:space="preserve"> particular risk </w:t>
      </w:r>
      <w:r w:rsidR="0014750B" w:rsidRPr="002A59D0">
        <w:t>of such</w:t>
      </w:r>
      <w:r w:rsidR="00886311" w:rsidRPr="002A59D0">
        <w:t xml:space="preserve"> high-technology solution</w:t>
      </w:r>
      <w:r w:rsidR="00E54CCA">
        <w:t>s</w:t>
      </w:r>
      <w:r w:rsidR="00886311" w:rsidRPr="002A59D0">
        <w:t xml:space="preserve"> </w:t>
      </w:r>
      <w:r w:rsidR="00584E97" w:rsidRPr="002A59D0">
        <w:t>in</w:t>
      </w:r>
      <w:r w:rsidR="00886311" w:rsidRPr="002A59D0">
        <w:t xml:space="preserve"> that </w:t>
      </w:r>
      <w:r w:rsidR="0014750B" w:rsidRPr="002A59D0">
        <w:t xml:space="preserve">they </w:t>
      </w:r>
      <w:r w:rsidR="00886311" w:rsidRPr="002A59D0">
        <w:t>beget</w:t>
      </w:r>
      <w:r w:rsidR="00584E97" w:rsidRPr="002A59D0">
        <w:t xml:space="preserve"> </w:t>
      </w:r>
      <w:r w:rsidR="0014750B" w:rsidRPr="002A59D0">
        <w:t>and</w:t>
      </w:r>
      <w:r w:rsidR="00886311" w:rsidRPr="002A59D0">
        <w:t xml:space="preserve"> ‘lock in’ </w:t>
      </w:r>
      <w:r w:rsidR="0014750B" w:rsidRPr="002A59D0">
        <w:t>the need for further complexity through the generation of</w:t>
      </w:r>
      <w:r w:rsidR="00886311" w:rsidRPr="002A59D0">
        <w:t xml:space="preserve"> egregious </w:t>
      </w:r>
      <w:r w:rsidR="0014750B" w:rsidRPr="002A59D0">
        <w:t>externalities</w:t>
      </w:r>
      <w:r w:rsidR="00886311" w:rsidRPr="002A59D0">
        <w:t xml:space="preserve">. </w:t>
      </w:r>
      <w:r w:rsidR="0014750B" w:rsidRPr="002A59D0">
        <w:t>Any future reduction or loss of supporting complexity could result in widespread harm in the future if the persistent hazard that has been generated ceases to be manageable.</w:t>
      </w:r>
    </w:p>
    <w:p w14:paraId="091FD5B4" w14:textId="4E6920B0" w:rsidR="00886311" w:rsidRPr="002A59D0" w:rsidRDefault="000658CB" w:rsidP="00BF63F1">
      <w:pPr>
        <w:pStyle w:val="MDPI31text"/>
      </w:pPr>
      <w:r w:rsidRPr="002A59D0">
        <w:t>Modern complexity</w:t>
      </w:r>
      <w:r w:rsidR="00BF02E9" w:rsidRPr="002A59D0">
        <w:t xml:space="preserve"> </w:t>
      </w:r>
      <w:r w:rsidR="0001183F">
        <w:t>[</w:t>
      </w:r>
      <w:r w:rsidR="00B53142">
        <w:t>33</w:t>
      </w:r>
      <w:r w:rsidR="0001183F">
        <w:t>]</w:t>
      </w:r>
      <w:r w:rsidR="00592452" w:rsidRPr="002A59D0">
        <w:t xml:space="preserve"> </w:t>
      </w:r>
      <w:r w:rsidR="00886311" w:rsidRPr="002A59D0">
        <w:t xml:space="preserve">(of the sociopolitical type, but also technological and informational) </w:t>
      </w:r>
      <w:r w:rsidR="00592452" w:rsidRPr="002A59D0">
        <w:t>may</w:t>
      </w:r>
      <w:r w:rsidR="00886311" w:rsidRPr="002A59D0">
        <w:t xml:space="preserve"> hav</w:t>
      </w:r>
      <w:r w:rsidR="00592452" w:rsidRPr="002A59D0">
        <w:t>e</w:t>
      </w:r>
      <w:r w:rsidR="00886311" w:rsidRPr="002A59D0">
        <w:t xml:space="preserve"> reached such levels as to have likely become largely and effectively indecipherable by individual humans, and human agencies and institutions. </w:t>
      </w:r>
      <w:r w:rsidR="00592452" w:rsidRPr="002A59D0">
        <w:t xml:space="preserve">This may be manifesting in phenomena such as unpredictable </w:t>
      </w:r>
      <w:proofErr w:type="spellStart"/>
      <w:r w:rsidR="00592452" w:rsidRPr="002A59D0">
        <w:t>behaviour</w:t>
      </w:r>
      <w:proofErr w:type="spellEnd"/>
      <w:r w:rsidR="00592452" w:rsidRPr="002A59D0">
        <w:t xml:space="preserve"> in stock markets, frequent failures in the implementation of ‘</w:t>
      </w:r>
      <w:proofErr w:type="gramStart"/>
      <w:r w:rsidR="00592452" w:rsidRPr="002A59D0">
        <w:t>megaprojects’</w:t>
      </w:r>
      <w:proofErr w:type="gramEnd"/>
      <w:r w:rsidR="00592452" w:rsidRPr="002A59D0">
        <w:t xml:space="preserve"> and </w:t>
      </w:r>
      <w:r w:rsidR="00E54CCA">
        <w:t xml:space="preserve">the </w:t>
      </w:r>
      <w:r w:rsidR="00592452" w:rsidRPr="002A59D0">
        <w:t xml:space="preserve">failure to address global-scale challenges. </w:t>
      </w:r>
    </w:p>
    <w:p w14:paraId="25561091" w14:textId="3440612A" w:rsidR="00886311" w:rsidRPr="00BF63F1" w:rsidRDefault="00BF63F1" w:rsidP="00BF63F1">
      <w:pPr>
        <w:pStyle w:val="MDPI23heading3"/>
        <w:spacing w:before="240"/>
      </w:pPr>
      <w:r w:rsidRPr="00BF63F1">
        <w:t>1.</w:t>
      </w:r>
      <w:r w:rsidR="0062780A">
        <w:t>2</w:t>
      </w:r>
      <w:r w:rsidRPr="00BF63F1">
        <w:t>.</w:t>
      </w:r>
      <w:r w:rsidR="0062780A">
        <w:t>3</w:t>
      </w:r>
      <w:r w:rsidRPr="00BF63F1">
        <w:t xml:space="preserve">. </w:t>
      </w:r>
      <w:r w:rsidR="00886311" w:rsidRPr="00BF63F1">
        <w:t xml:space="preserve">Ecological </w:t>
      </w:r>
      <w:r w:rsidR="00112244" w:rsidRPr="00BF63F1">
        <w:t>Destruction</w:t>
      </w:r>
    </w:p>
    <w:p w14:paraId="248B1C19" w14:textId="1397C2D7" w:rsidR="00886311" w:rsidRPr="002A59D0" w:rsidRDefault="00886311" w:rsidP="00BF63F1">
      <w:pPr>
        <w:pStyle w:val="MDPI31text"/>
      </w:pPr>
      <w:r w:rsidRPr="002A59D0">
        <w:t>There are a total of five extinction events evident in the geological record which have been attributed to several natural events and causes (e.g.</w:t>
      </w:r>
      <w:r w:rsidR="00CF3497">
        <w:t>,</w:t>
      </w:r>
      <w:r w:rsidRPr="002A59D0">
        <w:t xml:space="preserve"> rapid climatic changes, flood basalt eruptions, bolide impacts) </w:t>
      </w:r>
      <w:r w:rsidR="0001183F">
        <w:t>[</w:t>
      </w:r>
      <w:r w:rsidR="009410AD">
        <w:t>3</w:t>
      </w:r>
      <w:r w:rsidR="00DB2BC9">
        <w:t>4</w:t>
      </w:r>
      <w:r w:rsidR="0001183F">
        <w:t>]</w:t>
      </w:r>
      <w:r w:rsidRPr="002A59D0">
        <w:t>.</w:t>
      </w:r>
      <w:r w:rsidR="008D52EA">
        <w:t xml:space="preserve"> </w:t>
      </w:r>
      <w:r w:rsidR="00BF02E9" w:rsidRPr="002A59D0">
        <w:t>T</w:t>
      </w:r>
      <w:r w:rsidRPr="002A59D0">
        <w:t>he sixth extinction episode (or alternatively, the Holocene Extinction Event) is currently ongoing</w:t>
      </w:r>
      <w:r w:rsidR="00BF02E9" w:rsidRPr="002A59D0">
        <w:t xml:space="preserve"> </w:t>
      </w:r>
      <w:r w:rsidR="0001183F">
        <w:t>[</w:t>
      </w:r>
      <w:r w:rsidR="009410AD">
        <w:t>3</w:t>
      </w:r>
      <w:r w:rsidR="00DB2BC9">
        <w:t>5</w:t>
      </w:r>
      <w:r w:rsidR="0001183F">
        <w:t>]</w:t>
      </w:r>
      <w:r w:rsidRPr="002A59D0">
        <w:t>, meaning that Earth’s biosphere is currently under pressure at levels which occur only infrequently even over geological timescales. This “</w:t>
      </w:r>
      <w:r w:rsidRPr="002C3C39">
        <w:t>loss of biological diversity is one of the most severe human-caused global environmental problems</w:t>
      </w:r>
      <w:r w:rsidRPr="00452ACD">
        <w:t xml:space="preserve">” </w:t>
      </w:r>
      <w:r w:rsidR="004907ED" w:rsidRPr="00452ACD">
        <w:t>[</w:t>
      </w:r>
      <w:r w:rsidR="00CE1DF8">
        <w:t>3</w:t>
      </w:r>
      <w:r w:rsidR="00DB2BC9">
        <w:t>5</w:t>
      </w:r>
      <w:r w:rsidR="004907ED" w:rsidRPr="00452ACD">
        <w:t>]</w:t>
      </w:r>
      <w:r w:rsidR="004915A7" w:rsidRPr="00452ACD">
        <w:t>,</w:t>
      </w:r>
      <w:r w:rsidR="004915A7" w:rsidRPr="002A59D0">
        <w:t xml:space="preserve"> particularly</w:t>
      </w:r>
      <w:r w:rsidRPr="002A59D0">
        <w:t xml:space="preserve"> with the advent of the ‘Great Acceleration’. The short timescale on which these impacts have grown, along with their sheer scope and extent, has resulted in &lt;3% of the world’s land surface area remaining as ‘fundamentally intact’</w:t>
      </w:r>
      <w:r w:rsidR="00E54CCA">
        <w:t>,</w:t>
      </w:r>
      <w:r w:rsidRPr="002A59D0">
        <w:t xml:space="preserve"> i.e.</w:t>
      </w:r>
      <w:r w:rsidR="00CF3497">
        <w:t>,</w:t>
      </w:r>
      <w:r w:rsidRPr="002A59D0">
        <w:t xml:space="preserve"> with species diversity and habitats unaffected by human activity </w:t>
      </w:r>
      <w:r w:rsidR="0001183F">
        <w:t>[</w:t>
      </w:r>
      <w:r w:rsidR="00CE1DF8">
        <w:t>3</w:t>
      </w:r>
      <w:r w:rsidR="00DB2BC9">
        <w:t>6</w:t>
      </w:r>
      <w:r w:rsidR="0001183F">
        <w:t>]</w:t>
      </w:r>
      <w:r w:rsidR="004907ED" w:rsidRPr="002A59D0">
        <w:t>.</w:t>
      </w:r>
    </w:p>
    <w:p w14:paraId="6E8160AB" w14:textId="1C14E2BD" w:rsidR="00886311" w:rsidRPr="002A59D0" w:rsidRDefault="004915A7" w:rsidP="00BF63F1">
      <w:pPr>
        <w:pStyle w:val="MDPI31text"/>
      </w:pPr>
      <w:r w:rsidRPr="002A59D0">
        <w:t>The large-scale perturbation of ecosystems as the sixth extinction event progresses is likely to have severe global consequences, with the provision of vital ‘ecosystem services’ likely to sever</w:t>
      </w:r>
      <w:r w:rsidR="00E54CCA">
        <w:t>e</w:t>
      </w:r>
      <w:r w:rsidRPr="002A59D0">
        <w:t>ly reduce as effects cascade</w:t>
      </w:r>
      <w:r w:rsidR="00886311" w:rsidRPr="002A59D0">
        <w:t xml:space="preserve"> at global-scale</w:t>
      </w:r>
      <w:r w:rsidR="004907ED" w:rsidRPr="002A59D0">
        <w:t xml:space="preserve"> [</w:t>
      </w:r>
      <w:r w:rsidR="00CE1DF8">
        <w:t>3</w:t>
      </w:r>
      <w:r w:rsidR="00DB2BC9">
        <w:t>5</w:t>
      </w:r>
      <w:r w:rsidR="004907ED" w:rsidRPr="002A59D0">
        <w:t>]</w:t>
      </w:r>
      <w:r w:rsidR="00886311" w:rsidRPr="002A59D0">
        <w:t>.</w:t>
      </w:r>
      <w:r w:rsidR="008D52EA">
        <w:t xml:space="preserve"> </w:t>
      </w:r>
      <w:r w:rsidR="00EE0508" w:rsidRPr="002A59D0">
        <w:t>T</w:t>
      </w:r>
      <w:r w:rsidR="00886311" w:rsidRPr="002A59D0">
        <w:t xml:space="preserve">he growth in human populations and technological development </w:t>
      </w:r>
      <w:r w:rsidR="00EE0508" w:rsidRPr="002A59D0">
        <w:t xml:space="preserve">can be linked </w:t>
      </w:r>
      <w:r w:rsidR="0001183F">
        <w:t>[</w:t>
      </w:r>
      <w:r w:rsidR="00CE1DF8">
        <w:t>3</w:t>
      </w:r>
      <w:r w:rsidR="00DB2BC9">
        <w:t>7</w:t>
      </w:r>
      <w:r w:rsidR="0001183F">
        <w:t>]</w:t>
      </w:r>
      <w:r w:rsidR="00EE0508" w:rsidRPr="002A59D0">
        <w:t xml:space="preserve"> </w:t>
      </w:r>
      <w:r w:rsidR="00886311" w:rsidRPr="002A59D0">
        <w:t>to resource consumption</w:t>
      </w:r>
      <w:r w:rsidRPr="002A59D0">
        <w:t>, and</w:t>
      </w:r>
      <w:r w:rsidR="00886311" w:rsidRPr="002A59D0">
        <w:t xml:space="preserve"> </w:t>
      </w:r>
      <w:r w:rsidR="00EE0508" w:rsidRPr="002A59D0">
        <w:t>the</w:t>
      </w:r>
      <w:r w:rsidR="00886311" w:rsidRPr="002A59D0">
        <w:t xml:space="preserve"> propensity </w:t>
      </w:r>
      <w:r w:rsidR="00EE0508" w:rsidRPr="002A59D0">
        <w:t xml:space="preserve">for </w:t>
      </w:r>
      <w:r w:rsidR="00886311" w:rsidRPr="002A59D0">
        <w:t xml:space="preserve">humans to destroy forest ecosystems gives a high probability (&gt;90%) that global </w:t>
      </w:r>
      <w:proofErr w:type="spellStart"/>
      <w:r w:rsidR="00886311" w:rsidRPr="002A59D0">
        <w:t>civilisation</w:t>
      </w:r>
      <w:proofErr w:type="spellEnd"/>
      <w:r w:rsidR="00886311" w:rsidRPr="002A59D0">
        <w:t xml:space="preserve"> is very likely to suffer a catastrophic collapse in future (within a few decades).</w:t>
      </w:r>
      <w:r w:rsidRPr="002A59D0">
        <w:t xml:space="preserve"> The current</w:t>
      </w:r>
      <w:r w:rsidR="00886311" w:rsidRPr="002A59D0">
        <w:t xml:space="preserve"> extinction event </w:t>
      </w:r>
      <w:r w:rsidRPr="002A59D0">
        <w:t>also differ</w:t>
      </w:r>
      <w:r w:rsidR="00961CDD" w:rsidRPr="002A59D0">
        <w:t>s</w:t>
      </w:r>
      <w:r w:rsidRPr="002A59D0">
        <w:t xml:space="preserve"> in that it is driven by the concurrence of phenomena unique to human actions including </w:t>
      </w:r>
      <w:r w:rsidR="00886311" w:rsidRPr="002A59D0">
        <w:t>changes in land and sea use; direct exploitation of animals and plants; climate change; pollution; and invasive alien species</w:t>
      </w:r>
      <w:r w:rsidRPr="002A59D0">
        <w:t xml:space="preserve"> </w:t>
      </w:r>
      <w:r w:rsidR="0001183F">
        <w:t>[</w:t>
      </w:r>
      <w:r w:rsidR="00F07ED7">
        <w:t>3</w:t>
      </w:r>
      <w:r w:rsidR="00DB2BC9">
        <w:t>8</w:t>
      </w:r>
      <w:r w:rsidR="0001183F">
        <w:t>]</w:t>
      </w:r>
      <w:r w:rsidRPr="002A59D0">
        <w:t>. It is also</w:t>
      </w:r>
      <w:r w:rsidR="00886311" w:rsidRPr="002A59D0">
        <w:t xml:space="preserve"> </w:t>
      </w:r>
      <w:proofErr w:type="spellStart"/>
      <w:r w:rsidR="00886311" w:rsidRPr="002A59D0">
        <w:t>characterised</w:t>
      </w:r>
      <w:proofErr w:type="spellEnd"/>
      <w:r w:rsidR="00886311" w:rsidRPr="002A59D0">
        <w:t xml:space="preserve"> by unique Anthropocene features</w:t>
      </w:r>
      <w:r w:rsidRPr="002A59D0">
        <w:t>,</w:t>
      </w:r>
      <w:r w:rsidR="00886311" w:rsidRPr="002A59D0">
        <w:t xml:space="preserve"> such as the introduction of a global ‘plastics cycle’ </w:t>
      </w:r>
      <w:r w:rsidR="0001183F">
        <w:t>[</w:t>
      </w:r>
      <w:r w:rsidR="00F07ED7">
        <w:t>3</w:t>
      </w:r>
      <w:r w:rsidR="00DB2BC9">
        <w:t>9</w:t>
      </w:r>
      <w:r w:rsidR="0001183F">
        <w:t>]</w:t>
      </w:r>
      <w:r w:rsidRPr="002A59D0">
        <w:t xml:space="preserve">, which </w:t>
      </w:r>
      <w:r w:rsidR="00886311" w:rsidRPr="002A59D0">
        <w:t xml:space="preserve">pose an as-yet unknown threat to the stability of global ecosystems, and by extension, complex human </w:t>
      </w:r>
      <w:proofErr w:type="spellStart"/>
      <w:r w:rsidR="00886311" w:rsidRPr="002A59D0">
        <w:t>civilisation</w:t>
      </w:r>
      <w:proofErr w:type="spellEnd"/>
      <w:r w:rsidR="00886311" w:rsidRPr="002A59D0">
        <w:t>.</w:t>
      </w:r>
    </w:p>
    <w:p w14:paraId="74666B57" w14:textId="331FA81D" w:rsidR="00886311" w:rsidRPr="00BF63F1" w:rsidRDefault="00BF63F1" w:rsidP="00BF63F1">
      <w:pPr>
        <w:pStyle w:val="MDPI23heading3"/>
        <w:spacing w:before="240"/>
      </w:pPr>
      <w:r w:rsidRPr="00BF63F1">
        <w:t>1.</w:t>
      </w:r>
      <w:r w:rsidR="0062780A">
        <w:t>2</w:t>
      </w:r>
      <w:r w:rsidRPr="00BF63F1">
        <w:t>.</w:t>
      </w:r>
      <w:r w:rsidR="0062780A">
        <w:t>4</w:t>
      </w:r>
      <w:r w:rsidRPr="00BF63F1">
        <w:t xml:space="preserve">. </w:t>
      </w:r>
      <w:r w:rsidR="00886311" w:rsidRPr="00BF63F1">
        <w:t xml:space="preserve">Risk </w:t>
      </w:r>
      <w:r w:rsidR="00112244" w:rsidRPr="00BF63F1">
        <w:t>Multipliers</w:t>
      </w:r>
    </w:p>
    <w:p w14:paraId="125B4DDB" w14:textId="2780F4D8" w:rsidR="00ED3E84" w:rsidRPr="002A59D0" w:rsidRDefault="00BC5D36" w:rsidP="00BF63F1">
      <w:pPr>
        <w:pStyle w:val="MDPI31text"/>
        <w:rPr>
          <w:bCs/>
        </w:rPr>
      </w:pPr>
      <w:r w:rsidRPr="002A59D0">
        <w:t xml:space="preserve">There are several phenomena which are emergent from the summation of human activities and the resultant perturbation of Earth Systems which serve as ‘risk multipliers’ </w:t>
      </w:r>
      <w:r w:rsidRPr="002A59D0">
        <w:lastRenderedPageBreak/>
        <w:t>that are likely to exacerbate existing trends and feedbacks.</w:t>
      </w:r>
      <w:r w:rsidR="008D52EA">
        <w:t xml:space="preserve"> </w:t>
      </w:r>
      <w:r w:rsidR="00886311" w:rsidRPr="002A59D0">
        <w:t>Climate change is likely to be the most pervasive of the</w:t>
      </w:r>
      <w:r w:rsidR="00E54CCA">
        <w:t>se</w:t>
      </w:r>
      <w:r w:rsidR="00886311" w:rsidRPr="002A59D0">
        <w:t xml:space="preserve"> risk multipliers, largely because the climatic system is planet-spanning and interfaces directly or indirectly with human and natural systems in highly complex ways. </w:t>
      </w:r>
      <w:r w:rsidR="0093434C" w:rsidRPr="002A59D0">
        <w:t>Climate change can be described as a ‘</w:t>
      </w:r>
      <w:proofErr w:type="spellStart"/>
      <w:r w:rsidR="0093434C" w:rsidRPr="002A59D0">
        <w:t>hyperobject</w:t>
      </w:r>
      <w:proofErr w:type="spellEnd"/>
      <w:r w:rsidR="0093434C" w:rsidRPr="002A59D0">
        <w:t>’</w:t>
      </w:r>
      <w:r w:rsidR="00BF02E9" w:rsidRPr="002A59D0">
        <w:t xml:space="preserve"> </w:t>
      </w:r>
      <w:r w:rsidR="0001183F">
        <w:t>[</w:t>
      </w:r>
      <w:r w:rsidR="00DB2BC9">
        <w:t>40</w:t>
      </w:r>
      <w:r w:rsidR="0001183F">
        <w:t>]</w:t>
      </w:r>
      <w:r w:rsidR="00ED3E84" w:rsidRPr="002A59D0">
        <w:t>, which are</w:t>
      </w:r>
      <w:r w:rsidR="00886311" w:rsidRPr="002A59D0">
        <w:t xml:space="preserve"> entities that have spatial and temporal scope and dimensions far beyond that of the human realm.</w:t>
      </w:r>
      <w:r w:rsidR="00ED3E84" w:rsidRPr="002A59D0">
        <w:t xml:space="preserve"> </w:t>
      </w:r>
      <w:r w:rsidR="00ED3E84" w:rsidRPr="002A59D0">
        <w:rPr>
          <w:bCs/>
        </w:rPr>
        <w:t xml:space="preserve">The </w:t>
      </w:r>
      <w:r w:rsidR="00886311" w:rsidRPr="002A59D0">
        <w:rPr>
          <w:bCs/>
        </w:rPr>
        <w:t>human system</w:t>
      </w:r>
      <w:r w:rsidR="00ED3E84" w:rsidRPr="002A59D0">
        <w:rPr>
          <w:bCs/>
        </w:rPr>
        <w:t xml:space="preserve">, when considered as an </w:t>
      </w:r>
      <w:r w:rsidR="00886311" w:rsidRPr="002A59D0">
        <w:rPr>
          <w:bCs/>
        </w:rPr>
        <w:t xml:space="preserve">economic ‘superorganism’ </w:t>
      </w:r>
      <w:r w:rsidR="00273DC4">
        <w:rPr>
          <w:bCs/>
        </w:rPr>
        <w:t>[1,5</w:t>
      </w:r>
      <w:r w:rsidR="00254F04" w:rsidRPr="002A59D0">
        <w:rPr>
          <w:bCs/>
        </w:rPr>
        <w:t>]</w:t>
      </w:r>
      <w:r w:rsidR="00886311" w:rsidRPr="002A59D0">
        <w:rPr>
          <w:bCs/>
        </w:rPr>
        <w:t xml:space="preserve"> </w:t>
      </w:r>
      <w:r w:rsidR="00ED3E84" w:rsidRPr="002A59D0">
        <w:rPr>
          <w:bCs/>
        </w:rPr>
        <w:t>(</w:t>
      </w:r>
      <w:r w:rsidR="00886311" w:rsidRPr="002A59D0">
        <w:rPr>
          <w:bCs/>
        </w:rPr>
        <w:t xml:space="preserve">a </w:t>
      </w:r>
      <w:proofErr w:type="spellStart"/>
      <w:r w:rsidR="00886311" w:rsidRPr="002A59D0">
        <w:rPr>
          <w:bCs/>
        </w:rPr>
        <w:t>decentralised</w:t>
      </w:r>
      <w:proofErr w:type="spellEnd"/>
      <w:r w:rsidR="00886311" w:rsidRPr="002A59D0">
        <w:rPr>
          <w:bCs/>
        </w:rPr>
        <w:t>, energy-consuming structure that is emergent at global scale</w:t>
      </w:r>
      <w:r w:rsidR="00ED3E84" w:rsidRPr="002A59D0">
        <w:rPr>
          <w:bCs/>
        </w:rPr>
        <w:t>)</w:t>
      </w:r>
      <w:r w:rsidR="00886311" w:rsidRPr="002A59D0">
        <w:rPr>
          <w:bCs/>
        </w:rPr>
        <w:t xml:space="preserve"> </w:t>
      </w:r>
      <w:r w:rsidR="00ED3E84" w:rsidRPr="002A59D0">
        <w:rPr>
          <w:bCs/>
        </w:rPr>
        <w:t>may also be continuous with the</w:t>
      </w:r>
      <w:r w:rsidR="00886311" w:rsidRPr="002A59D0">
        <w:rPr>
          <w:bCs/>
        </w:rPr>
        <w:t xml:space="preserve"> ‘</w:t>
      </w:r>
      <w:r w:rsidR="00ED3E84" w:rsidRPr="002A59D0">
        <w:rPr>
          <w:bCs/>
        </w:rPr>
        <w:t xml:space="preserve">climate </w:t>
      </w:r>
      <w:proofErr w:type="spellStart"/>
      <w:r w:rsidR="00886311" w:rsidRPr="002A59D0">
        <w:rPr>
          <w:bCs/>
        </w:rPr>
        <w:t>hyperobject</w:t>
      </w:r>
      <w:proofErr w:type="spellEnd"/>
      <w:r w:rsidR="00886311" w:rsidRPr="002A59D0">
        <w:rPr>
          <w:bCs/>
        </w:rPr>
        <w:t>’</w:t>
      </w:r>
      <w:r w:rsidR="00ED3E84" w:rsidRPr="002A59D0">
        <w:rPr>
          <w:bCs/>
        </w:rPr>
        <w:t xml:space="preserve"> g</w:t>
      </w:r>
      <w:r w:rsidR="00886311" w:rsidRPr="002A59D0">
        <w:rPr>
          <w:bCs/>
        </w:rPr>
        <w:t>iven that it ‘excretes’ greenhouse gases.</w:t>
      </w:r>
    </w:p>
    <w:p w14:paraId="518CEF61" w14:textId="63B87C90" w:rsidR="00886311" w:rsidRPr="009E0C0B" w:rsidRDefault="00ED3E84" w:rsidP="00BF63F1">
      <w:pPr>
        <w:pStyle w:val="MDPI31text"/>
        <w:rPr>
          <w:bCs/>
        </w:rPr>
      </w:pPr>
      <w:r w:rsidRPr="002A59D0">
        <w:t>T</w:t>
      </w:r>
      <w:r w:rsidR="00886311" w:rsidRPr="002A59D0">
        <w:t>he self-</w:t>
      </w:r>
      <w:proofErr w:type="spellStart"/>
      <w:r w:rsidR="00886311" w:rsidRPr="002A59D0">
        <w:t>organising</w:t>
      </w:r>
      <w:proofErr w:type="spellEnd"/>
      <w:r w:rsidR="00886311" w:rsidRPr="002A59D0">
        <w:t xml:space="preserve"> tendencies of these ‘</w:t>
      </w:r>
      <w:proofErr w:type="spellStart"/>
      <w:r w:rsidR="00886311" w:rsidRPr="002A59D0">
        <w:t>hyperobjects</w:t>
      </w:r>
      <w:proofErr w:type="spellEnd"/>
      <w:r w:rsidR="00886311" w:rsidRPr="002A59D0">
        <w:t>’, which seek growth even where biophysical limits and environmental destruction constrain them</w:t>
      </w:r>
      <w:r w:rsidRPr="002A59D0">
        <w:t>, means that the prospects for reduction and reversal of greenhouse gas emissions are limited and</w:t>
      </w:r>
      <w:r w:rsidR="00886311" w:rsidRPr="002A59D0">
        <w:t xml:space="preserve"> </w:t>
      </w:r>
      <w:r w:rsidRPr="002A59D0">
        <w:t xml:space="preserve">accelerating </w:t>
      </w:r>
      <w:r w:rsidR="00886311" w:rsidRPr="002A59D0">
        <w:t xml:space="preserve">feedback mechanisms </w:t>
      </w:r>
      <w:r w:rsidR="0001183F">
        <w:t>[</w:t>
      </w:r>
      <w:r w:rsidR="00DB2BC9">
        <w:rPr>
          <w:bCs/>
          <w:lang w:eastAsia="zh-CN"/>
        </w:rPr>
        <w:t>41</w:t>
      </w:r>
      <w:r w:rsidR="0001183F">
        <w:rPr>
          <w:bCs/>
          <w:lang w:eastAsia="zh-CN"/>
        </w:rPr>
        <w:t>]</w:t>
      </w:r>
      <w:r w:rsidRPr="002A59D0">
        <w:t xml:space="preserve"> </w:t>
      </w:r>
      <w:r w:rsidR="00886311" w:rsidRPr="002A59D0">
        <w:t xml:space="preserve">have the potential to exacerbate this tendency. </w:t>
      </w:r>
      <w:r w:rsidR="0093434C" w:rsidRPr="002A59D0">
        <w:t>It is possible to provide a qualitative framework</w:t>
      </w:r>
      <w:r w:rsidR="00BF02E9" w:rsidRPr="002A59D0">
        <w:t xml:space="preserve"> </w:t>
      </w:r>
      <w:r w:rsidR="0001183F">
        <w:t>[</w:t>
      </w:r>
      <w:r w:rsidR="004B5191">
        <w:rPr>
          <w:bCs/>
          <w:lang w:eastAsia="zh-CN"/>
        </w:rPr>
        <w:t>4</w:t>
      </w:r>
      <w:r w:rsidR="00DB2BC9">
        <w:rPr>
          <w:bCs/>
          <w:lang w:eastAsia="zh-CN"/>
        </w:rPr>
        <w:t>2</w:t>
      </w:r>
      <w:r w:rsidR="0001183F">
        <w:rPr>
          <w:bCs/>
          <w:lang w:eastAsia="zh-CN"/>
        </w:rPr>
        <w:t>]</w:t>
      </w:r>
      <w:r w:rsidR="009E0C0B">
        <w:rPr>
          <w:bCs/>
          <w:lang w:eastAsia="zh-CN"/>
        </w:rPr>
        <w:t xml:space="preserve"> </w:t>
      </w:r>
      <w:r w:rsidR="00886311" w:rsidRPr="002A59D0">
        <w:t xml:space="preserve">to identify which key underpinning societal functions are most likely to be subject to ‘amplifying’ effects, particularly in relation to conflict. </w:t>
      </w:r>
      <w:r w:rsidR="00C76D0D" w:rsidRPr="002A59D0">
        <w:t>Although</w:t>
      </w:r>
      <w:r w:rsidR="00886311" w:rsidRPr="002A59D0">
        <w:t xml:space="preserve"> the direct link between climate change and past and present conflicts is uncertain</w:t>
      </w:r>
      <w:r w:rsidR="00C76D0D" w:rsidRPr="002A59D0">
        <w:t>,</w:t>
      </w:r>
      <w:r w:rsidR="00886311" w:rsidRPr="002A59D0">
        <w:t xml:space="preserve"> </w:t>
      </w:r>
      <w:r w:rsidR="00C76D0D" w:rsidRPr="002A59D0">
        <w:t>there is</w:t>
      </w:r>
      <w:r w:rsidR="00886311" w:rsidRPr="002A59D0">
        <w:t xml:space="preserve"> support </w:t>
      </w:r>
      <w:r w:rsidR="00C76D0D" w:rsidRPr="002A59D0">
        <w:t xml:space="preserve">for </w:t>
      </w:r>
      <w:r w:rsidR="00886311" w:rsidRPr="002A59D0">
        <w:t xml:space="preserve">the potential </w:t>
      </w:r>
      <w:r w:rsidR="00C76D0D" w:rsidRPr="002A59D0">
        <w:t xml:space="preserve">of </w:t>
      </w:r>
      <w:r w:rsidR="00886311" w:rsidRPr="002A59D0">
        <w:t>climate change to introduce instabilities.</w:t>
      </w:r>
      <w:r w:rsidR="00C76D0D" w:rsidRPr="002A59D0">
        <w:t xml:space="preserve"> </w:t>
      </w:r>
      <w:r w:rsidR="00886311" w:rsidRPr="002A59D0">
        <w:t xml:space="preserve">It is within this context that </w:t>
      </w:r>
      <w:r w:rsidR="00C76D0D" w:rsidRPr="002A59D0">
        <w:t xml:space="preserve">climate change has been ascribed a near-certain potential to severely disrupt human </w:t>
      </w:r>
      <w:proofErr w:type="spellStart"/>
      <w:r w:rsidR="00C76D0D" w:rsidRPr="002A59D0">
        <w:t>civilisation</w:t>
      </w:r>
      <w:proofErr w:type="spellEnd"/>
      <w:r w:rsidR="00BF02E9" w:rsidRPr="002A59D0">
        <w:t xml:space="preserve"> </w:t>
      </w:r>
      <w:r w:rsidR="0001183F">
        <w:t>[</w:t>
      </w:r>
      <w:r w:rsidR="004B5191">
        <w:rPr>
          <w:bCs/>
          <w:lang w:eastAsia="zh-CN"/>
        </w:rPr>
        <w:t>4</w:t>
      </w:r>
      <w:r w:rsidR="00DB2BC9">
        <w:rPr>
          <w:bCs/>
          <w:lang w:eastAsia="zh-CN"/>
        </w:rPr>
        <w:t>3</w:t>
      </w:r>
      <w:r w:rsidR="0001183F">
        <w:rPr>
          <w:bCs/>
          <w:lang w:eastAsia="zh-CN"/>
        </w:rPr>
        <w:t>]</w:t>
      </w:r>
      <w:r w:rsidR="00C76D0D" w:rsidRPr="002A59D0">
        <w:t xml:space="preserve">, particularly </w:t>
      </w:r>
      <w:proofErr w:type="gramStart"/>
      <w:r w:rsidR="00C76D0D" w:rsidRPr="002A59D0">
        <w:t>in light of</w:t>
      </w:r>
      <w:proofErr w:type="gramEnd"/>
      <w:r w:rsidR="00C76D0D" w:rsidRPr="002A59D0">
        <w:t xml:space="preserve"> the potential for tipping points and non-linearities to occur within the climatic system</w:t>
      </w:r>
      <w:r w:rsidR="00886311" w:rsidRPr="002A59D0">
        <w:t xml:space="preserve"> </w:t>
      </w:r>
      <w:r w:rsidR="0001183F">
        <w:t>[</w:t>
      </w:r>
      <w:r w:rsidR="004B5191">
        <w:rPr>
          <w:bCs/>
          <w:lang w:eastAsia="zh-CN"/>
        </w:rPr>
        <w:t>4</w:t>
      </w:r>
      <w:r w:rsidR="00DB2BC9">
        <w:rPr>
          <w:bCs/>
          <w:lang w:eastAsia="zh-CN"/>
        </w:rPr>
        <w:t>4</w:t>
      </w:r>
      <w:r w:rsidR="0001183F">
        <w:rPr>
          <w:bCs/>
          <w:lang w:eastAsia="zh-CN"/>
        </w:rPr>
        <w:t>]</w:t>
      </w:r>
      <w:r w:rsidR="00886311" w:rsidRPr="002A59D0">
        <w:t>.</w:t>
      </w:r>
    </w:p>
    <w:p w14:paraId="0A3A8CFF" w14:textId="2A75C080" w:rsidR="00886311" w:rsidRPr="00241F50" w:rsidRDefault="00886311" w:rsidP="007E270A">
      <w:pPr>
        <w:pStyle w:val="MDPI31text"/>
        <w:rPr>
          <w:bCs/>
        </w:rPr>
      </w:pPr>
      <w:r w:rsidRPr="002A59D0">
        <w:t xml:space="preserve">Pandemics </w:t>
      </w:r>
      <w:r w:rsidR="00EF4DEA" w:rsidRPr="002A59D0">
        <w:t>present another source of</w:t>
      </w:r>
      <w:r w:rsidRPr="002A59D0">
        <w:t xml:space="preserve"> risk multipli</w:t>
      </w:r>
      <w:r w:rsidR="00EF4DEA" w:rsidRPr="002A59D0">
        <w:t>cation</w:t>
      </w:r>
      <w:r w:rsidRPr="002A59D0">
        <w:t xml:space="preserve"> </w:t>
      </w:r>
      <w:r w:rsidR="00EF4DEA" w:rsidRPr="002A59D0">
        <w:t xml:space="preserve">given </w:t>
      </w:r>
      <w:r w:rsidRPr="002A59D0">
        <w:t xml:space="preserve">their </w:t>
      </w:r>
      <w:r w:rsidR="00EF4DEA" w:rsidRPr="002A59D0">
        <w:t>long</w:t>
      </w:r>
      <w:r w:rsidRPr="002A59D0">
        <w:t xml:space="preserve"> history </w:t>
      </w:r>
      <w:r w:rsidR="00EF4DEA" w:rsidRPr="002A59D0">
        <w:t xml:space="preserve">of strong </w:t>
      </w:r>
      <w:r w:rsidRPr="002A59D0">
        <w:t>feedback</w:t>
      </w:r>
      <w:r w:rsidR="00EF4DEA" w:rsidRPr="002A59D0">
        <w:t>s</w:t>
      </w:r>
      <w:r w:rsidRPr="002A59D0">
        <w:t xml:space="preserve"> on human population dynamics and economic activity </w:t>
      </w:r>
      <w:r w:rsidR="009B5232" w:rsidRPr="002A59D0">
        <w:t>[</w:t>
      </w:r>
      <w:r w:rsidR="00FD0DFA" w:rsidRPr="002A59D0">
        <w:t>13</w:t>
      </w:r>
      <w:r w:rsidR="009B5232" w:rsidRPr="002A59D0">
        <w:t>]</w:t>
      </w:r>
      <w:r w:rsidRPr="002A59D0">
        <w:t>. Several studies made prescient links between destructive human activities</w:t>
      </w:r>
      <w:r w:rsidR="00EF4DEA" w:rsidRPr="002A59D0">
        <w:t>,</w:t>
      </w:r>
      <w:r w:rsidRPr="002A59D0">
        <w:t xml:space="preserve"> such as deforestation</w:t>
      </w:r>
      <w:r w:rsidR="00EF4DEA" w:rsidRPr="002A59D0">
        <w:t>,</w:t>
      </w:r>
      <w:r w:rsidRPr="002A59D0">
        <w:t xml:space="preserve"> and pandemic risks, which have been borne out by the </w:t>
      </w:r>
      <w:r w:rsidR="00EF4DEA" w:rsidRPr="002A59D0">
        <w:t xml:space="preserve">COVID-19 </w:t>
      </w:r>
      <w:r w:rsidRPr="002A59D0">
        <w:t>pandemic of the early 2020s</w:t>
      </w:r>
      <w:r w:rsidR="00BF02E9" w:rsidRPr="002A59D0">
        <w:t xml:space="preserve"> </w:t>
      </w:r>
      <w:r w:rsidR="00273DC4">
        <w:t>[</w:t>
      </w:r>
      <w:r w:rsidR="007D3E94">
        <w:t>4</w:t>
      </w:r>
      <w:r w:rsidR="00DB2BC9">
        <w:t>5</w:t>
      </w:r>
      <w:r w:rsidR="00273DC4">
        <w:t>–</w:t>
      </w:r>
      <w:r w:rsidR="007D3E94">
        <w:t>4</w:t>
      </w:r>
      <w:r w:rsidR="00DB2BC9">
        <w:t>7</w:t>
      </w:r>
      <w:r w:rsidR="00273DC4">
        <w:t>]</w:t>
      </w:r>
      <w:r w:rsidRPr="002A59D0">
        <w:t xml:space="preserve">. </w:t>
      </w:r>
      <w:r w:rsidR="00F12413" w:rsidRPr="002A59D0">
        <w:t xml:space="preserve">The potential threat </w:t>
      </w:r>
      <w:r w:rsidR="00F013AA">
        <w:t xml:space="preserve">of </w:t>
      </w:r>
      <w:r w:rsidR="00F12413" w:rsidRPr="002A59D0">
        <w:t xml:space="preserve">coronaviruses </w:t>
      </w:r>
      <w:r w:rsidR="009B5232" w:rsidRPr="002A59D0">
        <w:t>[</w:t>
      </w:r>
      <w:r w:rsidR="00BC0461" w:rsidRPr="002A59D0">
        <w:t>4</w:t>
      </w:r>
      <w:r w:rsidR="00DB2BC9">
        <w:t>5</w:t>
      </w:r>
      <w:r w:rsidR="009B5232" w:rsidRPr="002A59D0">
        <w:t>]</w:t>
      </w:r>
      <w:r w:rsidRPr="002A59D0">
        <w:t xml:space="preserve"> </w:t>
      </w:r>
      <w:r w:rsidR="00F12413" w:rsidRPr="002A59D0">
        <w:t xml:space="preserve">was known to </w:t>
      </w:r>
      <w:r w:rsidRPr="002A59D0">
        <w:t>pose</w:t>
      </w:r>
      <w:r w:rsidR="00F12413" w:rsidRPr="002A59D0">
        <w:t xml:space="preserve"> a risk</w:t>
      </w:r>
      <w:r w:rsidRPr="002A59D0">
        <w:t xml:space="preserve"> to human populations, particularly with bats as a vector (due to the nature of their </w:t>
      </w:r>
      <w:proofErr w:type="spellStart"/>
      <w:r w:rsidRPr="002A59D0">
        <w:t>virome</w:t>
      </w:r>
      <w:proofErr w:type="spellEnd"/>
      <w:r w:rsidRPr="002A59D0">
        <w:t xml:space="preserve">). The political, economic, </w:t>
      </w:r>
      <w:proofErr w:type="gramStart"/>
      <w:r w:rsidRPr="002A59D0">
        <w:t>financial</w:t>
      </w:r>
      <w:proofErr w:type="gramEnd"/>
      <w:r w:rsidRPr="002A59D0">
        <w:t xml:space="preserve"> and social impacts of the COVID-19 pandemic are not yet understood given that it remains ongoing as of 2021 but are likely to be far-reaching and long-term given the broad-spectrum effects on various aspects of societies across the world.</w:t>
      </w:r>
      <w:r w:rsidR="008D52EA">
        <w:t xml:space="preserve"> </w:t>
      </w:r>
      <w:r w:rsidRPr="002A59D0">
        <w:t xml:space="preserve">Furthermore, </w:t>
      </w:r>
      <w:r w:rsidR="00BF02E9" w:rsidRPr="002A59D0">
        <w:t xml:space="preserve">the United Nations </w:t>
      </w:r>
      <w:r w:rsidR="0001183F">
        <w:t>[</w:t>
      </w:r>
      <w:r w:rsidR="007D3E94">
        <w:rPr>
          <w:bCs/>
          <w:lang w:eastAsia="zh-CN"/>
        </w:rPr>
        <w:t>4</w:t>
      </w:r>
      <w:r w:rsidR="00DB2BC9">
        <w:rPr>
          <w:bCs/>
          <w:lang w:eastAsia="zh-CN"/>
        </w:rPr>
        <w:t>8</w:t>
      </w:r>
      <w:r w:rsidR="0001183F">
        <w:rPr>
          <w:bCs/>
          <w:lang w:eastAsia="zh-CN"/>
        </w:rPr>
        <w:t>]</w:t>
      </w:r>
      <w:r w:rsidRPr="002A59D0">
        <w:t xml:space="preserve"> warn</w:t>
      </w:r>
      <w:r w:rsidR="009B5232" w:rsidRPr="002A59D0">
        <w:t>s</w:t>
      </w:r>
      <w:r w:rsidRPr="002A59D0">
        <w:t xml:space="preserve"> that future pandemics may be more severe than COVID-19 in terms of virulence, fatality rate and other impacts.</w:t>
      </w:r>
      <w:r w:rsidR="008D52EA">
        <w:t xml:space="preserve"> </w:t>
      </w:r>
      <w:r w:rsidRPr="002A59D0">
        <w:t>The risk of infectious disease crossover due to ongoing human encroachment into remaining wild areas of the planet, combined with unpredictable societal impacts clearly demonstrates the cross-cutting risk presented by pandemics.</w:t>
      </w:r>
    </w:p>
    <w:p w14:paraId="588F486E" w14:textId="2AF718C4" w:rsidR="00886311" w:rsidRPr="00241F50" w:rsidRDefault="00BF02E9" w:rsidP="007E270A">
      <w:pPr>
        <w:pStyle w:val="MDPI31text"/>
        <w:rPr>
          <w:bCs/>
        </w:rPr>
      </w:pPr>
      <w:r w:rsidRPr="002A59D0">
        <w:t>T</w:t>
      </w:r>
      <w:r w:rsidR="00886311" w:rsidRPr="002A59D0">
        <w:t>he risks arising from the extreme complexity and interconnectivity has developed as human society has grown and evolved through to the modern era</w:t>
      </w:r>
      <w:r w:rsidRPr="002A59D0">
        <w:t xml:space="preserve"> </w:t>
      </w:r>
      <w:r w:rsidR="0001183F">
        <w:t>[</w:t>
      </w:r>
      <w:r w:rsidR="007D3E94">
        <w:rPr>
          <w:bCs/>
          <w:lang w:eastAsia="zh-CN"/>
        </w:rPr>
        <w:t>4</w:t>
      </w:r>
      <w:r w:rsidR="00DB2BC9">
        <w:rPr>
          <w:bCs/>
          <w:lang w:eastAsia="zh-CN"/>
        </w:rPr>
        <w:t>9</w:t>
      </w:r>
      <w:r w:rsidR="0001183F">
        <w:rPr>
          <w:bCs/>
          <w:lang w:eastAsia="zh-CN"/>
        </w:rPr>
        <w:t>,</w:t>
      </w:r>
      <w:r w:rsidR="00DB2BC9">
        <w:rPr>
          <w:bCs/>
          <w:lang w:eastAsia="zh-CN"/>
        </w:rPr>
        <w:t>50</w:t>
      </w:r>
      <w:r w:rsidR="0001183F">
        <w:rPr>
          <w:bCs/>
          <w:lang w:eastAsia="zh-CN"/>
        </w:rPr>
        <w:t>]</w:t>
      </w:r>
      <w:r w:rsidR="00886311" w:rsidRPr="002A59D0">
        <w:t>.</w:t>
      </w:r>
      <w:r w:rsidR="008D52EA">
        <w:t xml:space="preserve"> </w:t>
      </w:r>
      <w:proofErr w:type="spellStart"/>
      <w:r w:rsidR="00886311" w:rsidRPr="002A59D0">
        <w:t>Civilisation</w:t>
      </w:r>
      <w:proofErr w:type="spellEnd"/>
      <w:r w:rsidR="00886311" w:rsidRPr="002A59D0">
        <w:t xml:space="preserve"> comprises an agglomeration of human and natural systems that interact in highly complex ways, and </w:t>
      </w:r>
      <w:r w:rsidR="00F80768" w:rsidRPr="002A59D0">
        <w:t>as such</w:t>
      </w:r>
      <w:r w:rsidR="00F013AA">
        <w:t>,</w:t>
      </w:r>
      <w:r w:rsidR="00F80768" w:rsidRPr="002A59D0">
        <w:t xml:space="preserve"> </w:t>
      </w:r>
      <w:r w:rsidR="00886311" w:rsidRPr="002A59D0">
        <w:t xml:space="preserve">there is an ever-growing probability that </w:t>
      </w:r>
      <w:r w:rsidR="00F80768" w:rsidRPr="002A59D0">
        <w:t>the</w:t>
      </w:r>
      <w:r w:rsidR="00886311" w:rsidRPr="002A59D0">
        <w:t xml:space="preserve"> smooth operation of the vital functions that underpin societies</w:t>
      </w:r>
      <w:r w:rsidR="00F80768" w:rsidRPr="002A59D0">
        <w:t xml:space="preserve"> may be disrupted in </w:t>
      </w:r>
      <w:r w:rsidR="00F013AA">
        <w:t xml:space="preserve">the </w:t>
      </w:r>
      <w:r w:rsidR="00F80768" w:rsidRPr="002A59D0">
        <w:t>future</w:t>
      </w:r>
      <w:r w:rsidR="00886311" w:rsidRPr="002A59D0">
        <w:t>.</w:t>
      </w:r>
      <w:r w:rsidR="00F80768" w:rsidRPr="002A59D0">
        <w:t xml:space="preserve"> </w:t>
      </w:r>
      <w:r w:rsidR="0028538E" w:rsidRPr="002A59D0">
        <w:t xml:space="preserve">The increasing hyper-connectivity of the </w:t>
      </w:r>
      <w:proofErr w:type="spellStart"/>
      <w:r w:rsidR="0028538E" w:rsidRPr="002A59D0">
        <w:t>globalised</w:t>
      </w:r>
      <w:proofErr w:type="spellEnd"/>
      <w:r w:rsidR="0028538E" w:rsidRPr="002A59D0">
        <w:t xml:space="preserve"> economy </w:t>
      </w:r>
      <w:r w:rsidR="0047538F" w:rsidRPr="002A59D0">
        <w:t>[</w:t>
      </w:r>
      <w:r w:rsidR="00BC0461">
        <w:t>4</w:t>
      </w:r>
      <w:r w:rsidR="00DB2BC9">
        <w:t>9</w:t>
      </w:r>
      <w:r w:rsidR="0047538F" w:rsidRPr="002A59D0">
        <w:t>]</w:t>
      </w:r>
      <w:r w:rsidR="00886311" w:rsidRPr="002A59D0">
        <w:t xml:space="preserve"> </w:t>
      </w:r>
      <w:r w:rsidR="0028538E" w:rsidRPr="002A59D0">
        <w:t>i</w:t>
      </w:r>
      <w:r w:rsidR="00886311" w:rsidRPr="002A59D0">
        <w:t xml:space="preserve">s a process </w:t>
      </w:r>
      <w:proofErr w:type="spellStart"/>
      <w:r w:rsidR="00886311" w:rsidRPr="002A59D0">
        <w:t>characterised</w:t>
      </w:r>
      <w:proofErr w:type="spellEnd"/>
      <w:r w:rsidR="00886311" w:rsidRPr="002A59D0">
        <w:t xml:space="preserve"> by the reduction in system resilience in </w:t>
      </w:r>
      <w:proofErr w:type="spellStart"/>
      <w:r w:rsidR="00886311" w:rsidRPr="002A59D0">
        <w:t>favour</w:t>
      </w:r>
      <w:proofErr w:type="spellEnd"/>
      <w:r w:rsidR="00886311" w:rsidRPr="002A59D0">
        <w:t xml:space="preserve"> of increased efficiency and complexity</w:t>
      </w:r>
      <w:r w:rsidR="00F80768" w:rsidRPr="002A59D0">
        <w:t>, which may</w:t>
      </w:r>
      <w:r w:rsidR="00886311" w:rsidRPr="002A59D0">
        <w:t xml:space="preserve"> increase the risk of initially small disturbances being subject to enhancing feedbacks that spread and potentially eventually create system-level threats (the ‘Butterfly Defect’). </w:t>
      </w:r>
      <w:r w:rsidR="0028538E" w:rsidRPr="002A59D0">
        <w:t>An alternative viewpoint</w:t>
      </w:r>
      <w:r w:rsidRPr="002A59D0">
        <w:t xml:space="preserve"> </w:t>
      </w:r>
      <w:r w:rsidR="0047538F" w:rsidRPr="002A59D0">
        <w:t>[</w:t>
      </w:r>
      <w:r w:rsidR="00DB2BC9">
        <w:t>50</w:t>
      </w:r>
      <w:r w:rsidR="0047538F" w:rsidRPr="002A59D0">
        <w:t>]</w:t>
      </w:r>
      <w:r w:rsidR="00886311" w:rsidRPr="002A59D0">
        <w:t xml:space="preserve"> </w:t>
      </w:r>
      <w:r w:rsidR="0028538E" w:rsidRPr="002A59D0">
        <w:t xml:space="preserve">is </w:t>
      </w:r>
      <w:r w:rsidR="00886311" w:rsidRPr="002A59D0">
        <w:t>that complex, integrated societies have a natural resilience to a range of stresses and shocks</w:t>
      </w:r>
      <w:r w:rsidR="00F013AA">
        <w:t>,</w:t>
      </w:r>
      <w:r w:rsidR="00886311" w:rsidRPr="002A59D0">
        <w:t xml:space="preserve"> i.e.</w:t>
      </w:r>
      <w:r w:rsidR="00CF3497">
        <w:t>,</w:t>
      </w:r>
      <w:r w:rsidR="00886311" w:rsidRPr="002A59D0">
        <w:t xml:space="preserve"> that they tend to self-correct when internal and external shocks occur (e.g.</w:t>
      </w:r>
      <w:r w:rsidR="00CF3497">
        <w:t>,</w:t>
      </w:r>
      <w:r w:rsidR="00886311" w:rsidRPr="002A59D0">
        <w:t xml:space="preserve"> as seen in the response to the ‘Global Financial Crisis’).</w:t>
      </w:r>
      <w:r w:rsidR="008D52EA">
        <w:t xml:space="preserve"> </w:t>
      </w:r>
      <w:r w:rsidR="00886311" w:rsidRPr="002A59D0">
        <w:t xml:space="preserve">However, perturbation </w:t>
      </w:r>
      <w:proofErr w:type="gramStart"/>
      <w:r w:rsidR="00886311" w:rsidRPr="002A59D0">
        <w:t>in excess of</w:t>
      </w:r>
      <w:proofErr w:type="gramEnd"/>
      <w:r w:rsidR="00886311" w:rsidRPr="002A59D0">
        <w:t xml:space="preserve"> ‘tipping point’ thresholds can create propagations leading to major changes in </w:t>
      </w:r>
      <w:r w:rsidR="00F013AA">
        <w:t xml:space="preserve">the state of such </w:t>
      </w:r>
      <w:r w:rsidR="00886311" w:rsidRPr="002A59D0">
        <w:t>system</w:t>
      </w:r>
      <w:r w:rsidR="00F013AA">
        <w:t>s</w:t>
      </w:r>
      <w:r w:rsidR="00886311" w:rsidRPr="002A59D0">
        <w:t>.</w:t>
      </w:r>
    </w:p>
    <w:p w14:paraId="5B5A8DA3" w14:textId="44EC9822" w:rsidR="00886311" w:rsidRPr="005966CD" w:rsidRDefault="00F80768" w:rsidP="007E270A">
      <w:pPr>
        <w:pStyle w:val="MDPI31text"/>
        <w:rPr>
          <w:bCs/>
        </w:rPr>
      </w:pPr>
      <w:r w:rsidRPr="002A59D0">
        <w:t xml:space="preserve">Whether </w:t>
      </w:r>
      <w:r w:rsidR="00F013AA">
        <w:t xml:space="preserve">the </w:t>
      </w:r>
      <w:r w:rsidRPr="002A59D0">
        <w:t xml:space="preserve">propagation of systemic risks is subject to threshold effects or has the potential to build from even minor disturbances, the risks of large-scale failures due to increasing </w:t>
      </w:r>
      <w:proofErr w:type="spellStart"/>
      <w:r w:rsidRPr="002A59D0">
        <w:t>globalisation</w:t>
      </w:r>
      <w:proofErr w:type="spellEnd"/>
      <w:r w:rsidRPr="002A59D0">
        <w:t xml:space="preserve">, complexification, </w:t>
      </w:r>
      <w:proofErr w:type="gramStart"/>
      <w:r w:rsidRPr="002A59D0">
        <w:t>interdependency</w:t>
      </w:r>
      <w:proofErr w:type="gramEnd"/>
      <w:r w:rsidRPr="002A59D0">
        <w:t xml:space="preserve"> and </w:t>
      </w:r>
      <w:r w:rsidR="00F013AA">
        <w:t xml:space="preserve">the </w:t>
      </w:r>
      <w:r w:rsidRPr="002A59D0">
        <w:t>speed of fundamental societal support systems (particularly in the more developed regions of the world) creates significant global risks. This is particularly acute for the proportion of the human population that is entirely reliant on systems such as automated wastewater management and industrial food production (i.e.</w:t>
      </w:r>
      <w:r w:rsidR="00CF3497">
        <w:t>,</w:t>
      </w:r>
      <w:r w:rsidRPr="002A59D0">
        <w:t xml:space="preserve"> large urban populations). Furthermore, t</w:t>
      </w:r>
      <w:r w:rsidR="00886311" w:rsidRPr="002A59D0">
        <w:t xml:space="preserve">he global </w:t>
      </w:r>
      <w:r w:rsidR="00886311" w:rsidRPr="002A59D0">
        <w:lastRenderedPageBreak/>
        <w:t>system may now have moved beyond human control or understanding</w:t>
      </w:r>
      <w:r w:rsidR="00BF02E9" w:rsidRPr="002A59D0">
        <w:t xml:space="preserve"> [</w:t>
      </w:r>
      <w:r w:rsidR="00FD0DFA" w:rsidRPr="002A59D0">
        <w:t>3</w:t>
      </w:r>
      <w:r w:rsidR="00DB2BC9">
        <w:t>5</w:t>
      </w:r>
      <w:r w:rsidR="00BF02E9" w:rsidRPr="002A59D0">
        <w:t>]</w:t>
      </w:r>
      <w:r w:rsidRPr="002A59D0">
        <w:t xml:space="preserve"> and</w:t>
      </w:r>
      <w:r w:rsidR="00886311" w:rsidRPr="002A59D0">
        <w:t xml:space="preserve"> may therefore be even more prone to catastrophic </w:t>
      </w:r>
      <w:proofErr w:type="spellStart"/>
      <w:r w:rsidR="00886311" w:rsidRPr="002A59D0">
        <w:t>behaviour</w:t>
      </w:r>
      <w:proofErr w:type="spellEnd"/>
      <w:r w:rsidR="00886311" w:rsidRPr="002A59D0">
        <w:t xml:space="preserve"> modes that can propagate in coupled systems through a range </w:t>
      </w:r>
      <w:r w:rsidR="00F013AA">
        <w:t xml:space="preserve">of </w:t>
      </w:r>
      <w:r w:rsidR="00886311" w:rsidRPr="002A59D0">
        <w:t xml:space="preserve">unpredictable mechanisms </w:t>
      </w:r>
      <w:r w:rsidR="0001183F">
        <w:t>[</w:t>
      </w:r>
      <w:r w:rsidR="00DB2BC9">
        <w:rPr>
          <w:bCs/>
          <w:lang w:eastAsia="zh-CN"/>
        </w:rPr>
        <w:t>51</w:t>
      </w:r>
      <w:r w:rsidR="0001183F">
        <w:rPr>
          <w:bCs/>
          <w:lang w:eastAsia="zh-CN"/>
        </w:rPr>
        <w:t>]</w:t>
      </w:r>
      <w:r w:rsidR="00886311" w:rsidRPr="002A59D0">
        <w:t>. Th</w:t>
      </w:r>
      <w:r w:rsidR="00A1067A" w:rsidRPr="002A59D0">
        <w:t>is</w:t>
      </w:r>
      <w:r w:rsidR="00886311" w:rsidRPr="002A59D0">
        <w:t xml:space="preserve"> creat</w:t>
      </w:r>
      <w:r w:rsidR="00A1067A" w:rsidRPr="002A59D0">
        <w:t>es</w:t>
      </w:r>
      <w:r w:rsidR="00886311" w:rsidRPr="002A59D0">
        <w:t xml:space="preserve"> </w:t>
      </w:r>
      <w:r w:rsidR="00A1067A" w:rsidRPr="002A59D0">
        <w:t>an</w:t>
      </w:r>
      <w:r w:rsidR="00886311" w:rsidRPr="002A59D0">
        <w:t xml:space="preserve"> interconnected global system </w:t>
      </w:r>
      <w:r w:rsidR="00F013AA">
        <w:t>that</w:t>
      </w:r>
      <w:r w:rsidR="00F013AA" w:rsidRPr="002A59D0">
        <w:t xml:space="preserve"> </w:t>
      </w:r>
      <w:r w:rsidR="00886311" w:rsidRPr="002A59D0">
        <w:t>fail</w:t>
      </w:r>
      <w:r w:rsidR="00F013AA">
        <w:t>s</w:t>
      </w:r>
      <w:r w:rsidR="00886311" w:rsidRPr="002A59D0">
        <w:t xml:space="preserve"> to adequately understand the </w:t>
      </w:r>
      <w:r w:rsidRPr="002A59D0">
        <w:t>nature of</w:t>
      </w:r>
      <w:r w:rsidR="00886311" w:rsidRPr="002A59D0">
        <w:t xml:space="preserve"> </w:t>
      </w:r>
      <w:r w:rsidR="00F013AA">
        <w:t xml:space="preserve">these </w:t>
      </w:r>
      <w:r w:rsidR="00886311" w:rsidRPr="002A59D0">
        <w:t xml:space="preserve">complex, dynamic systems </w:t>
      </w:r>
      <w:r w:rsidR="0001183F">
        <w:t>[</w:t>
      </w:r>
      <w:r w:rsidR="00FC5D22">
        <w:rPr>
          <w:bCs/>
          <w:lang w:eastAsia="zh-CN"/>
        </w:rPr>
        <w:t>5</w:t>
      </w:r>
      <w:r w:rsidR="00DB2BC9">
        <w:rPr>
          <w:bCs/>
          <w:lang w:eastAsia="zh-CN"/>
        </w:rPr>
        <w:t>2</w:t>
      </w:r>
      <w:r w:rsidR="0001183F">
        <w:rPr>
          <w:bCs/>
          <w:lang w:eastAsia="zh-CN"/>
        </w:rPr>
        <w:t>]</w:t>
      </w:r>
      <w:r w:rsidR="00886311" w:rsidRPr="002A59D0">
        <w:t>.</w:t>
      </w:r>
    </w:p>
    <w:p w14:paraId="3BF8A020" w14:textId="550E900F" w:rsidR="00886311" w:rsidRPr="007E270A" w:rsidRDefault="007E270A" w:rsidP="007E270A">
      <w:pPr>
        <w:pStyle w:val="MDPI23heading3"/>
        <w:spacing w:before="240"/>
      </w:pPr>
      <w:r w:rsidRPr="007E270A">
        <w:t>1.</w:t>
      </w:r>
      <w:r w:rsidR="0062780A">
        <w:t>2</w:t>
      </w:r>
      <w:r w:rsidRPr="007E270A">
        <w:t>.</w:t>
      </w:r>
      <w:r w:rsidR="0062780A">
        <w:t>5</w:t>
      </w:r>
      <w:r w:rsidRPr="007E270A">
        <w:t xml:space="preserve">. </w:t>
      </w:r>
      <w:r w:rsidR="00886311" w:rsidRPr="007E270A">
        <w:t xml:space="preserve">Societal </w:t>
      </w:r>
      <w:r w:rsidR="00112244" w:rsidRPr="007E270A">
        <w:t>Collapse</w:t>
      </w:r>
    </w:p>
    <w:p w14:paraId="4C23B368" w14:textId="6F274607" w:rsidR="00886311" w:rsidRPr="002A59D0" w:rsidRDefault="00886311" w:rsidP="007E270A">
      <w:pPr>
        <w:pStyle w:val="MDPI31text"/>
      </w:pPr>
      <w:r w:rsidRPr="002A59D0">
        <w:t xml:space="preserve">Overall, the literature sources </w:t>
      </w:r>
      <w:proofErr w:type="spellStart"/>
      <w:r w:rsidRPr="002A59D0">
        <w:t>summarised</w:t>
      </w:r>
      <w:proofErr w:type="spellEnd"/>
      <w:r w:rsidRPr="002A59D0">
        <w:t xml:space="preserve"> in the preceding subsections paint a picture of human </w:t>
      </w:r>
      <w:proofErr w:type="spellStart"/>
      <w:r w:rsidRPr="002A59D0">
        <w:t>civilisation</w:t>
      </w:r>
      <w:proofErr w:type="spellEnd"/>
      <w:r w:rsidRPr="002A59D0">
        <w:t xml:space="preserve"> that is in a perilous state, with large and growing risks developing in multiple spheres of the human </w:t>
      </w:r>
      <w:proofErr w:type="spellStart"/>
      <w:r w:rsidRPr="002A59D0">
        <w:t>endeavour</w:t>
      </w:r>
      <w:proofErr w:type="spellEnd"/>
      <w:r w:rsidRPr="002A59D0">
        <w:t>.</w:t>
      </w:r>
      <w:r w:rsidR="008D52EA">
        <w:t xml:space="preserve"> </w:t>
      </w:r>
      <w:r w:rsidRPr="002A59D0">
        <w:t xml:space="preserve">The synthesis of the conclusions presented in these myriad studies is that 70 years of the ‘Great Acceleration’ (plus the lesser but cumulative effects of the preceding approximate 10,000 years) have had indisputable, egregious effects on the functioning of the totality of the Earth System, and </w:t>
      </w:r>
      <w:r w:rsidR="00F013AA">
        <w:t xml:space="preserve">the </w:t>
      </w:r>
      <w:r w:rsidRPr="002A59D0">
        <w:t xml:space="preserve">continued trends and </w:t>
      </w:r>
      <w:proofErr w:type="spellStart"/>
      <w:r w:rsidRPr="002A59D0">
        <w:t>behaviours</w:t>
      </w:r>
      <w:proofErr w:type="spellEnd"/>
      <w:r w:rsidRPr="002A59D0">
        <w:t xml:space="preserve"> </w:t>
      </w:r>
      <w:r w:rsidR="00F013AA">
        <w:t>of</w:t>
      </w:r>
      <w:r w:rsidR="00F013AA" w:rsidRPr="002A59D0">
        <w:t xml:space="preserve"> </w:t>
      </w:r>
      <w:r w:rsidRPr="002A59D0">
        <w:t>the human collective look highly likely to exacerbate these existing trends. The potential for nonlinearities and other complex system effects only serve to potentially heighten the risks and consequences.</w:t>
      </w:r>
    </w:p>
    <w:p w14:paraId="02F0A5ED" w14:textId="439526F8" w:rsidR="00886311" w:rsidRPr="00675DEE" w:rsidRDefault="00AA206F" w:rsidP="007E270A">
      <w:pPr>
        <w:pStyle w:val="MDPI31text"/>
      </w:pPr>
      <w:r w:rsidRPr="00675DEE">
        <w:t xml:space="preserve">This can be </w:t>
      </w:r>
      <w:proofErr w:type="spellStart"/>
      <w:r w:rsidRPr="00675DEE">
        <w:t>summarised</w:t>
      </w:r>
      <w:proofErr w:type="spellEnd"/>
      <w:r w:rsidRPr="00675DEE">
        <w:t xml:space="preserve"> as</w:t>
      </w:r>
      <w:r w:rsidR="00BF02E9" w:rsidRPr="00675DEE">
        <w:t xml:space="preserve"> </w:t>
      </w:r>
      <w:r w:rsidR="0001183F" w:rsidRPr="00675DEE">
        <w:t>[</w:t>
      </w:r>
      <w:r w:rsidR="00FC5D22">
        <w:t>5</w:t>
      </w:r>
      <w:r w:rsidR="00DB2BC9">
        <w:t>3</w:t>
      </w:r>
      <w:r w:rsidR="0001183F" w:rsidRPr="00675DEE">
        <w:t>]</w:t>
      </w:r>
      <w:r w:rsidR="00886311" w:rsidRPr="00675DEE">
        <w:t xml:space="preserve"> “…future environmental conditions will be far more dangerous than currently believed. The scale of the threats to the biosphere and all its lifeforms—including humanity—is in fact so great that it is difficult to grasp for even well-informed experts.</w:t>
      </w:r>
      <w:r w:rsidR="00675DEE" w:rsidRPr="00675DEE">
        <w:t>”</w:t>
      </w:r>
      <w:r w:rsidR="008D52EA" w:rsidRPr="00675DEE">
        <w:t xml:space="preserve"> </w:t>
      </w:r>
      <w:r w:rsidR="00886311" w:rsidRPr="00675DEE">
        <w:t>This statement effectively sums up the current situation for humanity and indicate</w:t>
      </w:r>
      <w:r w:rsidRPr="00675DEE">
        <w:t>s</w:t>
      </w:r>
      <w:r w:rsidR="00886311" w:rsidRPr="00675DEE">
        <w:t xml:space="preserve"> that it may be increasingly likely that the current (and near-future) timeframes represent a significant inflection point. Changes of varying magnitudes are possible in the coming years and decades, up to and including the collapse of </w:t>
      </w:r>
      <w:proofErr w:type="spellStart"/>
      <w:r w:rsidR="00886311" w:rsidRPr="00675DEE">
        <w:t>organised</w:t>
      </w:r>
      <w:proofErr w:type="spellEnd"/>
      <w:r w:rsidR="00886311" w:rsidRPr="00675DEE">
        <w:t xml:space="preserve"> </w:t>
      </w:r>
      <w:r w:rsidR="00886311" w:rsidRPr="003A6461">
        <w:rPr>
          <w:spacing w:val="-2"/>
        </w:rPr>
        <w:t>societies. Various scientific and popular literature sources have explored the concept of societal collapse, with an increase in these descriptions occurring in recent decades as awareness and concern regarding the global environmental predicament has grown. Table 1</w:t>
      </w:r>
      <w:r w:rsidR="00886311" w:rsidRPr="00675DEE">
        <w:t xml:space="preserve"> </w:t>
      </w:r>
      <w:proofErr w:type="spellStart"/>
      <w:r w:rsidR="00886311" w:rsidRPr="00675DEE">
        <w:t>summarises</w:t>
      </w:r>
      <w:proofErr w:type="spellEnd"/>
      <w:r w:rsidR="00886311" w:rsidRPr="00675DEE">
        <w:t xml:space="preserve"> the key features of the most significant of these conceptual descriptions</w:t>
      </w:r>
      <w:r w:rsidR="002D4049" w:rsidRPr="00675DEE">
        <w:t xml:space="preserve">. </w:t>
      </w:r>
    </w:p>
    <w:p w14:paraId="1DD97001" w14:textId="77777777" w:rsidR="002D4049" w:rsidRPr="00CF3497" w:rsidRDefault="002D4049" w:rsidP="002A59D0">
      <w:pPr>
        <w:adjustRightInd w:val="0"/>
        <w:snapToGrid w:val="0"/>
        <w:spacing w:line="259" w:lineRule="auto"/>
        <w:jc w:val="left"/>
        <w:rPr>
          <w:rFonts w:eastAsiaTheme="minorHAnsi" w:cstheme="minorBidi"/>
          <w:b/>
          <w:bCs/>
          <w:noProof w:val="0"/>
          <w:color w:val="4D4D4D"/>
          <w:sz w:val="19"/>
          <w:szCs w:val="19"/>
          <w:highlight w:val="red"/>
          <w:lang w:eastAsia="en-US"/>
        </w:rPr>
        <w:sectPr w:rsidR="002D4049" w:rsidRPr="00CF3497" w:rsidSect="002A59D0">
          <w:headerReference w:type="even" r:id="rId9"/>
          <w:headerReference w:type="default" r:id="rId10"/>
          <w:headerReference w:type="first" r:id="rId11"/>
          <w:footerReference w:type="first" r:id="rId12"/>
          <w:endnotePr>
            <w:numFmt w:val="decimal"/>
          </w:endnotePr>
          <w:pgSz w:w="11906" w:h="16838" w:code="9"/>
          <w:pgMar w:top="1417" w:right="720" w:bottom="1077" w:left="720" w:header="1020" w:footer="340" w:gutter="0"/>
          <w:pgNumType w:start="1"/>
          <w:cols w:space="425"/>
          <w:titlePg/>
          <w:bidi/>
          <w:docGrid w:type="lines" w:linePitch="326"/>
        </w:sectPr>
      </w:pPr>
      <w:bookmarkStart w:id="5" w:name="_Hlk71842016"/>
      <w:bookmarkStart w:id="6" w:name="_Hlk71913627"/>
    </w:p>
    <w:p w14:paraId="037F0252" w14:textId="62FD58C3" w:rsidR="002D4049" w:rsidRPr="002A59D0" w:rsidRDefault="00627732" w:rsidP="00627732">
      <w:pPr>
        <w:pStyle w:val="MDPI41tablecaption"/>
        <w:ind w:left="425" w:right="425"/>
        <w:jc w:val="center"/>
        <w:rPr>
          <w:rFonts w:eastAsiaTheme="minorHAnsi"/>
        </w:rPr>
      </w:pPr>
      <w:r w:rsidRPr="00627732">
        <w:rPr>
          <w:rFonts w:eastAsiaTheme="minorHAnsi"/>
          <w:b/>
        </w:rPr>
        <w:lastRenderedPageBreak/>
        <w:t xml:space="preserve">Table 1. </w:t>
      </w:r>
      <w:r w:rsidR="002D4049" w:rsidRPr="002A59D0">
        <w:rPr>
          <w:rFonts w:eastAsiaTheme="minorHAnsi"/>
        </w:rPr>
        <w:t>Summary of ‘</w:t>
      </w:r>
      <w:r w:rsidR="007E08A5" w:rsidRPr="002A59D0">
        <w:rPr>
          <w:rFonts w:eastAsiaTheme="minorHAnsi"/>
        </w:rPr>
        <w:t>Collapse</w:t>
      </w:r>
      <w:r w:rsidR="002D4049" w:rsidRPr="002A59D0">
        <w:rPr>
          <w:rFonts w:eastAsiaTheme="minorHAnsi"/>
        </w:rPr>
        <w:t>’ Scenarios</w:t>
      </w:r>
      <w:bookmarkEnd w:id="5"/>
      <w:bookmarkEnd w:id="6"/>
      <w:r>
        <w:rPr>
          <w:rFonts w:eastAsiaTheme="minorHAnsi"/>
        </w:rPr>
        <w:t>.</w:t>
      </w:r>
    </w:p>
    <w:tbl>
      <w:tblPr>
        <w:tblStyle w:val="TableGrid1"/>
        <w:tblW w:w="5000" w:type="pct"/>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894"/>
        <w:gridCol w:w="1170"/>
        <w:gridCol w:w="12334"/>
      </w:tblGrid>
      <w:tr w:rsidR="007E270A" w:rsidRPr="000A6E6B" w14:paraId="12B77257" w14:textId="77777777" w:rsidTr="002C3C39">
        <w:trPr>
          <w:jc w:val="center"/>
        </w:trPr>
        <w:tc>
          <w:tcPr>
            <w:tcW w:w="615" w:type="pct"/>
            <w:tcBorders>
              <w:top w:val="single" w:sz="8" w:space="0" w:color="auto"/>
              <w:bottom w:val="single" w:sz="4" w:space="0" w:color="auto"/>
            </w:tcBorders>
            <w:shd w:val="clear" w:color="auto" w:fill="auto"/>
            <w:vAlign w:val="center"/>
          </w:tcPr>
          <w:p w14:paraId="2B52CD36" w14:textId="5F8927D4" w:rsidR="002D4049" w:rsidRPr="000A6E6B" w:rsidRDefault="00E749C6" w:rsidP="00E749C6">
            <w:pPr>
              <w:autoSpaceDE w:val="0"/>
              <w:autoSpaceDN w:val="0"/>
              <w:adjustRightInd w:val="0"/>
              <w:snapToGrid w:val="0"/>
              <w:spacing w:line="240" w:lineRule="auto"/>
              <w:jc w:val="center"/>
              <w:rPr>
                <w:b/>
                <w:noProof w:val="0"/>
                <w:color w:val="auto"/>
                <w:sz w:val="20"/>
                <w:szCs w:val="20"/>
                <w:lang w:val="en-US"/>
              </w:rPr>
            </w:pPr>
            <w:bookmarkStart w:id="7" w:name="_Hlk67000256"/>
            <w:r w:rsidRPr="000A6E6B">
              <w:rPr>
                <w:b/>
                <w:noProof w:val="0"/>
                <w:color w:val="auto"/>
                <w:sz w:val="20"/>
                <w:szCs w:val="20"/>
                <w:highlight w:val="yellow"/>
                <w:lang w:val="en-US"/>
              </w:rPr>
              <w:t>Nomenclature</w:t>
            </w:r>
          </w:p>
        </w:tc>
        <w:tc>
          <w:tcPr>
            <w:tcW w:w="380" w:type="pct"/>
            <w:tcBorders>
              <w:top w:val="single" w:sz="8" w:space="0" w:color="auto"/>
              <w:bottom w:val="single" w:sz="4" w:space="0" w:color="auto"/>
            </w:tcBorders>
            <w:shd w:val="clear" w:color="auto" w:fill="auto"/>
            <w:vAlign w:val="center"/>
          </w:tcPr>
          <w:p w14:paraId="22975999" w14:textId="3B7E2918" w:rsidR="002D4049" w:rsidRPr="004513D3" w:rsidRDefault="007F2232" w:rsidP="00627732">
            <w:pPr>
              <w:autoSpaceDE w:val="0"/>
              <w:autoSpaceDN w:val="0"/>
              <w:adjustRightInd w:val="0"/>
              <w:snapToGrid w:val="0"/>
              <w:spacing w:line="240" w:lineRule="auto"/>
              <w:jc w:val="center"/>
              <w:rPr>
                <w:b/>
                <w:noProof w:val="0"/>
                <w:color w:val="auto"/>
                <w:sz w:val="20"/>
                <w:szCs w:val="20"/>
                <w:highlight w:val="yellow"/>
                <w:lang w:val="en-US"/>
              </w:rPr>
            </w:pPr>
            <w:r w:rsidRPr="004513D3">
              <w:rPr>
                <w:b/>
                <w:noProof w:val="0"/>
                <w:color w:val="auto"/>
                <w:sz w:val="20"/>
                <w:szCs w:val="20"/>
                <w:highlight w:val="yellow"/>
                <w:lang w:val="en-US"/>
              </w:rPr>
              <w:t>Source</w:t>
            </w:r>
            <w:r w:rsidR="002D4049" w:rsidRPr="004513D3">
              <w:rPr>
                <w:b/>
                <w:noProof w:val="0"/>
                <w:color w:val="auto"/>
                <w:sz w:val="20"/>
                <w:szCs w:val="20"/>
                <w:highlight w:val="yellow"/>
                <w:lang w:val="en-US"/>
              </w:rPr>
              <w:t>(</w:t>
            </w:r>
            <w:r w:rsidRPr="004513D3">
              <w:rPr>
                <w:b/>
                <w:noProof w:val="0"/>
                <w:color w:val="auto"/>
                <w:sz w:val="20"/>
                <w:szCs w:val="20"/>
                <w:highlight w:val="yellow"/>
                <w:lang w:val="en-US"/>
              </w:rPr>
              <w:t>s</w:t>
            </w:r>
            <w:r w:rsidR="002D4049" w:rsidRPr="004513D3">
              <w:rPr>
                <w:b/>
                <w:noProof w:val="0"/>
                <w:color w:val="auto"/>
                <w:sz w:val="20"/>
                <w:szCs w:val="20"/>
                <w:highlight w:val="yellow"/>
                <w:lang w:val="en-US"/>
              </w:rPr>
              <w:t>)</w:t>
            </w:r>
          </w:p>
        </w:tc>
        <w:tc>
          <w:tcPr>
            <w:tcW w:w="4005" w:type="pct"/>
            <w:tcBorders>
              <w:top w:val="single" w:sz="8" w:space="0" w:color="auto"/>
              <w:bottom w:val="single" w:sz="4" w:space="0" w:color="auto"/>
            </w:tcBorders>
            <w:shd w:val="clear" w:color="auto" w:fill="auto"/>
            <w:vAlign w:val="center"/>
          </w:tcPr>
          <w:p w14:paraId="23551947" w14:textId="3303D04F" w:rsidR="002D4049" w:rsidRPr="000A6E6B" w:rsidRDefault="00E749C6" w:rsidP="00627732">
            <w:pPr>
              <w:autoSpaceDE w:val="0"/>
              <w:autoSpaceDN w:val="0"/>
              <w:adjustRightInd w:val="0"/>
              <w:snapToGrid w:val="0"/>
              <w:spacing w:line="240" w:lineRule="auto"/>
              <w:jc w:val="center"/>
              <w:rPr>
                <w:b/>
                <w:noProof w:val="0"/>
                <w:color w:val="auto"/>
                <w:sz w:val="20"/>
                <w:szCs w:val="20"/>
                <w:lang w:val="en-US"/>
              </w:rPr>
            </w:pPr>
            <w:r w:rsidRPr="000A6E6B">
              <w:rPr>
                <w:b/>
                <w:noProof w:val="0"/>
                <w:color w:val="auto"/>
                <w:sz w:val="20"/>
                <w:szCs w:val="20"/>
                <w:lang w:val="en-US"/>
              </w:rPr>
              <w:t>Overview</w:t>
            </w:r>
          </w:p>
        </w:tc>
      </w:tr>
      <w:tr w:rsidR="007E270A" w:rsidRPr="000A6E6B" w14:paraId="70A79AFE" w14:textId="77777777" w:rsidTr="00962004">
        <w:trPr>
          <w:jc w:val="center"/>
        </w:trPr>
        <w:tc>
          <w:tcPr>
            <w:tcW w:w="615" w:type="pct"/>
            <w:tcBorders>
              <w:top w:val="single" w:sz="4" w:space="0" w:color="auto"/>
              <w:bottom w:val="nil"/>
            </w:tcBorders>
            <w:vAlign w:val="center"/>
          </w:tcPr>
          <w:p w14:paraId="22AA3A44"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Societal collapse</w:t>
            </w:r>
          </w:p>
        </w:tc>
        <w:tc>
          <w:tcPr>
            <w:tcW w:w="380" w:type="pct"/>
            <w:tcBorders>
              <w:top w:val="single" w:sz="4" w:space="0" w:color="auto"/>
              <w:bottom w:val="nil"/>
            </w:tcBorders>
            <w:vAlign w:val="center"/>
          </w:tcPr>
          <w:p w14:paraId="778A0131" w14:textId="29C20177" w:rsidR="002D4049" w:rsidRPr="000A6E6B" w:rsidRDefault="00273DC4"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[7,8,28]</w:t>
            </w:r>
          </w:p>
        </w:tc>
        <w:tc>
          <w:tcPr>
            <w:tcW w:w="4005" w:type="pct"/>
            <w:tcBorders>
              <w:top w:val="single" w:sz="4" w:space="0" w:color="auto"/>
              <w:bottom w:val="nil"/>
            </w:tcBorders>
            <w:vAlign w:val="center"/>
          </w:tcPr>
          <w:p w14:paraId="045CA160" w14:textId="77777777"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 xml:space="preserve">Significant and permanent decreases in measures </w:t>
            </w:r>
            <w:proofErr w:type="gramStart"/>
            <w:r w:rsidRPr="000A6E6B">
              <w:rPr>
                <w:noProof w:val="0"/>
                <w:color w:val="auto"/>
                <w:sz w:val="20"/>
                <w:szCs w:val="20"/>
                <w:lang w:val="en-US"/>
              </w:rPr>
              <w:t>including:</w:t>
            </w:r>
            <w:proofErr w:type="gramEnd"/>
            <w:r w:rsidRPr="000A6E6B">
              <w:rPr>
                <w:noProof w:val="0"/>
                <w:color w:val="auto"/>
                <w:sz w:val="20"/>
                <w:szCs w:val="20"/>
                <w:lang w:val="en-US"/>
              </w:rPr>
              <w:t xml:space="preserve"> human populations; stocks of non-renewable resources or representations such as ‘wealth’ or ‘nature’; and other ‘services’ supporting </w:t>
            </w:r>
            <w:proofErr w:type="spellStart"/>
            <w:r w:rsidRPr="000A6E6B">
              <w:rPr>
                <w:noProof w:val="0"/>
                <w:color w:val="auto"/>
                <w:sz w:val="20"/>
                <w:szCs w:val="20"/>
                <w:lang w:val="en-US"/>
              </w:rPr>
              <w:t>civilisation</w:t>
            </w:r>
            <w:proofErr w:type="spellEnd"/>
            <w:r w:rsidRPr="000A6E6B">
              <w:rPr>
                <w:noProof w:val="0"/>
                <w:color w:val="auto"/>
                <w:sz w:val="20"/>
                <w:szCs w:val="20"/>
                <w:lang w:val="en-US"/>
              </w:rPr>
              <w:t xml:space="preserve">. </w:t>
            </w:r>
          </w:p>
        </w:tc>
      </w:tr>
      <w:tr w:rsidR="007E270A" w:rsidRPr="000A6E6B" w14:paraId="31C2A0D0" w14:textId="77777777" w:rsidTr="00962004">
        <w:trPr>
          <w:jc w:val="center"/>
        </w:trPr>
        <w:tc>
          <w:tcPr>
            <w:tcW w:w="615" w:type="pct"/>
            <w:tcBorders>
              <w:top w:val="nil"/>
              <w:bottom w:val="nil"/>
            </w:tcBorders>
            <w:vAlign w:val="center"/>
          </w:tcPr>
          <w:p w14:paraId="68F1E82C"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Seneca cliff</w:t>
            </w:r>
          </w:p>
        </w:tc>
        <w:tc>
          <w:tcPr>
            <w:tcW w:w="380" w:type="pct"/>
            <w:tcBorders>
              <w:top w:val="nil"/>
              <w:bottom w:val="nil"/>
            </w:tcBorders>
            <w:vAlign w:val="center"/>
          </w:tcPr>
          <w:p w14:paraId="2364E163" w14:textId="554D19FB" w:rsidR="002D4049" w:rsidRPr="000A6E6B" w:rsidRDefault="00273DC4"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[12,13</w:t>
            </w:r>
            <w:r w:rsidR="002D4049" w:rsidRPr="000A6E6B">
              <w:rPr>
                <w:noProof w:val="0"/>
                <w:color w:val="auto"/>
                <w:sz w:val="20"/>
                <w:szCs w:val="20"/>
                <w:lang w:val="en-US"/>
              </w:rPr>
              <w:t>]</w:t>
            </w:r>
          </w:p>
        </w:tc>
        <w:tc>
          <w:tcPr>
            <w:tcW w:w="4005" w:type="pct"/>
            <w:tcBorders>
              <w:top w:val="nil"/>
              <w:bottom w:val="nil"/>
            </w:tcBorders>
            <w:vAlign w:val="center"/>
          </w:tcPr>
          <w:p w14:paraId="7027610A" w14:textId="601311F4"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 xml:space="preserve">Decease in measures (see above) that are </w:t>
            </w:r>
            <w:proofErr w:type="spellStart"/>
            <w:r w:rsidRPr="000A6E6B">
              <w:rPr>
                <w:noProof w:val="0"/>
                <w:color w:val="auto"/>
                <w:sz w:val="20"/>
                <w:szCs w:val="20"/>
                <w:lang w:val="en-US"/>
              </w:rPr>
              <w:t>characterised</w:t>
            </w:r>
            <w:proofErr w:type="spellEnd"/>
            <w:r w:rsidRPr="000A6E6B">
              <w:rPr>
                <w:noProof w:val="0"/>
                <w:color w:val="auto"/>
                <w:sz w:val="20"/>
                <w:szCs w:val="20"/>
                <w:lang w:val="en-US"/>
              </w:rPr>
              <w:t xml:space="preserve"> as occurring on a significantly more rapid timescale than their increase or build-up</w:t>
            </w:r>
            <w:r w:rsidR="006C0A78" w:rsidRPr="000A6E6B">
              <w:rPr>
                <w:noProof w:val="0"/>
                <w:color w:val="auto"/>
                <w:sz w:val="20"/>
                <w:szCs w:val="20"/>
                <w:lang w:val="en-US"/>
              </w:rPr>
              <w:t xml:space="preserve">. </w:t>
            </w:r>
            <w:r w:rsidRPr="000A6E6B">
              <w:rPr>
                <w:noProof w:val="0"/>
                <w:color w:val="auto"/>
                <w:sz w:val="20"/>
                <w:szCs w:val="20"/>
                <w:lang w:val="en-US"/>
              </w:rPr>
              <w:t>A slow build-up of complexity followed by a very rapid ‘de-complexification’ (hence the ‘cliff’).</w:t>
            </w:r>
          </w:p>
        </w:tc>
      </w:tr>
      <w:tr w:rsidR="007E270A" w:rsidRPr="000A6E6B" w14:paraId="045C3F9C" w14:textId="77777777" w:rsidTr="00962004">
        <w:trPr>
          <w:jc w:val="center"/>
        </w:trPr>
        <w:tc>
          <w:tcPr>
            <w:tcW w:w="615" w:type="pct"/>
            <w:tcBorders>
              <w:top w:val="nil"/>
              <w:bottom w:val="nil"/>
            </w:tcBorders>
            <w:vAlign w:val="center"/>
          </w:tcPr>
          <w:p w14:paraId="12A01FDC"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Olduvai collapse</w:t>
            </w:r>
          </w:p>
        </w:tc>
        <w:tc>
          <w:tcPr>
            <w:tcW w:w="380" w:type="pct"/>
            <w:tcBorders>
              <w:top w:val="nil"/>
              <w:bottom w:val="nil"/>
            </w:tcBorders>
            <w:vAlign w:val="center"/>
          </w:tcPr>
          <w:p w14:paraId="23F2FBA9" w14:textId="2AB14AE9" w:rsidR="002D4049" w:rsidRPr="000A6E6B" w:rsidRDefault="002D4049"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w:t>
            </w:r>
            <w:r w:rsidR="00B21E98">
              <w:rPr>
                <w:noProof w:val="0"/>
                <w:color w:val="auto"/>
                <w:sz w:val="20"/>
                <w:szCs w:val="20"/>
                <w:lang w:val="en-US"/>
              </w:rPr>
              <w:t>5</w:t>
            </w:r>
            <w:r w:rsidR="00DB2BC9">
              <w:rPr>
                <w:noProof w:val="0"/>
                <w:color w:val="auto"/>
                <w:sz w:val="20"/>
                <w:szCs w:val="20"/>
                <w:lang w:val="en-US"/>
              </w:rPr>
              <w:t>4</w:t>
            </w:r>
            <w:r w:rsidRPr="000A6E6B">
              <w:rPr>
                <w:noProof w:val="0"/>
                <w:color w:val="auto"/>
                <w:sz w:val="20"/>
                <w:szCs w:val="20"/>
                <w:lang w:val="en-US"/>
              </w:rPr>
              <w:t>]</w:t>
            </w:r>
          </w:p>
        </w:tc>
        <w:tc>
          <w:tcPr>
            <w:tcW w:w="4005" w:type="pct"/>
            <w:tcBorders>
              <w:top w:val="nil"/>
              <w:bottom w:val="nil"/>
            </w:tcBorders>
            <w:vAlign w:val="center"/>
          </w:tcPr>
          <w:p w14:paraId="3BAD59D6" w14:textId="027BCF8E"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 xml:space="preserve">Energy production per capita will undergo a peak and decline that will limit the overall duration of high technology, industrial </w:t>
            </w:r>
            <w:proofErr w:type="spellStart"/>
            <w:r w:rsidRPr="000A6E6B">
              <w:rPr>
                <w:noProof w:val="0"/>
                <w:color w:val="auto"/>
                <w:sz w:val="20"/>
                <w:szCs w:val="20"/>
                <w:lang w:val="en-US"/>
              </w:rPr>
              <w:t>civilisation</w:t>
            </w:r>
            <w:proofErr w:type="spellEnd"/>
            <w:r w:rsidR="006C0A78" w:rsidRPr="000A6E6B">
              <w:rPr>
                <w:noProof w:val="0"/>
                <w:color w:val="auto"/>
                <w:sz w:val="20"/>
                <w:szCs w:val="20"/>
                <w:lang w:val="en-US"/>
              </w:rPr>
              <w:t xml:space="preserve">. </w:t>
            </w:r>
            <w:r w:rsidRPr="000A6E6B">
              <w:rPr>
                <w:noProof w:val="0"/>
                <w:color w:val="auto"/>
                <w:sz w:val="20"/>
                <w:szCs w:val="20"/>
                <w:lang w:val="en-US"/>
              </w:rPr>
              <w:t xml:space="preserve">The collapse will be </w:t>
            </w:r>
            <w:proofErr w:type="spellStart"/>
            <w:r w:rsidRPr="000A6E6B">
              <w:rPr>
                <w:noProof w:val="0"/>
                <w:color w:val="auto"/>
                <w:sz w:val="20"/>
                <w:szCs w:val="20"/>
                <w:lang w:val="en-US"/>
              </w:rPr>
              <w:t>characterised</w:t>
            </w:r>
            <w:proofErr w:type="spellEnd"/>
            <w:r w:rsidRPr="000A6E6B">
              <w:rPr>
                <w:noProof w:val="0"/>
                <w:color w:val="auto"/>
                <w:sz w:val="20"/>
                <w:szCs w:val="20"/>
                <w:lang w:val="en-US"/>
              </w:rPr>
              <w:t xml:space="preserve"> by cascading failures of the electrical distribution systems that underpin </w:t>
            </w:r>
            <w:proofErr w:type="spellStart"/>
            <w:r w:rsidRPr="000A6E6B">
              <w:rPr>
                <w:noProof w:val="0"/>
                <w:color w:val="auto"/>
                <w:sz w:val="20"/>
                <w:szCs w:val="20"/>
                <w:lang w:val="en-US"/>
              </w:rPr>
              <w:t>civilisation</w:t>
            </w:r>
            <w:proofErr w:type="spellEnd"/>
            <w:r w:rsidRPr="000A6E6B">
              <w:rPr>
                <w:noProof w:val="0"/>
                <w:color w:val="auto"/>
                <w:sz w:val="20"/>
                <w:szCs w:val="20"/>
                <w:lang w:val="en-US"/>
              </w:rPr>
              <w:t xml:space="preserve"> and its support systems and cause a reversion to much simpler societies.</w:t>
            </w:r>
          </w:p>
        </w:tc>
      </w:tr>
      <w:tr w:rsidR="007E270A" w:rsidRPr="000A6E6B" w14:paraId="4C960B8C" w14:textId="77777777" w:rsidTr="00962004">
        <w:trPr>
          <w:jc w:val="center"/>
        </w:trPr>
        <w:tc>
          <w:tcPr>
            <w:tcW w:w="615" w:type="pct"/>
            <w:tcBorders>
              <w:top w:val="nil"/>
              <w:bottom w:val="nil"/>
            </w:tcBorders>
            <w:vAlign w:val="center"/>
          </w:tcPr>
          <w:p w14:paraId="6201077B"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Overshoot and collapse</w:t>
            </w:r>
          </w:p>
        </w:tc>
        <w:tc>
          <w:tcPr>
            <w:tcW w:w="380" w:type="pct"/>
            <w:tcBorders>
              <w:top w:val="nil"/>
              <w:bottom w:val="nil"/>
            </w:tcBorders>
            <w:vAlign w:val="center"/>
          </w:tcPr>
          <w:p w14:paraId="5C88E248" w14:textId="6E93A342" w:rsidR="002D4049" w:rsidRPr="000A6E6B" w:rsidRDefault="0001183F"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w:t>
            </w:r>
            <w:r w:rsidR="00FC5D22" w:rsidRPr="000A6E6B">
              <w:rPr>
                <w:noProof w:val="0"/>
                <w:color w:val="auto"/>
                <w:sz w:val="20"/>
                <w:szCs w:val="20"/>
                <w:lang w:val="en-US"/>
              </w:rPr>
              <w:t>5</w:t>
            </w:r>
            <w:r w:rsidR="00DB2BC9">
              <w:rPr>
                <w:noProof w:val="0"/>
                <w:color w:val="auto"/>
                <w:sz w:val="20"/>
                <w:szCs w:val="20"/>
                <w:lang w:val="en-US"/>
              </w:rPr>
              <w:t>5</w:t>
            </w:r>
            <w:r w:rsidRPr="000A6E6B">
              <w:rPr>
                <w:noProof w:val="0"/>
                <w:color w:val="auto"/>
                <w:sz w:val="20"/>
                <w:szCs w:val="20"/>
                <w:lang w:val="en-US"/>
              </w:rPr>
              <w:t>]</w:t>
            </w:r>
          </w:p>
        </w:tc>
        <w:tc>
          <w:tcPr>
            <w:tcW w:w="4005" w:type="pct"/>
            <w:tcBorders>
              <w:top w:val="nil"/>
              <w:bottom w:val="nil"/>
            </w:tcBorders>
            <w:vAlign w:val="center"/>
          </w:tcPr>
          <w:p w14:paraId="0A5DD3E1" w14:textId="62D61A34"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Complex systems commonly exhibit ‘overshoot and collapse’ dynamics in which exponential growth leads to depletion of supporting resources</w:t>
            </w:r>
            <w:r w:rsidR="006C0A78" w:rsidRPr="000A6E6B">
              <w:rPr>
                <w:noProof w:val="0"/>
                <w:color w:val="auto"/>
                <w:sz w:val="20"/>
                <w:szCs w:val="20"/>
                <w:lang w:val="en-US"/>
              </w:rPr>
              <w:t xml:space="preserve">. </w:t>
            </w:r>
            <w:r w:rsidRPr="000A6E6B">
              <w:rPr>
                <w:noProof w:val="0"/>
                <w:color w:val="auto"/>
                <w:sz w:val="20"/>
                <w:szCs w:val="20"/>
                <w:lang w:val="en-US"/>
              </w:rPr>
              <w:t>This is mathematically and observationally demonstrable</w:t>
            </w:r>
            <w:r w:rsidR="00F013AA">
              <w:rPr>
                <w:noProof w:val="0"/>
                <w:color w:val="auto"/>
                <w:sz w:val="20"/>
                <w:szCs w:val="20"/>
                <w:lang w:val="en-US"/>
              </w:rPr>
              <w:t>,</w:t>
            </w:r>
            <w:r w:rsidRPr="000A6E6B">
              <w:rPr>
                <w:noProof w:val="0"/>
                <w:color w:val="auto"/>
                <w:sz w:val="20"/>
                <w:szCs w:val="20"/>
                <w:lang w:val="en-US"/>
              </w:rPr>
              <w:t xml:space="preserve"> e.g.</w:t>
            </w:r>
            <w:r w:rsidR="00CF3497" w:rsidRPr="000A6E6B">
              <w:rPr>
                <w:noProof w:val="0"/>
                <w:color w:val="auto"/>
                <w:sz w:val="20"/>
                <w:szCs w:val="20"/>
                <w:lang w:val="en-US"/>
              </w:rPr>
              <w:t>,</w:t>
            </w:r>
            <w:r w:rsidRPr="000A6E6B">
              <w:rPr>
                <w:noProof w:val="0"/>
                <w:color w:val="auto"/>
                <w:sz w:val="20"/>
                <w:szCs w:val="20"/>
                <w:lang w:val="en-US"/>
              </w:rPr>
              <w:t xml:space="preserve"> through</w:t>
            </w:r>
            <w:r w:rsidR="00F013AA">
              <w:rPr>
                <w:noProof w:val="0"/>
                <w:color w:val="auto"/>
                <w:sz w:val="20"/>
                <w:szCs w:val="20"/>
                <w:lang w:val="en-US"/>
              </w:rPr>
              <w:t xml:space="preserve"> the</w:t>
            </w:r>
            <w:r w:rsidRPr="000A6E6B">
              <w:rPr>
                <w:noProof w:val="0"/>
                <w:color w:val="auto"/>
                <w:sz w:val="20"/>
                <w:szCs w:val="20"/>
                <w:lang w:val="en-US"/>
              </w:rPr>
              <w:t xml:space="preserve"> </w:t>
            </w:r>
            <w:proofErr w:type="spellStart"/>
            <w:r w:rsidRPr="000A6E6B">
              <w:rPr>
                <w:noProof w:val="0"/>
                <w:color w:val="auto"/>
                <w:sz w:val="20"/>
                <w:szCs w:val="20"/>
                <w:lang w:val="en-US"/>
              </w:rPr>
              <w:t>behaviour</w:t>
            </w:r>
            <w:proofErr w:type="spellEnd"/>
            <w:r w:rsidRPr="000A6E6B">
              <w:rPr>
                <w:noProof w:val="0"/>
                <w:color w:val="auto"/>
                <w:sz w:val="20"/>
                <w:szCs w:val="20"/>
                <w:lang w:val="en-US"/>
              </w:rPr>
              <w:t xml:space="preserve"> of populations, resource extraction curves, etc.</w:t>
            </w:r>
          </w:p>
        </w:tc>
      </w:tr>
      <w:tr w:rsidR="007E270A" w:rsidRPr="000A6E6B" w14:paraId="44A26EC2" w14:textId="77777777" w:rsidTr="00962004">
        <w:trPr>
          <w:jc w:val="center"/>
        </w:trPr>
        <w:tc>
          <w:tcPr>
            <w:tcW w:w="615" w:type="pct"/>
            <w:tcBorders>
              <w:top w:val="nil"/>
              <w:bottom w:val="nil"/>
            </w:tcBorders>
            <w:vAlign w:val="center"/>
          </w:tcPr>
          <w:p w14:paraId="3345C52A"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Energy trap</w:t>
            </w:r>
          </w:p>
        </w:tc>
        <w:tc>
          <w:tcPr>
            <w:tcW w:w="380" w:type="pct"/>
            <w:tcBorders>
              <w:top w:val="nil"/>
              <w:bottom w:val="nil"/>
            </w:tcBorders>
            <w:vAlign w:val="center"/>
          </w:tcPr>
          <w:p w14:paraId="16A9A4CB" w14:textId="7CB22C08" w:rsidR="002D4049" w:rsidRPr="000A6E6B" w:rsidRDefault="002D4049"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w:t>
            </w:r>
            <w:r w:rsidR="00FD0DFA" w:rsidRPr="000A6E6B">
              <w:rPr>
                <w:noProof w:val="0"/>
                <w:color w:val="auto"/>
                <w:sz w:val="20"/>
                <w:szCs w:val="20"/>
                <w:lang w:val="en-US"/>
              </w:rPr>
              <w:t>26</w:t>
            </w:r>
            <w:r w:rsidRPr="000A6E6B">
              <w:rPr>
                <w:noProof w:val="0"/>
                <w:color w:val="auto"/>
                <w:sz w:val="20"/>
                <w:szCs w:val="20"/>
                <w:lang w:val="en-US"/>
              </w:rPr>
              <w:t>]</w:t>
            </w:r>
          </w:p>
        </w:tc>
        <w:tc>
          <w:tcPr>
            <w:tcW w:w="4005" w:type="pct"/>
            <w:tcBorders>
              <w:top w:val="nil"/>
              <w:bottom w:val="nil"/>
            </w:tcBorders>
            <w:vAlign w:val="center"/>
          </w:tcPr>
          <w:p w14:paraId="0523ACA2" w14:textId="369CAF65"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This describes a global-scale situation in which increasing gross energy output delivers decreasing net energy to society. If gross energy consumption in such a scenario increases against a low or decreasing EROI value, there is potential for the triggering of the full collapse of the energy system.</w:t>
            </w:r>
          </w:p>
        </w:tc>
      </w:tr>
      <w:tr w:rsidR="007E270A" w:rsidRPr="000A6E6B" w14:paraId="3D9DBD02" w14:textId="77777777" w:rsidTr="00962004">
        <w:trPr>
          <w:jc w:val="center"/>
        </w:trPr>
        <w:tc>
          <w:tcPr>
            <w:tcW w:w="615" w:type="pct"/>
            <w:tcBorders>
              <w:top w:val="nil"/>
              <w:bottom w:val="nil"/>
            </w:tcBorders>
            <w:vAlign w:val="center"/>
          </w:tcPr>
          <w:p w14:paraId="267FF340"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Great Simplification</w:t>
            </w:r>
          </w:p>
        </w:tc>
        <w:tc>
          <w:tcPr>
            <w:tcW w:w="380" w:type="pct"/>
            <w:tcBorders>
              <w:top w:val="nil"/>
              <w:bottom w:val="nil"/>
            </w:tcBorders>
            <w:vAlign w:val="center"/>
          </w:tcPr>
          <w:p w14:paraId="15A3B1DF" w14:textId="394DB190" w:rsidR="002D4049" w:rsidRPr="000A6E6B" w:rsidRDefault="002D4049"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w:t>
            </w:r>
            <w:r w:rsidR="00FD0DFA" w:rsidRPr="000A6E6B">
              <w:rPr>
                <w:noProof w:val="0"/>
                <w:color w:val="auto"/>
                <w:sz w:val="20"/>
                <w:szCs w:val="20"/>
                <w:lang w:val="en-US"/>
              </w:rPr>
              <w:t>1</w:t>
            </w:r>
            <w:r w:rsidRPr="000A6E6B">
              <w:rPr>
                <w:noProof w:val="0"/>
                <w:color w:val="auto"/>
                <w:sz w:val="20"/>
                <w:szCs w:val="20"/>
                <w:lang w:val="en-US"/>
              </w:rPr>
              <w:t>]</w:t>
            </w:r>
          </w:p>
        </w:tc>
        <w:tc>
          <w:tcPr>
            <w:tcW w:w="4005" w:type="pct"/>
            <w:tcBorders>
              <w:top w:val="nil"/>
              <w:bottom w:val="nil"/>
            </w:tcBorders>
            <w:vAlign w:val="center"/>
          </w:tcPr>
          <w:p w14:paraId="43EB86C3" w14:textId="6F16B110"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The large future reduction in global economic activity likely to occur to due to crucial limits being encountered</w:t>
            </w:r>
            <w:r w:rsidR="006C0A78" w:rsidRPr="000A6E6B">
              <w:rPr>
                <w:noProof w:val="0"/>
                <w:color w:val="auto"/>
                <w:sz w:val="20"/>
                <w:szCs w:val="20"/>
                <w:lang w:val="en-US"/>
              </w:rPr>
              <w:t xml:space="preserve">. </w:t>
            </w:r>
            <w:r w:rsidRPr="000A6E6B">
              <w:rPr>
                <w:noProof w:val="0"/>
                <w:color w:val="auto"/>
                <w:sz w:val="20"/>
                <w:szCs w:val="20"/>
                <w:lang w:val="en-US"/>
              </w:rPr>
              <w:t>The limits most likely to cause this are availability of high EROI energy resources, and the effectiveness of debt as an instrument to ‘pull resources forward’ in time (i.e.</w:t>
            </w:r>
            <w:r w:rsidR="00CF3497" w:rsidRPr="000A6E6B">
              <w:rPr>
                <w:noProof w:val="0"/>
                <w:color w:val="auto"/>
                <w:sz w:val="20"/>
                <w:szCs w:val="20"/>
                <w:lang w:val="en-US"/>
              </w:rPr>
              <w:t>,</w:t>
            </w:r>
            <w:r w:rsidRPr="000A6E6B">
              <w:rPr>
                <w:noProof w:val="0"/>
                <w:color w:val="auto"/>
                <w:sz w:val="20"/>
                <w:szCs w:val="20"/>
                <w:lang w:val="en-US"/>
              </w:rPr>
              <w:t xml:space="preserve"> financing the exploitation of resources with debt allows this to occur earlier, but with steeper future declines in the resource availability).</w:t>
            </w:r>
          </w:p>
        </w:tc>
      </w:tr>
      <w:bookmarkEnd w:id="7"/>
      <w:tr w:rsidR="007E270A" w:rsidRPr="000A6E6B" w14:paraId="5E9B65AC" w14:textId="77777777" w:rsidTr="00962004">
        <w:trPr>
          <w:jc w:val="center"/>
        </w:trPr>
        <w:tc>
          <w:tcPr>
            <w:tcW w:w="615" w:type="pct"/>
            <w:tcBorders>
              <w:top w:val="nil"/>
              <w:bottom w:val="nil"/>
            </w:tcBorders>
            <w:vAlign w:val="center"/>
          </w:tcPr>
          <w:p w14:paraId="6768CB38"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Power-down</w:t>
            </w:r>
          </w:p>
        </w:tc>
        <w:tc>
          <w:tcPr>
            <w:tcW w:w="380" w:type="pct"/>
            <w:tcBorders>
              <w:top w:val="nil"/>
              <w:bottom w:val="nil"/>
            </w:tcBorders>
            <w:vAlign w:val="center"/>
          </w:tcPr>
          <w:p w14:paraId="3A4906D9" w14:textId="28B73907" w:rsidR="002D4049" w:rsidRPr="000A6E6B" w:rsidRDefault="0001183F" w:rsidP="00627732">
            <w:pPr>
              <w:autoSpaceDE w:val="0"/>
              <w:autoSpaceDN w:val="0"/>
              <w:adjustRightInd w:val="0"/>
              <w:snapToGrid w:val="0"/>
              <w:spacing w:line="240" w:lineRule="auto"/>
              <w:jc w:val="center"/>
              <w:rPr>
                <w:noProof w:val="0"/>
                <w:color w:val="auto"/>
                <w:sz w:val="20"/>
                <w:szCs w:val="20"/>
                <w:lang w:val="en-US"/>
              </w:rPr>
            </w:pPr>
            <w:r w:rsidRPr="000A6E6B">
              <w:rPr>
                <w:noProof w:val="0"/>
                <w:color w:val="auto"/>
                <w:sz w:val="20"/>
                <w:szCs w:val="20"/>
                <w:lang w:val="en-US"/>
              </w:rPr>
              <w:t>[</w:t>
            </w:r>
            <w:r w:rsidR="00FC5D22" w:rsidRPr="000A6E6B">
              <w:rPr>
                <w:noProof w:val="0"/>
                <w:color w:val="auto"/>
                <w:sz w:val="20"/>
                <w:szCs w:val="20"/>
                <w:lang w:val="en-US"/>
              </w:rPr>
              <w:t>5</w:t>
            </w:r>
            <w:r w:rsidR="00DB2BC9">
              <w:rPr>
                <w:noProof w:val="0"/>
                <w:color w:val="auto"/>
                <w:sz w:val="20"/>
                <w:szCs w:val="20"/>
                <w:lang w:val="en-US"/>
              </w:rPr>
              <w:t>6</w:t>
            </w:r>
            <w:r w:rsidRPr="000A6E6B">
              <w:rPr>
                <w:noProof w:val="0"/>
                <w:color w:val="auto"/>
                <w:sz w:val="20"/>
                <w:szCs w:val="20"/>
                <w:lang w:val="en-US"/>
              </w:rPr>
              <w:t>]</w:t>
            </w:r>
          </w:p>
        </w:tc>
        <w:tc>
          <w:tcPr>
            <w:tcW w:w="4005" w:type="pct"/>
            <w:tcBorders>
              <w:top w:val="nil"/>
              <w:bottom w:val="nil"/>
            </w:tcBorders>
            <w:vAlign w:val="center"/>
          </w:tcPr>
          <w:p w14:paraId="1E989511" w14:textId="5D32C1F8"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proofErr w:type="spellStart"/>
            <w:r w:rsidRPr="000A6E6B">
              <w:rPr>
                <w:noProof w:val="0"/>
                <w:color w:val="auto"/>
                <w:sz w:val="20"/>
                <w:szCs w:val="20"/>
                <w:lang w:val="en-US"/>
              </w:rPr>
              <w:t>Industrialised</w:t>
            </w:r>
            <w:proofErr w:type="spellEnd"/>
            <w:r w:rsidRPr="000A6E6B">
              <w:rPr>
                <w:noProof w:val="0"/>
                <w:color w:val="auto"/>
                <w:sz w:val="20"/>
                <w:szCs w:val="20"/>
                <w:lang w:val="en-US"/>
              </w:rPr>
              <w:t xml:space="preserve">, </w:t>
            </w:r>
            <w:proofErr w:type="spellStart"/>
            <w:r w:rsidRPr="000A6E6B">
              <w:rPr>
                <w:noProof w:val="0"/>
                <w:color w:val="auto"/>
                <w:sz w:val="20"/>
                <w:szCs w:val="20"/>
                <w:lang w:val="en-US"/>
              </w:rPr>
              <w:t>globalised</w:t>
            </w:r>
            <w:proofErr w:type="spellEnd"/>
            <w:r w:rsidRPr="000A6E6B">
              <w:rPr>
                <w:noProof w:val="0"/>
                <w:color w:val="auto"/>
                <w:sz w:val="20"/>
                <w:szCs w:val="20"/>
                <w:lang w:val="en-US"/>
              </w:rPr>
              <w:t xml:space="preserve"> society is dependent on</w:t>
            </w:r>
            <w:r w:rsidR="00F013AA">
              <w:rPr>
                <w:noProof w:val="0"/>
                <w:color w:val="auto"/>
                <w:sz w:val="20"/>
                <w:szCs w:val="20"/>
                <w:lang w:val="en-US"/>
              </w:rPr>
              <w:t xml:space="preserve"> the</w:t>
            </w:r>
            <w:r w:rsidRPr="000A6E6B">
              <w:rPr>
                <w:noProof w:val="0"/>
                <w:color w:val="auto"/>
                <w:sz w:val="20"/>
                <w:szCs w:val="20"/>
                <w:lang w:val="en-US"/>
              </w:rPr>
              <w:t xml:space="preserve"> continuous availability of high EROI energy resources (fossil hydrocarbons), and as availability of this declines</w:t>
            </w:r>
            <w:r w:rsidR="00F013AA">
              <w:rPr>
                <w:noProof w:val="0"/>
                <w:color w:val="auto"/>
                <w:sz w:val="20"/>
                <w:szCs w:val="20"/>
                <w:lang w:val="en-US"/>
              </w:rPr>
              <w:t>,</w:t>
            </w:r>
            <w:r w:rsidRPr="000A6E6B">
              <w:rPr>
                <w:noProof w:val="0"/>
                <w:color w:val="auto"/>
                <w:sz w:val="20"/>
                <w:szCs w:val="20"/>
                <w:lang w:val="en-US"/>
              </w:rPr>
              <w:t xml:space="preserve"> society will have less available energy to underpin its essential functions, and turmoil in the form of economic disruption, declining living standards and warfare may become likely.</w:t>
            </w:r>
          </w:p>
        </w:tc>
      </w:tr>
      <w:tr w:rsidR="007E270A" w:rsidRPr="000A6E6B" w14:paraId="2D89C5C3" w14:textId="77777777" w:rsidTr="00962004">
        <w:trPr>
          <w:jc w:val="center"/>
        </w:trPr>
        <w:tc>
          <w:tcPr>
            <w:tcW w:w="615" w:type="pct"/>
            <w:tcBorders>
              <w:top w:val="nil"/>
            </w:tcBorders>
            <w:vAlign w:val="center"/>
          </w:tcPr>
          <w:p w14:paraId="0A984FAE" w14:textId="77777777" w:rsidR="002D4049" w:rsidRPr="002C3C39" w:rsidRDefault="002D4049" w:rsidP="00627732">
            <w:pPr>
              <w:autoSpaceDE w:val="0"/>
              <w:autoSpaceDN w:val="0"/>
              <w:adjustRightInd w:val="0"/>
              <w:snapToGrid w:val="0"/>
              <w:spacing w:line="240" w:lineRule="auto"/>
              <w:jc w:val="center"/>
              <w:rPr>
                <w:bCs/>
                <w:noProof w:val="0"/>
                <w:color w:val="auto"/>
                <w:sz w:val="20"/>
                <w:szCs w:val="20"/>
                <w:highlight w:val="yellow"/>
                <w:lang w:val="en-US"/>
              </w:rPr>
            </w:pPr>
            <w:r w:rsidRPr="002C3C39">
              <w:rPr>
                <w:bCs/>
                <w:noProof w:val="0"/>
                <w:color w:val="auto"/>
                <w:highlight w:val="yellow"/>
              </w:rPr>
              <w:t>The Contraction</w:t>
            </w:r>
          </w:p>
        </w:tc>
        <w:tc>
          <w:tcPr>
            <w:tcW w:w="380" w:type="pct"/>
            <w:tcBorders>
              <w:top w:val="nil"/>
            </w:tcBorders>
            <w:vAlign w:val="center"/>
          </w:tcPr>
          <w:p w14:paraId="103571AC" w14:textId="18139B16" w:rsidR="002D4049" w:rsidRPr="004513D3" w:rsidRDefault="0001183F" w:rsidP="00627732">
            <w:pPr>
              <w:autoSpaceDE w:val="0"/>
              <w:autoSpaceDN w:val="0"/>
              <w:adjustRightInd w:val="0"/>
              <w:snapToGrid w:val="0"/>
              <w:spacing w:line="240" w:lineRule="auto"/>
              <w:jc w:val="center"/>
              <w:rPr>
                <w:noProof w:val="0"/>
                <w:color w:val="auto"/>
                <w:sz w:val="20"/>
                <w:szCs w:val="20"/>
                <w:lang w:val="en-US"/>
              </w:rPr>
            </w:pPr>
            <w:r w:rsidRPr="004513D3">
              <w:rPr>
                <w:noProof w:val="0"/>
                <w:color w:val="auto"/>
                <w:sz w:val="20"/>
                <w:szCs w:val="20"/>
                <w:lang w:val="en-US"/>
              </w:rPr>
              <w:t>[</w:t>
            </w:r>
            <w:r w:rsidR="00FC5D22" w:rsidRPr="004513D3">
              <w:rPr>
                <w:noProof w:val="0"/>
                <w:color w:val="auto"/>
                <w:sz w:val="20"/>
                <w:szCs w:val="20"/>
                <w:lang w:val="en-US"/>
              </w:rPr>
              <w:t>5</w:t>
            </w:r>
            <w:r w:rsidR="00DB2BC9">
              <w:rPr>
                <w:noProof w:val="0"/>
                <w:color w:val="auto"/>
                <w:sz w:val="20"/>
                <w:szCs w:val="20"/>
                <w:lang w:val="en-US"/>
              </w:rPr>
              <w:t>7</w:t>
            </w:r>
            <w:r w:rsidRPr="004513D3">
              <w:rPr>
                <w:noProof w:val="0"/>
                <w:color w:val="auto"/>
                <w:sz w:val="20"/>
                <w:szCs w:val="20"/>
                <w:lang w:val="en-US"/>
              </w:rPr>
              <w:t>]</w:t>
            </w:r>
          </w:p>
        </w:tc>
        <w:tc>
          <w:tcPr>
            <w:tcW w:w="4005" w:type="pct"/>
            <w:tcBorders>
              <w:top w:val="nil"/>
            </w:tcBorders>
            <w:vAlign w:val="center"/>
          </w:tcPr>
          <w:p w14:paraId="6D569472" w14:textId="003B1D80" w:rsidR="002D4049" w:rsidRPr="000A6E6B" w:rsidRDefault="002D4049" w:rsidP="00E749C6">
            <w:pPr>
              <w:autoSpaceDE w:val="0"/>
              <w:autoSpaceDN w:val="0"/>
              <w:adjustRightInd w:val="0"/>
              <w:snapToGrid w:val="0"/>
              <w:spacing w:line="240" w:lineRule="auto"/>
              <w:jc w:val="left"/>
              <w:rPr>
                <w:noProof w:val="0"/>
                <w:color w:val="auto"/>
                <w:sz w:val="20"/>
                <w:szCs w:val="20"/>
                <w:lang w:val="en-US"/>
              </w:rPr>
            </w:pPr>
            <w:r w:rsidRPr="000A6E6B">
              <w:rPr>
                <w:noProof w:val="0"/>
                <w:color w:val="auto"/>
                <w:sz w:val="20"/>
                <w:szCs w:val="20"/>
                <w:lang w:val="en-US"/>
              </w:rPr>
              <w:t xml:space="preserve">The contraction is a hypothetical process described in fiction in which the period of global economic growth and </w:t>
            </w:r>
            <w:proofErr w:type="spellStart"/>
            <w:r w:rsidRPr="000A6E6B">
              <w:rPr>
                <w:noProof w:val="0"/>
                <w:color w:val="auto"/>
                <w:sz w:val="20"/>
                <w:szCs w:val="20"/>
                <w:lang w:val="en-US"/>
              </w:rPr>
              <w:t>globalisation</w:t>
            </w:r>
            <w:proofErr w:type="spellEnd"/>
            <w:r w:rsidRPr="000A6E6B">
              <w:rPr>
                <w:noProof w:val="0"/>
                <w:color w:val="auto"/>
                <w:sz w:val="20"/>
                <w:szCs w:val="20"/>
                <w:lang w:val="en-US"/>
              </w:rPr>
              <w:t xml:space="preserve"> (the ‘Expansion’ i.e.</w:t>
            </w:r>
            <w:r w:rsidR="00CF3497" w:rsidRPr="000A6E6B">
              <w:rPr>
                <w:noProof w:val="0"/>
                <w:color w:val="auto"/>
                <w:sz w:val="20"/>
                <w:szCs w:val="20"/>
                <w:lang w:val="en-US"/>
              </w:rPr>
              <w:t>,</w:t>
            </w:r>
            <w:r w:rsidRPr="000A6E6B">
              <w:rPr>
                <w:noProof w:val="0"/>
                <w:color w:val="auto"/>
                <w:sz w:val="20"/>
                <w:szCs w:val="20"/>
                <w:lang w:val="en-US"/>
              </w:rPr>
              <w:t xml:space="preserve"> the Industrial Revolution and the ‘Great Acceleration’) would undergo a prolonged reversal (the ‘Contraction’) as crucial energy supplies (fossil fuels) become steadily scarcer. </w:t>
            </w:r>
          </w:p>
        </w:tc>
      </w:tr>
    </w:tbl>
    <w:p w14:paraId="0F26B134" w14:textId="77777777" w:rsidR="002D4049" w:rsidRPr="002A59D0" w:rsidRDefault="002D4049" w:rsidP="002A59D0">
      <w:pPr>
        <w:adjustRightInd w:val="0"/>
        <w:snapToGrid w:val="0"/>
        <w:rPr>
          <w:noProof w:val="0"/>
        </w:rPr>
        <w:sectPr w:rsidR="002D4049" w:rsidRPr="002A59D0" w:rsidSect="00627732">
          <w:endnotePr>
            <w:numFmt w:val="decimal"/>
          </w:endnotePr>
          <w:pgSz w:w="16838" w:h="11906" w:orient="landscape" w:code="9"/>
          <w:pgMar w:top="1417" w:right="720" w:bottom="1077" w:left="720" w:header="1020" w:footer="340" w:gutter="0"/>
          <w:cols w:space="425"/>
          <w:bidi/>
          <w:docGrid w:type="lines" w:linePitch="326"/>
        </w:sectPr>
      </w:pPr>
    </w:p>
    <w:p w14:paraId="651A2BDE" w14:textId="28BDCE64" w:rsidR="00886311" w:rsidRPr="00627732" w:rsidRDefault="00627732" w:rsidP="00627732">
      <w:pPr>
        <w:pStyle w:val="MDPI23heading3"/>
        <w:spacing w:before="240"/>
      </w:pPr>
      <w:r w:rsidRPr="00627732">
        <w:lastRenderedPageBreak/>
        <w:t>1.</w:t>
      </w:r>
      <w:r w:rsidR="0062780A">
        <w:t>2</w:t>
      </w:r>
      <w:r w:rsidRPr="00627732">
        <w:t>.</w:t>
      </w:r>
      <w:r w:rsidR="0062780A">
        <w:t>6</w:t>
      </w:r>
      <w:r w:rsidRPr="00627732">
        <w:t xml:space="preserve">. </w:t>
      </w:r>
      <w:r w:rsidR="00886311" w:rsidRPr="00627732">
        <w:t xml:space="preserve">Collapse </w:t>
      </w:r>
      <w:r w:rsidR="00112244" w:rsidRPr="00627732">
        <w:t>Lifeboats</w:t>
      </w:r>
    </w:p>
    <w:p w14:paraId="7BE8CE8B" w14:textId="5993D432" w:rsidR="00EF7FAD" w:rsidRPr="002A59D0" w:rsidRDefault="00886311" w:rsidP="00627732">
      <w:pPr>
        <w:pStyle w:val="MDPI31text"/>
      </w:pPr>
      <w:r w:rsidRPr="002A59D0">
        <w:t xml:space="preserve">In line with the studies that have explored the concept of societal collapse, a number of studies in the scientific and popular literature have developed the concept of ‘collapse </w:t>
      </w:r>
      <w:proofErr w:type="gramStart"/>
      <w:r w:rsidRPr="002A59D0">
        <w:t>lifeboats’</w:t>
      </w:r>
      <w:proofErr w:type="gramEnd"/>
      <w:r w:rsidRPr="002A59D0">
        <w:t>.</w:t>
      </w:r>
      <w:r w:rsidR="008D52EA">
        <w:t xml:space="preserve"> </w:t>
      </w:r>
      <w:r w:rsidRPr="002A59D0">
        <w:t>This generally describes locations that do not experience the most egregious effects of societal collapses (i.e.</w:t>
      </w:r>
      <w:r w:rsidR="00CF3497">
        <w:t>,</w:t>
      </w:r>
      <w:r w:rsidRPr="002A59D0">
        <w:t xml:space="preserve"> as may occur </w:t>
      </w:r>
      <w:proofErr w:type="gramStart"/>
      <w:r w:rsidRPr="002A59D0">
        <w:t>due to the effects</w:t>
      </w:r>
      <w:proofErr w:type="gramEnd"/>
      <w:r w:rsidRPr="002A59D0">
        <w:t xml:space="preserve"> of climatic changes) and are therefore able to maintain significant populations.</w:t>
      </w:r>
      <w:r w:rsidR="008D52EA">
        <w:t xml:space="preserve"> </w:t>
      </w:r>
      <w:r w:rsidR="00132323" w:rsidRPr="002A59D0">
        <w:t>These studies have considered small</w:t>
      </w:r>
      <w:r w:rsidR="00C7491B">
        <w:t>,</w:t>
      </w:r>
      <w:r w:rsidR="00132323" w:rsidRPr="002A59D0">
        <w:t xml:space="preserve"> isolated communities</w:t>
      </w:r>
      <w:r w:rsidR="00132323" w:rsidRPr="002A59D0">
        <w:rPr>
          <w:color w:val="auto"/>
        </w:rPr>
        <w:t xml:space="preserve"> </w:t>
      </w:r>
      <w:r w:rsidR="0001183F">
        <w:t>[</w:t>
      </w:r>
      <w:r w:rsidR="0066425E">
        <w:t>5</w:t>
      </w:r>
      <w:r w:rsidR="00DB2BC9">
        <w:t>8</w:t>
      </w:r>
      <w:r w:rsidR="0001183F">
        <w:t>]</w:t>
      </w:r>
      <w:r w:rsidR="00132323" w:rsidRPr="002A59D0">
        <w:t xml:space="preserve"> </w:t>
      </w:r>
      <w:r w:rsidR="00C7491B">
        <w:rPr>
          <w:bCs/>
          <w:color w:val="auto"/>
        </w:rPr>
        <w:t>in</w:t>
      </w:r>
      <w:r w:rsidR="00C7491B" w:rsidRPr="002A59D0">
        <w:rPr>
          <w:bCs/>
          <w:color w:val="auto"/>
        </w:rPr>
        <w:t xml:space="preserve"> </w:t>
      </w:r>
      <w:r w:rsidR="00917FD5" w:rsidRPr="002A59D0">
        <w:rPr>
          <w:bCs/>
          <w:color w:val="auto"/>
        </w:rPr>
        <w:t xml:space="preserve">larger countries including Australia and New Zealand </w:t>
      </w:r>
      <w:r w:rsidR="0001183F">
        <w:t>[</w:t>
      </w:r>
      <w:r w:rsidR="00DF47A3">
        <w:t>5</w:t>
      </w:r>
      <w:r w:rsidR="00DB2BC9">
        <w:t>4</w:t>
      </w:r>
      <w:r w:rsidR="0001183F">
        <w:t>]</w:t>
      </w:r>
      <w:r w:rsidR="00917FD5" w:rsidRPr="002A59D0">
        <w:rPr>
          <w:bCs/>
          <w:color w:val="auto"/>
        </w:rPr>
        <w:t xml:space="preserve">. </w:t>
      </w:r>
      <w:r w:rsidRPr="002A59D0">
        <w:t>The concept is therefore an extrapolation of societal collapse, in that it considers events, features and societal structures that might feasibly develop in the context of a collapse</w:t>
      </w:r>
      <w:r w:rsidR="000543E8" w:rsidRPr="002A59D0">
        <w:t xml:space="preserve">. </w:t>
      </w:r>
    </w:p>
    <w:p w14:paraId="161B3556" w14:textId="0D3A31A1" w:rsidR="00064493" w:rsidRPr="002A59D0" w:rsidRDefault="00064493" w:rsidP="00627732">
      <w:pPr>
        <w:pStyle w:val="MDPI31text"/>
      </w:pPr>
      <w:r w:rsidRPr="002A59D0">
        <w:t>Extrapolating the impact of warming due to climate change has been a particular focus for some of these studies. I</w:t>
      </w:r>
      <w:r w:rsidR="00A901C8" w:rsidRPr="002A59D0">
        <w:t>t is possible to explore t</w:t>
      </w:r>
      <w:r w:rsidR="003D2B42" w:rsidRPr="002A59D0">
        <w:t xml:space="preserve">he potential economic, </w:t>
      </w:r>
      <w:proofErr w:type="gramStart"/>
      <w:r w:rsidR="003D2B42" w:rsidRPr="002A59D0">
        <w:t>social</w:t>
      </w:r>
      <w:proofErr w:type="gramEnd"/>
      <w:r w:rsidR="003D2B42" w:rsidRPr="002A59D0">
        <w:t xml:space="preserve"> and ecological conditions prevailing in the world at each degree increase in </w:t>
      </w:r>
      <w:r w:rsidR="00C7491B">
        <w:t xml:space="preserve">the </w:t>
      </w:r>
      <w:r w:rsidR="003D2B42" w:rsidRPr="002A59D0">
        <w:t>global average temperature due to climate change, from 1</w:t>
      </w:r>
      <w:r w:rsidR="00C7491B">
        <w:t xml:space="preserve"> to </w:t>
      </w:r>
      <w:r w:rsidR="003D2B42" w:rsidRPr="002A59D0">
        <w:t>6</w:t>
      </w:r>
      <w:r w:rsidR="009937AD">
        <w:t xml:space="preserve"> </w:t>
      </w:r>
      <w:r w:rsidR="003D2B42" w:rsidRPr="002A59D0">
        <w:rPr>
          <w:rFonts w:cstheme="minorHAnsi"/>
        </w:rPr>
        <w:t>°</w:t>
      </w:r>
      <w:r w:rsidR="003D2B42" w:rsidRPr="002A59D0">
        <w:t>C. It is within the 5</w:t>
      </w:r>
      <w:r w:rsidR="009937AD">
        <w:t xml:space="preserve"> </w:t>
      </w:r>
      <w:r w:rsidR="003D2B42" w:rsidRPr="002A59D0">
        <w:rPr>
          <w:rFonts w:cstheme="minorHAnsi"/>
        </w:rPr>
        <w:t>°</w:t>
      </w:r>
      <w:r w:rsidR="003D2B42" w:rsidRPr="002A59D0">
        <w:t xml:space="preserve">C increase scenario that the potential for major relocations to </w:t>
      </w:r>
      <w:proofErr w:type="gramStart"/>
      <w:r w:rsidR="003D2B42" w:rsidRPr="002A59D0">
        <w:t>particular regions</w:t>
      </w:r>
      <w:proofErr w:type="gramEnd"/>
      <w:r w:rsidR="003D2B42" w:rsidRPr="002A59D0">
        <w:t xml:space="preserve"> of the world </w:t>
      </w:r>
      <w:r w:rsidR="00A901C8" w:rsidRPr="002A59D0">
        <w:t>can</w:t>
      </w:r>
      <w:r w:rsidR="003D2B42" w:rsidRPr="002A59D0">
        <w:t xml:space="preserve"> result in a reversal of </w:t>
      </w:r>
      <w:proofErr w:type="spellStart"/>
      <w:r w:rsidR="003D2B42" w:rsidRPr="002A59D0">
        <w:t>globalisation</w:t>
      </w:r>
      <w:proofErr w:type="spellEnd"/>
      <w:r w:rsidR="003D2B42" w:rsidRPr="002A59D0">
        <w:t xml:space="preserve"> </w:t>
      </w:r>
      <w:r w:rsidR="0001183F">
        <w:t>[</w:t>
      </w:r>
      <w:r w:rsidR="000213B8">
        <w:t>5</w:t>
      </w:r>
      <w:r w:rsidR="00DB2BC9">
        <w:t>9</w:t>
      </w:r>
      <w:r w:rsidR="0001183F">
        <w:t>]</w:t>
      </w:r>
      <w:r w:rsidR="00A901C8" w:rsidRPr="002A59D0">
        <w:t>, which in turn causes economic depression and shifts in global populations.</w:t>
      </w:r>
      <w:r w:rsidR="008D52EA">
        <w:t xml:space="preserve"> </w:t>
      </w:r>
      <w:r w:rsidR="00A901C8" w:rsidRPr="002A59D0">
        <w:t xml:space="preserve">The British Isles, Scandinavia, Patagonia, </w:t>
      </w:r>
      <w:proofErr w:type="gramStart"/>
      <w:r w:rsidR="00A901C8" w:rsidRPr="002A59D0">
        <w:t>Tasmania</w:t>
      </w:r>
      <w:proofErr w:type="gramEnd"/>
      <w:r w:rsidR="00A901C8" w:rsidRPr="002A59D0">
        <w:t xml:space="preserve"> and the South Island of New Zealand are identified as locations that migrants may seek to relocate to</w:t>
      </w:r>
      <w:r w:rsidR="00D864B9" w:rsidRPr="002A59D0">
        <w:t xml:space="preserve"> in this scenario</w:t>
      </w:r>
      <w:r w:rsidR="00A901C8" w:rsidRPr="002A59D0">
        <w:t>.</w:t>
      </w:r>
      <w:r w:rsidR="003D0890" w:rsidRPr="002A59D0">
        <w:t xml:space="preserve"> With the global average temperature increased by 4</w:t>
      </w:r>
      <w:r w:rsidR="009937AD">
        <w:t xml:space="preserve"> </w:t>
      </w:r>
      <w:r w:rsidR="003D0890" w:rsidRPr="002A59D0">
        <w:rPr>
          <w:rFonts w:cstheme="minorHAnsi"/>
        </w:rPr>
        <w:t>°</w:t>
      </w:r>
      <w:r w:rsidR="003D0890" w:rsidRPr="002A59D0">
        <w:t>C</w:t>
      </w:r>
      <w:r w:rsidR="00C7491B">
        <w:t>,</w:t>
      </w:r>
      <w:r w:rsidR="003D0890" w:rsidRPr="002A59D0">
        <w:t xml:space="preserve"> much of the land in the tropical and subtropical latitudes may become unproductive and depopulated, and inundated coastlines are common throughout the world </w:t>
      </w:r>
      <w:r w:rsidR="0001183F">
        <w:t>[</w:t>
      </w:r>
      <w:r w:rsidR="00DB2BC9">
        <w:t>60</w:t>
      </w:r>
      <w:r w:rsidR="0001183F">
        <w:t>]</w:t>
      </w:r>
      <w:r w:rsidR="00D864B9" w:rsidRPr="002A59D0">
        <w:t xml:space="preserve"> with</w:t>
      </w:r>
      <w:r w:rsidR="003D0890" w:rsidRPr="002A59D0">
        <w:t xml:space="preserve"> Scandinavia, the British Isles and New Zealand</w:t>
      </w:r>
      <w:r w:rsidR="00D864B9" w:rsidRPr="002A59D0">
        <w:t xml:space="preserve"> identified as potential lifeboats</w:t>
      </w:r>
      <w:r w:rsidR="003D0890" w:rsidRPr="002A59D0">
        <w:t>.</w:t>
      </w:r>
      <w:r w:rsidRPr="002A59D0">
        <w:t xml:space="preserve"> </w:t>
      </w:r>
      <w:r w:rsidR="00D864B9" w:rsidRPr="002A59D0">
        <w:t>U</w:t>
      </w:r>
      <w:r w:rsidRPr="002A59D0">
        <w:t>sing the perspective of the Gaia Hypothesis [6]</w:t>
      </w:r>
      <w:r w:rsidR="00C7491B">
        <w:t>,</w:t>
      </w:r>
      <w:r w:rsidRPr="002A59D0">
        <w:t xml:space="preserve"> northern Canada, Russia, Scandinavia, New Zealand and the British Isles (along with mountainous regions at lower latitudes) may remain habitable through the persistence of agriculture and may therefore act as ‘lifeboats’ for populations of humans.</w:t>
      </w:r>
    </w:p>
    <w:p w14:paraId="03280957" w14:textId="74F82E08" w:rsidR="003D2B42" w:rsidRPr="002A59D0" w:rsidRDefault="00CD399B" w:rsidP="00627732">
      <w:pPr>
        <w:pStyle w:val="MDPI31text"/>
      </w:pPr>
      <w:r w:rsidRPr="002A59D0">
        <w:t>Alternatively</w:t>
      </w:r>
      <w:r w:rsidR="00C7491B">
        <w:t>,</w:t>
      </w:r>
      <w:r w:rsidRPr="002A59D0">
        <w:t xml:space="preserve"> a</w:t>
      </w:r>
      <w:r w:rsidR="003D2B42" w:rsidRPr="002A59D0">
        <w:t xml:space="preserve"> protracted ‘energy descent’ following the passing of peak oil, combined with the effects of climate change</w:t>
      </w:r>
      <w:r w:rsidR="00E923C6" w:rsidRPr="002A59D0">
        <w:t xml:space="preserve">, can also lead to different future scenarios </w:t>
      </w:r>
      <w:r w:rsidR="00F911F5" w:rsidRPr="002A59D0">
        <w:t>including</w:t>
      </w:r>
      <w:r w:rsidR="003D2B42" w:rsidRPr="002A59D0">
        <w:t xml:space="preserve"> ‘Lifeboats’ [</w:t>
      </w:r>
      <w:r w:rsidR="00DB2BC9">
        <w:t>61</w:t>
      </w:r>
      <w:r w:rsidR="00AB6069">
        <w:t>, 6</w:t>
      </w:r>
      <w:r w:rsidR="00DB2BC9">
        <w:t>2</w:t>
      </w:r>
      <w:r w:rsidR="003D2B42" w:rsidRPr="002A59D0">
        <w:t>]</w:t>
      </w:r>
      <w:r w:rsidR="00F911F5" w:rsidRPr="002A59D0">
        <w:t>,</w:t>
      </w:r>
      <w:r w:rsidR="00E923C6" w:rsidRPr="002A59D0">
        <w:t xml:space="preserve"> </w:t>
      </w:r>
      <w:r w:rsidR="00F911F5" w:rsidRPr="002A59D0">
        <w:t xml:space="preserve">which is a </w:t>
      </w:r>
      <w:r w:rsidR="00E923C6" w:rsidRPr="002A59D0">
        <w:t>most pessimistic</w:t>
      </w:r>
      <w:r w:rsidR="00D15FF1" w:rsidRPr="002A59D0">
        <w:t xml:space="preserve"> scenario</w:t>
      </w:r>
      <w:r w:rsidR="00E923C6" w:rsidRPr="002A59D0">
        <w:t xml:space="preserve">, describing severe climatic changes combined with economic collapse leading to general decline in societal complexity, with isolated, </w:t>
      </w:r>
      <w:proofErr w:type="spellStart"/>
      <w:r w:rsidR="00E923C6" w:rsidRPr="002A59D0">
        <w:t>localised</w:t>
      </w:r>
      <w:proofErr w:type="spellEnd"/>
      <w:r w:rsidR="00E923C6" w:rsidRPr="002A59D0">
        <w:t xml:space="preserve"> pockets surviving as the indicated ‘lifeboats’, and is the most closely aligned with the scenario posited in this study.</w:t>
      </w:r>
      <w:r w:rsidR="00D15FF1" w:rsidRPr="002A59D0">
        <w:t xml:space="preserve"> </w:t>
      </w:r>
      <w:r w:rsidR="00E923C6" w:rsidRPr="002A59D0">
        <w:t>It may be possible to</w:t>
      </w:r>
      <w:r w:rsidR="003D2B42" w:rsidRPr="002A59D0">
        <w:t xml:space="preserve"> control</w:t>
      </w:r>
      <w:r w:rsidR="00E923C6" w:rsidRPr="002A59D0">
        <w:t xml:space="preserve"> a</w:t>
      </w:r>
      <w:r w:rsidR="003D2B42" w:rsidRPr="002A59D0">
        <w:t xml:space="preserve"> ‘power down’ of global society as a preferable pathway to that of economic and environmental collapse [</w:t>
      </w:r>
      <w:r w:rsidR="00AB6069">
        <w:t>5</w:t>
      </w:r>
      <w:r w:rsidR="00DB2BC9">
        <w:t>6</w:t>
      </w:r>
      <w:r w:rsidR="003D2B42" w:rsidRPr="002A59D0">
        <w:t>]</w:t>
      </w:r>
      <w:r w:rsidR="00E923C6" w:rsidRPr="002A59D0">
        <w:t>. The ‘power down’ would comprise a concerted, global, long-term effort to reduce per</w:t>
      </w:r>
      <w:r w:rsidR="00C7491B">
        <w:t xml:space="preserve"> </w:t>
      </w:r>
      <w:r w:rsidR="00E923C6" w:rsidRPr="002A59D0">
        <w:t>capita energy and resource usage, equitably distribute resources and gradually decrease the global population including the possibility of ‘Building Lifeboats’ through community solidarity and preservation.</w:t>
      </w:r>
    </w:p>
    <w:p w14:paraId="349001D2" w14:textId="1FE1FD3C" w:rsidR="00886311" w:rsidRPr="00627732" w:rsidRDefault="00627732" w:rsidP="00627732">
      <w:pPr>
        <w:pStyle w:val="MDPI22heading2"/>
        <w:spacing w:before="240"/>
      </w:pPr>
      <w:r w:rsidRPr="00627732">
        <w:t>1.</w:t>
      </w:r>
      <w:r w:rsidR="0062780A">
        <w:t>3</w:t>
      </w:r>
      <w:r w:rsidRPr="00627732">
        <w:t xml:space="preserve">. </w:t>
      </w:r>
      <w:r w:rsidR="005E7371" w:rsidRPr="00627732">
        <w:t>‘</w:t>
      </w:r>
      <w:r w:rsidR="00886311" w:rsidRPr="00627732">
        <w:t>De-</w:t>
      </w:r>
      <w:r w:rsidR="00112244" w:rsidRPr="00627732">
        <w:t xml:space="preserve">Complexification’ </w:t>
      </w:r>
      <w:r w:rsidR="00886311" w:rsidRPr="00627732">
        <w:t>and ‘</w:t>
      </w:r>
      <w:r w:rsidR="00112244" w:rsidRPr="00627732">
        <w:t xml:space="preserve">Nodes </w:t>
      </w:r>
      <w:r w:rsidR="00886311" w:rsidRPr="00627732">
        <w:t xml:space="preserve">of </w:t>
      </w:r>
      <w:r w:rsidR="00112244" w:rsidRPr="00627732">
        <w:t>Persisting Complexity’</w:t>
      </w:r>
    </w:p>
    <w:p w14:paraId="13A2B114" w14:textId="7B99FA1B" w:rsidR="00886311" w:rsidRPr="00627732" w:rsidRDefault="00627732" w:rsidP="00627732">
      <w:pPr>
        <w:pStyle w:val="MDPI23heading3"/>
      </w:pPr>
      <w:r w:rsidRPr="00627732">
        <w:t>1.</w:t>
      </w:r>
      <w:r w:rsidR="0062780A">
        <w:t>3</w:t>
      </w:r>
      <w:r w:rsidRPr="00627732">
        <w:t xml:space="preserve">.1. </w:t>
      </w:r>
      <w:r w:rsidR="005E7371" w:rsidRPr="00627732">
        <w:t>‘</w:t>
      </w:r>
      <w:r w:rsidR="00886311" w:rsidRPr="00627732">
        <w:t>De-</w:t>
      </w:r>
      <w:r w:rsidR="00112244" w:rsidRPr="00627732">
        <w:t>Complexification’</w:t>
      </w:r>
    </w:p>
    <w:p w14:paraId="0B1F9485" w14:textId="21D6A298" w:rsidR="00886311" w:rsidRPr="002A59D0" w:rsidRDefault="00886311" w:rsidP="00277E87">
      <w:pPr>
        <w:pStyle w:val="MDPI31text"/>
      </w:pPr>
      <w:r w:rsidRPr="002A59D0">
        <w:t xml:space="preserve">A robust assumption based on historical events and </w:t>
      </w:r>
      <w:proofErr w:type="spellStart"/>
      <w:r w:rsidRPr="002A59D0">
        <w:t>behaviours</w:t>
      </w:r>
      <w:proofErr w:type="spellEnd"/>
      <w:r w:rsidRPr="002A59D0">
        <w:t xml:space="preserve"> </w:t>
      </w:r>
      <w:r w:rsidR="0047538F" w:rsidRPr="002A59D0">
        <w:t>[</w:t>
      </w:r>
      <w:r w:rsidR="00FD0DFA" w:rsidRPr="002A59D0">
        <w:t>28</w:t>
      </w:r>
      <w:r w:rsidR="0047538F" w:rsidRPr="002A59D0">
        <w:t>,</w:t>
      </w:r>
      <w:r w:rsidR="00FD0DFA" w:rsidRPr="002A59D0">
        <w:t>30</w:t>
      </w:r>
      <w:r w:rsidR="0047538F" w:rsidRPr="002A59D0">
        <w:t>]</w:t>
      </w:r>
      <w:r w:rsidRPr="002A59D0">
        <w:t xml:space="preserve"> is that future changes may reduce or reverse certain fundamental measures of the condition of global </w:t>
      </w:r>
      <w:proofErr w:type="spellStart"/>
      <w:r w:rsidRPr="002A59D0">
        <w:t>civilisation</w:t>
      </w:r>
      <w:proofErr w:type="spellEnd"/>
      <w:r w:rsidRPr="002A59D0">
        <w:t xml:space="preserve">, including (but not limited to) total energy and resource use, systemic </w:t>
      </w:r>
      <w:proofErr w:type="gramStart"/>
      <w:r w:rsidRPr="002A59D0">
        <w:t>interconnectedness</w:t>
      </w:r>
      <w:proofErr w:type="gramEnd"/>
      <w:r w:rsidRPr="002A59D0">
        <w:t xml:space="preserve"> and rate of economic growth.</w:t>
      </w:r>
      <w:r w:rsidR="008D52EA">
        <w:t xml:space="preserve"> </w:t>
      </w:r>
      <w:r w:rsidRPr="002A59D0">
        <w:t xml:space="preserve">The terminology of (sociopolitical, </w:t>
      </w:r>
      <w:proofErr w:type="gramStart"/>
      <w:r w:rsidRPr="002A59D0">
        <w:t>societal</w:t>
      </w:r>
      <w:proofErr w:type="gramEnd"/>
      <w:r w:rsidRPr="002A59D0">
        <w:t xml:space="preserve"> and technological) complexity </w:t>
      </w:r>
      <w:r w:rsidR="00273DC4">
        <w:t>[30,31</w:t>
      </w:r>
      <w:r w:rsidR="0047538F" w:rsidRPr="002A59D0">
        <w:t>]</w:t>
      </w:r>
      <w:r w:rsidRPr="002A59D0">
        <w:t xml:space="preserve"> is a useful framing that </w:t>
      </w:r>
      <w:proofErr w:type="spellStart"/>
      <w:r w:rsidRPr="002A59D0">
        <w:t>summarises</w:t>
      </w:r>
      <w:proofErr w:type="spellEnd"/>
      <w:r w:rsidRPr="002A59D0">
        <w:t xml:space="preserve"> the collective state of global human </w:t>
      </w:r>
      <w:proofErr w:type="spellStart"/>
      <w:r w:rsidRPr="002A59D0">
        <w:t>civilisation</w:t>
      </w:r>
      <w:proofErr w:type="spellEnd"/>
      <w:r w:rsidRPr="002A59D0">
        <w:t xml:space="preserve"> and allows the definition of a concept labelled as ‘de-complexification’.</w:t>
      </w:r>
    </w:p>
    <w:p w14:paraId="47651E1F" w14:textId="1F6CDFB0" w:rsidR="00886311" w:rsidRPr="002A59D0" w:rsidRDefault="00886311" w:rsidP="00277E87">
      <w:pPr>
        <w:pStyle w:val="MDPI31text"/>
      </w:pPr>
      <w:r w:rsidRPr="002A59D0">
        <w:t>‘De-complexification’ is defined as a condition in which the overall complexity of human societies at global scale would undergo a large and broad-spectrum (i.e.</w:t>
      </w:r>
      <w:r w:rsidR="00CF3497">
        <w:t>,</w:t>
      </w:r>
      <w:r w:rsidRPr="002A59D0">
        <w:t xml:space="preserve"> affecting all parts of societies, technological </w:t>
      </w:r>
      <w:proofErr w:type="gramStart"/>
      <w:r w:rsidRPr="002A59D0">
        <w:t>systems</w:t>
      </w:r>
      <w:proofErr w:type="gramEnd"/>
      <w:r w:rsidRPr="002A59D0">
        <w:t xml:space="preserve"> and environments) reduction.</w:t>
      </w:r>
      <w:r w:rsidR="008D52EA">
        <w:t xml:space="preserve"> </w:t>
      </w:r>
      <w:r w:rsidRPr="002A59D0">
        <w:t>Although this concept is central to this study, it is not defined in detailed terms</w:t>
      </w:r>
      <w:r w:rsidR="006C0ABB">
        <w:t>,</w:t>
      </w:r>
      <w:r w:rsidRPr="002A59D0">
        <w:t xml:space="preserve"> nor is </w:t>
      </w:r>
      <w:r w:rsidR="004E1728" w:rsidRPr="002A59D0">
        <w:t xml:space="preserve">it </w:t>
      </w:r>
      <w:r w:rsidRPr="002A59D0">
        <w:t>quantified.</w:t>
      </w:r>
      <w:r w:rsidR="008D52EA">
        <w:t xml:space="preserve"> </w:t>
      </w:r>
      <w:r w:rsidRPr="002A59D0">
        <w:t>Instead</w:t>
      </w:r>
      <w:r w:rsidR="006C0ABB">
        <w:t>,</w:t>
      </w:r>
      <w:r w:rsidRPr="002A59D0">
        <w:t xml:space="preserve"> it is applied as a </w:t>
      </w:r>
      <w:proofErr w:type="spellStart"/>
      <w:r w:rsidRPr="002A59D0">
        <w:t>generalised</w:t>
      </w:r>
      <w:proofErr w:type="spellEnd"/>
      <w:r w:rsidRPr="002A59D0">
        <w:t xml:space="preserve"> description that captures a slowdown, cessation or </w:t>
      </w:r>
      <w:r w:rsidRPr="002A59D0">
        <w:lastRenderedPageBreak/>
        <w:t xml:space="preserve">reversal of the trends </w:t>
      </w:r>
      <w:r w:rsidR="006C0ABB">
        <w:t xml:space="preserve">that are </w:t>
      </w:r>
      <w:r w:rsidRPr="002A59D0">
        <w:t xml:space="preserve">characteristic of recent </w:t>
      </w:r>
      <w:proofErr w:type="spellStart"/>
      <w:r w:rsidRPr="002A59D0">
        <w:t>civilisation</w:t>
      </w:r>
      <w:proofErr w:type="spellEnd"/>
      <w:r w:rsidRPr="002A59D0">
        <w:t>, notably</w:t>
      </w:r>
      <w:r w:rsidR="006C0ABB">
        <w:t>,</w:t>
      </w:r>
      <w:r w:rsidRPr="002A59D0">
        <w:t xml:space="preserve"> the exponential increases in multiple parameters</w:t>
      </w:r>
      <w:r w:rsidR="00077EC8">
        <w:t>, i.e.</w:t>
      </w:r>
      <w:r w:rsidR="00CF3497">
        <w:t>,</w:t>
      </w:r>
      <w:r w:rsidRPr="002A59D0">
        <w:t xml:space="preserve"> the ‘Great Acceleration’ </w:t>
      </w:r>
      <w:r w:rsidR="0047538F" w:rsidRPr="002A59D0">
        <w:t>[</w:t>
      </w:r>
      <w:r w:rsidR="00FD0DFA" w:rsidRPr="002A59D0">
        <w:t>2</w:t>
      </w:r>
      <w:r w:rsidR="0047538F" w:rsidRPr="002A59D0">
        <w:t>].</w:t>
      </w:r>
    </w:p>
    <w:p w14:paraId="236B4A1E" w14:textId="700AEEF3" w:rsidR="00886311" w:rsidRPr="002A59D0" w:rsidRDefault="00886311" w:rsidP="00277E87">
      <w:pPr>
        <w:pStyle w:val="MDPI31text"/>
      </w:pPr>
      <w:r w:rsidRPr="002A59D0">
        <w:t xml:space="preserve">At the </w:t>
      </w:r>
      <w:r w:rsidRPr="00E24C13">
        <w:t>highest level, the cause underlying such a ‘de-complexification’ is the nexus of trends and phenomena described in Section 1.2.</w:t>
      </w:r>
      <w:r w:rsidR="008D52EA" w:rsidRPr="00E24C13">
        <w:t xml:space="preserve"> </w:t>
      </w:r>
      <w:r w:rsidRPr="00E24C13">
        <w:t xml:space="preserve">It is not possible to be more specific about the cause(s) that </w:t>
      </w:r>
      <w:r w:rsidRPr="002A59D0">
        <w:t xml:space="preserve">could potentially result in this occurring, but some possible modes of </w:t>
      </w:r>
      <w:proofErr w:type="spellStart"/>
      <w:r w:rsidRPr="002A59D0">
        <w:t>behaviour</w:t>
      </w:r>
      <w:proofErr w:type="spellEnd"/>
      <w:r w:rsidRPr="002A59D0">
        <w:t xml:space="preserve"> for its occurrence can be described in more general terms.</w:t>
      </w:r>
      <w:r w:rsidR="008D52EA">
        <w:t xml:space="preserve"> </w:t>
      </w:r>
      <w:r w:rsidRPr="002A59D0">
        <w:t xml:space="preserve">‘De-complexification’ could feasibly occur as a discrete, short duration event </w:t>
      </w:r>
      <w:r w:rsidR="0047538F" w:rsidRPr="002A59D0">
        <w:t>[</w:t>
      </w:r>
      <w:bookmarkStart w:id="8" w:name="_Hlk74854472"/>
      <w:r w:rsidR="00FD0DFA" w:rsidRPr="002A59D0">
        <w:t>12</w:t>
      </w:r>
      <w:r w:rsidR="0047538F" w:rsidRPr="002A59D0">
        <w:t>,</w:t>
      </w:r>
      <w:r w:rsidR="00FD0DFA" w:rsidRPr="002A59D0">
        <w:t>13</w:t>
      </w:r>
      <w:bookmarkEnd w:id="8"/>
      <w:r w:rsidR="0047538F" w:rsidRPr="002A59D0">
        <w:t>]</w:t>
      </w:r>
      <w:r w:rsidR="006C0ABB">
        <w:t>;</w:t>
      </w:r>
      <w:r w:rsidRPr="002A59D0">
        <w:t xml:space="preserve"> as a more prolonged, </w:t>
      </w:r>
      <w:proofErr w:type="gramStart"/>
      <w:r w:rsidRPr="002A59D0">
        <w:t>gradual</w:t>
      </w:r>
      <w:proofErr w:type="gramEnd"/>
      <w:r w:rsidRPr="002A59D0">
        <w:t xml:space="preserve"> and long-term process </w:t>
      </w:r>
      <w:r w:rsidR="0001183F">
        <w:t>[</w:t>
      </w:r>
      <w:r w:rsidR="000C2077">
        <w:t>6</w:t>
      </w:r>
      <w:r w:rsidR="00DB2BC9">
        <w:t>3</w:t>
      </w:r>
      <w:r w:rsidR="0001183F">
        <w:t>]</w:t>
      </w:r>
      <w:r w:rsidR="006C0ABB">
        <w:t>;</w:t>
      </w:r>
      <w:r w:rsidRPr="002A59D0">
        <w:t xml:space="preserve"> or potentially as a hybrid of both these types of events.</w:t>
      </w:r>
      <w:r w:rsidR="008D52EA">
        <w:t xml:space="preserve"> </w:t>
      </w:r>
      <w:r w:rsidRPr="002A59D0">
        <w:t>These are described in more detail below:</w:t>
      </w:r>
    </w:p>
    <w:p w14:paraId="39073427" w14:textId="04E30F9D" w:rsidR="00886311" w:rsidRPr="002A59D0" w:rsidRDefault="00886311" w:rsidP="00AE21C4">
      <w:pPr>
        <w:numPr>
          <w:ilvl w:val="0"/>
          <w:numId w:val="1"/>
        </w:numPr>
        <w:adjustRightInd w:val="0"/>
        <w:snapToGrid w:val="0"/>
        <w:spacing w:before="60" w:line="228" w:lineRule="auto"/>
        <w:ind w:left="3033" w:hanging="425"/>
        <w:rPr>
          <w:rFonts w:eastAsiaTheme="minorHAnsi" w:cstheme="minorBidi"/>
          <w:noProof w:val="0"/>
          <w:color w:val="auto"/>
          <w:lang w:eastAsia="en-US"/>
        </w:rPr>
      </w:pPr>
      <w:r w:rsidRPr="002A59D0">
        <w:rPr>
          <w:rFonts w:eastAsiaTheme="minorHAnsi" w:cstheme="minorBidi"/>
          <w:noProof w:val="0"/>
          <w:color w:val="auto"/>
          <w:lang w:eastAsia="en-US"/>
        </w:rPr>
        <w:t>‘Seneca type’</w:t>
      </w:r>
      <w:r w:rsidR="00E24C13">
        <w:rPr>
          <w:rFonts w:eastAsiaTheme="minorHAnsi" w:cstheme="minorBidi"/>
          <w:noProof w:val="0"/>
          <w:color w:val="auto"/>
          <w:lang w:eastAsia="en-US"/>
        </w:rPr>
        <w:t>—</w:t>
      </w:r>
      <w:r w:rsidRPr="002A59D0">
        <w:rPr>
          <w:rFonts w:eastAsiaTheme="minorHAnsi" w:cstheme="minorBidi"/>
          <w:noProof w:val="0"/>
          <w:color w:val="auto"/>
          <w:lang w:eastAsia="en-US"/>
        </w:rPr>
        <w:t>this would likely result from a discrete initiation event or phase for which there are no significant signals of the coming disruption and would lead to a rapid and profound ‘de-complexification’ (potentially on the order of &lt;1 year</w:t>
      </w:r>
      <w:r w:rsidR="006B5DE2" w:rsidRPr="006B5DE2">
        <w:rPr>
          <w:rFonts w:eastAsiaTheme="minorHAnsi" w:cstheme="minorBidi"/>
          <w:noProof w:val="0"/>
          <w:color w:val="auto"/>
          <w:highlight w:val="yellow"/>
          <w:lang w:eastAsia="en-US"/>
        </w:rPr>
        <w:t>–</w:t>
      </w:r>
      <w:r w:rsidRPr="002A59D0">
        <w:rPr>
          <w:rFonts w:eastAsiaTheme="minorHAnsi" w:cstheme="minorBidi"/>
          <w:noProof w:val="0"/>
          <w:color w:val="auto"/>
          <w:lang w:eastAsia="en-US"/>
        </w:rPr>
        <w:t xml:space="preserve">years timescales) </w:t>
      </w:r>
      <w:r w:rsidR="00A40141" w:rsidRPr="002A59D0">
        <w:rPr>
          <w:rFonts w:eastAsiaTheme="minorHAnsi" w:cstheme="minorBidi"/>
          <w:noProof w:val="0"/>
          <w:color w:val="auto"/>
          <w:lang w:eastAsia="en-US"/>
        </w:rPr>
        <w:t>[</w:t>
      </w:r>
      <w:r w:rsidR="00FD0DFA" w:rsidRPr="002A59D0">
        <w:rPr>
          <w:noProof w:val="0"/>
        </w:rPr>
        <w:t>12</w:t>
      </w:r>
      <w:r w:rsidR="00A40141" w:rsidRPr="002A59D0">
        <w:rPr>
          <w:noProof w:val="0"/>
        </w:rPr>
        <w:t>,</w:t>
      </w:r>
      <w:r w:rsidR="00FD0DFA" w:rsidRPr="002A59D0">
        <w:rPr>
          <w:noProof w:val="0"/>
        </w:rPr>
        <w:t>13</w:t>
      </w:r>
      <w:r w:rsidR="00A40141" w:rsidRPr="002A59D0">
        <w:rPr>
          <w:noProof w:val="0"/>
        </w:rPr>
        <w:t>].</w:t>
      </w:r>
    </w:p>
    <w:p w14:paraId="64687C88" w14:textId="6E1F62CC" w:rsidR="00886311" w:rsidRPr="002A59D0" w:rsidRDefault="00886311" w:rsidP="00AE21C4">
      <w:pPr>
        <w:numPr>
          <w:ilvl w:val="0"/>
          <w:numId w:val="1"/>
        </w:numPr>
        <w:adjustRightInd w:val="0"/>
        <w:snapToGrid w:val="0"/>
        <w:spacing w:line="228" w:lineRule="auto"/>
        <w:ind w:left="3033" w:hanging="425"/>
        <w:rPr>
          <w:rFonts w:eastAsiaTheme="minorHAnsi" w:cstheme="minorBidi"/>
          <w:noProof w:val="0"/>
          <w:color w:val="auto"/>
          <w:lang w:eastAsia="en-US"/>
        </w:rPr>
      </w:pPr>
      <w:r w:rsidRPr="002A59D0">
        <w:rPr>
          <w:rFonts w:eastAsiaTheme="minorHAnsi" w:cstheme="minorBidi"/>
          <w:noProof w:val="0"/>
          <w:color w:val="auto"/>
          <w:lang w:eastAsia="en-US"/>
        </w:rPr>
        <w:t>‘</w:t>
      </w:r>
      <w:bookmarkStart w:id="9" w:name="_Hlk70958211"/>
      <w:r w:rsidRPr="002A59D0">
        <w:rPr>
          <w:rFonts w:eastAsiaTheme="minorHAnsi" w:cstheme="minorBidi"/>
          <w:noProof w:val="0"/>
          <w:color w:val="auto"/>
          <w:lang w:eastAsia="en-US"/>
        </w:rPr>
        <w:t xml:space="preserve">Long descent </w:t>
      </w:r>
      <w:bookmarkEnd w:id="9"/>
      <w:r w:rsidRPr="002A59D0">
        <w:rPr>
          <w:rFonts w:eastAsiaTheme="minorHAnsi" w:cstheme="minorBidi"/>
          <w:noProof w:val="0"/>
          <w:color w:val="auto"/>
          <w:lang w:eastAsia="en-US"/>
        </w:rPr>
        <w:t xml:space="preserve">type’– this would likely result from a combination </w:t>
      </w:r>
      <w:r w:rsidR="006C0ABB">
        <w:rPr>
          <w:rFonts w:eastAsiaTheme="minorHAnsi" w:cstheme="minorBidi"/>
          <w:noProof w:val="0"/>
          <w:color w:val="auto"/>
          <w:lang w:eastAsia="en-US"/>
        </w:rPr>
        <w:t>of</w:t>
      </w:r>
      <w:r w:rsidRPr="002A59D0">
        <w:rPr>
          <w:rFonts w:eastAsiaTheme="minorHAnsi" w:cstheme="minorBidi"/>
          <w:noProof w:val="0"/>
          <w:color w:val="auto"/>
          <w:lang w:eastAsia="en-US"/>
        </w:rPr>
        <w:t xml:space="preserve"> factors over a longer </w:t>
      </w:r>
      <w:proofErr w:type="gramStart"/>
      <w:r w:rsidRPr="002A59D0">
        <w:rPr>
          <w:rFonts w:eastAsiaTheme="minorHAnsi" w:cstheme="minorBidi"/>
          <w:noProof w:val="0"/>
          <w:color w:val="auto"/>
          <w:lang w:eastAsia="en-US"/>
        </w:rPr>
        <w:t>time period</w:t>
      </w:r>
      <w:proofErr w:type="gramEnd"/>
      <w:r w:rsidRPr="002A59D0">
        <w:rPr>
          <w:rFonts w:eastAsiaTheme="minorHAnsi" w:cstheme="minorBidi"/>
          <w:noProof w:val="0"/>
          <w:color w:val="auto"/>
          <w:lang w:eastAsia="en-US"/>
        </w:rPr>
        <w:t xml:space="preserve">, </w:t>
      </w:r>
      <w:r w:rsidR="006C0ABB">
        <w:rPr>
          <w:rFonts w:eastAsiaTheme="minorHAnsi" w:cstheme="minorBidi"/>
          <w:noProof w:val="0"/>
          <w:color w:val="auto"/>
          <w:lang w:eastAsia="en-US"/>
        </w:rPr>
        <w:t xml:space="preserve">and </w:t>
      </w:r>
      <w:r w:rsidRPr="002A59D0">
        <w:rPr>
          <w:rFonts w:eastAsiaTheme="minorHAnsi" w:cstheme="minorBidi"/>
          <w:noProof w:val="0"/>
          <w:color w:val="auto"/>
          <w:lang w:eastAsia="en-US"/>
        </w:rPr>
        <w:t>so would not be attributable to a singular initiation event and would likely be more gradual and incremental in nature (potentially on the order of years</w:t>
      </w:r>
      <w:r w:rsidR="006B5DE2" w:rsidRPr="006B5DE2">
        <w:rPr>
          <w:rFonts w:eastAsiaTheme="minorHAnsi" w:cstheme="minorBidi"/>
          <w:noProof w:val="0"/>
          <w:color w:val="auto"/>
          <w:highlight w:val="yellow"/>
          <w:lang w:eastAsia="en-US"/>
        </w:rPr>
        <w:t>–</w:t>
      </w:r>
      <w:r w:rsidRPr="002A59D0">
        <w:rPr>
          <w:rFonts w:eastAsiaTheme="minorHAnsi" w:cstheme="minorBidi"/>
          <w:noProof w:val="0"/>
          <w:color w:val="auto"/>
          <w:lang w:eastAsia="en-US"/>
        </w:rPr>
        <w:t xml:space="preserve">decades timescales) </w:t>
      </w:r>
      <w:r w:rsidR="00A40141" w:rsidRPr="002A59D0">
        <w:rPr>
          <w:rFonts w:eastAsiaTheme="minorHAnsi" w:cstheme="minorBidi"/>
          <w:noProof w:val="0"/>
          <w:color w:val="auto"/>
          <w:lang w:eastAsia="en-US"/>
        </w:rPr>
        <w:t>[</w:t>
      </w:r>
      <w:r w:rsidR="00E05BEA" w:rsidRPr="00E05BEA">
        <w:rPr>
          <w:rFonts w:eastAsiaTheme="minorHAnsi" w:cstheme="minorBidi"/>
          <w:noProof w:val="0"/>
          <w:color w:val="auto"/>
          <w:lang w:eastAsia="en-US"/>
        </w:rPr>
        <w:t>6</w:t>
      </w:r>
      <w:r w:rsidR="00DB2BC9">
        <w:rPr>
          <w:rFonts w:eastAsiaTheme="minorHAnsi" w:cstheme="minorBidi"/>
          <w:noProof w:val="0"/>
          <w:color w:val="auto"/>
          <w:lang w:eastAsia="en-US"/>
        </w:rPr>
        <w:t>3</w:t>
      </w:r>
      <w:r w:rsidR="00A40141" w:rsidRPr="002A59D0">
        <w:rPr>
          <w:rFonts w:eastAsiaTheme="minorHAnsi" w:cstheme="minorBidi"/>
          <w:noProof w:val="0"/>
          <w:color w:val="auto"/>
          <w:lang w:eastAsia="en-US"/>
        </w:rPr>
        <w:t>]</w:t>
      </w:r>
      <w:r w:rsidRPr="002A59D0">
        <w:rPr>
          <w:rFonts w:eastAsiaTheme="minorHAnsi" w:cstheme="minorBidi"/>
          <w:noProof w:val="0"/>
          <w:color w:val="auto"/>
          <w:lang w:eastAsia="en-US"/>
        </w:rPr>
        <w:t>.</w:t>
      </w:r>
    </w:p>
    <w:p w14:paraId="177E485F" w14:textId="77777777" w:rsidR="00886311" w:rsidRPr="002A59D0" w:rsidRDefault="00886311" w:rsidP="00AE21C4">
      <w:pPr>
        <w:numPr>
          <w:ilvl w:val="0"/>
          <w:numId w:val="1"/>
        </w:numPr>
        <w:adjustRightInd w:val="0"/>
        <w:snapToGrid w:val="0"/>
        <w:spacing w:after="60" w:line="228" w:lineRule="auto"/>
        <w:ind w:left="3033" w:hanging="425"/>
        <w:rPr>
          <w:rFonts w:eastAsiaTheme="minorHAnsi" w:cstheme="minorBidi"/>
          <w:noProof w:val="0"/>
          <w:color w:val="auto"/>
          <w:lang w:eastAsia="en-US"/>
        </w:rPr>
      </w:pPr>
      <w:r w:rsidRPr="002A59D0">
        <w:rPr>
          <w:rFonts w:eastAsiaTheme="minorHAnsi" w:cstheme="minorBidi"/>
          <w:noProof w:val="0"/>
          <w:color w:val="auto"/>
          <w:lang w:eastAsia="en-US"/>
        </w:rPr>
        <w:t xml:space="preserve">A ‘hybrid’ of these might be ‘de-complexification’ with a prolonged, </w:t>
      </w:r>
      <w:proofErr w:type="gramStart"/>
      <w:r w:rsidRPr="002A59D0">
        <w:rPr>
          <w:rFonts w:eastAsiaTheme="minorHAnsi" w:cstheme="minorBidi"/>
          <w:noProof w:val="0"/>
          <w:color w:val="auto"/>
          <w:lang w:eastAsia="en-US"/>
        </w:rPr>
        <w:t>gradual</w:t>
      </w:r>
      <w:proofErr w:type="gramEnd"/>
      <w:r w:rsidRPr="002A59D0">
        <w:rPr>
          <w:rFonts w:eastAsiaTheme="minorHAnsi" w:cstheme="minorBidi"/>
          <w:noProof w:val="0"/>
          <w:color w:val="auto"/>
          <w:lang w:eastAsia="en-US"/>
        </w:rPr>
        <w:t xml:space="preserve"> and non-discrete initiation but which accelerates through the emergence of factors that gain a ‘momentum’ through gradually strengthening enhancing feedback mechanisms and/or cascading events, leading eventually to an abrupt ‘Seneca type’ event that results in the loss of remaining complexity.</w:t>
      </w:r>
    </w:p>
    <w:p w14:paraId="6FE370AA" w14:textId="451E1B61" w:rsidR="00886311" w:rsidRPr="002A59D0" w:rsidRDefault="00886311" w:rsidP="00277E87">
      <w:pPr>
        <w:pStyle w:val="MDPI31text"/>
        <w:rPr>
          <w:rFonts w:eastAsiaTheme="minorHAnsi"/>
        </w:rPr>
      </w:pPr>
      <w:r w:rsidRPr="002A59D0">
        <w:rPr>
          <w:rFonts w:eastAsiaTheme="minorHAnsi"/>
        </w:rPr>
        <w:t xml:space="preserve">Any ‘de-complexification process’, whether abrupt in duration or </w:t>
      </w:r>
      <w:proofErr w:type="gramStart"/>
      <w:r w:rsidRPr="002A59D0">
        <w:rPr>
          <w:rFonts w:eastAsiaTheme="minorHAnsi"/>
        </w:rPr>
        <w:t>as a result of</w:t>
      </w:r>
      <w:proofErr w:type="gramEnd"/>
      <w:r w:rsidRPr="002A59D0">
        <w:rPr>
          <w:rFonts w:eastAsiaTheme="minorHAnsi"/>
        </w:rPr>
        <w:t xml:space="preserve"> a more prolonged reduction, would likely be heterogeneous in its progression.</w:t>
      </w:r>
      <w:r w:rsidR="008D52EA">
        <w:rPr>
          <w:rFonts w:eastAsiaTheme="minorHAnsi"/>
        </w:rPr>
        <w:t xml:space="preserve"> </w:t>
      </w:r>
      <w:r w:rsidRPr="002A59D0">
        <w:rPr>
          <w:rFonts w:eastAsiaTheme="minorHAnsi"/>
        </w:rPr>
        <w:t xml:space="preserve">Neither the nature of any such changes, nor the </w:t>
      </w:r>
      <w:proofErr w:type="spellStart"/>
      <w:r w:rsidRPr="002A59D0">
        <w:rPr>
          <w:rFonts w:eastAsiaTheme="minorHAnsi"/>
        </w:rPr>
        <w:t>behaviour</w:t>
      </w:r>
      <w:proofErr w:type="spellEnd"/>
      <w:r w:rsidRPr="002A59D0">
        <w:rPr>
          <w:rFonts w:eastAsiaTheme="minorHAnsi"/>
        </w:rPr>
        <w:t xml:space="preserve"> of human and natural systems during any such period of disruption can be predicted</w:t>
      </w:r>
      <w:r w:rsidR="00E62D3F" w:rsidRPr="002A59D0">
        <w:rPr>
          <w:rFonts w:eastAsiaTheme="minorHAnsi"/>
        </w:rPr>
        <w:t xml:space="preserve"> at any spatial or temporal resolution</w:t>
      </w:r>
      <w:r w:rsidRPr="002A59D0">
        <w:rPr>
          <w:rFonts w:eastAsiaTheme="minorHAnsi"/>
        </w:rPr>
        <w:t xml:space="preserve">, but some broad assumptions about possible system </w:t>
      </w:r>
      <w:proofErr w:type="spellStart"/>
      <w:r w:rsidRPr="002A59D0">
        <w:rPr>
          <w:rFonts w:eastAsiaTheme="minorHAnsi"/>
        </w:rPr>
        <w:t>behaviours</w:t>
      </w:r>
      <w:proofErr w:type="spellEnd"/>
      <w:r w:rsidRPr="002A59D0">
        <w:rPr>
          <w:rFonts w:eastAsiaTheme="minorHAnsi"/>
        </w:rPr>
        <w:t xml:space="preserve"> and end states can be considered.</w:t>
      </w:r>
      <w:r w:rsidR="008D52EA">
        <w:rPr>
          <w:rFonts w:eastAsiaTheme="minorHAnsi"/>
        </w:rPr>
        <w:t xml:space="preserve"> </w:t>
      </w:r>
      <w:r w:rsidRPr="002A59D0">
        <w:rPr>
          <w:rFonts w:eastAsiaTheme="minorHAnsi"/>
        </w:rPr>
        <w:t>The severity and consequences of this reduction would be highly dependent on multiple complex factors such as the exact starting conditions at the initiation of ‘de-complexification’.</w:t>
      </w:r>
      <w:r w:rsidR="008D52EA">
        <w:rPr>
          <w:rFonts w:eastAsiaTheme="minorHAnsi"/>
        </w:rPr>
        <w:t xml:space="preserve"> </w:t>
      </w:r>
      <w:r w:rsidRPr="002A59D0">
        <w:rPr>
          <w:rFonts w:eastAsiaTheme="minorHAnsi"/>
        </w:rPr>
        <w:t>This process can</w:t>
      </w:r>
      <w:r w:rsidR="006C0ABB">
        <w:rPr>
          <w:rFonts w:eastAsiaTheme="minorHAnsi"/>
        </w:rPr>
        <w:t>,</w:t>
      </w:r>
      <w:r w:rsidRPr="002A59D0">
        <w:rPr>
          <w:rFonts w:eastAsiaTheme="minorHAnsi"/>
        </w:rPr>
        <w:t xml:space="preserve"> however</w:t>
      </w:r>
      <w:r w:rsidR="006C0ABB">
        <w:rPr>
          <w:rFonts w:eastAsiaTheme="minorHAnsi"/>
        </w:rPr>
        <w:t>,</w:t>
      </w:r>
      <w:r w:rsidRPr="002A59D0">
        <w:rPr>
          <w:rFonts w:eastAsiaTheme="minorHAnsi"/>
        </w:rPr>
        <w:t xml:space="preserve"> generally be assumed to result in significant changes to the fundamental extant </w:t>
      </w:r>
      <w:proofErr w:type="spellStart"/>
      <w:r w:rsidRPr="002A59D0">
        <w:rPr>
          <w:rFonts w:eastAsiaTheme="minorHAnsi"/>
        </w:rPr>
        <w:t>organising</w:t>
      </w:r>
      <w:proofErr w:type="spellEnd"/>
      <w:r w:rsidRPr="002A59D0">
        <w:rPr>
          <w:rFonts w:eastAsiaTheme="minorHAnsi"/>
        </w:rPr>
        <w:t xml:space="preserve"> principles of global societies and</w:t>
      </w:r>
      <w:r w:rsidR="006C0ABB">
        <w:rPr>
          <w:rFonts w:eastAsiaTheme="minorHAnsi"/>
        </w:rPr>
        <w:t>,</w:t>
      </w:r>
      <w:r w:rsidRPr="002A59D0">
        <w:rPr>
          <w:rFonts w:eastAsiaTheme="minorHAnsi"/>
        </w:rPr>
        <w:t xml:space="preserve"> likely</w:t>
      </w:r>
      <w:r w:rsidR="006C0ABB">
        <w:rPr>
          <w:rFonts w:eastAsiaTheme="minorHAnsi"/>
        </w:rPr>
        <w:t>,</w:t>
      </w:r>
      <w:r w:rsidRPr="002A59D0">
        <w:rPr>
          <w:rFonts w:eastAsiaTheme="minorHAnsi"/>
        </w:rPr>
        <w:t xml:space="preserve"> </w:t>
      </w:r>
      <w:r w:rsidR="006C0ABB">
        <w:rPr>
          <w:rFonts w:eastAsiaTheme="minorHAnsi"/>
        </w:rPr>
        <w:t xml:space="preserve">the </w:t>
      </w:r>
      <w:r w:rsidRPr="002A59D0">
        <w:rPr>
          <w:rFonts w:eastAsiaTheme="minorHAnsi"/>
        </w:rPr>
        <w:t>greatly reduced availability of energy and resources, systemic interconnectivity, mobility and size and distribution of populations (i.e.</w:t>
      </w:r>
      <w:r w:rsidR="00CF3497">
        <w:rPr>
          <w:rFonts w:eastAsiaTheme="minorHAnsi"/>
        </w:rPr>
        <w:t>,</w:t>
      </w:r>
      <w:r w:rsidRPr="002A59D0">
        <w:rPr>
          <w:rFonts w:eastAsiaTheme="minorHAnsi"/>
        </w:rPr>
        <w:t xml:space="preserve"> up to the severe ‘catastrophe trajectories’ </w:t>
      </w:r>
      <w:r w:rsidR="0001183F">
        <w:rPr>
          <w:rFonts w:eastAsiaTheme="minorHAnsi"/>
        </w:rPr>
        <w:t>[</w:t>
      </w:r>
      <w:r w:rsidR="000C2077">
        <w:rPr>
          <w:rFonts w:eastAsiaTheme="minorHAnsi" w:cstheme="minorBidi"/>
          <w:color w:val="auto"/>
          <w:lang w:eastAsia="en-US"/>
        </w:rPr>
        <w:t>6</w:t>
      </w:r>
      <w:r w:rsidR="00A9271C">
        <w:rPr>
          <w:rFonts w:eastAsiaTheme="minorHAnsi" w:cstheme="minorBidi"/>
          <w:color w:val="auto"/>
          <w:lang w:eastAsia="en-US"/>
        </w:rPr>
        <w:t>4</w:t>
      </w:r>
      <w:r w:rsidR="0001183F">
        <w:rPr>
          <w:rFonts w:eastAsiaTheme="minorHAnsi" w:cstheme="minorBidi"/>
          <w:color w:val="auto"/>
          <w:lang w:eastAsia="en-US"/>
        </w:rPr>
        <w:t>]</w:t>
      </w:r>
      <w:r w:rsidR="00A40141" w:rsidRPr="002A59D0">
        <w:rPr>
          <w:rFonts w:eastAsiaTheme="minorHAnsi"/>
        </w:rPr>
        <w:t>)</w:t>
      </w:r>
      <w:r w:rsidRPr="002A59D0">
        <w:rPr>
          <w:rFonts w:eastAsiaTheme="minorHAnsi"/>
        </w:rPr>
        <w:t>.</w:t>
      </w:r>
    </w:p>
    <w:p w14:paraId="036619EE" w14:textId="2C1FB793" w:rsidR="00886311" w:rsidRPr="008F7883" w:rsidRDefault="008F7883" w:rsidP="008F7883">
      <w:pPr>
        <w:pStyle w:val="MDPI23heading3"/>
        <w:spacing w:before="240"/>
      </w:pPr>
      <w:r w:rsidRPr="008F7883">
        <w:t>1.3.2. ‘</w:t>
      </w:r>
      <w:r w:rsidR="00886311" w:rsidRPr="008F7883">
        <w:t xml:space="preserve">Nodes of </w:t>
      </w:r>
      <w:r w:rsidR="00112244" w:rsidRPr="008F7883">
        <w:t>Persisting Complexity’</w:t>
      </w:r>
    </w:p>
    <w:p w14:paraId="7EFD6FC9" w14:textId="20FA0A04" w:rsidR="00886311" w:rsidRPr="002A59D0" w:rsidRDefault="00886311" w:rsidP="00277E87">
      <w:pPr>
        <w:pStyle w:val="MDPI31text"/>
      </w:pPr>
      <w:r w:rsidRPr="002A59D0">
        <w:t>Building on ‘de-complexification’, this study introduces the concept of the ‘node of persisting complexity’ as a distinct alternative to the ‘lifeboats’ concept.</w:t>
      </w:r>
      <w:r w:rsidR="008D52EA">
        <w:t xml:space="preserve"> </w:t>
      </w:r>
      <w:r w:rsidRPr="002A59D0">
        <w:t>This is of importance because the term ‘lifeboat’ has the potential for controversy and to be politically charged due to potential for links with narratives related to future immigration controls and nationalism.</w:t>
      </w:r>
      <w:r w:rsidR="008D52EA">
        <w:t xml:space="preserve"> </w:t>
      </w:r>
      <w:r w:rsidRPr="002A59D0">
        <w:t xml:space="preserve">This study instead seeks to explore possible and likely (qualitative) system </w:t>
      </w:r>
      <w:proofErr w:type="spellStart"/>
      <w:r w:rsidRPr="002A59D0">
        <w:t>behaviour</w:t>
      </w:r>
      <w:proofErr w:type="spellEnd"/>
      <w:r w:rsidRPr="002A59D0">
        <w:t xml:space="preserve"> arising from a global ‘de-complexification’ event.</w:t>
      </w:r>
    </w:p>
    <w:p w14:paraId="02319BE8" w14:textId="72D755B7" w:rsidR="00886311" w:rsidRPr="002A59D0" w:rsidRDefault="00886311" w:rsidP="00277E87">
      <w:pPr>
        <w:pStyle w:val="MDPI31text"/>
      </w:pPr>
      <w:r w:rsidRPr="002A59D0">
        <w:t xml:space="preserve">This will be based on </w:t>
      </w:r>
      <w:r w:rsidR="004E1728" w:rsidRPr="002A59D0">
        <w:t xml:space="preserve">a </w:t>
      </w:r>
      <w:r w:rsidRPr="002A59D0">
        <w:t>consideration of what geographical locations (nations) may retain some level of complexity (i.e.</w:t>
      </w:r>
      <w:r w:rsidR="00CF3497">
        <w:t>,</w:t>
      </w:r>
      <w:r w:rsidRPr="002A59D0">
        <w:t xml:space="preserve"> an appreciable fraction of current levels) during and after a ‘de-complexification’ event (i.e.</w:t>
      </w:r>
      <w:r w:rsidR="00CF3497">
        <w:t>,</w:t>
      </w:r>
      <w:r w:rsidRPr="002A59D0">
        <w:t xml:space="preserve"> to become ‘nodes of persisting complexity’).</w:t>
      </w:r>
      <w:r w:rsidR="008D52EA">
        <w:t xml:space="preserve"> </w:t>
      </w:r>
      <w:r w:rsidRPr="002A59D0">
        <w:t>This will require that several different characteristics and factors (labelled as ‘</w:t>
      </w:r>
      <w:proofErr w:type="spellStart"/>
      <w:r w:rsidRPr="002A59D0">
        <w:t>favourable</w:t>
      </w:r>
      <w:proofErr w:type="spellEnd"/>
      <w:r w:rsidRPr="002A59D0">
        <w:t xml:space="preserve"> starting conditions’) be considered in conjunction, </w:t>
      </w:r>
      <w:proofErr w:type="gramStart"/>
      <w:r w:rsidRPr="002A59D0">
        <w:t>in order to</w:t>
      </w:r>
      <w:proofErr w:type="gramEnd"/>
      <w:r w:rsidRPr="002A59D0">
        <w:t xml:space="preserve"> identify the areas that have the highest likelihood of retaining complexity during the course of a global evolution to an overall less complex state.</w:t>
      </w:r>
      <w:r w:rsidR="008D52EA">
        <w:t xml:space="preserve"> </w:t>
      </w:r>
      <w:r w:rsidRPr="002A59D0">
        <w:t>It is noted that the nature of complex systems means that the final system states (i.e.</w:t>
      </w:r>
      <w:r w:rsidR="00CF3497">
        <w:t>,</w:t>
      </w:r>
      <w:r w:rsidRPr="002A59D0">
        <w:t xml:space="preserve"> after a global ‘de-complexification’ event) cannot be predicted with any degree of certainty or granularity.</w:t>
      </w:r>
      <w:r w:rsidR="008D52EA">
        <w:t xml:space="preserve"> </w:t>
      </w:r>
      <w:r w:rsidRPr="002A59D0">
        <w:t xml:space="preserve">However, </w:t>
      </w:r>
      <w:r w:rsidR="00F70EB1">
        <w:t xml:space="preserve">the </w:t>
      </w:r>
      <w:r w:rsidRPr="002A59D0">
        <w:t>initial starting conditions can have a significant influence on final system states, so ‘</w:t>
      </w:r>
      <w:proofErr w:type="spellStart"/>
      <w:r w:rsidRPr="002A59D0">
        <w:t>favourable</w:t>
      </w:r>
      <w:proofErr w:type="spellEnd"/>
      <w:r w:rsidRPr="002A59D0">
        <w:t xml:space="preserve"> starting conditions’ </w:t>
      </w:r>
      <w:proofErr w:type="gramStart"/>
      <w:r w:rsidRPr="002A59D0">
        <w:t>are considered to be</w:t>
      </w:r>
      <w:proofErr w:type="gramEnd"/>
      <w:r w:rsidRPr="002A59D0">
        <w:t xml:space="preserve"> a reasonable metric for this study.</w:t>
      </w:r>
    </w:p>
    <w:p w14:paraId="061A5F25" w14:textId="2F0D280A" w:rsidR="00886311" w:rsidRPr="002A59D0" w:rsidRDefault="00886311" w:rsidP="00277E87">
      <w:pPr>
        <w:pStyle w:val="MDPI31text"/>
      </w:pPr>
      <w:r w:rsidRPr="002A59D0">
        <w:lastRenderedPageBreak/>
        <w:t>The central underpinning concept of this study therefore differs from the conjecture in other studies that certain locations may be ‘preserved’ as lifeboats through deliberate action (i.e.</w:t>
      </w:r>
      <w:r w:rsidR="00CF3497">
        <w:t>,</w:t>
      </w:r>
      <w:r w:rsidRPr="002A59D0">
        <w:t xml:space="preserve"> by governments or other groups).</w:t>
      </w:r>
      <w:r w:rsidR="008D52EA">
        <w:t xml:space="preserve"> </w:t>
      </w:r>
      <w:r w:rsidRPr="002A59D0">
        <w:t xml:space="preserve">Instead, the formation of any ‘node of persisting complexity’ would be through system </w:t>
      </w:r>
      <w:proofErr w:type="spellStart"/>
      <w:r w:rsidRPr="002A59D0">
        <w:t>behaviour</w:t>
      </w:r>
      <w:proofErr w:type="spellEnd"/>
      <w:r w:rsidRPr="002A59D0">
        <w:t xml:space="preserve"> arising from certain starting conditions</w:t>
      </w:r>
      <w:r w:rsidR="00F70EB1">
        <w:t>,</w:t>
      </w:r>
      <w:r w:rsidRPr="002A59D0">
        <w:t xml:space="preserve"> i.e.</w:t>
      </w:r>
      <w:r w:rsidR="00CF3497">
        <w:t>,</w:t>
      </w:r>
      <w:r w:rsidRPr="002A59D0">
        <w:t xml:space="preserve"> is an analysis of an evolutionary process that would occur largely outside of direct human control.</w:t>
      </w:r>
      <w:r w:rsidR="008D52EA">
        <w:t xml:space="preserve"> </w:t>
      </w:r>
      <w:r w:rsidRPr="002A59D0">
        <w:t xml:space="preserve">This description has some similarities with the ‘Regenerative Bioregions’ concept </w:t>
      </w:r>
      <w:r w:rsidR="0001183F">
        <w:t>[</w:t>
      </w:r>
      <w:r w:rsidR="000C2077">
        <w:t>6</w:t>
      </w:r>
      <w:r w:rsidR="00A9271C">
        <w:t>5</w:t>
      </w:r>
      <w:r w:rsidR="0001183F">
        <w:t>]</w:t>
      </w:r>
      <w:r w:rsidRPr="002A59D0">
        <w:t xml:space="preserve"> in which future </w:t>
      </w:r>
      <w:proofErr w:type="spellStart"/>
      <w:r w:rsidRPr="002A59D0">
        <w:t>localised</w:t>
      </w:r>
      <w:proofErr w:type="spellEnd"/>
      <w:r w:rsidRPr="002A59D0">
        <w:t xml:space="preserve"> populations may persist through their overall biophysical demands matching regional ecological conditions and carrying capacities.</w:t>
      </w:r>
    </w:p>
    <w:p w14:paraId="3CC0BA20" w14:textId="74CA78E4" w:rsidR="00886311" w:rsidRPr="002A59D0" w:rsidRDefault="0062780A" w:rsidP="00277E87">
      <w:pPr>
        <w:pStyle w:val="MDPI21heading1"/>
      </w:pPr>
      <w:r>
        <w:t>2</w:t>
      </w:r>
      <w:r w:rsidR="00277E87">
        <w:t xml:space="preserve">. </w:t>
      </w:r>
      <w:r w:rsidR="00886311" w:rsidRPr="002A59D0">
        <w:t xml:space="preserve">Materials and </w:t>
      </w:r>
      <w:r w:rsidR="00112244" w:rsidRPr="002A59D0">
        <w:t>Methods</w:t>
      </w:r>
    </w:p>
    <w:p w14:paraId="48B1337E" w14:textId="2E069F8D" w:rsidR="00886311" w:rsidRPr="00277E87" w:rsidRDefault="0062780A" w:rsidP="00277E87">
      <w:pPr>
        <w:pStyle w:val="MDPI22heading2"/>
      </w:pPr>
      <w:r>
        <w:t>2</w:t>
      </w:r>
      <w:r w:rsidR="00277E87" w:rsidRPr="00277E87">
        <w:t xml:space="preserve">.1. </w:t>
      </w:r>
      <w:r w:rsidR="00886311" w:rsidRPr="00277E87">
        <w:t xml:space="preserve">Aim and </w:t>
      </w:r>
      <w:r w:rsidR="00112244" w:rsidRPr="00277E87">
        <w:t>Objective</w:t>
      </w:r>
    </w:p>
    <w:p w14:paraId="5140AE2D" w14:textId="3CFD51DB" w:rsidR="00886311" w:rsidRPr="002A59D0" w:rsidRDefault="00886311" w:rsidP="00277E87">
      <w:pPr>
        <w:pStyle w:val="MDPI31text"/>
      </w:pPr>
      <w:r w:rsidRPr="002A59D0">
        <w:t>The aim of this study is to identify a shortlist of nations that have natural and anthropogenic ‘</w:t>
      </w:r>
      <w:proofErr w:type="spellStart"/>
      <w:r w:rsidRPr="002A59D0">
        <w:t>favourable</w:t>
      </w:r>
      <w:proofErr w:type="spellEnd"/>
      <w:r w:rsidRPr="002A59D0">
        <w:t xml:space="preserve"> starting conditions’ such that they may </w:t>
      </w:r>
      <w:r w:rsidR="00E62D3F" w:rsidRPr="002A59D0">
        <w:t>have a propensity to form</w:t>
      </w:r>
      <w:r w:rsidRPr="002A59D0">
        <w:t xml:space="preserve"> ‘nodes of persisting complexity’ in a hypothetical future global ‘de-complexification’ event.</w:t>
      </w:r>
      <w:r w:rsidR="00E62D3F" w:rsidRPr="002A59D0">
        <w:t xml:space="preserve"> </w:t>
      </w:r>
      <w:r w:rsidRPr="002A59D0">
        <w:t>The objectives are to:</w:t>
      </w:r>
    </w:p>
    <w:p w14:paraId="3966E14B" w14:textId="267A1461" w:rsidR="00886311" w:rsidRPr="002A59D0" w:rsidRDefault="00886311" w:rsidP="00AE21C4">
      <w:pPr>
        <w:numPr>
          <w:ilvl w:val="0"/>
          <w:numId w:val="2"/>
        </w:numPr>
        <w:adjustRightInd w:val="0"/>
        <w:snapToGrid w:val="0"/>
        <w:spacing w:before="60" w:line="228" w:lineRule="auto"/>
        <w:ind w:left="3033" w:hanging="425"/>
        <w:rPr>
          <w:rFonts w:eastAsiaTheme="minorHAnsi" w:cstheme="minorBidi"/>
          <w:noProof w:val="0"/>
          <w:color w:val="auto"/>
          <w:lang w:eastAsia="en-US"/>
        </w:rPr>
      </w:pPr>
      <w:r w:rsidRPr="002A59D0">
        <w:rPr>
          <w:rFonts w:eastAsiaTheme="minorHAnsi" w:cstheme="minorBidi"/>
          <w:noProof w:val="0"/>
          <w:color w:val="auto"/>
          <w:lang w:eastAsia="en-US"/>
        </w:rPr>
        <w:t xml:space="preserve">Define and apply a simple semi-quantitative methodology to </w:t>
      </w:r>
      <w:r w:rsidR="005313DE" w:rsidRPr="002A59D0">
        <w:rPr>
          <w:rFonts w:eastAsiaTheme="minorHAnsi" w:cstheme="minorBidi"/>
          <w:noProof w:val="0"/>
          <w:color w:val="auto"/>
          <w:lang w:eastAsia="en-US"/>
        </w:rPr>
        <w:t xml:space="preserve">screen an existing dataset of nations in order to generate </w:t>
      </w:r>
      <w:r w:rsidRPr="002A59D0">
        <w:rPr>
          <w:rFonts w:eastAsiaTheme="minorHAnsi" w:cstheme="minorBidi"/>
          <w:noProof w:val="0"/>
          <w:color w:val="auto"/>
          <w:lang w:eastAsia="en-US"/>
        </w:rPr>
        <w:t>a ‘shortlist’</w:t>
      </w:r>
      <w:r w:rsidR="005313DE" w:rsidRPr="002A59D0">
        <w:rPr>
          <w:rFonts w:eastAsiaTheme="minorHAnsi" w:cstheme="minorBidi"/>
          <w:noProof w:val="0"/>
          <w:color w:val="auto"/>
          <w:lang w:eastAsia="en-US"/>
        </w:rPr>
        <w:t xml:space="preserve"> </w:t>
      </w:r>
      <w:r w:rsidR="00F70EB1">
        <w:rPr>
          <w:rFonts w:eastAsiaTheme="minorHAnsi" w:cstheme="minorBidi"/>
          <w:noProof w:val="0"/>
          <w:color w:val="auto"/>
          <w:lang w:eastAsia="en-US"/>
        </w:rPr>
        <w:t xml:space="preserve">of </w:t>
      </w:r>
      <w:r w:rsidR="005313DE" w:rsidRPr="002A59D0">
        <w:rPr>
          <w:rFonts w:eastAsiaTheme="minorHAnsi" w:cstheme="minorBidi"/>
          <w:noProof w:val="0"/>
          <w:color w:val="auto"/>
          <w:lang w:eastAsia="en-US"/>
        </w:rPr>
        <w:t>the strongest candidates in terms of their</w:t>
      </w:r>
      <w:r w:rsidRPr="002A59D0">
        <w:rPr>
          <w:rFonts w:eastAsiaTheme="minorHAnsi" w:cstheme="minorBidi"/>
          <w:noProof w:val="0"/>
          <w:color w:val="auto"/>
          <w:lang w:eastAsia="en-US"/>
        </w:rPr>
        <w:t xml:space="preserve"> </w:t>
      </w:r>
      <w:bookmarkStart w:id="10" w:name="_Hlk66992335"/>
      <w:r w:rsidRPr="002A59D0">
        <w:rPr>
          <w:rFonts w:eastAsiaTheme="minorHAnsi" w:cstheme="minorBidi"/>
          <w:noProof w:val="0"/>
          <w:color w:val="auto"/>
          <w:lang w:eastAsia="en-US"/>
        </w:rPr>
        <w:t>‘</w:t>
      </w:r>
      <w:proofErr w:type="spellStart"/>
      <w:r w:rsidRPr="002A59D0">
        <w:rPr>
          <w:rFonts w:eastAsiaTheme="minorHAnsi" w:cstheme="minorBidi"/>
          <w:noProof w:val="0"/>
          <w:color w:val="auto"/>
          <w:lang w:eastAsia="en-US"/>
        </w:rPr>
        <w:t>favourable</w:t>
      </w:r>
      <w:proofErr w:type="spellEnd"/>
      <w:r w:rsidRPr="002A59D0">
        <w:rPr>
          <w:rFonts w:eastAsiaTheme="minorHAnsi" w:cstheme="minorBidi"/>
          <w:noProof w:val="0"/>
          <w:color w:val="auto"/>
          <w:lang w:eastAsia="en-US"/>
        </w:rPr>
        <w:t xml:space="preserve"> starting </w:t>
      </w:r>
      <w:proofErr w:type="gramStart"/>
      <w:r w:rsidRPr="002A59D0">
        <w:rPr>
          <w:rFonts w:eastAsiaTheme="minorHAnsi" w:cstheme="minorBidi"/>
          <w:noProof w:val="0"/>
          <w:color w:val="auto"/>
          <w:lang w:eastAsia="en-US"/>
        </w:rPr>
        <w:t>conditions’;</w:t>
      </w:r>
      <w:bookmarkEnd w:id="10"/>
      <w:proofErr w:type="gramEnd"/>
    </w:p>
    <w:p w14:paraId="3ADDD822" w14:textId="346C9BFD" w:rsidR="00886311" w:rsidRPr="002A59D0" w:rsidRDefault="00886311" w:rsidP="00AE21C4">
      <w:pPr>
        <w:numPr>
          <w:ilvl w:val="0"/>
          <w:numId w:val="2"/>
        </w:numPr>
        <w:adjustRightInd w:val="0"/>
        <w:snapToGrid w:val="0"/>
        <w:spacing w:line="228" w:lineRule="auto"/>
        <w:ind w:left="3033" w:hanging="425"/>
        <w:rPr>
          <w:rFonts w:eastAsiaTheme="minorHAnsi" w:cstheme="minorBidi"/>
          <w:noProof w:val="0"/>
          <w:color w:val="auto"/>
          <w:lang w:eastAsia="en-US"/>
        </w:rPr>
      </w:pPr>
      <w:r w:rsidRPr="002A59D0">
        <w:rPr>
          <w:rFonts w:eastAsiaTheme="minorHAnsi" w:cstheme="minorBidi"/>
          <w:noProof w:val="0"/>
          <w:color w:val="auto"/>
          <w:lang w:eastAsia="en-US"/>
        </w:rPr>
        <w:t>Undertake a</w:t>
      </w:r>
      <w:r w:rsidR="004E1728" w:rsidRPr="002A59D0">
        <w:rPr>
          <w:rFonts w:eastAsiaTheme="minorHAnsi" w:cstheme="minorBidi"/>
          <w:noProof w:val="0"/>
          <w:color w:val="auto"/>
          <w:lang w:eastAsia="en-US"/>
        </w:rPr>
        <w:t>n</w:t>
      </w:r>
      <w:r w:rsidRPr="002A59D0">
        <w:rPr>
          <w:rFonts w:eastAsiaTheme="minorHAnsi" w:cstheme="minorBidi"/>
          <w:noProof w:val="0"/>
          <w:color w:val="auto"/>
          <w:lang w:eastAsia="en-US"/>
        </w:rPr>
        <w:t xml:space="preserve"> </w:t>
      </w:r>
      <w:r w:rsidR="004E1728" w:rsidRPr="002A59D0">
        <w:rPr>
          <w:rFonts w:eastAsiaTheme="minorHAnsi" w:cstheme="minorBidi"/>
          <w:noProof w:val="0"/>
          <w:color w:val="auto"/>
          <w:lang w:eastAsia="en-US"/>
        </w:rPr>
        <w:t xml:space="preserve">initial </w:t>
      </w:r>
      <w:r w:rsidRPr="002A59D0">
        <w:rPr>
          <w:rFonts w:eastAsiaTheme="minorHAnsi" w:cstheme="minorBidi"/>
          <w:noProof w:val="0"/>
          <w:color w:val="auto"/>
          <w:lang w:eastAsia="en-US"/>
        </w:rPr>
        <w:t xml:space="preserve">qualitative analysis of each </w:t>
      </w:r>
      <w:r w:rsidR="005313DE" w:rsidRPr="002A59D0">
        <w:rPr>
          <w:rFonts w:eastAsiaTheme="minorHAnsi" w:cstheme="minorBidi"/>
          <w:noProof w:val="0"/>
          <w:color w:val="auto"/>
          <w:lang w:eastAsia="en-US"/>
        </w:rPr>
        <w:t>these</w:t>
      </w:r>
      <w:r w:rsidRPr="002A59D0">
        <w:rPr>
          <w:rFonts w:eastAsiaTheme="minorHAnsi" w:cstheme="minorBidi"/>
          <w:noProof w:val="0"/>
          <w:color w:val="auto"/>
          <w:lang w:eastAsia="en-US"/>
        </w:rPr>
        <w:t xml:space="preserve"> </w:t>
      </w:r>
      <w:r w:rsidR="005313DE" w:rsidRPr="002A59D0">
        <w:rPr>
          <w:rFonts w:eastAsiaTheme="minorHAnsi" w:cstheme="minorBidi"/>
          <w:noProof w:val="0"/>
          <w:color w:val="auto"/>
          <w:lang w:eastAsia="en-US"/>
        </w:rPr>
        <w:t>‘</w:t>
      </w:r>
      <w:r w:rsidRPr="002A59D0">
        <w:rPr>
          <w:rFonts w:eastAsiaTheme="minorHAnsi" w:cstheme="minorBidi"/>
          <w:noProof w:val="0"/>
          <w:color w:val="auto"/>
          <w:lang w:eastAsia="en-US"/>
        </w:rPr>
        <w:t>shortlist</w:t>
      </w:r>
      <w:r w:rsidR="005313DE" w:rsidRPr="002A59D0">
        <w:rPr>
          <w:rFonts w:eastAsiaTheme="minorHAnsi" w:cstheme="minorBidi"/>
          <w:noProof w:val="0"/>
          <w:color w:val="auto"/>
          <w:lang w:eastAsia="en-US"/>
        </w:rPr>
        <w:t xml:space="preserve">’ nations </w:t>
      </w:r>
      <w:proofErr w:type="gramStart"/>
      <w:r w:rsidR="005313DE" w:rsidRPr="002A59D0">
        <w:rPr>
          <w:rFonts w:eastAsiaTheme="minorHAnsi" w:cstheme="minorBidi"/>
          <w:noProof w:val="0"/>
          <w:color w:val="auto"/>
          <w:lang w:eastAsia="en-US"/>
        </w:rPr>
        <w:t>in order</w:t>
      </w:r>
      <w:r w:rsidRPr="002A59D0">
        <w:rPr>
          <w:rFonts w:eastAsiaTheme="minorHAnsi" w:cstheme="minorBidi"/>
          <w:noProof w:val="0"/>
          <w:color w:val="auto"/>
          <w:lang w:eastAsia="en-US"/>
        </w:rPr>
        <w:t xml:space="preserve"> to</w:t>
      </w:r>
      <w:proofErr w:type="gramEnd"/>
      <w:r w:rsidRPr="002A59D0">
        <w:rPr>
          <w:rFonts w:eastAsiaTheme="minorHAnsi" w:cstheme="minorBidi"/>
          <w:noProof w:val="0"/>
          <w:color w:val="auto"/>
          <w:lang w:eastAsia="en-US"/>
        </w:rPr>
        <w:t xml:space="preserve"> </w:t>
      </w:r>
      <w:proofErr w:type="spellStart"/>
      <w:r w:rsidRPr="002A59D0">
        <w:rPr>
          <w:rFonts w:eastAsiaTheme="minorHAnsi" w:cstheme="minorBidi"/>
          <w:noProof w:val="0"/>
          <w:color w:val="auto"/>
          <w:lang w:eastAsia="en-US"/>
        </w:rPr>
        <w:t>characterise</w:t>
      </w:r>
      <w:proofErr w:type="spellEnd"/>
      <w:r w:rsidRPr="002A59D0">
        <w:rPr>
          <w:rFonts w:eastAsiaTheme="minorHAnsi" w:cstheme="minorBidi"/>
          <w:noProof w:val="0"/>
          <w:color w:val="auto"/>
          <w:lang w:eastAsia="en-US"/>
        </w:rPr>
        <w:t xml:space="preserve"> </w:t>
      </w:r>
      <w:r w:rsidR="005313DE" w:rsidRPr="002A59D0">
        <w:rPr>
          <w:rFonts w:eastAsiaTheme="minorHAnsi" w:cstheme="minorBidi"/>
          <w:noProof w:val="0"/>
          <w:color w:val="auto"/>
          <w:lang w:eastAsia="en-US"/>
        </w:rPr>
        <w:t xml:space="preserve">their </w:t>
      </w:r>
      <w:r w:rsidRPr="002A59D0">
        <w:rPr>
          <w:rFonts w:eastAsiaTheme="minorHAnsi" w:cstheme="minorBidi"/>
          <w:noProof w:val="0"/>
          <w:color w:val="auto"/>
          <w:lang w:eastAsia="en-US"/>
        </w:rPr>
        <w:t xml:space="preserve">unique features and </w:t>
      </w:r>
      <w:proofErr w:type="spellStart"/>
      <w:r w:rsidRPr="002A59D0">
        <w:rPr>
          <w:rFonts w:eastAsiaTheme="minorHAnsi" w:cstheme="minorBidi"/>
          <w:noProof w:val="0"/>
          <w:color w:val="auto"/>
          <w:lang w:eastAsia="en-US"/>
        </w:rPr>
        <w:t>analyse</w:t>
      </w:r>
      <w:proofErr w:type="spellEnd"/>
      <w:r w:rsidRPr="002A59D0">
        <w:rPr>
          <w:rFonts w:eastAsiaTheme="minorHAnsi" w:cstheme="minorBidi"/>
          <w:noProof w:val="0"/>
          <w:color w:val="auto"/>
          <w:lang w:eastAsia="en-US"/>
        </w:rPr>
        <w:t xml:space="preserve"> </w:t>
      </w:r>
      <w:r w:rsidR="005313DE" w:rsidRPr="002A59D0">
        <w:rPr>
          <w:rFonts w:eastAsiaTheme="minorHAnsi" w:cstheme="minorBidi"/>
          <w:noProof w:val="0"/>
          <w:color w:val="auto"/>
          <w:lang w:eastAsia="en-US"/>
        </w:rPr>
        <w:t xml:space="preserve">their </w:t>
      </w:r>
      <w:r w:rsidRPr="002A59D0">
        <w:rPr>
          <w:rFonts w:eastAsiaTheme="minorHAnsi" w:cstheme="minorBidi"/>
          <w:noProof w:val="0"/>
          <w:color w:val="auto"/>
          <w:lang w:eastAsia="en-US"/>
        </w:rPr>
        <w:t xml:space="preserve">potential </w:t>
      </w:r>
      <w:r w:rsidR="005313DE" w:rsidRPr="002A59D0">
        <w:rPr>
          <w:rFonts w:eastAsiaTheme="minorHAnsi" w:cstheme="minorBidi"/>
          <w:noProof w:val="0"/>
          <w:color w:val="auto"/>
          <w:lang w:eastAsia="en-US"/>
        </w:rPr>
        <w:t xml:space="preserve">to </w:t>
      </w:r>
      <w:r w:rsidRPr="002A59D0">
        <w:rPr>
          <w:rFonts w:eastAsiaTheme="minorHAnsi" w:cstheme="minorBidi"/>
          <w:noProof w:val="0"/>
          <w:color w:val="auto"/>
          <w:lang w:eastAsia="en-US"/>
        </w:rPr>
        <w:t>form a ‘node of persisting complexity</w:t>
      </w:r>
      <w:r w:rsidR="005313DE" w:rsidRPr="002A59D0">
        <w:rPr>
          <w:rFonts w:eastAsiaTheme="minorHAnsi" w:cstheme="minorBidi"/>
          <w:noProof w:val="0"/>
          <w:color w:val="auto"/>
          <w:lang w:eastAsia="en-US"/>
        </w:rPr>
        <w:t>’</w:t>
      </w:r>
      <w:r w:rsidRPr="002A59D0">
        <w:rPr>
          <w:rFonts w:eastAsiaTheme="minorHAnsi" w:cstheme="minorBidi"/>
          <w:noProof w:val="0"/>
          <w:color w:val="auto"/>
          <w:lang w:eastAsia="en-US"/>
        </w:rPr>
        <w:t>; and</w:t>
      </w:r>
    </w:p>
    <w:p w14:paraId="6BB95AAE" w14:textId="0DC03BF5" w:rsidR="00886311" w:rsidRPr="002A59D0" w:rsidRDefault="00886311" w:rsidP="00AE21C4">
      <w:pPr>
        <w:numPr>
          <w:ilvl w:val="0"/>
          <w:numId w:val="2"/>
        </w:numPr>
        <w:adjustRightInd w:val="0"/>
        <w:snapToGrid w:val="0"/>
        <w:spacing w:line="228" w:lineRule="auto"/>
        <w:ind w:left="3033" w:hanging="425"/>
        <w:rPr>
          <w:rFonts w:eastAsiaTheme="minorHAnsi" w:cstheme="minorBidi"/>
          <w:noProof w:val="0"/>
          <w:color w:val="auto"/>
          <w:lang w:eastAsia="en-US"/>
        </w:rPr>
      </w:pPr>
      <w:proofErr w:type="spellStart"/>
      <w:r w:rsidRPr="002A59D0">
        <w:rPr>
          <w:rFonts w:eastAsiaTheme="minorHAnsi" w:cstheme="minorBidi"/>
          <w:noProof w:val="0"/>
          <w:color w:val="auto"/>
          <w:lang w:eastAsia="en-US"/>
        </w:rPr>
        <w:t>Analyse</w:t>
      </w:r>
      <w:proofErr w:type="spellEnd"/>
      <w:r w:rsidRPr="002A59D0">
        <w:rPr>
          <w:rFonts w:eastAsiaTheme="minorHAnsi" w:cstheme="minorBidi"/>
          <w:noProof w:val="0"/>
          <w:color w:val="auto"/>
          <w:lang w:eastAsia="en-US"/>
        </w:rPr>
        <w:t xml:space="preserve"> the </w:t>
      </w:r>
      <w:r w:rsidR="005313DE" w:rsidRPr="002A59D0">
        <w:rPr>
          <w:rFonts w:eastAsiaTheme="minorHAnsi" w:cstheme="minorBidi"/>
          <w:noProof w:val="0"/>
          <w:color w:val="auto"/>
          <w:lang w:eastAsia="en-US"/>
        </w:rPr>
        <w:t xml:space="preserve">features </w:t>
      </w:r>
      <w:r w:rsidRPr="002A59D0">
        <w:rPr>
          <w:rFonts w:eastAsiaTheme="minorHAnsi" w:cstheme="minorBidi"/>
          <w:noProof w:val="0"/>
          <w:color w:val="auto"/>
          <w:lang w:eastAsia="en-US"/>
        </w:rPr>
        <w:t xml:space="preserve">identified to ascertain what features and characteristics may be applicable in the contemporary world </w:t>
      </w:r>
      <w:r w:rsidR="004E1728" w:rsidRPr="002A59D0">
        <w:rPr>
          <w:rFonts w:eastAsiaTheme="minorHAnsi" w:cstheme="minorBidi"/>
          <w:noProof w:val="0"/>
          <w:color w:val="auto"/>
          <w:lang w:eastAsia="en-US"/>
        </w:rPr>
        <w:t xml:space="preserve">to </w:t>
      </w:r>
      <w:r w:rsidRPr="002A59D0">
        <w:rPr>
          <w:rFonts w:eastAsiaTheme="minorHAnsi" w:cstheme="minorBidi"/>
          <w:noProof w:val="0"/>
          <w:color w:val="auto"/>
          <w:lang w:eastAsia="en-US"/>
        </w:rPr>
        <w:t>increas</w:t>
      </w:r>
      <w:r w:rsidR="004E1728" w:rsidRPr="002A59D0">
        <w:rPr>
          <w:rFonts w:eastAsiaTheme="minorHAnsi" w:cstheme="minorBidi"/>
          <w:noProof w:val="0"/>
          <w:color w:val="auto"/>
          <w:lang w:eastAsia="en-US"/>
        </w:rPr>
        <w:t>e</w:t>
      </w:r>
      <w:r w:rsidRPr="002A59D0">
        <w:rPr>
          <w:rFonts w:eastAsiaTheme="minorHAnsi" w:cstheme="minorBidi"/>
          <w:noProof w:val="0"/>
          <w:color w:val="auto"/>
          <w:lang w:eastAsia="en-US"/>
        </w:rPr>
        <w:t xml:space="preserve"> </w:t>
      </w:r>
      <w:r w:rsidR="004E1728" w:rsidRPr="002A59D0">
        <w:rPr>
          <w:rFonts w:eastAsiaTheme="minorHAnsi" w:cstheme="minorBidi"/>
          <w:noProof w:val="0"/>
          <w:color w:val="auto"/>
          <w:lang w:eastAsia="en-US"/>
        </w:rPr>
        <w:t xml:space="preserve">the </w:t>
      </w:r>
      <w:r w:rsidRPr="002A59D0">
        <w:rPr>
          <w:rFonts w:eastAsiaTheme="minorHAnsi" w:cstheme="minorBidi"/>
          <w:noProof w:val="0"/>
          <w:color w:val="auto"/>
          <w:lang w:eastAsia="en-US"/>
        </w:rPr>
        <w:t xml:space="preserve">resilience </w:t>
      </w:r>
      <w:r w:rsidR="004E1728" w:rsidRPr="002A59D0">
        <w:rPr>
          <w:rFonts w:eastAsiaTheme="minorHAnsi" w:cstheme="minorBidi"/>
          <w:noProof w:val="0"/>
          <w:color w:val="auto"/>
          <w:lang w:eastAsia="en-US"/>
        </w:rPr>
        <w:t xml:space="preserve">of </w:t>
      </w:r>
      <w:r w:rsidRPr="002A59D0">
        <w:rPr>
          <w:rFonts w:eastAsiaTheme="minorHAnsi" w:cstheme="minorBidi"/>
          <w:noProof w:val="0"/>
          <w:color w:val="auto"/>
          <w:lang w:eastAsia="en-US"/>
        </w:rPr>
        <w:t>nations (and other geographical regions) that do not currently have ‘</w:t>
      </w:r>
      <w:proofErr w:type="spellStart"/>
      <w:r w:rsidRPr="002A59D0">
        <w:rPr>
          <w:rFonts w:eastAsiaTheme="minorHAnsi" w:cstheme="minorBidi"/>
          <w:noProof w:val="0"/>
          <w:color w:val="auto"/>
          <w:lang w:eastAsia="en-US"/>
        </w:rPr>
        <w:t>favourable</w:t>
      </w:r>
      <w:proofErr w:type="spellEnd"/>
      <w:r w:rsidRPr="002A59D0">
        <w:rPr>
          <w:rFonts w:eastAsiaTheme="minorHAnsi" w:cstheme="minorBidi"/>
          <w:noProof w:val="0"/>
          <w:color w:val="auto"/>
          <w:lang w:eastAsia="en-US"/>
        </w:rPr>
        <w:t xml:space="preserve"> starting </w:t>
      </w:r>
      <w:proofErr w:type="gramStart"/>
      <w:r w:rsidRPr="002A59D0">
        <w:rPr>
          <w:rFonts w:eastAsiaTheme="minorHAnsi" w:cstheme="minorBidi"/>
          <w:noProof w:val="0"/>
          <w:color w:val="auto"/>
          <w:lang w:eastAsia="en-US"/>
        </w:rPr>
        <w:t>conditions’</w:t>
      </w:r>
      <w:proofErr w:type="gramEnd"/>
      <w:r w:rsidRPr="002A59D0">
        <w:rPr>
          <w:rFonts w:eastAsiaTheme="minorHAnsi" w:cstheme="minorBidi"/>
          <w:noProof w:val="0"/>
          <w:color w:val="auto"/>
          <w:lang w:eastAsia="en-US"/>
        </w:rPr>
        <w:t>.</w:t>
      </w:r>
    </w:p>
    <w:p w14:paraId="40D8A63E" w14:textId="45337EEF" w:rsidR="00886311" w:rsidRPr="00D3011B" w:rsidRDefault="0062780A" w:rsidP="00D3011B">
      <w:pPr>
        <w:pStyle w:val="MDPI22heading2"/>
        <w:spacing w:before="240"/>
      </w:pPr>
      <w:r>
        <w:t>2</w:t>
      </w:r>
      <w:r w:rsidR="00D3011B" w:rsidRPr="00D3011B">
        <w:t>.</w:t>
      </w:r>
      <w:r>
        <w:t>2</w:t>
      </w:r>
      <w:r w:rsidR="00D3011B" w:rsidRPr="00D3011B">
        <w:t xml:space="preserve">. </w:t>
      </w:r>
      <w:r w:rsidR="00886311" w:rsidRPr="00D3011B">
        <w:t>Approach</w:t>
      </w:r>
    </w:p>
    <w:p w14:paraId="73739C74" w14:textId="7C31C0FA" w:rsidR="00886311" w:rsidRPr="002A59D0" w:rsidRDefault="00886311" w:rsidP="00D3011B">
      <w:pPr>
        <w:pStyle w:val="MDPI31text"/>
      </w:pPr>
      <w:r w:rsidRPr="002A59D0">
        <w:t>As noted above, the first objective of this analysis is to define and underpin a ‘shortlist’ of nations which have inherent natural and anthropogenic characteristics that in combination are likely to comprise ‘</w:t>
      </w:r>
      <w:proofErr w:type="spellStart"/>
      <w:r w:rsidRPr="002A59D0">
        <w:t>favourable</w:t>
      </w:r>
      <w:proofErr w:type="spellEnd"/>
      <w:r w:rsidRPr="002A59D0">
        <w:t xml:space="preserve"> starting </w:t>
      </w:r>
      <w:proofErr w:type="gramStart"/>
      <w:r w:rsidRPr="002A59D0">
        <w:t>conditions’</w:t>
      </w:r>
      <w:proofErr w:type="gramEnd"/>
      <w:r w:rsidRPr="002A59D0">
        <w:t>.</w:t>
      </w:r>
      <w:r w:rsidR="008D52EA">
        <w:t xml:space="preserve"> </w:t>
      </w:r>
      <w:r w:rsidRPr="002A59D0">
        <w:t xml:space="preserve">This shortlist will need to take account of the factors </w:t>
      </w:r>
      <w:r w:rsidR="00F70EB1">
        <w:t xml:space="preserve">that are </w:t>
      </w:r>
      <w:r w:rsidRPr="002A59D0">
        <w:t xml:space="preserve">of </w:t>
      </w:r>
      <w:r w:rsidR="00F70EB1">
        <w:t xml:space="preserve">the </w:t>
      </w:r>
      <w:r w:rsidRPr="002A59D0">
        <w:t>greatest relevance to the potential nature of a ‘de-complexification’ event</w:t>
      </w:r>
      <w:r w:rsidR="00F70EB1">
        <w:t xml:space="preserve"> </w:t>
      </w:r>
      <w:r w:rsidRPr="002A59D0">
        <w:t>to identify wh</w:t>
      </w:r>
      <w:r w:rsidR="00F70EB1">
        <w:t>ich</w:t>
      </w:r>
      <w:r w:rsidRPr="002A59D0">
        <w:t xml:space="preserve"> conditions may interact with such an event to give a higher probability of allowing </w:t>
      </w:r>
      <w:r w:rsidR="006B7EDF" w:rsidRPr="002A59D0">
        <w:t xml:space="preserve">a degree of </w:t>
      </w:r>
      <w:r w:rsidRPr="002A59D0">
        <w:t>complexity to persist.</w:t>
      </w:r>
    </w:p>
    <w:p w14:paraId="58E97703" w14:textId="26C5CC45" w:rsidR="00886311" w:rsidRPr="002A59D0" w:rsidRDefault="00886311" w:rsidP="00D3011B">
      <w:pPr>
        <w:pStyle w:val="MDPI31text"/>
      </w:pPr>
      <w:r w:rsidRPr="002A59D0">
        <w:t>The methodology for the identification of ‘shortlisted’ nations is based around the extrapolation and further analysis of the outputs of the ‘University of Notre Dame</w:t>
      </w:r>
      <w:r w:rsidR="007C6542">
        <w:t>—</w:t>
      </w:r>
      <w:r w:rsidRPr="002A59D0">
        <w:t xml:space="preserve">Global Adaptation Index’ (ND-GAIN) </w:t>
      </w:r>
      <w:r w:rsidR="0001183F">
        <w:t>[</w:t>
      </w:r>
      <w:r w:rsidR="00EC1EE2">
        <w:t>6</w:t>
      </w:r>
      <w:r w:rsidR="00A9271C">
        <w:t>6</w:t>
      </w:r>
      <w:r w:rsidR="0001183F">
        <w:t>]</w:t>
      </w:r>
      <w:r w:rsidRPr="002A59D0">
        <w:t xml:space="preserve"> study.</w:t>
      </w:r>
      <w:r w:rsidR="008D52EA">
        <w:t xml:space="preserve"> </w:t>
      </w:r>
      <w:r w:rsidR="006B7EDF" w:rsidRPr="002A59D0">
        <w:t>This is a study that considers a range of factors relating to the potential for climate change to disrupt different nations around the world.</w:t>
      </w:r>
      <w:r w:rsidR="008D52EA">
        <w:t xml:space="preserve"> </w:t>
      </w:r>
      <w:r w:rsidR="006B7EDF" w:rsidRPr="002A59D0">
        <w:t xml:space="preserve">It gathers and processes a range of different variables to generate indicators of vulnerability to climate disruptions and readiness to </w:t>
      </w:r>
      <w:proofErr w:type="spellStart"/>
      <w:r w:rsidR="006B7EDF" w:rsidRPr="002A59D0">
        <w:t>mobilise</w:t>
      </w:r>
      <w:proofErr w:type="spellEnd"/>
      <w:r w:rsidR="006B7EDF" w:rsidRPr="002A59D0">
        <w:t xml:space="preserve"> adaptive actions.</w:t>
      </w:r>
      <w:r w:rsidR="008D52EA">
        <w:t xml:space="preserve"> </w:t>
      </w:r>
      <w:r w:rsidR="006B7EDF" w:rsidRPr="002A59D0">
        <w:t>The overall output of the study is a combined score for each nation in the world and a ranking of nations according to proneness to climate change.</w:t>
      </w:r>
      <w:r w:rsidR="008D52EA">
        <w:t xml:space="preserve"> </w:t>
      </w:r>
      <w:r w:rsidR="006B7EDF" w:rsidRPr="002A59D0">
        <w:t xml:space="preserve">Table A1 in Appendix A outlines the ranking of the highest-scoring nations, and </w:t>
      </w:r>
      <w:r w:rsidR="006B7EDF" w:rsidRPr="002C3C39">
        <w:t xml:space="preserve">Tables </w:t>
      </w:r>
      <w:r w:rsidR="005904C5" w:rsidRPr="002C3C39">
        <w:t>A2 and A3</w:t>
      </w:r>
      <w:r w:rsidR="005904C5">
        <w:t xml:space="preserve"> </w:t>
      </w:r>
      <w:r w:rsidR="006B7EDF" w:rsidRPr="002A59D0">
        <w:t>(in Appendices B and C, respectively) list the 45 indicators used in the calculation of the ND-GAIN Index.</w:t>
      </w:r>
    </w:p>
    <w:p w14:paraId="378E5DFF" w14:textId="0D8F8195" w:rsidR="00886311" w:rsidRPr="00FD05F8" w:rsidRDefault="006B7EDF" w:rsidP="00D3011B">
      <w:pPr>
        <w:pStyle w:val="MDPI31text"/>
      </w:pPr>
      <w:r w:rsidRPr="00FD05F8">
        <w:t xml:space="preserve">The study </w:t>
      </w:r>
      <w:proofErr w:type="gramStart"/>
      <w:r w:rsidRPr="00FD05F8">
        <w:t>is considered to be</w:t>
      </w:r>
      <w:proofErr w:type="gramEnd"/>
      <w:r w:rsidRPr="00FD05F8">
        <w:t xml:space="preserve"> comprehensive, robust and the data is open access, so</w:t>
      </w:r>
      <w:r w:rsidR="00F70EB1">
        <w:t xml:space="preserve"> it</w:t>
      </w:r>
      <w:r w:rsidRPr="00FD05F8">
        <w:t xml:space="preserve"> provides a strong basis for the analysis undertaken in this study.</w:t>
      </w:r>
      <w:r w:rsidR="008D52EA" w:rsidRPr="00FD05F8">
        <w:t xml:space="preserve"> </w:t>
      </w:r>
      <w:r w:rsidR="00886311" w:rsidRPr="00FD05F8">
        <w:t>However, it does not account for several factors which are specific to the analysis of ‘</w:t>
      </w:r>
      <w:proofErr w:type="spellStart"/>
      <w:r w:rsidR="00886311" w:rsidRPr="00FD05F8">
        <w:t>favourable</w:t>
      </w:r>
      <w:proofErr w:type="spellEnd"/>
      <w:r w:rsidR="00886311" w:rsidRPr="00FD05F8">
        <w:t xml:space="preserve"> starting conditions/nodes of persisting complexity’.</w:t>
      </w:r>
      <w:r w:rsidR="008D52EA" w:rsidRPr="00FD05F8">
        <w:t xml:space="preserve"> </w:t>
      </w:r>
      <w:r w:rsidR="00886311" w:rsidRPr="00FD05F8">
        <w:t xml:space="preserve">Therefore, additional semi-quantitative screening is applied to the top 20 least vulnerable nations </w:t>
      </w:r>
      <w:r w:rsidR="00111F85" w:rsidRPr="00FD05F8">
        <w:t>[</w:t>
      </w:r>
      <w:r w:rsidR="001D3908">
        <w:t>6</w:t>
      </w:r>
      <w:r w:rsidR="00A9271C">
        <w:t>6</w:t>
      </w:r>
      <w:r w:rsidR="00111F85" w:rsidRPr="00FD05F8">
        <w:t>]</w:t>
      </w:r>
      <w:r w:rsidR="00886311" w:rsidRPr="00FD05F8">
        <w:t xml:space="preserve"> to generate a final ‘shortlist’ of five nations </w:t>
      </w:r>
      <w:r w:rsidR="00065F87" w:rsidRPr="00FD05F8">
        <w:t>using</w:t>
      </w:r>
      <w:r w:rsidR="00886311" w:rsidRPr="00FD05F8">
        <w:t xml:space="preserve"> three additional analytical measures that pertain specifically to the ‘de-complexification’ scenario.</w:t>
      </w:r>
      <w:r w:rsidR="008D52EA" w:rsidRPr="00FD05F8">
        <w:t xml:space="preserve"> </w:t>
      </w:r>
      <w:r w:rsidR="00886311" w:rsidRPr="00FD05F8">
        <w:t>For each of these three measures, an analysis is undertaken based on a semi-quantitative scoring system that is combined with the ranking provided by ND-GAIN to produce a ‘shortlist’ of five nations with the highest ‘</w:t>
      </w:r>
      <w:proofErr w:type="spellStart"/>
      <w:r w:rsidR="00886311" w:rsidRPr="00FD05F8">
        <w:t>favourable</w:t>
      </w:r>
      <w:proofErr w:type="spellEnd"/>
      <w:r w:rsidR="00886311" w:rsidRPr="00FD05F8">
        <w:t xml:space="preserve"> starting condi</w:t>
      </w:r>
      <w:r w:rsidR="00886311" w:rsidRPr="00FD05F8">
        <w:lastRenderedPageBreak/>
        <w:t>tion’ rating.</w:t>
      </w:r>
      <w:r w:rsidR="008D52EA" w:rsidRPr="00FD05F8">
        <w:t xml:space="preserve"> </w:t>
      </w:r>
      <w:r w:rsidR="00886311" w:rsidRPr="00FD05F8">
        <w:t>These nations are then taken forward to the next stage of more detailed qualitative analysis (in Section 4).</w:t>
      </w:r>
      <w:r w:rsidR="008D52EA" w:rsidRPr="00FD05F8">
        <w:t xml:space="preserve"> </w:t>
      </w:r>
      <w:r w:rsidR="00886311" w:rsidRPr="00FD05F8">
        <w:t xml:space="preserve">Table </w:t>
      </w:r>
      <w:r w:rsidR="003D2B42" w:rsidRPr="00FD05F8">
        <w:t>2</w:t>
      </w:r>
      <w:r w:rsidR="00886311" w:rsidRPr="00FD05F8">
        <w:t xml:space="preserve"> describes the additional analytical measures and the basis for the ‘scoring’ applied.</w:t>
      </w:r>
    </w:p>
    <w:p w14:paraId="5D893643" w14:textId="4323AB55" w:rsidR="005D3E06" w:rsidRPr="002A59D0" w:rsidRDefault="005D3E06" w:rsidP="00D3011B">
      <w:pPr>
        <w:pStyle w:val="MDPI31text"/>
      </w:pPr>
      <w:r w:rsidRPr="002A59D0">
        <w:t>The semi-quantitative/subjective nature of the three further analytical factors means that a scoring scale with only five gradations (i.e.</w:t>
      </w:r>
      <w:r w:rsidR="00CF3497">
        <w:t>,</w:t>
      </w:r>
      <w:r w:rsidRPr="002A59D0">
        <w:t xml:space="preserve"> which is reasonably imprecise and approximate) is deemed to be appropriate.</w:t>
      </w:r>
      <w:r w:rsidR="008D52EA">
        <w:t xml:space="preserve"> </w:t>
      </w:r>
      <w:r w:rsidRPr="002A59D0">
        <w:t>This first stage of the further analysis is intended to be a general appraisal of the situation of a given nation, and the summation of the scores for these additional analytical measures (in combination with their ND-GAIN rating) is intended to ‘draw out’ a shortlist of those nations with generally greater ‘</w:t>
      </w:r>
      <w:proofErr w:type="spellStart"/>
      <w:r w:rsidRPr="002A59D0">
        <w:t>favourable</w:t>
      </w:r>
      <w:proofErr w:type="spellEnd"/>
      <w:r w:rsidRPr="002A59D0">
        <w:t xml:space="preserve"> starting conditions’.</w:t>
      </w:r>
      <w:r w:rsidR="008D52EA">
        <w:t xml:space="preserve"> </w:t>
      </w:r>
    </w:p>
    <w:p w14:paraId="776D647B" w14:textId="66D981A6" w:rsidR="005D3E06" w:rsidRPr="002A59D0" w:rsidRDefault="005D3E06" w:rsidP="00D3011B">
      <w:pPr>
        <w:pStyle w:val="MDPI31text"/>
      </w:pPr>
      <w:r w:rsidRPr="002A59D0">
        <w:t>It is noted and acknowledged that the analysis applied is here is simple and superficial in nature</w:t>
      </w:r>
      <w:r w:rsidR="00F70EB1">
        <w:t xml:space="preserve"> </w:t>
      </w:r>
      <w:r w:rsidRPr="002A59D0">
        <w:t>and does not attempt to apply a rigorous analysis using a range of quantifiable variables; this approach is deemed to be appropriate for the analysis being attempted here.</w:t>
      </w:r>
      <w:r w:rsidR="008D52EA">
        <w:t xml:space="preserve"> </w:t>
      </w:r>
      <w:r w:rsidRPr="002A59D0">
        <w:t xml:space="preserve">This is primarily because the ‘nodes of persisting complexity’ that this study postulates are proposed to form through evolutionary complex system </w:t>
      </w:r>
      <w:proofErr w:type="spellStart"/>
      <w:r w:rsidRPr="002A59D0">
        <w:t>behaviour</w:t>
      </w:r>
      <w:proofErr w:type="spellEnd"/>
      <w:r w:rsidRPr="002A59D0">
        <w:t xml:space="preserve"> (i.e.</w:t>
      </w:r>
      <w:r w:rsidR="00CF3497">
        <w:t>,</w:t>
      </w:r>
      <w:r w:rsidRPr="002A59D0">
        <w:t xml:space="preserve"> </w:t>
      </w:r>
      <w:proofErr w:type="gramStart"/>
      <w:r w:rsidRPr="002A59D0">
        <w:t>partially</w:t>
      </w:r>
      <w:proofErr w:type="gramEnd"/>
      <w:r w:rsidRPr="002A59D0">
        <w:t xml:space="preserve"> or largel</w:t>
      </w:r>
      <w:r w:rsidR="00576387" w:rsidRPr="002A59D0">
        <w:t>y</w:t>
      </w:r>
      <w:r w:rsidRPr="002A59D0">
        <w:t xml:space="preserve"> outside direct human control rather than as a direct result of human action and agency).</w:t>
      </w:r>
      <w:r w:rsidR="008D52EA">
        <w:t xml:space="preserve"> </w:t>
      </w:r>
      <w:r w:rsidRPr="002A59D0">
        <w:t xml:space="preserve">Such systemic </w:t>
      </w:r>
      <w:proofErr w:type="spellStart"/>
      <w:r w:rsidRPr="002A59D0">
        <w:t>behaviour</w:t>
      </w:r>
      <w:proofErr w:type="spellEnd"/>
      <w:r w:rsidRPr="002A59D0">
        <w:t xml:space="preserve"> is inherently highly complex and unpredictable and dependent on </w:t>
      </w:r>
      <w:proofErr w:type="gramStart"/>
      <w:r w:rsidRPr="002A59D0">
        <w:t>a large number of</w:t>
      </w:r>
      <w:proofErr w:type="gramEnd"/>
      <w:r w:rsidRPr="002A59D0">
        <w:t xml:space="preserve"> interconnected variables.</w:t>
      </w:r>
      <w:r w:rsidR="008D52EA">
        <w:t xml:space="preserve"> </w:t>
      </w:r>
      <w:r w:rsidRPr="002A59D0">
        <w:t xml:space="preserve">Therefore, a detailed analysis that attempts to make statistical or other predictions of system </w:t>
      </w:r>
      <w:proofErr w:type="spellStart"/>
      <w:r w:rsidRPr="002A59D0">
        <w:t>behaviour</w:t>
      </w:r>
      <w:proofErr w:type="spellEnd"/>
      <w:r w:rsidRPr="002A59D0">
        <w:t xml:space="preserve"> would not be robust or could only be attempted using multi-parameter modelling approaches such as system dynamics (which</w:t>
      </w:r>
      <w:r w:rsidR="00F70EB1">
        <w:t>,</w:t>
      </w:r>
      <w:r w:rsidRPr="002A59D0">
        <w:t xml:space="preserve"> even if built to account for </w:t>
      </w:r>
      <w:proofErr w:type="gramStart"/>
      <w:r w:rsidRPr="002A59D0">
        <w:t>a large number of</w:t>
      </w:r>
      <w:proofErr w:type="gramEnd"/>
      <w:r w:rsidRPr="002A59D0">
        <w:t xml:space="preserve"> variables</w:t>
      </w:r>
      <w:r w:rsidR="00F70EB1">
        <w:t>,</w:t>
      </w:r>
      <w:r w:rsidRPr="002A59D0">
        <w:t xml:space="preserve"> would likely only be able to make estimates of broad ‘modes’ of system </w:t>
      </w:r>
      <w:proofErr w:type="spellStart"/>
      <w:r w:rsidRPr="002A59D0">
        <w:t>behaviour</w:t>
      </w:r>
      <w:proofErr w:type="spellEnd"/>
      <w:r w:rsidRPr="002A59D0">
        <w:t>, which is what this analysis does).</w:t>
      </w:r>
      <w:r w:rsidR="008D52EA">
        <w:t xml:space="preserve"> </w:t>
      </w:r>
      <w:r w:rsidRPr="002A59D0">
        <w:t>Therefore, a simpler, high-level approach that makes a ‘low-resolution’ analysis of key features is proportionate for making a very macro-scale, low-resolution (i.e.</w:t>
      </w:r>
      <w:r w:rsidR="00CF3497">
        <w:t>,</w:t>
      </w:r>
      <w:r w:rsidRPr="002A59D0">
        <w:t xml:space="preserve"> at global and national scale) assessment and offers a robust basis for further qualitative analysis of potential ‘nodes of persisting complexity’.</w:t>
      </w:r>
    </w:p>
    <w:p w14:paraId="04D2D369" w14:textId="0D46FD3A" w:rsidR="005D3E06" w:rsidRPr="002A59D0" w:rsidRDefault="005D3E06" w:rsidP="002A59D0">
      <w:pPr>
        <w:adjustRightInd w:val="0"/>
        <w:snapToGrid w:val="0"/>
        <w:rPr>
          <w:noProof w:val="0"/>
        </w:rPr>
        <w:sectPr w:rsidR="005D3E06" w:rsidRPr="002A59D0" w:rsidSect="002A59D0">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code="9"/>
          <w:pgMar w:top="1417" w:right="720" w:bottom="1077" w:left="720" w:header="1020" w:footer="340" w:gutter="0"/>
          <w:cols w:space="425"/>
          <w:bidi/>
          <w:docGrid w:type="lines" w:linePitch="326"/>
        </w:sectPr>
      </w:pPr>
    </w:p>
    <w:p w14:paraId="294989A4" w14:textId="0521D49D" w:rsidR="00E12804" w:rsidRPr="002A59D0" w:rsidRDefault="00D3011B" w:rsidP="00D3011B">
      <w:pPr>
        <w:pStyle w:val="MDPI41tablecaption"/>
        <w:ind w:left="425" w:right="425"/>
        <w:jc w:val="center"/>
        <w:rPr>
          <w:rFonts w:eastAsiaTheme="minorHAnsi"/>
          <w:color w:val="auto"/>
          <w:sz w:val="22"/>
        </w:rPr>
      </w:pPr>
      <w:bookmarkStart w:id="11" w:name="_Hlk71914427"/>
      <w:r w:rsidRPr="00D3011B">
        <w:rPr>
          <w:rFonts w:eastAsiaTheme="minorHAnsi"/>
          <w:b/>
        </w:rPr>
        <w:lastRenderedPageBreak/>
        <w:t xml:space="preserve">Table 2. </w:t>
      </w:r>
      <w:r w:rsidR="00E12804" w:rsidRPr="002A59D0">
        <w:rPr>
          <w:rFonts w:eastAsiaTheme="minorHAnsi"/>
        </w:rPr>
        <w:t>Additional Measures for Assessment of ‘De-complexification’</w:t>
      </w:r>
      <w:bookmarkEnd w:id="11"/>
      <w:r>
        <w:rPr>
          <w:rFonts w:eastAsiaTheme="minorHAnsi"/>
        </w:rPr>
        <w:t>.</w:t>
      </w:r>
    </w:p>
    <w:tbl>
      <w:tblPr>
        <w:tblStyle w:val="TableGrid2"/>
        <w:tblW w:w="5000" w:type="pct"/>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038"/>
        <w:gridCol w:w="881"/>
        <w:gridCol w:w="12479"/>
      </w:tblGrid>
      <w:tr w:rsidR="00D3011B" w:rsidRPr="00ED0A44" w14:paraId="38A861F4" w14:textId="77777777" w:rsidTr="002C3C39">
        <w:trPr>
          <w:jc w:val="center"/>
        </w:trPr>
        <w:tc>
          <w:tcPr>
            <w:tcW w:w="662" w:type="pct"/>
            <w:tcBorders>
              <w:top w:val="single" w:sz="8" w:space="0" w:color="auto"/>
              <w:bottom w:val="single" w:sz="4" w:space="0" w:color="auto"/>
            </w:tcBorders>
            <w:shd w:val="clear" w:color="auto" w:fill="auto"/>
            <w:vAlign w:val="center"/>
          </w:tcPr>
          <w:p w14:paraId="05321DD1" w14:textId="658C8026" w:rsidR="00E12804" w:rsidRPr="001D3908" w:rsidRDefault="00040629" w:rsidP="00D3011B">
            <w:pPr>
              <w:autoSpaceDE w:val="0"/>
              <w:autoSpaceDN w:val="0"/>
              <w:adjustRightInd w:val="0"/>
              <w:snapToGrid w:val="0"/>
              <w:spacing w:line="240" w:lineRule="auto"/>
              <w:jc w:val="center"/>
              <w:rPr>
                <w:b/>
                <w:noProof w:val="0"/>
                <w:color w:val="auto"/>
                <w:sz w:val="18"/>
                <w:szCs w:val="18"/>
                <w:lang w:val="en-US"/>
              </w:rPr>
            </w:pPr>
            <w:r w:rsidRPr="002C3C39">
              <w:rPr>
                <w:b/>
                <w:noProof w:val="0"/>
                <w:color w:val="auto"/>
                <w:sz w:val="18"/>
                <w:szCs w:val="18"/>
              </w:rPr>
              <w:t>Name</w:t>
            </w:r>
          </w:p>
        </w:tc>
        <w:tc>
          <w:tcPr>
            <w:tcW w:w="4338" w:type="pct"/>
            <w:gridSpan w:val="2"/>
            <w:shd w:val="clear" w:color="auto" w:fill="auto"/>
            <w:vAlign w:val="center"/>
          </w:tcPr>
          <w:p w14:paraId="6EAE881B" w14:textId="6B6731AC" w:rsidR="00E12804" w:rsidRPr="00ED0A44" w:rsidRDefault="00040629" w:rsidP="00D3011B">
            <w:pPr>
              <w:autoSpaceDE w:val="0"/>
              <w:autoSpaceDN w:val="0"/>
              <w:adjustRightInd w:val="0"/>
              <w:snapToGrid w:val="0"/>
              <w:spacing w:line="240" w:lineRule="auto"/>
              <w:jc w:val="center"/>
              <w:rPr>
                <w:b/>
                <w:noProof w:val="0"/>
                <w:color w:val="auto"/>
                <w:sz w:val="18"/>
                <w:szCs w:val="18"/>
                <w:lang w:val="en-US"/>
              </w:rPr>
            </w:pPr>
            <w:r w:rsidRPr="00ED0A44">
              <w:rPr>
                <w:b/>
                <w:noProof w:val="0"/>
                <w:color w:val="auto"/>
                <w:sz w:val="18"/>
                <w:szCs w:val="18"/>
                <w:lang w:val="en-US"/>
              </w:rPr>
              <w:t>Description and Basis of Scoring</w:t>
            </w:r>
          </w:p>
        </w:tc>
      </w:tr>
      <w:tr w:rsidR="00D3011B" w:rsidRPr="00ED0A44" w14:paraId="3B961AB3" w14:textId="77777777" w:rsidTr="00ED0A44">
        <w:trPr>
          <w:jc w:val="center"/>
        </w:trPr>
        <w:tc>
          <w:tcPr>
            <w:tcW w:w="662" w:type="pct"/>
            <w:vMerge w:val="restart"/>
            <w:tcBorders>
              <w:top w:val="single" w:sz="4" w:space="0" w:color="auto"/>
              <w:bottom w:val="single" w:sz="4" w:space="0" w:color="auto"/>
            </w:tcBorders>
            <w:vAlign w:val="center"/>
          </w:tcPr>
          <w:p w14:paraId="2EC2A815"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r w:rsidRPr="002C3C39">
              <w:rPr>
                <w:bCs/>
                <w:noProof w:val="0"/>
                <w:color w:val="auto"/>
                <w:sz w:val="18"/>
                <w:szCs w:val="18"/>
              </w:rPr>
              <w:t>Carrying Capacity Analysis</w:t>
            </w:r>
          </w:p>
        </w:tc>
        <w:tc>
          <w:tcPr>
            <w:tcW w:w="4338" w:type="pct"/>
            <w:gridSpan w:val="2"/>
            <w:tcBorders>
              <w:bottom w:val="nil"/>
            </w:tcBorders>
            <w:vAlign w:val="center"/>
          </w:tcPr>
          <w:p w14:paraId="10482A94" w14:textId="1A4BDC83"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This analysis considers nations from the purely biophysical perspective of whether the extent of arable land within the borders of a country could provide sufficient food to support the current population (assuming that large-scale food imports would be inaccessible under a hypothetical future ‘de-complexification’ event)</w:t>
            </w:r>
            <w:r w:rsidR="00077EC8">
              <w:rPr>
                <w:noProof w:val="0"/>
                <w:color w:val="auto"/>
                <w:sz w:val="18"/>
                <w:szCs w:val="18"/>
                <w:lang w:val="en-US"/>
              </w:rPr>
              <w:t>, i.e.</w:t>
            </w:r>
            <w:r w:rsidR="00CF3497" w:rsidRPr="00ED0A44">
              <w:rPr>
                <w:noProof w:val="0"/>
                <w:color w:val="auto"/>
                <w:sz w:val="18"/>
                <w:szCs w:val="18"/>
                <w:lang w:val="en-US"/>
              </w:rPr>
              <w:t>,</w:t>
            </w:r>
            <w:r w:rsidRPr="00ED0A44">
              <w:rPr>
                <w:noProof w:val="0"/>
                <w:color w:val="auto"/>
                <w:sz w:val="18"/>
                <w:szCs w:val="18"/>
                <w:lang w:val="en-US"/>
              </w:rPr>
              <w:t xml:space="preserve"> is the current population </w:t>
            </w:r>
            <w:proofErr w:type="gramStart"/>
            <w:r w:rsidRPr="00ED0A44">
              <w:rPr>
                <w:noProof w:val="0"/>
                <w:color w:val="auto"/>
                <w:sz w:val="18"/>
                <w:szCs w:val="18"/>
                <w:lang w:val="en-US"/>
              </w:rPr>
              <w:t>in excess of</w:t>
            </w:r>
            <w:proofErr w:type="gramEnd"/>
            <w:r w:rsidRPr="00ED0A44">
              <w:rPr>
                <w:noProof w:val="0"/>
                <w:color w:val="auto"/>
                <w:sz w:val="18"/>
                <w:szCs w:val="18"/>
                <w:lang w:val="en-US"/>
              </w:rPr>
              <w:t xml:space="preserve"> the land’s carrying capacity</w:t>
            </w:r>
            <w:r w:rsidR="005D3E06" w:rsidRPr="00ED0A44">
              <w:rPr>
                <w:noProof w:val="0"/>
                <w:color w:val="auto"/>
                <w:sz w:val="18"/>
                <w:szCs w:val="18"/>
                <w:lang w:val="en-US"/>
              </w:rPr>
              <w:t xml:space="preserve">. </w:t>
            </w:r>
            <w:r w:rsidRPr="00ED0A44">
              <w:rPr>
                <w:noProof w:val="0"/>
                <w:color w:val="auto"/>
                <w:sz w:val="18"/>
                <w:szCs w:val="18"/>
                <w:lang w:val="en-US"/>
              </w:rPr>
              <w:t>The arable land per capita (calculated and presented in Appendix D) is compared with the land area required to provide at least a subsistence diet to assign a semi-quantitative score as follows:</w:t>
            </w:r>
          </w:p>
        </w:tc>
      </w:tr>
      <w:tr w:rsidR="00D3011B" w:rsidRPr="00ED0A44" w14:paraId="11351E41" w14:textId="77777777" w:rsidTr="00ED0A44">
        <w:trPr>
          <w:jc w:val="center"/>
        </w:trPr>
        <w:tc>
          <w:tcPr>
            <w:tcW w:w="662" w:type="pct"/>
            <w:vMerge/>
            <w:tcBorders>
              <w:top w:val="single" w:sz="4" w:space="0" w:color="auto"/>
              <w:bottom w:val="single" w:sz="4" w:space="0" w:color="auto"/>
            </w:tcBorders>
            <w:vAlign w:val="center"/>
          </w:tcPr>
          <w:p w14:paraId="088B21F1"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highlight w:val="yellow"/>
                <w:lang w:val="en-US"/>
              </w:rPr>
            </w:pPr>
          </w:p>
        </w:tc>
        <w:tc>
          <w:tcPr>
            <w:tcW w:w="286" w:type="pct"/>
            <w:tcBorders>
              <w:top w:val="nil"/>
              <w:bottom w:val="nil"/>
            </w:tcBorders>
            <w:vAlign w:val="center"/>
          </w:tcPr>
          <w:p w14:paraId="5CA1D704"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1</w:t>
            </w:r>
          </w:p>
        </w:tc>
        <w:tc>
          <w:tcPr>
            <w:tcW w:w="4052" w:type="pct"/>
            <w:tcBorders>
              <w:top w:val="nil"/>
              <w:bottom w:val="nil"/>
            </w:tcBorders>
            <w:vAlign w:val="center"/>
          </w:tcPr>
          <w:p w14:paraId="47C2A4B2" w14:textId="7F06FEA6"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land area available per capita is negligible or significantly below the minimum subsistence level</w:t>
            </w:r>
            <w:r w:rsidR="00A31A32">
              <w:rPr>
                <w:noProof w:val="0"/>
                <w:color w:val="auto"/>
                <w:sz w:val="18"/>
                <w:szCs w:val="18"/>
                <w:lang w:val="en-US"/>
              </w:rPr>
              <w:t>.</w:t>
            </w:r>
          </w:p>
        </w:tc>
      </w:tr>
      <w:tr w:rsidR="00D3011B" w:rsidRPr="00ED0A44" w14:paraId="7E62E976" w14:textId="77777777" w:rsidTr="00ED0A44">
        <w:trPr>
          <w:jc w:val="center"/>
        </w:trPr>
        <w:tc>
          <w:tcPr>
            <w:tcW w:w="662" w:type="pct"/>
            <w:vMerge/>
            <w:tcBorders>
              <w:top w:val="single" w:sz="4" w:space="0" w:color="auto"/>
              <w:bottom w:val="single" w:sz="4" w:space="0" w:color="auto"/>
            </w:tcBorders>
            <w:vAlign w:val="center"/>
          </w:tcPr>
          <w:p w14:paraId="3DD65212"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highlight w:val="yellow"/>
                <w:lang w:val="en-US"/>
              </w:rPr>
            </w:pPr>
          </w:p>
        </w:tc>
        <w:tc>
          <w:tcPr>
            <w:tcW w:w="286" w:type="pct"/>
            <w:tcBorders>
              <w:top w:val="nil"/>
              <w:bottom w:val="nil"/>
            </w:tcBorders>
            <w:vAlign w:val="center"/>
          </w:tcPr>
          <w:p w14:paraId="621747B1"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2</w:t>
            </w:r>
          </w:p>
        </w:tc>
        <w:tc>
          <w:tcPr>
            <w:tcW w:w="4052" w:type="pct"/>
            <w:tcBorders>
              <w:top w:val="nil"/>
              <w:bottom w:val="nil"/>
            </w:tcBorders>
            <w:vAlign w:val="center"/>
          </w:tcPr>
          <w:p w14:paraId="32263242" w14:textId="43403CBE"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land area available per capita is below the minimum subsistence level</w:t>
            </w:r>
            <w:r w:rsidR="00A31A32">
              <w:rPr>
                <w:noProof w:val="0"/>
                <w:color w:val="auto"/>
                <w:sz w:val="18"/>
                <w:szCs w:val="18"/>
                <w:lang w:val="en-US"/>
              </w:rPr>
              <w:t>.</w:t>
            </w:r>
          </w:p>
        </w:tc>
      </w:tr>
      <w:tr w:rsidR="00D3011B" w:rsidRPr="00ED0A44" w14:paraId="26CB2972" w14:textId="77777777" w:rsidTr="00ED0A44">
        <w:trPr>
          <w:jc w:val="center"/>
        </w:trPr>
        <w:tc>
          <w:tcPr>
            <w:tcW w:w="662" w:type="pct"/>
            <w:vMerge/>
            <w:tcBorders>
              <w:top w:val="single" w:sz="4" w:space="0" w:color="auto"/>
              <w:bottom w:val="single" w:sz="4" w:space="0" w:color="auto"/>
            </w:tcBorders>
            <w:vAlign w:val="center"/>
          </w:tcPr>
          <w:p w14:paraId="33A34BC1"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highlight w:val="yellow"/>
                <w:lang w:val="en-US"/>
              </w:rPr>
            </w:pPr>
          </w:p>
        </w:tc>
        <w:tc>
          <w:tcPr>
            <w:tcW w:w="286" w:type="pct"/>
            <w:tcBorders>
              <w:top w:val="nil"/>
              <w:bottom w:val="nil"/>
            </w:tcBorders>
            <w:vAlign w:val="center"/>
          </w:tcPr>
          <w:p w14:paraId="1A9DF692"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3</w:t>
            </w:r>
          </w:p>
        </w:tc>
        <w:tc>
          <w:tcPr>
            <w:tcW w:w="4052" w:type="pct"/>
            <w:tcBorders>
              <w:top w:val="nil"/>
              <w:bottom w:val="nil"/>
            </w:tcBorders>
            <w:vAlign w:val="center"/>
          </w:tcPr>
          <w:p w14:paraId="3908EF25" w14:textId="7F2E3BE9"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land area available per capita is broadly commensurate with the minimum subsistence level</w:t>
            </w:r>
            <w:r w:rsidR="00A31A32">
              <w:rPr>
                <w:noProof w:val="0"/>
                <w:color w:val="auto"/>
                <w:sz w:val="18"/>
                <w:szCs w:val="18"/>
                <w:lang w:val="en-US"/>
              </w:rPr>
              <w:t>.</w:t>
            </w:r>
          </w:p>
        </w:tc>
      </w:tr>
      <w:tr w:rsidR="00D3011B" w:rsidRPr="00ED0A44" w14:paraId="5C7BA691" w14:textId="77777777" w:rsidTr="00ED0A44">
        <w:trPr>
          <w:jc w:val="center"/>
        </w:trPr>
        <w:tc>
          <w:tcPr>
            <w:tcW w:w="662" w:type="pct"/>
            <w:vMerge/>
            <w:tcBorders>
              <w:top w:val="single" w:sz="4" w:space="0" w:color="auto"/>
              <w:bottom w:val="single" w:sz="4" w:space="0" w:color="auto"/>
            </w:tcBorders>
            <w:vAlign w:val="center"/>
          </w:tcPr>
          <w:p w14:paraId="5B01CD6F"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highlight w:val="yellow"/>
                <w:lang w:val="en-US"/>
              </w:rPr>
            </w:pPr>
          </w:p>
        </w:tc>
        <w:tc>
          <w:tcPr>
            <w:tcW w:w="286" w:type="pct"/>
            <w:tcBorders>
              <w:top w:val="nil"/>
              <w:bottom w:val="nil"/>
            </w:tcBorders>
            <w:vAlign w:val="center"/>
          </w:tcPr>
          <w:p w14:paraId="6F32FF0D"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4</w:t>
            </w:r>
          </w:p>
        </w:tc>
        <w:tc>
          <w:tcPr>
            <w:tcW w:w="4052" w:type="pct"/>
            <w:tcBorders>
              <w:top w:val="nil"/>
              <w:bottom w:val="nil"/>
            </w:tcBorders>
            <w:vAlign w:val="center"/>
          </w:tcPr>
          <w:p w14:paraId="126F8CDD" w14:textId="69CA899A"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land area available per capita is above the minimum subsistence level</w:t>
            </w:r>
            <w:r w:rsidR="00A31A32">
              <w:rPr>
                <w:noProof w:val="0"/>
                <w:color w:val="auto"/>
                <w:sz w:val="18"/>
                <w:szCs w:val="18"/>
                <w:lang w:val="en-US"/>
              </w:rPr>
              <w:t>.</w:t>
            </w:r>
          </w:p>
        </w:tc>
      </w:tr>
      <w:tr w:rsidR="00D3011B" w:rsidRPr="00ED0A44" w14:paraId="49C5DC79" w14:textId="77777777" w:rsidTr="00ED0A44">
        <w:trPr>
          <w:jc w:val="center"/>
        </w:trPr>
        <w:tc>
          <w:tcPr>
            <w:tcW w:w="662" w:type="pct"/>
            <w:vMerge/>
            <w:tcBorders>
              <w:top w:val="single" w:sz="4" w:space="0" w:color="auto"/>
              <w:bottom w:val="nil"/>
            </w:tcBorders>
            <w:vAlign w:val="center"/>
          </w:tcPr>
          <w:p w14:paraId="0EB1EFEE"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highlight w:val="yellow"/>
                <w:lang w:val="en-US"/>
              </w:rPr>
            </w:pPr>
          </w:p>
        </w:tc>
        <w:tc>
          <w:tcPr>
            <w:tcW w:w="286" w:type="pct"/>
            <w:tcBorders>
              <w:top w:val="nil"/>
              <w:bottom w:val="nil"/>
            </w:tcBorders>
            <w:vAlign w:val="center"/>
          </w:tcPr>
          <w:p w14:paraId="5B4E3C79"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5</w:t>
            </w:r>
          </w:p>
        </w:tc>
        <w:tc>
          <w:tcPr>
            <w:tcW w:w="4052" w:type="pct"/>
            <w:tcBorders>
              <w:top w:val="nil"/>
              <w:bottom w:val="nil"/>
            </w:tcBorders>
            <w:vAlign w:val="center"/>
          </w:tcPr>
          <w:p w14:paraId="6372E4F1" w14:textId="54CF8499"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land area available per capita is significantly above the minimum subsistence level</w:t>
            </w:r>
            <w:r w:rsidR="00F70EB1">
              <w:rPr>
                <w:noProof w:val="0"/>
                <w:color w:val="auto"/>
                <w:sz w:val="18"/>
                <w:szCs w:val="18"/>
                <w:lang w:val="en-US"/>
              </w:rPr>
              <w:t>.</w:t>
            </w:r>
          </w:p>
        </w:tc>
      </w:tr>
      <w:tr w:rsidR="00D3011B" w:rsidRPr="00ED0A44" w14:paraId="55646778" w14:textId="77777777" w:rsidTr="00ED0A44">
        <w:trPr>
          <w:jc w:val="center"/>
        </w:trPr>
        <w:tc>
          <w:tcPr>
            <w:tcW w:w="662" w:type="pct"/>
            <w:vMerge w:val="restart"/>
            <w:tcBorders>
              <w:top w:val="nil"/>
              <w:bottom w:val="nil"/>
            </w:tcBorders>
            <w:vAlign w:val="center"/>
          </w:tcPr>
          <w:p w14:paraId="46A7EF83"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r w:rsidRPr="002C3C39">
              <w:rPr>
                <w:bCs/>
                <w:noProof w:val="0"/>
                <w:color w:val="auto"/>
                <w:sz w:val="18"/>
                <w:szCs w:val="18"/>
              </w:rPr>
              <w:t>Isolation Analysis</w:t>
            </w:r>
          </w:p>
        </w:tc>
        <w:tc>
          <w:tcPr>
            <w:tcW w:w="4338" w:type="pct"/>
            <w:gridSpan w:val="2"/>
            <w:tcBorders>
              <w:top w:val="nil"/>
              <w:bottom w:val="nil"/>
            </w:tcBorders>
            <w:vAlign w:val="center"/>
          </w:tcPr>
          <w:p w14:paraId="1153C2CA" w14:textId="410FB278"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This is primarily defined </w:t>
            </w:r>
            <w:proofErr w:type="gramStart"/>
            <w:r w:rsidRPr="00ED0A44">
              <w:rPr>
                <w:noProof w:val="0"/>
                <w:color w:val="auto"/>
                <w:sz w:val="18"/>
                <w:szCs w:val="18"/>
                <w:lang w:val="en-US"/>
              </w:rPr>
              <w:t>on the basis of</w:t>
            </w:r>
            <w:proofErr w:type="gramEnd"/>
            <w:r w:rsidRPr="00ED0A44">
              <w:rPr>
                <w:noProof w:val="0"/>
                <w:color w:val="auto"/>
                <w:sz w:val="18"/>
                <w:szCs w:val="18"/>
                <w:lang w:val="en-US"/>
              </w:rPr>
              <w:t xml:space="preserve"> connection and proximity to large external populations (e.g.</w:t>
            </w:r>
            <w:r w:rsidR="00CF3497" w:rsidRPr="00ED0A44">
              <w:rPr>
                <w:noProof w:val="0"/>
                <w:color w:val="auto"/>
                <w:sz w:val="18"/>
                <w:szCs w:val="18"/>
                <w:lang w:val="en-US"/>
              </w:rPr>
              <w:t>,</w:t>
            </w:r>
            <w:r w:rsidRPr="00ED0A44">
              <w:rPr>
                <w:noProof w:val="0"/>
                <w:color w:val="auto"/>
                <w:sz w:val="18"/>
                <w:szCs w:val="18"/>
                <w:lang w:val="en-US"/>
              </w:rPr>
              <w:t xml:space="preserve"> megacities, regional population </w:t>
            </w:r>
            <w:proofErr w:type="spellStart"/>
            <w:r w:rsidRPr="00ED0A44">
              <w:rPr>
                <w:noProof w:val="0"/>
                <w:color w:val="auto"/>
                <w:sz w:val="18"/>
                <w:szCs w:val="18"/>
                <w:lang w:val="en-US"/>
              </w:rPr>
              <w:t>centres</w:t>
            </w:r>
            <w:proofErr w:type="spellEnd"/>
            <w:r w:rsidRPr="00ED0A44">
              <w:rPr>
                <w:noProof w:val="0"/>
                <w:color w:val="auto"/>
                <w:sz w:val="18"/>
                <w:szCs w:val="18"/>
                <w:lang w:val="en-US"/>
              </w:rPr>
              <w:t xml:space="preserve">) that may be subject to significant population displacement and geographical features that may make the subject country/region a </w:t>
            </w:r>
            <w:proofErr w:type="spellStart"/>
            <w:r w:rsidRPr="00ED0A44">
              <w:rPr>
                <w:noProof w:val="0"/>
                <w:color w:val="auto"/>
                <w:sz w:val="18"/>
                <w:szCs w:val="18"/>
                <w:lang w:val="en-US"/>
              </w:rPr>
              <w:t>favoured</w:t>
            </w:r>
            <w:proofErr w:type="spellEnd"/>
            <w:r w:rsidRPr="00ED0A44">
              <w:rPr>
                <w:noProof w:val="0"/>
                <w:color w:val="auto"/>
                <w:sz w:val="18"/>
                <w:szCs w:val="18"/>
                <w:lang w:val="en-US"/>
              </w:rPr>
              <w:t xml:space="preserve"> location for large-scale migrations</w:t>
            </w:r>
            <w:r w:rsidR="006C0A78" w:rsidRPr="00ED0A44">
              <w:rPr>
                <w:noProof w:val="0"/>
                <w:color w:val="auto"/>
                <w:sz w:val="18"/>
                <w:szCs w:val="18"/>
                <w:lang w:val="en-US"/>
              </w:rPr>
              <w:t xml:space="preserve">. </w:t>
            </w:r>
            <w:r w:rsidRPr="00ED0A44">
              <w:rPr>
                <w:noProof w:val="0"/>
                <w:color w:val="auto"/>
                <w:sz w:val="18"/>
                <w:szCs w:val="18"/>
                <w:lang w:val="en-US"/>
              </w:rPr>
              <w:t>It is related to the Carrying Capacity Analysis in that any displacement of populations would adversely affect the ratio of population to carrying capacity in the receiving destination.</w:t>
            </w:r>
            <w:r w:rsidR="005D3E06" w:rsidRPr="00ED0A44">
              <w:rPr>
                <w:noProof w:val="0"/>
                <w:color w:val="auto"/>
                <w:sz w:val="18"/>
                <w:szCs w:val="18"/>
                <w:lang w:val="en-US"/>
              </w:rPr>
              <w:t xml:space="preserve"> </w:t>
            </w:r>
            <w:r w:rsidRPr="00ED0A44">
              <w:rPr>
                <w:noProof w:val="0"/>
                <w:color w:val="auto"/>
                <w:sz w:val="18"/>
                <w:szCs w:val="18"/>
                <w:lang w:val="en-US"/>
              </w:rPr>
              <w:t xml:space="preserve">A score is assigned </w:t>
            </w:r>
            <w:proofErr w:type="gramStart"/>
            <w:r w:rsidRPr="00ED0A44">
              <w:rPr>
                <w:noProof w:val="0"/>
                <w:color w:val="auto"/>
                <w:sz w:val="18"/>
                <w:szCs w:val="18"/>
                <w:lang w:val="en-US"/>
              </w:rPr>
              <w:t>on the basis of</w:t>
            </w:r>
            <w:proofErr w:type="gramEnd"/>
            <w:r w:rsidRPr="00ED0A44">
              <w:rPr>
                <w:noProof w:val="0"/>
                <w:color w:val="auto"/>
                <w:sz w:val="18"/>
                <w:szCs w:val="18"/>
                <w:lang w:val="en-US"/>
              </w:rPr>
              <w:t xml:space="preserve"> a subjective, general analysis of the geographical situation of the nation in question as follows:</w:t>
            </w:r>
          </w:p>
        </w:tc>
      </w:tr>
      <w:tr w:rsidR="00D3011B" w:rsidRPr="00ED0A44" w14:paraId="3B8CB838" w14:textId="77777777" w:rsidTr="00ED0A44">
        <w:trPr>
          <w:jc w:val="center"/>
        </w:trPr>
        <w:tc>
          <w:tcPr>
            <w:tcW w:w="662" w:type="pct"/>
            <w:vMerge/>
            <w:tcBorders>
              <w:top w:val="nil"/>
              <w:bottom w:val="nil"/>
            </w:tcBorders>
            <w:vAlign w:val="center"/>
          </w:tcPr>
          <w:p w14:paraId="07E24741"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0ED4483B"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1</w:t>
            </w:r>
          </w:p>
        </w:tc>
        <w:tc>
          <w:tcPr>
            <w:tcW w:w="4052" w:type="pct"/>
            <w:tcBorders>
              <w:top w:val="nil"/>
              <w:bottom w:val="nil"/>
            </w:tcBorders>
            <w:vAlign w:val="center"/>
          </w:tcPr>
          <w:p w14:paraId="00E3BB15" w14:textId="6B5743E9"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The nation is directly connected by land or narrow straits to and/or has </w:t>
            </w:r>
            <w:proofErr w:type="gramStart"/>
            <w:r w:rsidRPr="00ED0A44">
              <w:rPr>
                <w:noProof w:val="0"/>
                <w:color w:val="auto"/>
                <w:sz w:val="18"/>
                <w:szCs w:val="18"/>
                <w:lang w:val="en-US"/>
              </w:rPr>
              <w:t>close proximity</w:t>
            </w:r>
            <w:proofErr w:type="gramEnd"/>
            <w:r w:rsidRPr="00ED0A44">
              <w:rPr>
                <w:noProof w:val="0"/>
                <w:color w:val="auto"/>
                <w:sz w:val="18"/>
                <w:szCs w:val="18"/>
                <w:lang w:val="en-US"/>
              </w:rPr>
              <w:t xml:space="preserve"> to external population </w:t>
            </w:r>
            <w:proofErr w:type="spellStart"/>
            <w:r w:rsidRPr="00ED0A44">
              <w:rPr>
                <w:noProof w:val="0"/>
                <w:color w:val="auto"/>
                <w:sz w:val="18"/>
                <w:szCs w:val="18"/>
                <w:lang w:val="en-US"/>
              </w:rPr>
              <w:t>centres</w:t>
            </w:r>
            <w:proofErr w:type="spellEnd"/>
            <w:r w:rsidR="00A31A32">
              <w:rPr>
                <w:noProof w:val="0"/>
                <w:color w:val="auto"/>
                <w:sz w:val="18"/>
                <w:szCs w:val="18"/>
                <w:lang w:val="en-US"/>
              </w:rPr>
              <w:t>.</w:t>
            </w:r>
          </w:p>
        </w:tc>
      </w:tr>
      <w:tr w:rsidR="00D3011B" w:rsidRPr="00ED0A44" w14:paraId="668978C8" w14:textId="77777777" w:rsidTr="00ED0A44">
        <w:trPr>
          <w:jc w:val="center"/>
        </w:trPr>
        <w:tc>
          <w:tcPr>
            <w:tcW w:w="662" w:type="pct"/>
            <w:vMerge/>
            <w:tcBorders>
              <w:top w:val="nil"/>
              <w:bottom w:val="nil"/>
            </w:tcBorders>
            <w:vAlign w:val="center"/>
          </w:tcPr>
          <w:p w14:paraId="208420E7"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07EEF3B8"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2</w:t>
            </w:r>
          </w:p>
        </w:tc>
        <w:tc>
          <w:tcPr>
            <w:tcW w:w="4052" w:type="pct"/>
            <w:tcBorders>
              <w:top w:val="nil"/>
              <w:bottom w:val="nil"/>
            </w:tcBorders>
            <w:vAlign w:val="center"/>
          </w:tcPr>
          <w:p w14:paraId="75089D5A" w14:textId="5DD1DAFC"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The nation has moderate land or sea connections and/or has moderate proximity to external population </w:t>
            </w:r>
            <w:proofErr w:type="spellStart"/>
            <w:r w:rsidRPr="00ED0A44">
              <w:rPr>
                <w:noProof w:val="0"/>
                <w:color w:val="auto"/>
                <w:sz w:val="18"/>
                <w:szCs w:val="18"/>
                <w:lang w:val="en-US"/>
              </w:rPr>
              <w:t>centres</w:t>
            </w:r>
            <w:proofErr w:type="spellEnd"/>
            <w:r w:rsidR="00A31A32">
              <w:rPr>
                <w:noProof w:val="0"/>
                <w:color w:val="auto"/>
                <w:sz w:val="18"/>
                <w:szCs w:val="18"/>
                <w:lang w:val="en-US"/>
              </w:rPr>
              <w:t>.</w:t>
            </w:r>
          </w:p>
        </w:tc>
      </w:tr>
      <w:tr w:rsidR="00D3011B" w:rsidRPr="00ED0A44" w14:paraId="6346EFE5" w14:textId="77777777" w:rsidTr="00ED0A44">
        <w:trPr>
          <w:jc w:val="center"/>
        </w:trPr>
        <w:tc>
          <w:tcPr>
            <w:tcW w:w="662" w:type="pct"/>
            <w:vMerge/>
            <w:tcBorders>
              <w:top w:val="nil"/>
              <w:bottom w:val="nil"/>
            </w:tcBorders>
            <w:vAlign w:val="center"/>
          </w:tcPr>
          <w:p w14:paraId="42EB90DC"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62211998"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3</w:t>
            </w:r>
          </w:p>
        </w:tc>
        <w:tc>
          <w:tcPr>
            <w:tcW w:w="4052" w:type="pct"/>
            <w:tcBorders>
              <w:top w:val="nil"/>
              <w:bottom w:val="nil"/>
            </w:tcBorders>
            <w:vAlign w:val="center"/>
          </w:tcPr>
          <w:p w14:paraId="2ADFB59C" w14:textId="4D7194EC"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The nation has longer land or sea connections and/or has moderate proximity to external population </w:t>
            </w:r>
            <w:proofErr w:type="spellStart"/>
            <w:r w:rsidRPr="00ED0A44">
              <w:rPr>
                <w:noProof w:val="0"/>
                <w:color w:val="auto"/>
                <w:sz w:val="18"/>
                <w:szCs w:val="18"/>
                <w:lang w:val="en-US"/>
              </w:rPr>
              <w:t>centres</w:t>
            </w:r>
            <w:proofErr w:type="spellEnd"/>
            <w:r w:rsidRPr="00ED0A44">
              <w:rPr>
                <w:noProof w:val="0"/>
                <w:color w:val="auto"/>
                <w:sz w:val="18"/>
                <w:szCs w:val="18"/>
                <w:lang w:val="en-US"/>
              </w:rPr>
              <w:t>, but other factors (e.g.</w:t>
            </w:r>
            <w:r w:rsidR="00CF3497" w:rsidRPr="00ED0A44">
              <w:rPr>
                <w:noProof w:val="0"/>
                <w:color w:val="auto"/>
                <w:sz w:val="18"/>
                <w:szCs w:val="18"/>
                <w:lang w:val="en-US"/>
              </w:rPr>
              <w:t>,</w:t>
            </w:r>
            <w:r w:rsidRPr="00ED0A44">
              <w:rPr>
                <w:noProof w:val="0"/>
                <w:color w:val="auto"/>
                <w:sz w:val="18"/>
                <w:szCs w:val="18"/>
                <w:lang w:val="en-US"/>
              </w:rPr>
              <w:t xml:space="preserve"> high latitude) increase relative isolation</w:t>
            </w:r>
            <w:r w:rsidR="00A31A32">
              <w:rPr>
                <w:noProof w:val="0"/>
                <w:color w:val="auto"/>
                <w:sz w:val="18"/>
                <w:szCs w:val="18"/>
                <w:lang w:val="en-US"/>
              </w:rPr>
              <w:t>.</w:t>
            </w:r>
          </w:p>
        </w:tc>
      </w:tr>
      <w:tr w:rsidR="00D3011B" w:rsidRPr="00ED0A44" w14:paraId="32F6F374" w14:textId="77777777" w:rsidTr="00ED0A44">
        <w:trPr>
          <w:jc w:val="center"/>
        </w:trPr>
        <w:tc>
          <w:tcPr>
            <w:tcW w:w="662" w:type="pct"/>
            <w:vMerge/>
            <w:tcBorders>
              <w:top w:val="nil"/>
              <w:bottom w:val="nil"/>
            </w:tcBorders>
            <w:vAlign w:val="center"/>
          </w:tcPr>
          <w:p w14:paraId="336E164F"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215AA0AE"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4</w:t>
            </w:r>
          </w:p>
        </w:tc>
        <w:tc>
          <w:tcPr>
            <w:tcW w:w="4052" w:type="pct"/>
            <w:tcBorders>
              <w:top w:val="nil"/>
              <w:bottom w:val="nil"/>
            </w:tcBorders>
            <w:vAlign w:val="center"/>
          </w:tcPr>
          <w:p w14:paraId="2CD2EDBB" w14:textId="7500ED2D"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The nation has moderate separation and/or distance from external population </w:t>
            </w:r>
            <w:proofErr w:type="spellStart"/>
            <w:r w:rsidRPr="00ED0A44">
              <w:rPr>
                <w:noProof w:val="0"/>
                <w:color w:val="auto"/>
                <w:sz w:val="18"/>
                <w:szCs w:val="18"/>
                <w:lang w:val="en-US"/>
              </w:rPr>
              <w:t>centres</w:t>
            </w:r>
            <w:proofErr w:type="spellEnd"/>
            <w:r w:rsidR="00A31A32">
              <w:rPr>
                <w:noProof w:val="0"/>
                <w:color w:val="auto"/>
                <w:sz w:val="18"/>
                <w:szCs w:val="18"/>
                <w:lang w:val="en-US"/>
              </w:rPr>
              <w:t>.</w:t>
            </w:r>
          </w:p>
        </w:tc>
      </w:tr>
      <w:tr w:rsidR="00D3011B" w:rsidRPr="00ED0A44" w14:paraId="4F315726" w14:textId="77777777" w:rsidTr="00ED0A44">
        <w:trPr>
          <w:jc w:val="center"/>
        </w:trPr>
        <w:tc>
          <w:tcPr>
            <w:tcW w:w="662" w:type="pct"/>
            <w:vMerge/>
            <w:tcBorders>
              <w:top w:val="nil"/>
              <w:bottom w:val="nil"/>
            </w:tcBorders>
            <w:vAlign w:val="center"/>
          </w:tcPr>
          <w:p w14:paraId="46E67EC9"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139AB01A"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5</w:t>
            </w:r>
          </w:p>
        </w:tc>
        <w:tc>
          <w:tcPr>
            <w:tcW w:w="4052" w:type="pct"/>
            <w:tcBorders>
              <w:top w:val="nil"/>
              <w:bottom w:val="nil"/>
            </w:tcBorders>
            <w:vAlign w:val="center"/>
          </w:tcPr>
          <w:p w14:paraId="30628912" w14:textId="74945339"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 xml:space="preserve">The nation has a large separation and/or distance from external population </w:t>
            </w:r>
            <w:proofErr w:type="spellStart"/>
            <w:r w:rsidRPr="00ED0A44">
              <w:rPr>
                <w:noProof w:val="0"/>
                <w:color w:val="auto"/>
                <w:sz w:val="18"/>
                <w:szCs w:val="18"/>
                <w:lang w:val="en-US"/>
              </w:rPr>
              <w:t>centres</w:t>
            </w:r>
            <w:proofErr w:type="spellEnd"/>
            <w:r w:rsidR="00A31A32">
              <w:rPr>
                <w:noProof w:val="0"/>
                <w:color w:val="auto"/>
                <w:sz w:val="18"/>
                <w:szCs w:val="18"/>
                <w:lang w:val="en-US"/>
              </w:rPr>
              <w:t>.</w:t>
            </w:r>
          </w:p>
        </w:tc>
      </w:tr>
      <w:tr w:rsidR="00D3011B" w:rsidRPr="00ED0A44" w14:paraId="12568D4E" w14:textId="77777777" w:rsidTr="00ED0A44">
        <w:trPr>
          <w:jc w:val="center"/>
        </w:trPr>
        <w:tc>
          <w:tcPr>
            <w:tcW w:w="662" w:type="pct"/>
            <w:vMerge w:val="restart"/>
            <w:tcBorders>
              <w:top w:val="nil"/>
            </w:tcBorders>
            <w:vAlign w:val="center"/>
          </w:tcPr>
          <w:p w14:paraId="32E91DF4" w14:textId="77777777" w:rsidR="00E12804" w:rsidRPr="002C3C39" w:rsidRDefault="00E12804" w:rsidP="00D3011B">
            <w:pPr>
              <w:autoSpaceDE w:val="0"/>
              <w:autoSpaceDN w:val="0"/>
              <w:adjustRightInd w:val="0"/>
              <w:snapToGrid w:val="0"/>
              <w:spacing w:line="240" w:lineRule="auto"/>
              <w:jc w:val="center"/>
              <w:rPr>
                <w:bCs/>
                <w:noProof w:val="0"/>
                <w:color w:val="auto"/>
                <w:sz w:val="18"/>
                <w:szCs w:val="18"/>
                <w:lang w:val="en-US"/>
              </w:rPr>
            </w:pPr>
            <w:r w:rsidRPr="002C3C39">
              <w:rPr>
                <w:bCs/>
                <w:noProof w:val="0"/>
                <w:color w:val="auto"/>
                <w:sz w:val="18"/>
                <w:szCs w:val="18"/>
              </w:rPr>
              <w:t>Self-sufficiency Analysis</w:t>
            </w:r>
          </w:p>
        </w:tc>
        <w:tc>
          <w:tcPr>
            <w:tcW w:w="4338" w:type="pct"/>
            <w:gridSpan w:val="2"/>
            <w:tcBorders>
              <w:top w:val="nil"/>
              <w:bottom w:val="nil"/>
            </w:tcBorders>
            <w:vAlign w:val="center"/>
          </w:tcPr>
          <w:p w14:paraId="069EBA1D" w14:textId="4782E811"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It is noted that this is one of the metrics accounted for in ND-GAIN, but the emphasis in that study is on energy imports and general manufacturing capacity</w:t>
            </w:r>
            <w:r w:rsidR="006C0A78" w:rsidRPr="00ED0A44">
              <w:rPr>
                <w:noProof w:val="0"/>
                <w:color w:val="auto"/>
                <w:sz w:val="18"/>
                <w:szCs w:val="18"/>
                <w:lang w:val="en-US"/>
              </w:rPr>
              <w:t xml:space="preserve">. </w:t>
            </w:r>
            <w:r w:rsidRPr="00ED0A44">
              <w:rPr>
                <w:noProof w:val="0"/>
                <w:color w:val="auto"/>
                <w:sz w:val="18"/>
                <w:szCs w:val="18"/>
                <w:lang w:val="en-US"/>
              </w:rPr>
              <w:t>This metric is concerned with how self-sufficient nations may be under a hypothetical future ‘de-complexification’ event</w:t>
            </w:r>
            <w:r w:rsidR="00077EC8">
              <w:rPr>
                <w:noProof w:val="0"/>
                <w:color w:val="auto"/>
                <w:sz w:val="18"/>
                <w:szCs w:val="18"/>
                <w:lang w:val="en-US"/>
              </w:rPr>
              <w:t>, i.e.</w:t>
            </w:r>
            <w:r w:rsidR="00CF3497" w:rsidRPr="00ED0A44">
              <w:rPr>
                <w:noProof w:val="0"/>
                <w:color w:val="auto"/>
                <w:sz w:val="18"/>
                <w:szCs w:val="18"/>
                <w:lang w:val="en-US"/>
              </w:rPr>
              <w:t>,</w:t>
            </w:r>
            <w:r w:rsidRPr="00ED0A44">
              <w:rPr>
                <w:noProof w:val="0"/>
                <w:color w:val="auto"/>
                <w:sz w:val="18"/>
                <w:szCs w:val="18"/>
                <w:lang w:val="en-US"/>
              </w:rPr>
              <w:t xml:space="preserve"> how a particular country may be able to respond to the disruption, </w:t>
            </w:r>
            <w:proofErr w:type="gramStart"/>
            <w:r w:rsidRPr="00ED0A44">
              <w:rPr>
                <w:noProof w:val="0"/>
                <w:color w:val="auto"/>
                <w:sz w:val="18"/>
                <w:szCs w:val="18"/>
                <w:lang w:val="en-US"/>
              </w:rPr>
              <w:t>shrinkage</w:t>
            </w:r>
            <w:proofErr w:type="gramEnd"/>
            <w:r w:rsidRPr="00ED0A44">
              <w:rPr>
                <w:noProof w:val="0"/>
                <w:color w:val="auto"/>
                <w:sz w:val="18"/>
                <w:szCs w:val="18"/>
                <w:lang w:val="en-US"/>
              </w:rPr>
              <w:t xml:space="preserve"> or cessation of global supply lines through its access to and flexibility of indigenous energy supplies and manufacturing capacity.</w:t>
            </w:r>
            <w:r w:rsidR="005D3E06" w:rsidRPr="00ED0A44">
              <w:rPr>
                <w:noProof w:val="0"/>
                <w:color w:val="auto"/>
                <w:sz w:val="18"/>
                <w:szCs w:val="18"/>
                <w:lang w:val="en-US"/>
              </w:rPr>
              <w:t xml:space="preserve"> </w:t>
            </w:r>
            <w:r w:rsidRPr="00ED0A44">
              <w:rPr>
                <w:noProof w:val="0"/>
                <w:color w:val="auto"/>
                <w:sz w:val="18"/>
                <w:szCs w:val="18"/>
                <w:lang w:val="en-US"/>
              </w:rPr>
              <w:t xml:space="preserve">A score is assigned </w:t>
            </w:r>
            <w:proofErr w:type="gramStart"/>
            <w:r w:rsidRPr="00ED0A44">
              <w:rPr>
                <w:noProof w:val="0"/>
                <w:color w:val="auto"/>
                <w:sz w:val="18"/>
                <w:szCs w:val="18"/>
                <w:lang w:val="en-US"/>
              </w:rPr>
              <w:t>on the basis of</w:t>
            </w:r>
            <w:proofErr w:type="gramEnd"/>
            <w:r w:rsidRPr="00ED0A44">
              <w:rPr>
                <w:noProof w:val="0"/>
                <w:color w:val="auto"/>
                <w:sz w:val="18"/>
                <w:szCs w:val="18"/>
                <w:lang w:val="en-US"/>
              </w:rPr>
              <w:t xml:space="preserve"> a subjective, general analysis of the energy and manufacturing infrastructure and capacity of the nation in question as follows:</w:t>
            </w:r>
          </w:p>
        </w:tc>
      </w:tr>
      <w:tr w:rsidR="00D3011B" w:rsidRPr="00ED0A44" w14:paraId="3662E8DD" w14:textId="77777777" w:rsidTr="00ED0A44">
        <w:trPr>
          <w:jc w:val="center"/>
        </w:trPr>
        <w:tc>
          <w:tcPr>
            <w:tcW w:w="662" w:type="pct"/>
            <w:vMerge/>
            <w:vAlign w:val="center"/>
          </w:tcPr>
          <w:p w14:paraId="1D77A79B" w14:textId="77777777" w:rsidR="00E12804" w:rsidRPr="00ED0A44"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1265969D"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1</w:t>
            </w:r>
          </w:p>
        </w:tc>
        <w:tc>
          <w:tcPr>
            <w:tcW w:w="4052" w:type="pct"/>
            <w:tcBorders>
              <w:top w:val="nil"/>
              <w:bottom w:val="nil"/>
            </w:tcBorders>
            <w:vAlign w:val="center"/>
          </w:tcPr>
          <w:p w14:paraId="5E4FCC71" w14:textId="22023C03"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nation has negligible or very limited existing indigenous renewable energy resources and/or manufacturing capacity</w:t>
            </w:r>
            <w:r w:rsidR="00A31A32">
              <w:rPr>
                <w:noProof w:val="0"/>
                <w:color w:val="auto"/>
                <w:sz w:val="18"/>
                <w:szCs w:val="18"/>
                <w:lang w:val="en-US"/>
              </w:rPr>
              <w:t>.</w:t>
            </w:r>
          </w:p>
        </w:tc>
      </w:tr>
      <w:tr w:rsidR="00D3011B" w:rsidRPr="00ED0A44" w14:paraId="1EF57F66" w14:textId="77777777" w:rsidTr="00ED0A44">
        <w:trPr>
          <w:jc w:val="center"/>
        </w:trPr>
        <w:tc>
          <w:tcPr>
            <w:tcW w:w="662" w:type="pct"/>
            <w:vMerge/>
            <w:vAlign w:val="center"/>
          </w:tcPr>
          <w:p w14:paraId="0B8C29A6" w14:textId="77777777" w:rsidR="00E12804" w:rsidRPr="00ED0A44"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1B268419"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2</w:t>
            </w:r>
          </w:p>
        </w:tc>
        <w:tc>
          <w:tcPr>
            <w:tcW w:w="4052" w:type="pct"/>
            <w:tcBorders>
              <w:top w:val="nil"/>
              <w:bottom w:val="nil"/>
            </w:tcBorders>
            <w:vAlign w:val="center"/>
          </w:tcPr>
          <w:p w14:paraId="2FA66ECD" w14:textId="79B94E71"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nation has limited existing indigenous renewable energy resources and/or manufacturing capacity</w:t>
            </w:r>
            <w:r w:rsidR="00A31A32">
              <w:rPr>
                <w:noProof w:val="0"/>
                <w:color w:val="auto"/>
                <w:sz w:val="18"/>
                <w:szCs w:val="18"/>
                <w:lang w:val="en-US"/>
              </w:rPr>
              <w:t>.</w:t>
            </w:r>
          </w:p>
        </w:tc>
      </w:tr>
      <w:tr w:rsidR="00D3011B" w:rsidRPr="00ED0A44" w14:paraId="4DDCAB2D" w14:textId="77777777" w:rsidTr="00ED0A44">
        <w:trPr>
          <w:jc w:val="center"/>
        </w:trPr>
        <w:tc>
          <w:tcPr>
            <w:tcW w:w="662" w:type="pct"/>
            <w:vMerge/>
            <w:vAlign w:val="center"/>
          </w:tcPr>
          <w:p w14:paraId="4B252620" w14:textId="77777777" w:rsidR="00E12804" w:rsidRPr="00ED0A44"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6B346AB2"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3</w:t>
            </w:r>
          </w:p>
        </w:tc>
        <w:tc>
          <w:tcPr>
            <w:tcW w:w="4052" w:type="pct"/>
            <w:tcBorders>
              <w:top w:val="nil"/>
              <w:bottom w:val="nil"/>
            </w:tcBorders>
            <w:vAlign w:val="center"/>
          </w:tcPr>
          <w:p w14:paraId="54EE1D08" w14:textId="7E1834DF"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nation has moderate existing indigenous renewable energy resources and/or manufacturing capacity</w:t>
            </w:r>
            <w:r w:rsidR="00A31A32">
              <w:rPr>
                <w:noProof w:val="0"/>
                <w:color w:val="auto"/>
                <w:sz w:val="18"/>
                <w:szCs w:val="18"/>
                <w:lang w:val="en-US"/>
              </w:rPr>
              <w:t>.</w:t>
            </w:r>
          </w:p>
        </w:tc>
      </w:tr>
      <w:tr w:rsidR="00D3011B" w:rsidRPr="00ED0A44" w14:paraId="58BB0450" w14:textId="77777777" w:rsidTr="00ED0A44">
        <w:trPr>
          <w:jc w:val="center"/>
        </w:trPr>
        <w:tc>
          <w:tcPr>
            <w:tcW w:w="662" w:type="pct"/>
            <w:vMerge/>
            <w:vAlign w:val="center"/>
          </w:tcPr>
          <w:p w14:paraId="259FAD13" w14:textId="77777777" w:rsidR="00E12804" w:rsidRPr="00ED0A44"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bottom w:val="nil"/>
            </w:tcBorders>
            <w:vAlign w:val="center"/>
          </w:tcPr>
          <w:p w14:paraId="79BF6F91"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4</w:t>
            </w:r>
          </w:p>
        </w:tc>
        <w:tc>
          <w:tcPr>
            <w:tcW w:w="4052" w:type="pct"/>
            <w:tcBorders>
              <w:top w:val="nil"/>
              <w:bottom w:val="nil"/>
            </w:tcBorders>
            <w:vAlign w:val="center"/>
          </w:tcPr>
          <w:p w14:paraId="4027FA52" w14:textId="30A32899"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nation has significant existing indigenous renewable energy resources and/or manufacturing capacity</w:t>
            </w:r>
            <w:r w:rsidR="00A31A32">
              <w:rPr>
                <w:noProof w:val="0"/>
                <w:color w:val="auto"/>
                <w:sz w:val="18"/>
                <w:szCs w:val="18"/>
                <w:lang w:val="en-US"/>
              </w:rPr>
              <w:t>.</w:t>
            </w:r>
          </w:p>
        </w:tc>
      </w:tr>
      <w:tr w:rsidR="00D3011B" w:rsidRPr="00ED0A44" w14:paraId="798F8276" w14:textId="77777777" w:rsidTr="00ED0A44">
        <w:trPr>
          <w:jc w:val="center"/>
        </w:trPr>
        <w:tc>
          <w:tcPr>
            <w:tcW w:w="662" w:type="pct"/>
            <w:vMerge/>
            <w:vAlign w:val="center"/>
          </w:tcPr>
          <w:p w14:paraId="19A159D1" w14:textId="77777777" w:rsidR="00E12804" w:rsidRPr="00ED0A44" w:rsidRDefault="00E12804" w:rsidP="00D3011B">
            <w:pPr>
              <w:autoSpaceDE w:val="0"/>
              <w:autoSpaceDN w:val="0"/>
              <w:adjustRightInd w:val="0"/>
              <w:snapToGrid w:val="0"/>
              <w:spacing w:line="240" w:lineRule="auto"/>
              <w:jc w:val="center"/>
              <w:rPr>
                <w:bCs/>
                <w:noProof w:val="0"/>
                <w:color w:val="auto"/>
                <w:sz w:val="18"/>
                <w:szCs w:val="18"/>
                <w:lang w:val="en-US"/>
              </w:rPr>
            </w:pPr>
          </w:p>
        </w:tc>
        <w:tc>
          <w:tcPr>
            <w:tcW w:w="286" w:type="pct"/>
            <w:tcBorders>
              <w:top w:val="nil"/>
            </w:tcBorders>
            <w:vAlign w:val="center"/>
          </w:tcPr>
          <w:p w14:paraId="5DFF57DA" w14:textId="77777777" w:rsidR="00E12804" w:rsidRPr="00ED0A44" w:rsidRDefault="00E12804" w:rsidP="00040629">
            <w:pPr>
              <w:autoSpaceDE w:val="0"/>
              <w:autoSpaceDN w:val="0"/>
              <w:adjustRightInd w:val="0"/>
              <w:snapToGrid w:val="0"/>
              <w:spacing w:line="240" w:lineRule="auto"/>
              <w:jc w:val="left"/>
              <w:rPr>
                <w:bCs/>
                <w:noProof w:val="0"/>
                <w:color w:val="auto"/>
                <w:sz w:val="18"/>
                <w:szCs w:val="18"/>
                <w:lang w:val="en-US"/>
              </w:rPr>
            </w:pPr>
            <w:r w:rsidRPr="00ED0A44">
              <w:rPr>
                <w:bCs/>
                <w:noProof w:val="0"/>
                <w:color w:val="auto"/>
                <w:sz w:val="18"/>
                <w:szCs w:val="18"/>
                <w:lang w:val="en-US"/>
              </w:rPr>
              <w:t>5</w:t>
            </w:r>
          </w:p>
        </w:tc>
        <w:tc>
          <w:tcPr>
            <w:tcW w:w="4052" w:type="pct"/>
            <w:tcBorders>
              <w:top w:val="nil"/>
            </w:tcBorders>
            <w:vAlign w:val="center"/>
          </w:tcPr>
          <w:p w14:paraId="27DA377D" w14:textId="05D407BA" w:rsidR="00E12804" w:rsidRPr="00ED0A44" w:rsidRDefault="00E12804" w:rsidP="00040629">
            <w:pPr>
              <w:autoSpaceDE w:val="0"/>
              <w:autoSpaceDN w:val="0"/>
              <w:adjustRightInd w:val="0"/>
              <w:snapToGrid w:val="0"/>
              <w:spacing w:line="240" w:lineRule="auto"/>
              <w:jc w:val="left"/>
              <w:rPr>
                <w:noProof w:val="0"/>
                <w:color w:val="auto"/>
                <w:sz w:val="18"/>
                <w:szCs w:val="18"/>
                <w:lang w:val="en-US"/>
              </w:rPr>
            </w:pPr>
            <w:r w:rsidRPr="00ED0A44">
              <w:rPr>
                <w:noProof w:val="0"/>
                <w:color w:val="auto"/>
                <w:sz w:val="18"/>
                <w:szCs w:val="18"/>
                <w:lang w:val="en-US"/>
              </w:rPr>
              <w:t>The nation has very significant existing indigenous renewable energy resources and/or manufacturing capacity</w:t>
            </w:r>
            <w:r w:rsidR="00A31A32">
              <w:rPr>
                <w:noProof w:val="0"/>
                <w:color w:val="auto"/>
                <w:sz w:val="18"/>
                <w:szCs w:val="18"/>
                <w:lang w:val="en-US"/>
              </w:rPr>
              <w:t>.</w:t>
            </w:r>
          </w:p>
        </w:tc>
      </w:tr>
    </w:tbl>
    <w:p w14:paraId="118CD0B9" w14:textId="621AA0BC" w:rsidR="00E12804" w:rsidRPr="002A59D0" w:rsidRDefault="00E12804" w:rsidP="00D3011B">
      <w:pPr>
        <w:pStyle w:val="MDPI43tablefooter"/>
        <w:ind w:left="425" w:right="425"/>
        <w:jc w:val="both"/>
      </w:pPr>
      <w:r w:rsidRPr="002A59D0">
        <w:rPr>
          <w:rFonts w:eastAsiaTheme="minorHAnsi" w:cstheme="minorBidi"/>
          <w:b/>
          <w:bCs/>
          <w:color w:val="auto"/>
          <w:lang w:eastAsia="en-US"/>
        </w:rPr>
        <w:t>Notes</w:t>
      </w:r>
      <w:r w:rsidRPr="002A59D0">
        <w:rPr>
          <w:rFonts w:eastAsiaTheme="minorHAnsi" w:cstheme="minorBidi"/>
          <w:color w:val="auto"/>
          <w:lang w:eastAsia="en-US"/>
        </w:rPr>
        <w:t xml:space="preserve">: </w:t>
      </w:r>
      <w:r w:rsidRPr="002A59D0">
        <w:t xml:space="preserve">It is acknowledged that ‘carrying capacity’ is not a firmly defined concept; </w:t>
      </w:r>
      <w:r w:rsidR="0001183F">
        <w:t>[</w:t>
      </w:r>
      <w:r w:rsidR="002141CF">
        <w:rPr>
          <w:szCs w:val="18"/>
        </w:rPr>
        <w:t>6</w:t>
      </w:r>
      <w:r w:rsidR="00A9271C">
        <w:rPr>
          <w:szCs w:val="18"/>
        </w:rPr>
        <w:t>7</w:t>
      </w:r>
      <w:r w:rsidR="0001183F">
        <w:rPr>
          <w:szCs w:val="18"/>
        </w:rPr>
        <w:t>]</w:t>
      </w:r>
      <w:r w:rsidRPr="002A59D0">
        <w:t xml:space="preserve"> describes it as a complex, non-constant phenomenon that emerges from processes and interdependent relationships between limited resources and the populations that depend on them.</w:t>
      </w:r>
      <w:r w:rsidR="008D52EA">
        <w:t xml:space="preserve"> </w:t>
      </w:r>
      <w:r w:rsidRPr="002A59D0">
        <w:t>For the purposes of this paper, carrying capacity is assumed to be a simple measure of the human population that can be sustained by the theoretical maximum extent of agricultural land within a given nation</w:t>
      </w:r>
      <w:r w:rsidR="00A31A32">
        <w:t>,</w:t>
      </w:r>
      <w:r w:rsidRPr="002A59D0">
        <w:t xml:space="preserve"> i.e.</w:t>
      </w:r>
      <w:r w:rsidR="00CF3497">
        <w:t>,</w:t>
      </w:r>
      <w:r w:rsidRPr="002A59D0">
        <w:t xml:space="preserve"> </w:t>
      </w:r>
      <w:r w:rsidR="00A31A32">
        <w:t xml:space="preserve">the </w:t>
      </w:r>
      <w:r w:rsidRPr="002A59D0">
        <w:t>assessment of agricultural land available per capita.</w:t>
      </w:r>
      <w:r w:rsidR="00A31A32">
        <w:t xml:space="preserve"> Ref. </w:t>
      </w:r>
      <w:r w:rsidR="008D52EA">
        <w:t xml:space="preserve"> </w:t>
      </w:r>
      <w:r w:rsidR="0001183F">
        <w:t>[</w:t>
      </w:r>
      <w:r w:rsidR="00976F21">
        <w:rPr>
          <w:szCs w:val="18"/>
        </w:rPr>
        <w:t>6</w:t>
      </w:r>
      <w:r w:rsidR="00A9271C">
        <w:rPr>
          <w:szCs w:val="18"/>
        </w:rPr>
        <w:t>8</w:t>
      </w:r>
      <w:r w:rsidR="0001183F">
        <w:rPr>
          <w:szCs w:val="18"/>
        </w:rPr>
        <w:t>]</w:t>
      </w:r>
      <w:r w:rsidRPr="002A59D0">
        <w:t xml:space="preserve"> notes that the average global land demand is 2.2 hectares (0.022 km</w:t>
      </w:r>
      <w:r w:rsidRPr="002A59D0">
        <w:rPr>
          <w:vertAlign w:val="superscript"/>
        </w:rPr>
        <w:t>2</w:t>
      </w:r>
      <w:r w:rsidRPr="002A59D0">
        <w:t xml:space="preserve">) per capita, but this is based on total ecological footprint to support a range of lifestyles from subsistence through to </w:t>
      </w:r>
      <w:proofErr w:type="spellStart"/>
      <w:r w:rsidRPr="002A59D0">
        <w:t>industrialised</w:t>
      </w:r>
      <w:proofErr w:type="spellEnd"/>
      <w:r w:rsidRPr="002A59D0">
        <w:t xml:space="preserve"> Western lifestyles</w:t>
      </w:r>
      <w:r w:rsidR="00A31A32">
        <w:t>,</w:t>
      </w:r>
      <w:r w:rsidRPr="002A59D0">
        <w:t xml:space="preserve"> i.e.</w:t>
      </w:r>
      <w:r w:rsidR="00CF3497">
        <w:t>,</w:t>
      </w:r>
      <w:r w:rsidRPr="002A59D0">
        <w:t xml:space="preserve"> this accounts for food, </w:t>
      </w:r>
      <w:proofErr w:type="spellStart"/>
      <w:r w:rsidRPr="002A59D0">
        <w:t>fibre</w:t>
      </w:r>
      <w:proofErr w:type="spellEnd"/>
      <w:r w:rsidRPr="002A59D0">
        <w:t>, pollution absorption</w:t>
      </w:r>
      <w:r w:rsidR="00A31A32">
        <w:t>,</w:t>
      </w:r>
      <w:r w:rsidRPr="002A59D0">
        <w:t xml:space="preserve"> etc.</w:t>
      </w:r>
      <w:r w:rsidR="008D52EA">
        <w:t xml:space="preserve"> </w:t>
      </w:r>
      <w:r w:rsidRPr="002A59D0">
        <w:t>The estimated land area required to sustain one person at an adequate level of calories with a vegetarian diet ranges from 0.0001 km</w:t>
      </w:r>
      <w:r w:rsidRPr="002A59D0">
        <w:rPr>
          <w:vertAlign w:val="superscript"/>
        </w:rPr>
        <w:t>2</w:t>
      </w:r>
      <w:r w:rsidRPr="00D71C51">
        <w:t xml:space="preserve"> </w:t>
      </w:r>
      <w:r w:rsidR="0001183F">
        <w:t>[</w:t>
      </w:r>
      <w:r w:rsidR="00976F21">
        <w:rPr>
          <w:szCs w:val="18"/>
        </w:rPr>
        <w:t>6</w:t>
      </w:r>
      <w:r w:rsidR="00A9271C">
        <w:rPr>
          <w:szCs w:val="18"/>
        </w:rPr>
        <w:t>9</w:t>
      </w:r>
      <w:r w:rsidR="0001183F">
        <w:rPr>
          <w:szCs w:val="18"/>
        </w:rPr>
        <w:t>]</w:t>
      </w:r>
      <w:r w:rsidRPr="002A59D0">
        <w:t xml:space="preserve"> to 0.002 km</w:t>
      </w:r>
      <w:r w:rsidRPr="002A59D0">
        <w:rPr>
          <w:vertAlign w:val="superscript"/>
        </w:rPr>
        <w:t>2</w:t>
      </w:r>
      <w:r w:rsidRPr="00D71C51">
        <w:rPr>
          <w:vertAlign w:val="superscript"/>
        </w:rPr>
        <w:t xml:space="preserve"> </w:t>
      </w:r>
      <w:r w:rsidR="0001183F" w:rsidRPr="004513D3">
        <w:rPr>
          <w:highlight w:val="yellow"/>
        </w:rPr>
        <w:t>[</w:t>
      </w:r>
      <w:r w:rsidR="00A9271C">
        <w:rPr>
          <w:szCs w:val="18"/>
          <w:highlight w:val="yellow"/>
        </w:rPr>
        <w:t>70</w:t>
      </w:r>
      <w:r w:rsidR="0001183F" w:rsidRPr="004513D3">
        <w:rPr>
          <w:szCs w:val="18"/>
          <w:highlight w:val="yellow"/>
        </w:rPr>
        <w:t>]</w:t>
      </w:r>
      <w:r w:rsidRPr="004513D3">
        <w:rPr>
          <w:highlight w:val="yellow"/>
        </w:rPr>
        <w:t>.</w:t>
      </w:r>
    </w:p>
    <w:p w14:paraId="40C120F4" w14:textId="77777777" w:rsidR="00E12804" w:rsidRPr="002A59D0" w:rsidRDefault="00E12804" w:rsidP="002A59D0">
      <w:pPr>
        <w:adjustRightInd w:val="0"/>
        <w:snapToGrid w:val="0"/>
        <w:rPr>
          <w:noProof w:val="0"/>
        </w:rPr>
        <w:sectPr w:rsidR="00E12804" w:rsidRPr="002A59D0" w:rsidSect="002A59D0">
          <w:headerReference w:type="default" r:id="rId19"/>
          <w:endnotePr>
            <w:numFmt w:val="decimal"/>
          </w:endnotePr>
          <w:pgSz w:w="16838" w:h="11906" w:orient="landscape" w:code="9"/>
          <w:pgMar w:top="1417" w:right="720" w:bottom="1077" w:left="720" w:header="1020" w:footer="340" w:gutter="0"/>
          <w:cols w:space="425"/>
          <w:bidi/>
          <w:docGrid w:type="lines" w:linePitch="326"/>
        </w:sectPr>
      </w:pPr>
    </w:p>
    <w:p w14:paraId="5E94563A" w14:textId="01F1020E" w:rsidR="00886311" w:rsidRPr="002A59D0" w:rsidRDefault="0062780A" w:rsidP="00D3011B">
      <w:pPr>
        <w:pStyle w:val="MDPI21heading1"/>
      </w:pPr>
      <w:r>
        <w:lastRenderedPageBreak/>
        <w:t xml:space="preserve">3. </w:t>
      </w:r>
      <w:r w:rsidR="00886311" w:rsidRPr="002A59D0">
        <w:t>Results</w:t>
      </w:r>
    </w:p>
    <w:p w14:paraId="61F0A1DD" w14:textId="32953A38" w:rsidR="00E12804" w:rsidRPr="00675189" w:rsidRDefault="00886311" w:rsidP="00D3011B">
      <w:pPr>
        <w:pStyle w:val="MDPI31text"/>
      </w:pPr>
      <w:r w:rsidRPr="00675189">
        <w:t>The application of the scoring mechanism outlined in Section 2.2 (along with information underpinning this analysis) to the top 20 ‘least vulnerable’ nations (as identified by ND-GAIN</w:t>
      </w:r>
      <w:r w:rsidR="00111F85" w:rsidRPr="00675189">
        <w:t xml:space="preserve"> [</w:t>
      </w:r>
      <w:r w:rsidR="002141CF">
        <w:t>6</w:t>
      </w:r>
      <w:r w:rsidR="00A9271C">
        <w:t>6</w:t>
      </w:r>
      <w:r w:rsidR="00111F85" w:rsidRPr="00675189">
        <w:t>]</w:t>
      </w:r>
      <w:r w:rsidRPr="00675189">
        <w:t xml:space="preserve">) is presented in Table </w:t>
      </w:r>
      <w:r w:rsidR="003D2B42" w:rsidRPr="00675189">
        <w:t>3</w:t>
      </w:r>
      <w:r w:rsidRPr="00675189">
        <w:t>.</w:t>
      </w:r>
      <w:r w:rsidR="008D52EA" w:rsidRPr="00675189">
        <w:t xml:space="preserve"> </w:t>
      </w:r>
      <w:r w:rsidRPr="00675189">
        <w:t>This identifies the five nations with the most significant ‘</w:t>
      </w:r>
      <w:proofErr w:type="spellStart"/>
      <w:r w:rsidRPr="00675189">
        <w:t>favourable</w:t>
      </w:r>
      <w:proofErr w:type="spellEnd"/>
      <w:r w:rsidRPr="00675189">
        <w:t xml:space="preserve"> starting conditions’, which are then taken forward for more detailed, individual discussion in Section 4.</w:t>
      </w:r>
    </w:p>
    <w:p w14:paraId="0C5CB487" w14:textId="50DC9CE4" w:rsidR="00886311" w:rsidRPr="00675189" w:rsidRDefault="00886311" w:rsidP="00D3011B">
      <w:pPr>
        <w:pStyle w:val="MDPI31text"/>
      </w:pPr>
      <w:r w:rsidRPr="00675189">
        <w:t xml:space="preserve">Table </w:t>
      </w:r>
      <w:r w:rsidR="003D2B42" w:rsidRPr="00675189">
        <w:t>4</w:t>
      </w:r>
      <w:r w:rsidRPr="00675189">
        <w:t xml:space="preserve"> shows the calculation for the ‘</w:t>
      </w:r>
      <w:proofErr w:type="spellStart"/>
      <w:r w:rsidRPr="00675189">
        <w:t>favourable</w:t>
      </w:r>
      <w:proofErr w:type="spellEnd"/>
      <w:r w:rsidRPr="00675189">
        <w:t xml:space="preserve"> starting conditions’ rating for </w:t>
      </w:r>
      <w:proofErr w:type="gramStart"/>
      <w:r w:rsidRPr="00675189">
        <w:t>all of</w:t>
      </w:r>
      <w:proofErr w:type="gramEnd"/>
      <w:r w:rsidRPr="00675189">
        <w:t xml:space="preserve"> the nations that scored &gt;10 (note not inclusive) i.e.</w:t>
      </w:r>
      <w:r w:rsidR="00CF3497" w:rsidRPr="00675189">
        <w:t>,</w:t>
      </w:r>
      <w:r w:rsidRPr="00675189">
        <w:t xml:space="preserve"> those with the ‘</w:t>
      </w:r>
      <w:proofErr w:type="spellStart"/>
      <w:r w:rsidRPr="00675189">
        <w:t>favourable</w:t>
      </w:r>
      <w:proofErr w:type="spellEnd"/>
      <w:r w:rsidRPr="00675189">
        <w:t xml:space="preserve"> starting conditions’ for the potential formation of ‘nodes of persisting complexity.</w:t>
      </w:r>
    </w:p>
    <w:p w14:paraId="3DDE218B" w14:textId="77777777" w:rsidR="00FD5B1E" w:rsidRPr="002A59D0" w:rsidRDefault="00FD5B1E" w:rsidP="002A59D0">
      <w:pPr>
        <w:adjustRightInd w:val="0"/>
        <w:snapToGrid w:val="0"/>
        <w:rPr>
          <w:noProof w:val="0"/>
          <w:lang w:eastAsia="en-US"/>
        </w:rPr>
      </w:pPr>
    </w:p>
    <w:p w14:paraId="19B51D7C" w14:textId="77777777" w:rsidR="00E12804" w:rsidRPr="002A59D0" w:rsidRDefault="00E12804" w:rsidP="002A59D0">
      <w:pPr>
        <w:adjustRightInd w:val="0"/>
        <w:snapToGrid w:val="0"/>
        <w:rPr>
          <w:noProof w:val="0"/>
        </w:rPr>
        <w:sectPr w:rsidR="00E12804" w:rsidRPr="002A59D0" w:rsidSect="002A59D0">
          <w:headerReference w:type="default" r:id="rId20"/>
          <w:endnotePr>
            <w:numFmt w:val="decimal"/>
          </w:endnotePr>
          <w:pgSz w:w="11906" w:h="16838" w:code="9"/>
          <w:pgMar w:top="1417" w:right="720" w:bottom="1077" w:left="720" w:header="1020" w:footer="340" w:gutter="0"/>
          <w:cols w:space="425"/>
          <w:bidi/>
          <w:docGrid w:type="lines" w:linePitch="326"/>
        </w:sectPr>
      </w:pPr>
    </w:p>
    <w:p w14:paraId="3F3A4DA5" w14:textId="001BC000" w:rsidR="00E12804" w:rsidRPr="002A59D0" w:rsidRDefault="00D3011B" w:rsidP="00D3011B">
      <w:pPr>
        <w:pStyle w:val="MDPI41tablecaption"/>
        <w:ind w:left="425" w:right="425"/>
        <w:jc w:val="center"/>
      </w:pPr>
      <w:r w:rsidRPr="00D3011B">
        <w:rPr>
          <w:rFonts w:eastAsiaTheme="minorHAnsi"/>
          <w:b/>
        </w:rPr>
        <w:lastRenderedPageBreak/>
        <w:t xml:space="preserve">Table 3. </w:t>
      </w:r>
      <w:r w:rsidR="00E12804" w:rsidRPr="002A59D0">
        <w:rPr>
          <w:rFonts w:eastAsiaTheme="minorHAnsi"/>
        </w:rPr>
        <w:t>Scoring and Underpinning of Assessment of ‘De-complexification’</w:t>
      </w:r>
      <w:r>
        <w:rPr>
          <w:rFonts w:eastAsiaTheme="minorHAnsi"/>
        </w:rPr>
        <w:t>.</w:t>
      </w:r>
    </w:p>
    <w:tbl>
      <w:tblPr>
        <w:tblStyle w:val="TableGrid3"/>
        <w:tblW w:w="5000" w:type="pct"/>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605"/>
        <w:gridCol w:w="4065"/>
        <w:gridCol w:w="4210"/>
        <w:gridCol w:w="4499"/>
        <w:gridCol w:w="1019"/>
      </w:tblGrid>
      <w:tr w:rsidR="00404301" w:rsidRPr="007562C2" w14:paraId="394BB767" w14:textId="77777777" w:rsidTr="002C3C39">
        <w:trPr>
          <w:jc w:val="center"/>
        </w:trPr>
        <w:tc>
          <w:tcPr>
            <w:tcW w:w="521" w:type="pct"/>
            <w:tcBorders>
              <w:top w:val="single" w:sz="8" w:space="0" w:color="auto"/>
              <w:bottom w:val="single" w:sz="4" w:space="0" w:color="auto"/>
            </w:tcBorders>
            <w:shd w:val="clear" w:color="auto" w:fill="auto"/>
            <w:vAlign w:val="center"/>
          </w:tcPr>
          <w:p w14:paraId="3AC1946C" w14:textId="425CA3D1" w:rsidR="00E12804" w:rsidRPr="007B773A" w:rsidRDefault="00FB1972" w:rsidP="006412FE">
            <w:pPr>
              <w:autoSpaceDE w:val="0"/>
              <w:autoSpaceDN w:val="0"/>
              <w:adjustRightInd w:val="0"/>
              <w:snapToGrid w:val="0"/>
              <w:spacing w:line="240" w:lineRule="auto"/>
              <w:jc w:val="center"/>
              <w:rPr>
                <w:rFonts w:cstheme="minorHAnsi"/>
                <w:b/>
                <w:noProof w:val="0"/>
                <w:color w:val="auto"/>
                <w:sz w:val="18"/>
                <w:szCs w:val="18"/>
                <w:lang w:val="en-US"/>
              </w:rPr>
            </w:pPr>
            <w:r w:rsidRPr="002C3C39">
              <w:rPr>
                <w:rFonts w:cstheme="minorHAnsi"/>
                <w:b/>
                <w:noProof w:val="0"/>
                <w:color w:val="auto"/>
                <w:sz w:val="18"/>
                <w:szCs w:val="18"/>
              </w:rPr>
              <w:t>Country</w:t>
            </w:r>
          </w:p>
        </w:tc>
        <w:tc>
          <w:tcPr>
            <w:tcW w:w="1320" w:type="pct"/>
            <w:tcBorders>
              <w:top w:val="single" w:sz="8" w:space="0" w:color="auto"/>
              <w:bottom w:val="single" w:sz="4" w:space="0" w:color="auto"/>
            </w:tcBorders>
            <w:shd w:val="clear" w:color="auto" w:fill="auto"/>
            <w:vAlign w:val="center"/>
          </w:tcPr>
          <w:p w14:paraId="2F67D923" w14:textId="1F51FBAD" w:rsidR="00E12804" w:rsidRPr="007B773A" w:rsidRDefault="00FB1972" w:rsidP="006412FE">
            <w:pPr>
              <w:autoSpaceDE w:val="0"/>
              <w:autoSpaceDN w:val="0"/>
              <w:adjustRightInd w:val="0"/>
              <w:snapToGrid w:val="0"/>
              <w:spacing w:line="240" w:lineRule="auto"/>
              <w:jc w:val="center"/>
              <w:rPr>
                <w:rFonts w:cstheme="minorHAnsi"/>
                <w:b/>
                <w:noProof w:val="0"/>
                <w:color w:val="auto"/>
                <w:sz w:val="18"/>
                <w:szCs w:val="18"/>
                <w:lang w:val="en-US"/>
              </w:rPr>
            </w:pPr>
            <w:r w:rsidRPr="007B773A">
              <w:rPr>
                <w:rFonts w:cstheme="minorHAnsi"/>
                <w:b/>
                <w:noProof w:val="0"/>
                <w:color w:val="auto"/>
                <w:sz w:val="18"/>
                <w:szCs w:val="18"/>
                <w:lang w:val="en-US"/>
              </w:rPr>
              <w:t>Carrying Capacity Analysis</w:t>
            </w:r>
          </w:p>
          <w:p w14:paraId="3E01EEC1" w14:textId="45133AC8" w:rsidR="00E12804" w:rsidRPr="007B773A" w:rsidRDefault="00E12804" w:rsidP="006412FE">
            <w:pPr>
              <w:autoSpaceDE w:val="0"/>
              <w:autoSpaceDN w:val="0"/>
              <w:adjustRightInd w:val="0"/>
              <w:snapToGrid w:val="0"/>
              <w:spacing w:line="240" w:lineRule="auto"/>
              <w:jc w:val="center"/>
              <w:rPr>
                <w:rFonts w:cstheme="minorHAnsi"/>
                <w:b/>
                <w:noProof w:val="0"/>
                <w:color w:val="auto"/>
                <w:sz w:val="18"/>
                <w:szCs w:val="18"/>
                <w:lang w:val="en-US"/>
              </w:rPr>
            </w:pPr>
            <w:r w:rsidRPr="007B773A">
              <w:rPr>
                <w:rFonts w:cstheme="minorHAnsi"/>
                <w:b/>
                <w:noProof w:val="0"/>
                <w:color w:val="auto"/>
                <w:sz w:val="18"/>
                <w:szCs w:val="18"/>
                <w:lang w:val="en-US"/>
              </w:rPr>
              <w:t>(</w:t>
            </w:r>
            <w:r w:rsidR="00FB1972" w:rsidRPr="007B773A">
              <w:rPr>
                <w:rFonts w:cstheme="minorHAnsi"/>
                <w:b/>
                <w:noProof w:val="0"/>
                <w:color w:val="auto"/>
                <w:sz w:val="18"/>
                <w:szCs w:val="18"/>
                <w:lang w:val="en-US"/>
              </w:rPr>
              <w:t xml:space="preserve">Refer </w:t>
            </w:r>
            <w:r w:rsidRPr="007B773A">
              <w:rPr>
                <w:rFonts w:cstheme="minorHAnsi"/>
                <w:b/>
                <w:noProof w:val="0"/>
                <w:color w:val="auto"/>
                <w:sz w:val="18"/>
                <w:szCs w:val="18"/>
                <w:lang w:val="en-US"/>
              </w:rPr>
              <w:t xml:space="preserve">to </w:t>
            </w:r>
            <w:r w:rsidRPr="002C3C39">
              <w:rPr>
                <w:rFonts w:cstheme="minorHAnsi"/>
                <w:b/>
                <w:noProof w:val="0"/>
                <w:color w:val="auto"/>
                <w:sz w:val="18"/>
                <w:szCs w:val="18"/>
              </w:rPr>
              <w:t xml:space="preserve">Table </w:t>
            </w:r>
            <w:r w:rsidR="005904C5" w:rsidRPr="002C3C39">
              <w:rPr>
                <w:rFonts w:cstheme="minorHAnsi"/>
                <w:b/>
                <w:noProof w:val="0"/>
                <w:color w:val="auto"/>
                <w:sz w:val="18"/>
                <w:szCs w:val="18"/>
              </w:rPr>
              <w:t>A4</w:t>
            </w:r>
            <w:r w:rsidRPr="007B773A">
              <w:rPr>
                <w:rFonts w:cstheme="minorHAnsi"/>
                <w:b/>
                <w:noProof w:val="0"/>
                <w:color w:val="auto"/>
                <w:sz w:val="18"/>
                <w:szCs w:val="18"/>
                <w:lang w:val="en-US"/>
              </w:rPr>
              <w:t xml:space="preserve"> in Appendix D for </w:t>
            </w:r>
            <w:r w:rsidR="00FB1972" w:rsidRPr="007B773A">
              <w:rPr>
                <w:rFonts w:cstheme="minorHAnsi"/>
                <w:b/>
                <w:noProof w:val="0"/>
                <w:color w:val="auto"/>
                <w:sz w:val="18"/>
                <w:szCs w:val="18"/>
                <w:lang w:val="en-US"/>
              </w:rPr>
              <w:t>Supporting Calculations</w:t>
            </w:r>
            <w:r w:rsidRPr="007B773A">
              <w:rPr>
                <w:rFonts w:cstheme="minorHAnsi"/>
                <w:b/>
                <w:noProof w:val="0"/>
                <w:color w:val="auto"/>
                <w:sz w:val="18"/>
                <w:szCs w:val="18"/>
                <w:lang w:val="en-US"/>
              </w:rPr>
              <w:t>)</w:t>
            </w:r>
          </w:p>
        </w:tc>
        <w:tc>
          <w:tcPr>
            <w:tcW w:w="1367" w:type="pct"/>
            <w:tcBorders>
              <w:top w:val="single" w:sz="8" w:space="0" w:color="auto"/>
              <w:bottom w:val="single" w:sz="4" w:space="0" w:color="auto"/>
            </w:tcBorders>
            <w:shd w:val="clear" w:color="auto" w:fill="auto"/>
            <w:vAlign w:val="center"/>
          </w:tcPr>
          <w:p w14:paraId="6B313030" w14:textId="52899109" w:rsidR="00E12804" w:rsidRPr="007562C2" w:rsidRDefault="00FB1972" w:rsidP="006412FE">
            <w:pPr>
              <w:autoSpaceDE w:val="0"/>
              <w:autoSpaceDN w:val="0"/>
              <w:adjustRightInd w:val="0"/>
              <w:snapToGrid w:val="0"/>
              <w:spacing w:line="240" w:lineRule="auto"/>
              <w:jc w:val="center"/>
              <w:rPr>
                <w:rFonts w:cstheme="minorHAnsi"/>
                <w:b/>
                <w:noProof w:val="0"/>
                <w:color w:val="auto"/>
                <w:sz w:val="18"/>
                <w:szCs w:val="18"/>
                <w:lang w:val="en-US"/>
              </w:rPr>
            </w:pPr>
            <w:r w:rsidRPr="007562C2">
              <w:rPr>
                <w:rFonts w:cstheme="minorHAnsi"/>
                <w:b/>
                <w:noProof w:val="0"/>
                <w:color w:val="auto"/>
                <w:sz w:val="18"/>
                <w:szCs w:val="18"/>
                <w:lang w:val="en-US"/>
              </w:rPr>
              <w:t>Isolation Analysis</w:t>
            </w:r>
          </w:p>
        </w:tc>
        <w:tc>
          <w:tcPr>
            <w:tcW w:w="1461" w:type="pct"/>
            <w:tcBorders>
              <w:top w:val="single" w:sz="8" w:space="0" w:color="auto"/>
              <w:bottom w:val="single" w:sz="4" w:space="0" w:color="auto"/>
            </w:tcBorders>
            <w:shd w:val="clear" w:color="auto" w:fill="auto"/>
            <w:vAlign w:val="center"/>
          </w:tcPr>
          <w:p w14:paraId="5912859E" w14:textId="59996753" w:rsidR="00E12804" w:rsidRPr="007562C2" w:rsidRDefault="00FB1972" w:rsidP="006412FE">
            <w:pPr>
              <w:autoSpaceDE w:val="0"/>
              <w:autoSpaceDN w:val="0"/>
              <w:adjustRightInd w:val="0"/>
              <w:snapToGrid w:val="0"/>
              <w:spacing w:line="240" w:lineRule="auto"/>
              <w:jc w:val="center"/>
              <w:rPr>
                <w:rFonts w:cstheme="minorHAnsi"/>
                <w:b/>
                <w:noProof w:val="0"/>
                <w:color w:val="auto"/>
                <w:sz w:val="18"/>
                <w:szCs w:val="18"/>
                <w:lang w:val="en-US"/>
              </w:rPr>
            </w:pPr>
            <w:r w:rsidRPr="007562C2">
              <w:rPr>
                <w:rFonts w:cstheme="minorHAnsi"/>
                <w:b/>
                <w:noProof w:val="0"/>
                <w:color w:val="auto"/>
                <w:sz w:val="18"/>
                <w:szCs w:val="18"/>
                <w:lang w:val="en-US"/>
              </w:rPr>
              <w:t>Self</w:t>
            </w:r>
            <w:r w:rsidR="00E12804" w:rsidRPr="007562C2">
              <w:rPr>
                <w:rFonts w:cstheme="minorHAnsi"/>
                <w:b/>
                <w:noProof w:val="0"/>
                <w:color w:val="auto"/>
                <w:sz w:val="18"/>
                <w:szCs w:val="18"/>
                <w:lang w:val="en-US"/>
              </w:rPr>
              <w:t>-</w:t>
            </w:r>
            <w:r w:rsidRPr="007562C2">
              <w:rPr>
                <w:rFonts w:cstheme="minorHAnsi"/>
                <w:b/>
                <w:noProof w:val="0"/>
                <w:color w:val="auto"/>
                <w:sz w:val="18"/>
                <w:szCs w:val="18"/>
                <w:lang w:val="en-US"/>
              </w:rPr>
              <w:t>Sufficiency Analysis</w:t>
            </w:r>
          </w:p>
        </w:tc>
        <w:tc>
          <w:tcPr>
            <w:tcW w:w="331" w:type="pct"/>
            <w:tcBorders>
              <w:top w:val="single" w:sz="8" w:space="0" w:color="auto"/>
              <w:bottom w:val="single" w:sz="4" w:space="0" w:color="auto"/>
            </w:tcBorders>
            <w:shd w:val="clear" w:color="auto" w:fill="auto"/>
            <w:vAlign w:val="center"/>
          </w:tcPr>
          <w:p w14:paraId="369CD2B2" w14:textId="61EC3530" w:rsidR="00E12804" w:rsidRPr="007562C2" w:rsidRDefault="00FB1972" w:rsidP="006412FE">
            <w:pPr>
              <w:autoSpaceDE w:val="0"/>
              <w:autoSpaceDN w:val="0"/>
              <w:adjustRightInd w:val="0"/>
              <w:snapToGrid w:val="0"/>
              <w:spacing w:line="240" w:lineRule="auto"/>
              <w:jc w:val="center"/>
              <w:rPr>
                <w:rFonts w:cstheme="minorHAnsi"/>
                <w:b/>
                <w:noProof w:val="0"/>
                <w:color w:val="auto"/>
                <w:sz w:val="18"/>
                <w:szCs w:val="18"/>
                <w:lang w:val="en-US"/>
              </w:rPr>
            </w:pPr>
            <w:r w:rsidRPr="007562C2">
              <w:rPr>
                <w:rFonts w:cstheme="minorHAnsi"/>
                <w:b/>
                <w:noProof w:val="0"/>
                <w:color w:val="auto"/>
                <w:sz w:val="18"/>
                <w:szCs w:val="18"/>
                <w:lang w:val="en-US"/>
              </w:rPr>
              <w:t>Total</w:t>
            </w:r>
          </w:p>
        </w:tc>
      </w:tr>
      <w:tr w:rsidR="00C448F2" w:rsidRPr="007B773A" w14:paraId="07EE9FEB" w14:textId="77777777" w:rsidTr="00C448F2">
        <w:trPr>
          <w:jc w:val="center"/>
        </w:trPr>
        <w:tc>
          <w:tcPr>
            <w:tcW w:w="521" w:type="pct"/>
            <w:tcBorders>
              <w:top w:val="single" w:sz="4" w:space="0" w:color="auto"/>
              <w:bottom w:val="nil"/>
            </w:tcBorders>
            <w:vAlign w:val="center"/>
          </w:tcPr>
          <w:p w14:paraId="28C7C1DC" w14:textId="684BBC70"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Norway</w:t>
            </w:r>
          </w:p>
        </w:tc>
        <w:tc>
          <w:tcPr>
            <w:tcW w:w="1320" w:type="pct"/>
            <w:tcBorders>
              <w:top w:val="single" w:sz="4" w:space="0" w:color="auto"/>
              <w:bottom w:val="nil"/>
            </w:tcBorders>
            <w:vAlign w:val="center"/>
          </w:tcPr>
          <w:p w14:paraId="1264EDCA"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45032231" w14:textId="534A0255"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Low current population; 5.5 million </w:t>
            </w:r>
            <w:r w:rsidR="0001183F" w:rsidRPr="007B773A">
              <w:rPr>
                <w:rFonts w:cstheme="minorHAnsi"/>
                <w:noProof w:val="0"/>
                <w:color w:val="auto"/>
                <w:sz w:val="18"/>
                <w:szCs w:val="18"/>
                <w:lang w:val="en-US"/>
              </w:rPr>
              <w:t>[</w:t>
            </w:r>
            <w:r w:rsidR="00A9271C">
              <w:rPr>
                <w:rFonts w:cstheme="minorHAnsi"/>
                <w:noProof w:val="0"/>
                <w:color w:val="auto"/>
                <w:sz w:val="18"/>
                <w:szCs w:val="18"/>
                <w:lang w:val="en-US"/>
              </w:rPr>
              <w:t>71</w:t>
            </w:r>
            <w:r w:rsidR="0001183F"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but very low fraction of agricultural land; 2.7%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low at 0.002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North Atlantic and Arctic Oceans.</w:t>
            </w:r>
          </w:p>
        </w:tc>
        <w:tc>
          <w:tcPr>
            <w:tcW w:w="1367" w:type="pct"/>
            <w:tcBorders>
              <w:top w:val="single" w:sz="4" w:space="0" w:color="auto"/>
              <w:bottom w:val="nil"/>
            </w:tcBorders>
            <w:vAlign w:val="center"/>
          </w:tcPr>
          <w:p w14:paraId="24439A67"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50872AC6"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Direct land connection to the Eurasian landmass but high northern latitude means it is remote from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single" w:sz="4" w:space="0" w:color="auto"/>
              <w:bottom w:val="nil"/>
            </w:tcBorders>
            <w:vAlign w:val="center"/>
          </w:tcPr>
          <w:p w14:paraId="6C80C11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227CCDC0"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4E9D0846" w14:textId="5F2189C2"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single" w:sz="4" w:space="0" w:color="auto"/>
              <w:bottom w:val="nil"/>
            </w:tcBorders>
            <w:vAlign w:val="center"/>
          </w:tcPr>
          <w:p w14:paraId="79533394"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9</w:t>
            </w:r>
          </w:p>
        </w:tc>
      </w:tr>
      <w:tr w:rsidR="00D3011B" w:rsidRPr="007B773A" w14:paraId="26CC1631" w14:textId="77777777" w:rsidTr="00C448F2">
        <w:trPr>
          <w:jc w:val="center"/>
        </w:trPr>
        <w:tc>
          <w:tcPr>
            <w:tcW w:w="521" w:type="pct"/>
            <w:tcBorders>
              <w:top w:val="nil"/>
              <w:bottom w:val="nil"/>
            </w:tcBorders>
            <w:vAlign w:val="center"/>
          </w:tcPr>
          <w:p w14:paraId="6879A441" w14:textId="3A561DB7"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New Zealand</w:t>
            </w:r>
          </w:p>
        </w:tc>
        <w:tc>
          <w:tcPr>
            <w:tcW w:w="1320" w:type="pct"/>
            <w:tcBorders>
              <w:top w:val="nil"/>
              <w:bottom w:val="nil"/>
            </w:tcBorders>
            <w:vAlign w:val="center"/>
          </w:tcPr>
          <w:p w14:paraId="1D9F400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01694F41" w14:textId="72FDAE08"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 5.0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and high fraction of agricultural land; 43.2%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high at 0.023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Pacific and Southern Oceans.</w:t>
            </w:r>
          </w:p>
        </w:tc>
        <w:tc>
          <w:tcPr>
            <w:tcW w:w="1367" w:type="pct"/>
            <w:tcBorders>
              <w:top w:val="nil"/>
              <w:bottom w:val="nil"/>
            </w:tcBorders>
            <w:vAlign w:val="center"/>
          </w:tcPr>
          <w:p w14:paraId="40120EE2"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0FD1DCA2" w14:textId="040DB0A4"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Island archipelago in the southwestern Pacific Ocean at mid southern latitudes with no nearby large or heavily</w:t>
            </w:r>
            <w:r w:rsidR="00A31A32"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populated landmasses</w:t>
            </w:r>
          </w:p>
        </w:tc>
        <w:tc>
          <w:tcPr>
            <w:tcW w:w="1461" w:type="pct"/>
            <w:tcBorders>
              <w:top w:val="nil"/>
              <w:bottom w:val="nil"/>
            </w:tcBorders>
            <w:vAlign w:val="center"/>
          </w:tcPr>
          <w:p w14:paraId="0109DA58"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720A0AE0"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energy sources.</w:t>
            </w:r>
          </w:p>
          <w:p w14:paraId="06503A53" w14:textId="1C3E3C9A"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economy but predominantly primary-resource</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based, limited manufacturing capacity.</w:t>
            </w:r>
          </w:p>
        </w:tc>
        <w:tc>
          <w:tcPr>
            <w:tcW w:w="331" w:type="pct"/>
            <w:tcBorders>
              <w:top w:val="nil"/>
              <w:bottom w:val="nil"/>
            </w:tcBorders>
            <w:vAlign w:val="center"/>
          </w:tcPr>
          <w:p w14:paraId="4EDA4669"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13</w:t>
            </w:r>
          </w:p>
        </w:tc>
      </w:tr>
      <w:tr w:rsidR="00D3011B" w:rsidRPr="007B773A" w14:paraId="1D9BF7CB" w14:textId="77777777" w:rsidTr="00C448F2">
        <w:trPr>
          <w:jc w:val="center"/>
        </w:trPr>
        <w:tc>
          <w:tcPr>
            <w:tcW w:w="521" w:type="pct"/>
            <w:tcBorders>
              <w:top w:val="nil"/>
              <w:bottom w:val="nil"/>
            </w:tcBorders>
            <w:vAlign w:val="center"/>
          </w:tcPr>
          <w:p w14:paraId="7E7C2CCA" w14:textId="6C5D67AB"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Finland</w:t>
            </w:r>
          </w:p>
        </w:tc>
        <w:tc>
          <w:tcPr>
            <w:tcW w:w="1320" w:type="pct"/>
            <w:tcBorders>
              <w:top w:val="nil"/>
              <w:bottom w:val="nil"/>
            </w:tcBorders>
            <w:vAlign w:val="center"/>
          </w:tcPr>
          <w:p w14:paraId="7CCF3D2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356A50CC" w14:textId="4D926640"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5.6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but low fraction of agricultural land; 7.5%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low at 0.004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Baltic Sea.</w:t>
            </w:r>
          </w:p>
        </w:tc>
        <w:tc>
          <w:tcPr>
            <w:tcW w:w="1367" w:type="pct"/>
            <w:tcBorders>
              <w:top w:val="nil"/>
              <w:bottom w:val="nil"/>
            </w:tcBorders>
            <w:vAlign w:val="center"/>
          </w:tcPr>
          <w:p w14:paraId="4AAA622C"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05851771" w14:textId="79372F88"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Direct land connection to the Eurasian landmass</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but high northern latitude means it is remote from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5DE0FB47"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1B14B999"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indigenous renewable and non-renewable energy sources.</w:t>
            </w:r>
          </w:p>
          <w:p w14:paraId="58F74127" w14:textId="6FAD1C3F"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208B5DD8"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5074FAD3" w14:textId="77777777" w:rsidTr="00C448F2">
        <w:trPr>
          <w:jc w:val="center"/>
        </w:trPr>
        <w:tc>
          <w:tcPr>
            <w:tcW w:w="521" w:type="pct"/>
            <w:tcBorders>
              <w:top w:val="nil"/>
              <w:bottom w:val="nil"/>
            </w:tcBorders>
            <w:vAlign w:val="center"/>
          </w:tcPr>
          <w:p w14:paraId="037DF5CD" w14:textId="16F282FB"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Denmark</w:t>
            </w:r>
          </w:p>
        </w:tc>
        <w:tc>
          <w:tcPr>
            <w:tcW w:w="1320" w:type="pct"/>
            <w:tcBorders>
              <w:top w:val="nil"/>
              <w:bottom w:val="nil"/>
            </w:tcBorders>
            <w:vAlign w:val="center"/>
          </w:tcPr>
          <w:p w14:paraId="124B5ECA"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70803064" w14:textId="1FF3479F"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 5.9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high fraction of agricultural land; 63.4%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small total land area means that agricultural land per capita is low at 0.005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Baltic and North Seas.</w:t>
            </w:r>
          </w:p>
        </w:tc>
        <w:tc>
          <w:tcPr>
            <w:tcW w:w="1367" w:type="pct"/>
            <w:tcBorders>
              <w:top w:val="nil"/>
              <w:bottom w:val="nil"/>
            </w:tcBorders>
            <w:vAlign w:val="center"/>
          </w:tcPr>
          <w:p w14:paraId="00CD5156"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5FB5FE06"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proofErr w:type="gramStart"/>
            <w:r w:rsidRPr="007B773A">
              <w:rPr>
                <w:rFonts w:cstheme="minorHAnsi"/>
                <w:noProof w:val="0"/>
                <w:color w:val="auto"/>
                <w:sz w:val="18"/>
                <w:szCs w:val="18"/>
                <w:lang w:val="en-US"/>
              </w:rPr>
              <w:t>In close proximity</w:t>
            </w:r>
            <w:proofErr w:type="gramEnd"/>
            <w:r w:rsidRPr="007B773A">
              <w:rPr>
                <w:rFonts w:cstheme="minorHAnsi"/>
                <w:noProof w:val="0"/>
                <w:color w:val="auto"/>
                <w:sz w:val="18"/>
                <w:szCs w:val="18"/>
                <w:lang w:val="en-US"/>
              </w:rPr>
              <w:t xml:space="preserve"> to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63DF0558"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7DDCEC1D"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energy sources.</w:t>
            </w:r>
          </w:p>
          <w:p w14:paraId="02C1B939" w14:textId="4893F865"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5CEB785A"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3FFAD758" w14:textId="77777777" w:rsidTr="00C448F2">
        <w:trPr>
          <w:jc w:val="center"/>
        </w:trPr>
        <w:tc>
          <w:tcPr>
            <w:tcW w:w="521" w:type="pct"/>
            <w:tcBorders>
              <w:top w:val="nil"/>
              <w:bottom w:val="nil"/>
            </w:tcBorders>
            <w:vAlign w:val="center"/>
          </w:tcPr>
          <w:p w14:paraId="32C7513C" w14:textId="08653706"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Sweden</w:t>
            </w:r>
          </w:p>
        </w:tc>
        <w:tc>
          <w:tcPr>
            <w:tcW w:w="1320" w:type="pct"/>
            <w:tcBorders>
              <w:top w:val="nil"/>
              <w:bottom w:val="nil"/>
            </w:tcBorders>
            <w:vAlign w:val="center"/>
          </w:tcPr>
          <w:p w14:paraId="238449C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251049F7" w14:textId="128169E8"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current population; 10.3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but low fraction of agricultural land; 7.5%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low at 0.003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Baltic and North Seas.</w:t>
            </w:r>
          </w:p>
        </w:tc>
        <w:tc>
          <w:tcPr>
            <w:tcW w:w="1367" w:type="pct"/>
            <w:tcBorders>
              <w:top w:val="nil"/>
              <w:bottom w:val="nil"/>
            </w:tcBorders>
            <w:vAlign w:val="center"/>
          </w:tcPr>
          <w:p w14:paraId="7CF2524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774C88C6"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Direct land connection to the Eurasian landmass but high northern latitude means it is moderately remote from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4E27F94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6E941C65"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energy sources.</w:t>
            </w:r>
          </w:p>
          <w:p w14:paraId="2E447191" w14:textId="3B3A59CE"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12C58E90"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2F5B6E43" w14:textId="77777777" w:rsidTr="00C448F2">
        <w:trPr>
          <w:jc w:val="center"/>
        </w:trPr>
        <w:tc>
          <w:tcPr>
            <w:tcW w:w="521" w:type="pct"/>
            <w:tcBorders>
              <w:top w:val="nil"/>
              <w:bottom w:val="nil"/>
            </w:tcBorders>
            <w:vAlign w:val="center"/>
          </w:tcPr>
          <w:p w14:paraId="15242B2E" w14:textId="085F106F"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Switzerland</w:t>
            </w:r>
          </w:p>
        </w:tc>
        <w:tc>
          <w:tcPr>
            <w:tcW w:w="1320" w:type="pct"/>
            <w:tcBorders>
              <w:top w:val="nil"/>
              <w:bottom w:val="nil"/>
            </w:tcBorders>
            <w:vAlign w:val="center"/>
          </w:tcPr>
          <w:p w14:paraId="27993FE1"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3D346F1C" w14:textId="714F2358"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 8.5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high fraction of agricultural land; 38.7</w:t>
            </w:r>
            <w:r w:rsidRPr="002C3C39">
              <w:rPr>
                <w:rFonts w:cstheme="minorHAnsi"/>
                <w:noProof w:val="0"/>
                <w:color w:val="auto"/>
                <w:sz w:val="18"/>
                <w:szCs w:val="18"/>
              </w:rPr>
              <w:t>% [</w:t>
            </w:r>
            <w:r w:rsidR="000F5483" w:rsidRPr="002C3C39">
              <w:rPr>
                <w:rFonts w:cstheme="minorHAnsi"/>
                <w:noProof w:val="0"/>
                <w:color w:val="auto"/>
                <w:sz w:val="18"/>
                <w:szCs w:val="18"/>
              </w:rPr>
              <w:t>7</w:t>
            </w:r>
            <w:r w:rsidR="00A9271C">
              <w:rPr>
                <w:rFonts w:cstheme="minorHAnsi"/>
                <w:noProof w:val="0"/>
                <w:color w:val="auto"/>
                <w:sz w:val="18"/>
                <w:szCs w:val="18"/>
                <w:lang w:val="en-US"/>
              </w:rPr>
              <w:t>2</w:t>
            </w:r>
            <w:r w:rsidRPr="002C3C39">
              <w:rPr>
                <w:rFonts w:cstheme="minorHAnsi"/>
                <w:noProof w:val="0"/>
                <w:color w:val="auto"/>
                <w:sz w:val="18"/>
                <w:szCs w:val="18"/>
              </w:rPr>
              <w:t xml:space="preserve">] </w:t>
            </w:r>
            <w:r w:rsidRPr="007B773A">
              <w:rPr>
                <w:rFonts w:cstheme="minorHAnsi"/>
                <w:noProof w:val="0"/>
                <w:color w:val="auto"/>
                <w:sz w:val="18"/>
                <w:szCs w:val="18"/>
                <w:lang w:val="en-US"/>
              </w:rPr>
              <w:t>but small total land area means that agricultural land per capita is low at 0.002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Landlocked country.</w:t>
            </w:r>
          </w:p>
        </w:tc>
        <w:tc>
          <w:tcPr>
            <w:tcW w:w="1367" w:type="pct"/>
            <w:tcBorders>
              <w:top w:val="nil"/>
              <w:bottom w:val="nil"/>
            </w:tcBorders>
            <w:vAlign w:val="center"/>
          </w:tcPr>
          <w:p w14:paraId="1F974CE1"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0A6D2710"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188043B1"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0BB19D98"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indigenous renewable and non-renewable energy sources.</w:t>
            </w:r>
          </w:p>
          <w:p w14:paraId="2CA3DF6D" w14:textId="166EFF06"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25BF1A29"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6</w:t>
            </w:r>
          </w:p>
        </w:tc>
      </w:tr>
      <w:tr w:rsidR="00D3011B" w:rsidRPr="007B773A" w14:paraId="25129201" w14:textId="77777777" w:rsidTr="00C448F2">
        <w:trPr>
          <w:jc w:val="center"/>
        </w:trPr>
        <w:tc>
          <w:tcPr>
            <w:tcW w:w="521" w:type="pct"/>
            <w:tcBorders>
              <w:top w:val="nil"/>
              <w:bottom w:val="nil"/>
            </w:tcBorders>
            <w:vAlign w:val="center"/>
          </w:tcPr>
          <w:p w14:paraId="61A1D23C" w14:textId="1AA416D7"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Singapore</w:t>
            </w:r>
          </w:p>
        </w:tc>
        <w:tc>
          <w:tcPr>
            <w:tcW w:w="1320" w:type="pct"/>
            <w:tcBorders>
              <w:top w:val="nil"/>
              <w:bottom w:val="nil"/>
            </w:tcBorders>
            <w:vAlign w:val="center"/>
          </w:tcPr>
          <w:p w14:paraId="180B3618"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0126F896" w14:textId="53F8DF76"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Low current population; 5.9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A31A32"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but very low fraction of agricultural land; 1%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and very small total land area means that agricultural land per capita is negligible.</w:t>
            </w:r>
          </w:p>
          <w:p w14:paraId="4F1B3901"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Direct access to the Indian Ocean and South China Sea.</w:t>
            </w:r>
          </w:p>
        </w:tc>
        <w:tc>
          <w:tcPr>
            <w:tcW w:w="1367" w:type="pct"/>
            <w:tcBorders>
              <w:top w:val="nil"/>
              <w:bottom w:val="nil"/>
            </w:tcBorders>
            <w:vAlign w:val="center"/>
          </w:tcPr>
          <w:p w14:paraId="6266C323"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lastRenderedPageBreak/>
              <w:t>1</w:t>
            </w:r>
          </w:p>
          <w:p w14:paraId="1B5910F9"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 xml:space="preserve">Island city-state separated from the Eurasian landmass by a narrow strait, centrally located within large Asian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42ECF294"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lastRenderedPageBreak/>
              <w:t>2</w:t>
            </w:r>
          </w:p>
          <w:p w14:paraId="1722F49B"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Very limited indigenous renewable and non-renewable energy sources.</w:t>
            </w:r>
          </w:p>
          <w:p w14:paraId="51493A33" w14:textId="4E0AFBE9"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limited manufacturing capacity.</w:t>
            </w:r>
          </w:p>
        </w:tc>
        <w:tc>
          <w:tcPr>
            <w:tcW w:w="331" w:type="pct"/>
            <w:tcBorders>
              <w:top w:val="nil"/>
              <w:bottom w:val="nil"/>
            </w:tcBorders>
            <w:vAlign w:val="center"/>
          </w:tcPr>
          <w:p w14:paraId="014A93BE"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lastRenderedPageBreak/>
              <w:t>4</w:t>
            </w:r>
          </w:p>
        </w:tc>
      </w:tr>
      <w:tr w:rsidR="00D3011B" w:rsidRPr="007B773A" w14:paraId="1B55426C" w14:textId="77777777" w:rsidTr="00C448F2">
        <w:trPr>
          <w:jc w:val="center"/>
        </w:trPr>
        <w:tc>
          <w:tcPr>
            <w:tcW w:w="521" w:type="pct"/>
            <w:tcBorders>
              <w:top w:val="nil"/>
              <w:bottom w:val="nil"/>
            </w:tcBorders>
            <w:vAlign w:val="center"/>
          </w:tcPr>
          <w:p w14:paraId="5477E9C2" w14:textId="1E2C737E"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Austria</w:t>
            </w:r>
          </w:p>
        </w:tc>
        <w:tc>
          <w:tcPr>
            <w:tcW w:w="1320" w:type="pct"/>
            <w:tcBorders>
              <w:top w:val="nil"/>
              <w:bottom w:val="nil"/>
            </w:tcBorders>
            <w:vAlign w:val="center"/>
          </w:tcPr>
          <w:p w14:paraId="174FA211"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6509153B" w14:textId="0C9B6C59"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 8.9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high fraction of agricultural land; 38.4%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small total land area means that agricultural land per capita is low at 0.004 km</w:t>
            </w:r>
            <w:r w:rsidRPr="007B773A">
              <w:rPr>
                <w:rFonts w:cstheme="minorHAnsi"/>
                <w:noProof w:val="0"/>
                <w:color w:val="auto"/>
                <w:sz w:val="18"/>
                <w:szCs w:val="18"/>
                <w:vertAlign w:val="superscript"/>
                <w:lang w:val="en-US"/>
              </w:rPr>
              <w:t>2</w:t>
            </w:r>
            <w:r w:rsidRPr="007B773A">
              <w:rPr>
                <w:rFonts w:cstheme="minorHAnsi"/>
                <w:noProof w:val="0"/>
                <w:color w:val="auto"/>
                <w:sz w:val="18"/>
                <w:szCs w:val="18"/>
                <w:lang w:val="en-US"/>
              </w:rPr>
              <w:t>. Landlocked country.</w:t>
            </w:r>
          </w:p>
        </w:tc>
        <w:tc>
          <w:tcPr>
            <w:tcW w:w="1367" w:type="pct"/>
            <w:tcBorders>
              <w:top w:val="nil"/>
              <w:bottom w:val="nil"/>
            </w:tcBorders>
            <w:vAlign w:val="center"/>
          </w:tcPr>
          <w:p w14:paraId="288054F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5E489472"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2173B7E7"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6F62CE44"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energy sources.</w:t>
            </w:r>
          </w:p>
          <w:p w14:paraId="7888F083" w14:textId="755EB9CE"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387FD683"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6</w:t>
            </w:r>
          </w:p>
        </w:tc>
      </w:tr>
      <w:tr w:rsidR="00D3011B" w:rsidRPr="007B773A" w14:paraId="5BE33E99" w14:textId="77777777" w:rsidTr="00C448F2">
        <w:trPr>
          <w:jc w:val="center"/>
        </w:trPr>
        <w:tc>
          <w:tcPr>
            <w:tcW w:w="521" w:type="pct"/>
            <w:tcBorders>
              <w:top w:val="nil"/>
              <w:bottom w:val="nil"/>
            </w:tcBorders>
            <w:vAlign w:val="center"/>
          </w:tcPr>
          <w:p w14:paraId="30E1F31D" w14:textId="48BDF4DA"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Iceland</w:t>
            </w:r>
          </w:p>
        </w:tc>
        <w:tc>
          <w:tcPr>
            <w:tcW w:w="1320" w:type="pct"/>
            <w:tcBorders>
              <w:top w:val="nil"/>
              <w:bottom w:val="nil"/>
            </w:tcBorders>
            <w:vAlign w:val="center"/>
          </w:tcPr>
          <w:p w14:paraId="67387D1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7D24E314" w14:textId="09D4C6B6"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Very low current population; 354,000</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w:t>
            </w:r>
            <w:r w:rsidR="00A9271C">
              <w:rPr>
                <w:rFonts w:cstheme="minorHAnsi"/>
                <w:noProof w:val="0"/>
                <w:color w:val="auto"/>
                <w:sz w:val="18"/>
                <w:szCs w:val="18"/>
                <w:lang w:val="en-US"/>
              </w:rPr>
              <w:t>71</w:t>
            </w:r>
            <w:r w:rsidRPr="007B773A">
              <w:rPr>
                <w:rFonts w:cstheme="minorHAnsi"/>
                <w:noProof w:val="0"/>
                <w:color w:val="auto"/>
                <w:sz w:val="18"/>
                <w:szCs w:val="18"/>
                <w:lang w:val="en-US"/>
              </w:rPr>
              <w:t>] and moderate fraction of agricultural land; 18.7%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moderate at 0.053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North Atlantic Ocean.</w:t>
            </w:r>
          </w:p>
        </w:tc>
        <w:tc>
          <w:tcPr>
            <w:tcW w:w="1367" w:type="pct"/>
            <w:tcBorders>
              <w:top w:val="nil"/>
              <w:bottom w:val="nil"/>
            </w:tcBorders>
            <w:vAlign w:val="center"/>
          </w:tcPr>
          <w:p w14:paraId="0B2867C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282244B1" w14:textId="2B1FB8C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Island in the North Atlantic Ocean at high northern latitudes with no nearby large or heavily</w:t>
            </w:r>
            <w:r w:rsidR="00A31A32"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populated landmasses</w:t>
            </w:r>
          </w:p>
        </w:tc>
        <w:tc>
          <w:tcPr>
            <w:tcW w:w="1461" w:type="pct"/>
            <w:tcBorders>
              <w:top w:val="nil"/>
              <w:bottom w:val="nil"/>
            </w:tcBorders>
            <w:vAlign w:val="center"/>
          </w:tcPr>
          <w:p w14:paraId="45B1F665"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57464E17"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energy sources.</w:t>
            </w:r>
          </w:p>
          <w:p w14:paraId="3F2EBA8C"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limited manufacturing capacity.</w:t>
            </w:r>
          </w:p>
        </w:tc>
        <w:tc>
          <w:tcPr>
            <w:tcW w:w="331" w:type="pct"/>
            <w:tcBorders>
              <w:top w:val="nil"/>
              <w:bottom w:val="nil"/>
            </w:tcBorders>
            <w:vAlign w:val="center"/>
          </w:tcPr>
          <w:p w14:paraId="7EB75FCD"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11</w:t>
            </w:r>
          </w:p>
        </w:tc>
      </w:tr>
      <w:tr w:rsidR="00D3011B" w:rsidRPr="007B773A" w14:paraId="0AD0466E" w14:textId="77777777" w:rsidTr="00C448F2">
        <w:trPr>
          <w:jc w:val="center"/>
        </w:trPr>
        <w:tc>
          <w:tcPr>
            <w:tcW w:w="521" w:type="pct"/>
            <w:tcBorders>
              <w:top w:val="nil"/>
              <w:bottom w:val="nil"/>
            </w:tcBorders>
            <w:vAlign w:val="center"/>
          </w:tcPr>
          <w:p w14:paraId="37E548A0" w14:textId="08912B90"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Germany</w:t>
            </w:r>
          </w:p>
        </w:tc>
        <w:tc>
          <w:tcPr>
            <w:tcW w:w="1320" w:type="pct"/>
            <w:tcBorders>
              <w:top w:val="nil"/>
              <w:bottom w:val="nil"/>
            </w:tcBorders>
            <w:vAlign w:val="center"/>
          </w:tcPr>
          <w:p w14:paraId="7220022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510099AB" w14:textId="6FFC22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High current population; 79.9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high fraction of agricultural land; 48%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moderate total land area means that agricultural land per capita is low at 0.002 km</w:t>
            </w:r>
            <w:r w:rsidRPr="007B773A">
              <w:rPr>
                <w:rFonts w:cstheme="minorHAnsi"/>
                <w:noProof w:val="0"/>
                <w:color w:val="auto"/>
                <w:sz w:val="18"/>
                <w:szCs w:val="18"/>
                <w:vertAlign w:val="superscript"/>
                <w:lang w:val="en-US"/>
              </w:rPr>
              <w:t>2</w:t>
            </w:r>
            <w:r w:rsidRPr="007B773A">
              <w:rPr>
                <w:rFonts w:cstheme="minorHAnsi"/>
                <w:noProof w:val="0"/>
                <w:color w:val="auto"/>
                <w:sz w:val="18"/>
                <w:szCs w:val="18"/>
                <w:lang w:val="en-US"/>
              </w:rPr>
              <w:t>. Direct access to the Baltic and North Seas.</w:t>
            </w:r>
          </w:p>
        </w:tc>
        <w:tc>
          <w:tcPr>
            <w:tcW w:w="1367" w:type="pct"/>
            <w:tcBorders>
              <w:top w:val="nil"/>
              <w:bottom w:val="nil"/>
            </w:tcBorders>
            <w:vAlign w:val="center"/>
          </w:tcPr>
          <w:p w14:paraId="1F1411C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5FFC001F"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619DA1D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77579E1B"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7759778D"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very large manufacturing capacity.</w:t>
            </w:r>
          </w:p>
          <w:p w14:paraId="3E4C6544"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p>
        </w:tc>
        <w:tc>
          <w:tcPr>
            <w:tcW w:w="331" w:type="pct"/>
            <w:tcBorders>
              <w:top w:val="nil"/>
              <w:bottom w:val="nil"/>
            </w:tcBorders>
            <w:vAlign w:val="center"/>
          </w:tcPr>
          <w:p w14:paraId="13D5C416"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6A89F151" w14:textId="77777777" w:rsidTr="00C448F2">
        <w:trPr>
          <w:jc w:val="center"/>
        </w:trPr>
        <w:tc>
          <w:tcPr>
            <w:tcW w:w="521" w:type="pct"/>
            <w:tcBorders>
              <w:top w:val="nil"/>
              <w:bottom w:val="nil"/>
            </w:tcBorders>
            <w:vAlign w:val="center"/>
          </w:tcPr>
          <w:p w14:paraId="732A938B" w14:textId="4EBFA298"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 xml:space="preserve">United </w:t>
            </w:r>
            <w:r w:rsidR="00273DC4" w:rsidRPr="002C3C39">
              <w:rPr>
                <w:rFonts w:cstheme="minorHAnsi"/>
                <w:bCs/>
                <w:noProof w:val="0"/>
                <w:color w:val="auto"/>
                <w:sz w:val="18"/>
                <w:szCs w:val="18"/>
              </w:rPr>
              <w:br/>
            </w:r>
            <w:r w:rsidRPr="002C3C39">
              <w:rPr>
                <w:rFonts w:cstheme="minorHAnsi"/>
                <w:bCs/>
                <w:noProof w:val="0"/>
                <w:color w:val="auto"/>
                <w:sz w:val="18"/>
                <w:szCs w:val="18"/>
              </w:rPr>
              <w:t>Kingdom</w:t>
            </w:r>
          </w:p>
        </w:tc>
        <w:tc>
          <w:tcPr>
            <w:tcW w:w="1320" w:type="pct"/>
            <w:tcBorders>
              <w:top w:val="nil"/>
              <w:bottom w:val="nil"/>
            </w:tcBorders>
            <w:vAlign w:val="center"/>
          </w:tcPr>
          <w:p w14:paraId="436B346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02C74066" w14:textId="77E2F3CC"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High current population; 66.1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very high fraction of agricultural land; 71%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moderate total land area means that agricultural land per capita is low at 0.003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North Atlantic Ocean and North Sea.</w:t>
            </w:r>
          </w:p>
        </w:tc>
        <w:tc>
          <w:tcPr>
            <w:tcW w:w="1367" w:type="pct"/>
            <w:tcBorders>
              <w:top w:val="nil"/>
              <w:bottom w:val="nil"/>
            </w:tcBorders>
            <w:vAlign w:val="center"/>
          </w:tcPr>
          <w:p w14:paraId="30FE33C4"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2314AE37" w14:textId="7B006DE0"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Island in the northeastern Atlantic Ocean at mid-high northern latitudes, separated from the Eurasian landmass by a moderately</w:t>
            </w:r>
            <w:r w:rsidR="00A31A32"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 xml:space="preserve">sized strait, peripheral to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6B6C2D73"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30187AD5"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776B38D8" w14:textId="424D18ED"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large manufacturing capacity.</w:t>
            </w:r>
          </w:p>
        </w:tc>
        <w:tc>
          <w:tcPr>
            <w:tcW w:w="331" w:type="pct"/>
            <w:tcBorders>
              <w:top w:val="nil"/>
              <w:bottom w:val="nil"/>
            </w:tcBorders>
            <w:vAlign w:val="center"/>
          </w:tcPr>
          <w:p w14:paraId="6770B984"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11</w:t>
            </w:r>
          </w:p>
        </w:tc>
      </w:tr>
      <w:tr w:rsidR="00D3011B" w:rsidRPr="007B773A" w14:paraId="0927C61C" w14:textId="77777777" w:rsidTr="00C448F2">
        <w:trPr>
          <w:jc w:val="center"/>
        </w:trPr>
        <w:tc>
          <w:tcPr>
            <w:tcW w:w="521" w:type="pct"/>
            <w:tcBorders>
              <w:top w:val="nil"/>
              <w:bottom w:val="nil"/>
            </w:tcBorders>
            <w:vAlign w:val="center"/>
          </w:tcPr>
          <w:p w14:paraId="48FB8DA3" w14:textId="21DA97D1"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Luxembourg</w:t>
            </w:r>
          </w:p>
        </w:tc>
        <w:tc>
          <w:tcPr>
            <w:tcW w:w="1320" w:type="pct"/>
            <w:tcBorders>
              <w:top w:val="nil"/>
              <w:bottom w:val="nil"/>
            </w:tcBorders>
            <w:vAlign w:val="center"/>
          </w:tcPr>
          <w:p w14:paraId="75757E8D"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3784ED58" w14:textId="6B05DCD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Very low current population; 640,000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high fraction of agricultural land; 51%</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very low total land area means that agricultural land per capita is low at 0.002 km</w:t>
            </w:r>
            <w:r w:rsidRPr="007B773A">
              <w:rPr>
                <w:rFonts w:cstheme="minorHAnsi"/>
                <w:noProof w:val="0"/>
                <w:color w:val="auto"/>
                <w:sz w:val="18"/>
                <w:szCs w:val="18"/>
                <w:vertAlign w:val="superscript"/>
                <w:lang w:val="en-US"/>
              </w:rPr>
              <w:t>2</w:t>
            </w:r>
            <w:r w:rsidRPr="007B773A">
              <w:rPr>
                <w:rFonts w:cstheme="minorHAnsi"/>
                <w:noProof w:val="0"/>
                <w:color w:val="auto"/>
                <w:sz w:val="18"/>
                <w:szCs w:val="18"/>
                <w:lang w:val="en-US"/>
              </w:rPr>
              <w:t>.</w:t>
            </w:r>
          </w:p>
          <w:p w14:paraId="01922835"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Landlocked country.</w:t>
            </w:r>
          </w:p>
        </w:tc>
        <w:tc>
          <w:tcPr>
            <w:tcW w:w="1367" w:type="pct"/>
            <w:tcBorders>
              <w:top w:val="nil"/>
              <w:bottom w:val="nil"/>
            </w:tcBorders>
            <w:vAlign w:val="center"/>
          </w:tcPr>
          <w:p w14:paraId="5F1D278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7C837C87"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5B4D3BB4"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3CF8618D"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Very limited indigenous renewable and non-renewable energy sources.</w:t>
            </w:r>
          </w:p>
          <w:p w14:paraId="1DA4027F" w14:textId="22C2065B"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very limited manufacturing capacity.</w:t>
            </w:r>
          </w:p>
        </w:tc>
        <w:tc>
          <w:tcPr>
            <w:tcW w:w="331" w:type="pct"/>
            <w:tcBorders>
              <w:top w:val="nil"/>
              <w:bottom w:val="nil"/>
            </w:tcBorders>
            <w:vAlign w:val="center"/>
          </w:tcPr>
          <w:p w14:paraId="38009382"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4</w:t>
            </w:r>
          </w:p>
        </w:tc>
      </w:tr>
      <w:tr w:rsidR="00D3011B" w:rsidRPr="007B773A" w14:paraId="6F394565" w14:textId="77777777" w:rsidTr="00C448F2">
        <w:trPr>
          <w:jc w:val="center"/>
        </w:trPr>
        <w:tc>
          <w:tcPr>
            <w:tcW w:w="521" w:type="pct"/>
            <w:tcBorders>
              <w:top w:val="nil"/>
              <w:bottom w:val="nil"/>
            </w:tcBorders>
            <w:vAlign w:val="center"/>
          </w:tcPr>
          <w:p w14:paraId="55E7D884" w14:textId="44A900A3"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Australia</w:t>
            </w:r>
          </w:p>
        </w:tc>
        <w:tc>
          <w:tcPr>
            <w:tcW w:w="1320" w:type="pct"/>
            <w:tcBorders>
              <w:top w:val="nil"/>
              <w:bottom w:val="nil"/>
            </w:tcBorders>
            <w:vAlign w:val="center"/>
          </w:tcPr>
          <w:p w14:paraId="3A6A3092"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16D62B1B" w14:textId="305756F6"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current population; 25.8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high fraction of agricultural land; 52.9%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xml:space="preserve">] and </w:t>
            </w:r>
            <w:r w:rsidRPr="007B773A">
              <w:rPr>
                <w:rFonts w:cstheme="minorHAnsi"/>
                <w:noProof w:val="0"/>
                <w:color w:val="auto"/>
                <w:sz w:val="18"/>
                <w:szCs w:val="18"/>
                <w:lang w:val="en-US"/>
              </w:rPr>
              <w:lastRenderedPageBreak/>
              <w:t>very large total land areas means that agricultural land per capita is very high at 0.158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Pacific and Indian Oceans.</w:t>
            </w:r>
          </w:p>
        </w:tc>
        <w:tc>
          <w:tcPr>
            <w:tcW w:w="1367" w:type="pct"/>
            <w:tcBorders>
              <w:top w:val="nil"/>
              <w:bottom w:val="nil"/>
            </w:tcBorders>
            <w:vAlign w:val="center"/>
          </w:tcPr>
          <w:p w14:paraId="31406B06"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lastRenderedPageBreak/>
              <w:t>4</w:t>
            </w:r>
          </w:p>
          <w:p w14:paraId="0F569236"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 xml:space="preserve">Island continent located between the Pacific, Southern and Indian Oceans at low-mid southern latitudes, separated from outlying islands of the Eurasian landmass by a moderately-sized strait, peripheral to large Asian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0733CA9B"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lastRenderedPageBreak/>
              <w:t>4</w:t>
            </w:r>
          </w:p>
          <w:p w14:paraId="68F05D7E"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6DB748AE" w14:textId="087A9BC4"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Modern high-tech economy with moderate manufacturing capacity.</w:t>
            </w:r>
          </w:p>
        </w:tc>
        <w:tc>
          <w:tcPr>
            <w:tcW w:w="331" w:type="pct"/>
            <w:tcBorders>
              <w:top w:val="nil"/>
              <w:bottom w:val="nil"/>
            </w:tcBorders>
            <w:vAlign w:val="center"/>
          </w:tcPr>
          <w:p w14:paraId="2B6C27A2"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lastRenderedPageBreak/>
              <w:t>13</w:t>
            </w:r>
          </w:p>
        </w:tc>
      </w:tr>
      <w:tr w:rsidR="00D3011B" w:rsidRPr="007B773A" w14:paraId="388820A0" w14:textId="77777777" w:rsidTr="00C448F2">
        <w:trPr>
          <w:jc w:val="center"/>
        </w:trPr>
        <w:tc>
          <w:tcPr>
            <w:tcW w:w="521" w:type="pct"/>
            <w:tcBorders>
              <w:top w:val="nil"/>
              <w:bottom w:val="nil"/>
            </w:tcBorders>
            <w:vAlign w:val="center"/>
          </w:tcPr>
          <w:p w14:paraId="032821D7" w14:textId="13AF26A5"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Republic of Korea</w:t>
            </w:r>
          </w:p>
        </w:tc>
        <w:tc>
          <w:tcPr>
            <w:tcW w:w="1320" w:type="pct"/>
            <w:tcBorders>
              <w:top w:val="nil"/>
              <w:bottom w:val="nil"/>
            </w:tcBorders>
            <w:vAlign w:val="center"/>
          </w:tcPr>
          <w:p w14:paraId="35A6E92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5F4C6CC4" w14:textId="74D4F5A4"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High current population; 51.7 million</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w:t>
            </w:r>
            <w:r w:rsidR="00A9271C">
              <w:rPr>
                <w:rFonts w:cstheme="minorHAnsi"/>
                <w:noProof w:val="0"/>
                <w:color w:val="auto"/>
                <w:sz w:val="18"/>
                <w:szCs w:val="18"/>
                <w:lang w:val="en-US"/>
              </w:rPr>
              <w:t>71</w:t>
            </w:r>
            <w:r w:rsidRPr="007B773A">
              <w:rPr>
                <w:rFonts w:cstheme="minorHAnsi"/>
                <w:noProof w:val="0"/>
                <w:color w:val="auto"/>
                <w:sz w:val="18"/>
                <w:szCs w:val="18"/>
                <w:lang w:val="en-US"/>
              </w:rPr>
              <w:t>] moderate fraction of agricultural land; 18.1%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and moderate total land area means that agricultural land per capita is negligible</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Sea of Japan and East China Sea.</w:t>
            </w:r>
          </w:p>
        </w:tc>
        <w:tc>
          <w:tcPr>
            <w:tcW w:w="1367" w:type="pct"/>
            <w:tcBorders>
              <w:top w:val="nil"/>
              <w:bottom w:val="nil"/>
            </w:tcBorders>
            <w:vAlign w:val="center"/>
          </w:tcPr>
          <w:p w14:paraId="11F590F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14C8286F" w14:textId="1A768C1F"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Direct land connection to the Eurasian landmass </w:t>
            </w:r>
            <w:proofErr w:type="gramStart"/>
            <w:r w:rsidR="00A31A32" w:rsidRPr="007B773A">
              <w:rPr>
                <w:rFonts w:cstheme="minorHAnsi"/>
                <w:noProof w:val="0"/>
                <w:color w:val="auto"/>
                <w:sz w:val="18"/>
                <w:szCs w:val="18"/>
                <w:lang w:val="en-US"/>
              </w:rPr>
              <w:t>i</w:t>
            </w:r>
            <w:r w:rsidRPr="007B773A">
              <w:rPr>
                <w:rFonts w:cstheme="minorHAnsi"/>
                <w:noProof w:val="0"/>
                <w:color w:val="auto"/>
                <w:sz w:val="18"/>
                <w:szCs w:val="18"/>
                <w:lang w:val="en-US"/>
              </w:rPr>
              <w:t>n close proximity to</w:t>
            </w:r>
            <w:proofErr w:type="gramEnd"/>
            <w:r w:rsidRPr="007B773A">
              <w:rPr>
                <w:rFonts w:cstheme="minorHAnsi"/>
                <w:noProof w:val="0"/>
                <w:color w:val="auto"/>
                <w:sz w:val="18"/>
                <w:szCs w:val="18"/>
                <w:lang w:val="en-US"/>
              </w:rPr>
              <w:t xml:space="preserve"> large Asian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5DC3DABA"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3DAAF873"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indigenous renewable and non-renewable energy sources.</w:t>
            </w:r>
          </w:p>
          <w:p w14:paraId="1506E04B" w14:textId="62B66559"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very large manufacturing capacity.</w:t>
            </w:r>
          </w:p>
        </w:tc>
        <w:tc>
          <w:tcPr>
            <w:tcW w:w="331" w:type="pct"/>
            <w:tcBorders>
              <w:top w:val="nil"/>
              <w:bottom w:val="nil"/>
            </w:tcBorders>
            <w:vAlign w:val="center"/>
          </w:tcPr>
          <w:p w14:paraId="43D75FEF"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6</w:t>
            </w:r>
          </w:p>
        </w:tc>
      </w:tr>
      <w:tr w:rsidR="00D3011B" w:rsidRPr="007B773A" w14:paraId="214DA5B8" w14:textId="77777777" w:rsidTr="00C448F2">
        <w:trPr>
          <w:jc w:val="center"/>
        </w:trPr>
        <w:tc>
          <w:tcPr>
            <w:tcW w:w="521" w:type="pct"/>
            <w:tcBorders>
              <w:top w:val="nil"/>
              <w:bottom w:val="nil"/>
            </w:tcBorders>
            <w:vAlign w:val="center"/>
          </w:tcPr>
          <w:p w14:paraId="59587AEE" w14:textId="3AED55DF"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Japan</w:t>
            </w:r>
          </w:p>
        </w:tc>
        <w:tc>
          <w:tcPr>
            <w:tcW w:w="1320" w:type="pct"/>
            <w:tcBorders>
              <w:top w:val="nil"/>
              <w:bottom w:val="nil"/>
            </w:tcBorders>
            <w:vAlign w:val="center"/>
          </w:tcPr>
          <w:p w14:paraId="3270F060"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31C26CA4" w14:textId="490681DB"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Very high current population; 124.7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and low fraction of agricultural land; 12.5%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negligible</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Pacific Ocean and Sea of Japan.</w:t>
            </w:r>
          </w:p>
        </w:tc>
        <w:tc>
          <w:tcPr>
            <w:tcW w:w="1367" w:type="pct"/>
            <w:tcBorders>
              <w:top w:val="nil"/>
              <w:bottom w:val="nil"/>
            </w:tcBorders>
            <w:vAlign w:val="center"/>
          </w:tcPr>
          <w:p w14:paraId="0ACE9A4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330199AB"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Island archipelago in the northwestern Pacific Ocean at low-mid northern latitudes, separated from Eurasian landmass by a moderately-sized sea, peripheral to large Asian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5F7102F8"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0D8BD9BC"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542295F6" w14:textId="0A5AFB8D"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very large manufacturing capacity.</w:t>
            </w:r>
          </w:p>
        </w:tc>
        <w:tc>
          <w:tcPr>
            <w:tcW w:w="331" w:type="pct"/>
            <w:tcBorders>
              <w:top w:val="nil"/>
              <w:bottom w:val="nil"/>
            </w:tcBorders>
            <w:vAlign w:val="center"/>
          </w:tcPr>
          <w:p w14:paraId="4DDFE47E"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2C32CA0E" w14:textId="77777777" w:rsidTr="00C448F2">
        <w:trPr>
          <w:jc w:val="center"/>
        </w:trPr>
        <w:tc>
          <w:tcPr>
            <w:tcW w:w="521" w:type="pct"/>
            <w:tcBorders>
              <w:top w:val="nil"/>
              <w:bottom w:val="nil"/>
            </w:tcBorders>
            <w:vAlign w:val="center"/>
          </w:tcPr>
          <w:p w14:paraId="3ADB458E" w14:textId="1E33D0F6"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Netherlands</w:t>
            </w:r>
          </w:p>
        </w:tc>
        <w:tc>
          <w:tcPr>
            <w:tcW w:w="1320" w:type="pct"/>
            <w:tcBorders>
              <w:top w:val="nil"/>
              <w:bottom w:val="nil"/>
            </w:tcBorders>
            <w:vAlign w:val="center"/>
          </w:tcPr>
          <w:p w14:paraId="09083DE5"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1C3B1D7C" w14:textId="25A114E4"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High current population; 17.3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high fraction of agricultural land; 55.1%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low total land area means that agricultural land per capita is very low at 0.001 km</w:t>
            </w:r>
            <w:r w:rsidRPr="007B773A">
              <w:rPr>
                <w:rFonts w:cstheme="minorHAnsi"/>
                <w:noProof w:val="0"/>
                <w:color w:val="auto"/>
                <w:sz w:val="18"/>
                <w:szCs w:val="18"/>
                <w:vertAlign w:val="superscript"/>
                <w:lang w:val="en-US"/>
              </w:rPr>
              <w:t>2</w:t>
            </w:r>
            <w:r w:rsidRPr="007B773A">
              <w:rPr>
                <w:rFonts w:cstheme="minorHAnsi"/>
                <w:noProof w:val="0"/>
                <w:color w:val="auto"/>
                <w:sz w:val="18"/>
                <w:szCs w:val="18"/>
                <w:lang w:val="en-US"/>
              </w:rPr>
              <w:t>.</w:t>
            </w:r>
          </w:p>
          <w:p w14:paraId="22E6E6BB"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Direct access to the North Sea.</w:t>
            </w:r>
          </w:p>
        </w:tc>
        <w:tc>
          <w:tcPr>
            <w:tcW w:w="1367" w:type="pct"/>
            <w:tcBorders>
              <w:top w:val="nil"/>
              <w:bottom w:val="nil"/>
            </w:tcBorders>
            <w:vAlign w:val="center"/>
          </w:tcPr>
          <w:p w14:paraId="0F2E4EC1"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7E900C24"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772EAC99"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54A05C99"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indigenous renewable and non-renewable energy sources.</w:t>
            </w:r>
          </w:p>
          <w:p w14:paraId="3F7213CE" w14:textId="5F70F922"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166E9ABC"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6</w:t>
            </w:r>
          </w:p>
        </w:tc>
      </w:tr>
      <w:tr w:rsidR="00D3011B" w:rsidRPr="007B773A" w14:paraId="5DCEFF70" w14:textId="77777777" w:rsidTr="00C448F2">
        <w:trPr>
          <w:jc w:val="center"/>
        </w:trPr>
        <w:tc>
          <w:tcPr>
            <w:tcW w:w="521" w:type="pct"/>
            <w:tcBorders>
              <w:top w:val="nil"/>
              <w:bottom w:val="nil"/>
            </w:tcBorders>
            <w:vAlign w:val="center"/>
          </w:tcPr>
          <w:p w14:paraId="337E57EC" w14:textId="334978F7"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France</w:t>
            </w:r>
          </w:p>
        </w:tc>
        <w:tc>
          <w:tcPr>
            <w:tcW w:w="1320" w:type="pct"/>
            <w:tcBorders>
              <w:top w:val="nil"/>
              <w:bottom w:val="nil"/>
            </w:tcBorders>
            <w:vAlign w:val="center"/>
          </w:tcPr>
          <w:p w14:paraId="10FFD49A"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3</w:t>
            </w:r>
          </w:p>
          <w:p w14:paraId="418BBF95" w14:textId="56271B4A"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High current population; 68.1 million [</w:t>
            </w:r>
            <w:r w:rsidR="00A9271C">
              <w:rPr>
                <w:rFonts w:cstheme="minorHAnsi"/>
                <w:noProof w:val="0"/>
                <w:color w:val="auto"/>
                <w:sz w:val="18"/>
                <w:szCs w:val="18"/>
                <w:lang w:val="en-US"/>
              </w:rPr>
              <w:t>71</w:t>
            </w:r>
            <w:r w:rsidRPr="007B773A">
              <w:rPr>
                <w:rFonts w:cstheme="minorHAnsi"/>
                <w:noProof w:val="0"/>
                <w:color w:val="auto"/>
                <w:sz w:val="18"/>
                <w:szCs w:val="18"/>
                <w:lang w:val="en-US"/>
              </w:rPr>
              <w:t>]</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but high fraction of agricultural land; 52.7%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moderate at 0.004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North Atlantic Ocean.</w:t>
            </w:r>
          </w:p>
        </w:tc>
        <w:tc>
          <w:tcPr>
            <w:tcW w:w="1367" w:type="pct"/>
            <w:tcBorders>
              <w:top w:val="nil"/>
              <w:bottom w:val="nil"/>
            </w:tcBorders>
            <w:vAlign w:val="center"/>
          </w:tcPr>
          <w:p w14:paraId="29419457"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1</w:t>
            </w:r>
          </w:p>
          <w:p w14:paraId="53E4A5F2"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05BF14AD"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0E88E992"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700F0D63" w14:textId="0C126DF0"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large manufacturing capacity.</w:t>
            </w:r>
          </w:p>
        </w:tc>
        <w:tc>
          <w:tcPr>
            <w:tcW w:w="331" w:type="pct"/>
            <w:tcBorders>
              <w:top w:val="nil"/>
              <w:bottom w:val="nil"/>
            </w:tcBorders>
            <w:vAlign w:val="center"/>
          </w:tcPr>
          <w:p w14:paraId="0C81776B"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8</w:t>
            </w:r>
          </w:p>
        </w:tc>
      </w:tr>
      <w:tr w:rsidR="00D3011B" w:rsidRPr="007B773A" w14:paraId="24B93C26" w14:textId="77777777" w:rsidTr="00C448F2">
        <w:trPr>
          <w:jc w:val="center"/>
        </w:trPr>
        <w:tc>
          <w:tcPr>
            <w:tcW w:w="521" w:type="pct"/>
            <w:tcBorders>
              <w:top w:val="nil"/>
              <w:bottom w:val="nil"/>
            </w:tcBorders>
            <w:vAlign w:val="center"/>
          </w:tcPr>
          <w:p w14:paraId="692A5509" w14:textId="3F9D7099"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Canada</w:t>
            </w:r>
          </w:p>
        </w:tc>
        <w:tc>
          <w:tcPr>
            <w:tcW w:w="1320" w:type="pct"/>
            <w:tcBorders>
              <w:top w:val="nil"/>
              <w:bottom w:val="nil"/>
            </w:tcBorders>
            <w:vAlign w:val="center"/>
          </w:tcPr>
          <w:p w14:paraId="180D22F2"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4B026E3D" w14:textId="28071A6D"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current population; 37.9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low fraction of agricultural land; 6.8%</w:t>
            </w:r>
            <w:r w:rsidR="00F7402C"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but very large total land area means that agricultural land per capita is moderate at 0.016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Pacific and North Atlantic Oceans.</w:t>
            </w:r>
          </w:p>
        </w:tc>
        <w:tc>
          <w:tcPr>
            <w:tcW w:w="1367" w:type="pct"/>
            <w:tcBorders>
              <w:top w:val="nil"/>
              <w:bottom w:val="nil"/>
            </w:tcBorders>
            <w:vAlign w:val="center"/>
          </w:tcPr>
          <w:p w14:paraId="374BE936"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763E884B" w14:textId="13A3F179"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Direct land connection to the North and Central American landmass</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w:t>
            </w:r>
            <w:proofErr w:type="gramStart"/>
            <w:r w:rsidR="00A31A32" w:rsidRPr="007B773A">
              <w:rPr>
                <w:rFonts w:cstheme="minorHAnsi"/>
                <w:noProof w:val="0"/>
                <w:color w:val="auto"/>
                <w:sz w:val="18"/>
                <w:szCs w:val="18"/>
                <w:lang w:val="en-US"/>
              </w:rPr>
              <w:t>in</w:t>
            </w:r>
            <w:r w:rsidRPr="007B773A">
              <w:rPr>
                <w:rFonts w:cstheme="minorHAnsi"/>
                <w:noProof w:val="0"/>
                <w:color w:val="auto"/>
                <w:sz w:val="18"/>
                <w:szCs w:val="18"/>
                <w:lang w:val="en-US"/>
              </w:rPr>
              <w:t xml:space="preserve"> close proximity to</w:t>
            </w:r>
            <w:proofErr w:type="gramEnd"/>
            <w:r w:rsidRPr="007B773A">
              <w:rPr>
                <w:rFonts w:cstheme="minorHAnsi"/>
                <w:noProof w:val="0"/>
                <w:color w:val="auto"/>
                <w:sz w:val="18"/>
                <w:szCs w:val="18"/>
                <w:lang w:val="en-US"/>
              </w:rPr>
              <w:t xml:space="preserve"> large North American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bottom w:val="nil"/>
            </w:tcBorders>
            <w:vAlign w:val="center"/>
          </w:tcPr>
          <w:p w14:paraId="57FF909E"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025BE27B"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629DA05E" w14:textId="3A1048D5"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high-tech economy with moderate manufacturing capacity.</w:t>
            </w:r>
          </w:p>
        </w:tc>
        <w:tc>
          <w:tcPr>
            <w:tcW w:w="331" w:type="pct"/>
            <w:tcBorders>
              <w:top w:val="nil"/>
              <w:bottom w:val="nil"/>
            </w:tcBorders>
            <w:vAlign w:val="center"/>
          </w:tcPr>
          <w:p w14:paraId="541E2D35"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10</w:t>
            </w:r>
          </w:p>
        </w:tc>
      </w:tr>
      <w:tr w:rsidR="00D3011B" w:rsidRPr="007B773A" w14:paraId="5A055A40" w14:textId="77777777" w:rsidTr="00C448F2">
        <w:trPr>
          <w:jc w:val="center"/>
        </w:trPr>
        <w:tc>
          <w:tcPr>
            <w:tcW w:w="521" w:type="pct"/>
            <w:tcBorders>
              <w:top w:val="nil"/>
              <w:bottom w:val="nil"/>
            </w:tcBorders>
            <w:vAlign w:val="center"/>
          </w:tcPr>
          <w:p w14:paraId="714534E0" w14:textId="36DE9E96"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United States</w:t>
            </w:r>
          </w:p>
        </w:tc>
        <w:tc>
          <w:tcPr>
            <w:tcW w:w="1320" w:type="pct"/>
            <w:tcBorders>
              <w:top w:val="nil"/>
              <w:bottom w:val="nil"/>
            </w:tcBorders>
            <w:vAlign w:val="center"/>
          </w:tcPr>
          <w:p w14:paraId="070A62A0"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4</w:t>
            </w:r>
          </w:p>
          <w:p w14:paraId="3476414F" w14:textId="58101E8B"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noProof w:val="0"/>
                <w:color w:val="auto"/>
                <w:sz w:val="18"/>
                <w:szCs w:val="18"/>
                <w:lang w:val="en-US"/>
              </w:rPr>
              <w:t>Very high current population; 335.0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high fraction of agricultural land; 44.5%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xml:space="preserve">] and very large total land area means that agricultural </w:t>
            </w:r>
            <w:r w:rsidRPr="007B773A">
              <w:rPr>
                <w:rFonts w:cstheme="minorHAnsi"/>
                <w:noProof w:val="0"/>
                <w:color w:val="auto"/>
                <w:sz w:val="18"/>
                <w:szCs w:val="18"/>
                <w:lang w:val="en-US"/>
              </w:rPr>
              <w:lastRenderedPageBreak/>
              <w:t>land per capita is moderate at 0.012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Pacific and North Atlantic Oceans.</w:t>
            </w:r>
          </w:p>
        </w:tc>
        <w:tc>
          <w:tcPr>
            <w:tcW w:w="1367" w:type="pct"/>
            <w:tcBorders>
              <w:top w:val="nil"/>
              <w:bottom w:val="nil"/>
            </w:tcBorders>
            <w:vAlign w:val="center"/>
          </w:tcPr>
          <w:p w14:paraId="37B43B7B"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lastRenderedPageBreak/>
              <w:t>1</w:t>
            </w:r>
          </w:p>
          <w:p w14:paraId="185AB7FA"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Centrally located within large North and Central American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p w14:paraId="6B50A093"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p>
        </w:tc>
        <w:tc>
          <w:tcPr>
            <w:tcW w:w="1461" w:type="pct"/>
            <w:tcBorders>
              <w:top w:val="nil"/>
              <w:bottom w:val="nil"/>
            </w:tcBorders>
            <w:vAlign w:val="center"/>
          </w:tcPr>
          <w:p w14:paraId="0F2D0E6F"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4E8F6282"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Abundant indigenous renewable and non-renewable energy sources.</w:t>
            </w:r>
          </w:p>
          <w:p w14:paraId="6BDE3F63" w14:textId="1DC6F982" w:rsidR="00E12804" w:rsidRPr="007B773A" w:rsidRDefault="00E12804" w:rsidP="00C448F2">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lastRenderedPageBreak/>
              <w:t>Modern high-tech economy with very large manufacturing capacity.</w:t>
            </w:r>
          </w:p>
        </w:tc>
        <w:tc>
          <w:tcPr>
            <w:tcW w:w="331" w:type="pct"/>
            <w:tcBorders>
              <w:top w:val="nil"/>
              <w:bottom w:val="nil"/>
            </w:tcBorders>
            <w:vAlign w:val="center"/>
          </w:tcPr>
          <w:p w14:paraId="4832A589"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lastRenderedPageBreak/>
              <w:t>10</w:t>
            </w:r>
          </w:p>
        </w:tc>
      </w:tr>
      <w:tr w:rsidR="00D3011B" w:rsidRPr="007B773A" w14:paraId="4DB805D1" w14:textId="77777777" w:rsidTr="00C448F2">
        <w:trPr>
          <w:jc w:val="center"/>
        </w:trPr>
        <w:tc>
          <w:tcPr>
            <w:tcW w:w="521" w:type="pct"/>
            <w:tcBorders>
              <w:top w:val="nil"/>
            </w:tcBorders>
            <w:vAlign w:val="center"/>
          </w:tcPr>
          <w:p w14:paraId="1A642F28" w14:textId="04D9CF4D" w:rsidR="00E12804" w:rsidRPr="002C3C39" w:rsidRDefault="007B3942"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Ireland</w:t>
            </w:r>
          </w:p>
        </w:tc>
        <w:tc>
          <w:tcPr>
            <w:tcW w:w="1320" w:type="pct"/>
            <w:tcBorders>
              <w:top w:val="nil"/>
            </w:tcBorders>
            <w:vAlign w:val="center"/>
          </w:tcPr>
          <w:p w14:paraId="1071C636"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77CDAD53" w14:textId="660DF559"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Low current population; 5.2 million [</w:t>
            </w:r>
            <w:r w:rsidR="00A9271C">
              <w:rPr>
                <w:rFonts w:cstheme="minorHAnsi"/>
                <w:noProof w:val="0"/>
                <w:color w:val="auto"/>
                <w:sz w:val="18"/>
                <w:szCs w:val="18"/>
                <w:lang w:val="en-US"/>
              </w:rPr>
              <w:t>71</w:t>
            </w:r>
            <w:r w:rsidRPr="007B773A">
              <w:rPr>
                <w:rFonts w:cstheme="minorHAnsi"/>
                <w:noProof w:val="0"/>
                <w:color w:val="auto"/>
                <w:sz w:val="18"/>
                <w:szCs w:val="18"/>
                <w:lang w:val="en-US"/>
              </w:rPr>
              <w:t>] and very high fraction of agricultural land; 66.1% [</w:t>
            </w:r>
            <w:r w:rsidR="000F5483" w:rsidRPr="007B773A">
              <w:rPr>
                <w:rFonts w:cstheme="minorHAnsi"/>
                <w:noProof w:val="0"/>
                <w:color w:val="auto"/>
                <w:sz w:val="18"/>
                <w:szCs w:val="18"/>
                <w:lang w:val="en-US"/>
              </w:rPr>
              <w:t>7</w:t>
            </w:r>
            <w:r w:rsidR="00A9271C">
              <w:rPr>
                <w:rFonts w:cstheme="minorHAnsi"/>
                <w:noProof w:val="0"/>
                <w:color w:val="auto"/>
                <w:sz w:val="18"/>
                <w:szCs w:val="18"/>
                <w:lang w:val="en-US"/>
              </w:rPr>
              <w:t>2</w:t>
            </w:r>
            <w:r w:rsidRPr="007B773A">
              <w:rPr>
                <w:rFonts w:cstheme="minorHAnsi"/>
                <w:noProof w:val="0"/>
                <w:color w:val="auto"/>
                <w:sz w:val="18"/>
                <w:szCs w:val="18"/>
                <w:lang w:val="en-US"/>
              </w:rPr>
              <w:t>] means that agricultural land per capita is moderate at 0.009 km</w:t>
            </w:r>
            <w:r w:rsidRPr="007B773A">
              <w:rPr>
                <w:rFonts w:cstheme="minorHAnsi"/>
                <w:noProof w:val="0"/>
                <w:color w:val="auto"/>
                <w:sz w:val="18"/>
                <w:szCs w:val="18"/>
                <w:vertAlign w:val="superscript"/>
                <w:lang w:val="en-US"/>
              </w:rPr>
              <w:t>2</w:t>
            </w:r>
            <w:r w:rsidR="006C0A78"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Direct access to the North Atlantic Ocean.</w:t>
            </w:r>
          </w:p>
        </w:tc>
        <w:tc>
          <w:tcPr>
            <w:tcW w:w="1367" w:type="pct"/>
            <w:tcBorders>
              <w:top w:val="nil"/>
            </w:tcBorders>
            <w:vAlign w:val="center"/>
          </w:tcPr>
          <w:p w14:paraId="287F53B2"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5</w:t>
            </w:r>
          </w:p>
          <w:p w14:paraId="37BAA7F6" w14:textId="13737910"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 xml:space="preserve">Island in the northeastern Atlantic Ocean at mid-high northern latitudes, separated from Eurasian landmass by the Island of Britain, a </w:t>
            </w:r>
            <w:proofErr w:type="gramStart"/>
            <w:r w:rsidRPr="007B773A">
              <w:rPr>
                <w:rFonts w:cstheme="minorHAnsi"/>
                <w:noProof w:val="0"/>
                <w:color w:val="auto"/>
                <w:sz w:val="18"/>
                <w:szCs w:val="18"/>
                <w:lang w:val="en-US"/>
              </w:rPr>
              <w:t>sea</w:t>
            </w:r>
            <w:proofErr w:type="gramEnd"/>
            <w:r w:rsidRPr="007B773A">
              <w:rPr>
                <w:rFonts w:cstheme="minorHAnsi"/>
                <w:noProof w:val="0"/>
                <w:color w:val="auto"/>
                <w:sz w:val="18"/>
                <w:szCs w:val="18"/>
                <w:lang w:val="en-US"/>
              </w:rPr>
              <w:t xml:space="preserve"> and a moderately</w:t>
            </w:r>
            <w:r w:rsidR="00A31A32" w:rsidRPr="007B773A">
              <w:rPr>
                <w:rFonts w:cstheme="minorHAnsi"/>
                <w:noProof w:val="0"/>
                <w:color w:val="auto"/>
                <w:sz w:val="18"/>
                <w:szCs w:val="18"/>
                <w:lang w:val="en-US"/>
              </w:rPr>
              <w:t xml:space="preserve"> </w:t>
            </w:r>
            <w:r w:rsidRPr="007B773A">
              <w:rPr>
                <w:rFonts w:cstheme="minorHAnsi"/>
                <w:noProof w:val="0"/>
                <w:color w:val="auto"/>
                <w:sz w:val="18"/>
                <w:szCs w:val="18"/>
                <w:lang w:val="en-US"/>
              </w:rPr>
              <w:t xml:space="preserve">sized strait, remote from large European population </w:t>
            </w:r>
            <w:proofErr w:type="spellStart"/>
            <w:r w:rsidRPr="007B773A">
              <w:rPr>
                <w:rFonts w:cstheme="minorHAnsi"/>
                <w:noProof w:val="0"/>
                <w:color w:val="auto"/>
                <w:sz w:val="18"/>
                <w:szCs w:val="18"/>
                <w:lang w:val="en-US"/>
              </w:rPr>
              <w:t>centres</w:t>
            </w:r>
            <w:proofErr w:type="spellEnd"/>
            <w:r w:rsidRPr="007B773A">
              <w:rPr>
                <w:rFonts w:cstheme="minorHAnsi"/>
                <w:noProof w:val="0"/>
                <w:color w:val="auto"/>
                <w:sz w:val="18"/>
                <w:szCs w:val="18"/>
                <w:lang w:val="en-US"/>
              </w:rPr>
              <w:t>.</w:t>
            </w:r>
          </w:p>
        </w:tc>
        <w:tc>
          <w:tcPr>
            <w:tcW w:w="1461" w:type="pct"/>
            <w:tcBorders>
              <w:top w:val="nil"/>
            </w:tcBorders>
            <w:vAlign w:val="center"/>
          </w:tcPr>
          <w:p w14:paraId="0ECA491C" w14:textId="77777777" w:rsidR="00E12804" w:rsidRPr="007B773A"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7B773A">
              <w:rPr>
                <w:rFonts w:cstheme="minorHAnsi"/>
                <w:bCs/>
                <w:noProof w:val="0"/>
                <w:color w:val="auto"/>
                <w:sz w:val="18"/>
                <w:szCs w:val="18"/>
                <w:lang w:val="en-US"/>
              </w:rPr>
              <w:t>2</w:t>
            </w:r>
          </w:p>
          <w:p w14:paraId="01636841" w14:textId="77777777"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Moderate indigenous renewable energy sources.</w:t>
            </w:r>
          </w:p>
          <w:p w14:paraId="5DA3381D" w14:textId="7DFAB401" w:rsidR="00E12804" w:rsidRPr="007B773A" w:rsidRDefault="00E12804" w:rsidP="006412FE">
            <w:pPr>
              <w:autoSpaceDE w:val="0"/>
              <w:autoSpaceDN w:val="0"/>
              <w:adjustRightInd w:val="0"/>
              <w:snapToGrid w:val="0"/>
              <w:spacing w:line="240" w:lineRule="auto"/>
              <w:jc w:val="center"/>
              <w:rPr>
                <w:rFonts w:cstheme="minorHAnsi"/>
                <w:noProof w:val="0"/>
                <w:color w:val="auto"/>
                <w:sz w:val="18"/>
                <w:szCs w:val="18"/>
                <w:lang w:val="en-US"/>
              </w:rPr>
            </w:pPr>
            <w:r w:rsidRPr="007B773A">
              <w:rPr>
                <w:rFonts w:cstheme="minorHAnsi"/>
                <w:noProof w:val="0"/>
                <w:color w:val="auto"/>
                <w:sz w:val="18"/>
                <w:szCs w:val="18"/>
                <w:lang w:val="en-US"/>
              </w:rPr>
              <w:t>Modern economy but predominantly primary-resource</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based</w:t>
            </w:r>
            <w:r w:rsidR="00A31A32" w:rsidRPr="007B773A">
              <w:rPr>
                <w:rFonts w:cstheme="minorHAnsi"/>
                <w:noProof w:val="0"/>
                <w:color w:val="auto"/>
                <w:sz w:val="18"/>
                <w:szCs w:val="18"/>
                <w:lang w:val="en-US"/>
              </w:rPr>
              <w:t>;</w:t>
            </w:r>
            <w:r w:rsidRPr="007B773A">
              <w:rPr>
                <w:rFonts w:cstheme="minorHAnsi"/>
                <w:noProof w:val="0"/>
                <w:color w:val="auto"/>
                <w:sz w:val="18"/>
                <w:szCs w:val="18"/>
                <w:lang w:val="en-US"/>
              </w:rPr>
              <w:t xml:space="preserve"> limited manufacturing capacity.</w:t>
            </w:r>
          </w:p>
        </w:tc>
        <w:tc>
          <w:tcPr>
            <w:tcW w:w="331" w:type="pct"/>
            <w:tcBorders>
              <w:top w:val="nil"/>
            </w:tcBorders>
            <w:vAlign w:val="center"/>
          </w:tcPr>
          <w:p w14:paraId="59AC9AB5" w14:textId="77777777" w:rsidR="00E12804" w:rsidRPr="002C3C39" w:rsidRDefault="00E12804" w:rsidP="006412FE">
            <w:pPr>
              <w:autoSpaceDE w:val="0"/>
              <w:autoSpaceDN w:val="0"/>
              <w:adjustRightInd w:val="0"/>
              <w:snapToGrid w:val="0"/>
              <w:spacing w:line="240" w:lineRule="auto"/>
              <w:jc w:val="center"/>
              <w:rPr>
                <w:rFonts w:cstheme="minorHAnsi"/>
                <w:bCs/>
                <w:noProof w:val="0"/>
                <w:color w:val="auto"/>
                <w:sz w:val="18"/>
                <w:szCs w:val="18"/>
                <w:lang w:val="en-US"/>
              </w:rPr>
            </w:pPr>
            <w:r w:rsidRPr="002C3C39">
              <w:rPr>
                <w:rFonts w:cstheme="minorHAnsi"/>
                <w:bCs/>
                <w:noProof w:val="0"/>
                <w:color w:val="auto"/>
                <w:sz w:val="18"/>
                <w:szCs w:val="18"/>
              </w:rPr>
              <w:t>12</w:t>
            </w:r>
          </w:p>
        </w:tc>
      </w:tr>
    </w:tbl>
    <w:p w14:paraId="7AF39D36" w14:textId="408A4268" w:rsidR="00E12804" w:rsidRPr="002A59D0" w:rsidRDefault="00E12804" w:rsidP="00D3011B">
      <w:pPr>
        <w:pStyle w:val="MDPI43tablefooter"/>
        <w:ind w:left="425" w:right="425"/>
        <w:jc w:val="both"/>
        <w:rPr>
          <w:rFonts w:eastAsiaTheme="minorHAnsi"/>
        </w:rPr>
      </w:pPr>
      <w:bookmarkStart w:id="12" w:name="_Hlk74861696"/>
      <w:r w:rsidRPr="007B773A">
        <w:rPr>
          <w:rFonts w:eastAsiaTheme="minorHAnsi"/>
          <w:b/>
          <w:bCs/>
        </w:rPr>
        <w:t>Notes</w:t>
      </w:r>
      <w:r w:rsidRPr="007B773A">
        <w:rPr>
          <w:rFonts w:eastAsiaTheme="minorHAnsi"/>
        </w:rPr>
        <w:t>:</w:t>
      </w:r>
      <w:bookmarkEnd w:id="12"/>
      <w:r w:rsidRPr="007B773A">
        <w:rPr>
          <w:rFonts w:eastAsiaTheme="minorHAnsi"/>
        </w:rPr>
        <w:t xml:space="preserve"> ‘Agricultural land’ is total area of land </w:t>
      </w:r>
      <w:proofErr w:type="spellStart"/>
      <w:r w:rsidRPr="007B773A">
        <w:rPr>
          <w:rFonts w:eastAsiaTheme="minorHAnsi"/>
        </w:rPr>
        <w:t>utilised</w:t>
      </w:r>
      <w:proofErr w:type="spellEnd"/>
      <w:r w:rsidRPr="007B773A">
        <w:rPr>
          <w:rFonts w:eastAsiaTheme="minorHAnsi"/>
        </w:rPr>
        <w:t xml:space="preserve"> for all forms of agriculture, including arable, permanent cropland and permanent pasture </w:t>
      </w:r>
      <w:r w:rsidRPr="007B773A">
        <w:rPr>
          <w:rFonts w:cstheme="minorHAnsi"/>
        </w:rPr>
        <w:t>[</w:t>
      </w:r>
      <w:r w:rsidR="000F5483" w:rsidRPr="007B773A">
        <w:rPr>
          <w:rFonts w:cstheme="minorHAnsi"/>
        </w:rPr>
        <w:t>7</w:t>
      </w:r>
      <w:r w:rsidR="00A9271C">
        <w:rPr>
          <w:rFonts w:cstheme="minorHAnsi"/>
        </w:rPr>
        <w:t>2</w:t>
      </w:r>
      <w:r w:rsidRPr="007B773A">
        <w:rPr>
          <w:rFonts w:cstheme="minorHAnsi"/>
        </w:rPr>
        <w:t>]</w:t>
      </w:r>
      <w:r w:rsidRPr="007B773A">
        <w:rPr>
          <w:rFonts w:eastAsiaTheme="minorHAnsi"/>
        </w:rPr>
        <w:t>.</w:t>
      </w:r>
      <w:r w:rsidR="008D52EA" w:rsidRPr="007B773A">
        <w:rPr>
          <w:rFonts w:eastAsiaTheme="minorHAnsi"/>
        </w:rPr>
        <w:t xml:space="preserve"> </w:t>
      </w:r>
      <w:r w:rsidRPr="007B773A">
        <w:rPr>
          <w:rFonts w:eastAsiaTheme="minorHAnsi"/>
        </w:rPr>
        <w:t>Note that for some countries (e.g.</w:t>
      </w:r>
      <w:r w:rsidR="00CF3497" w:rsidRPr="007B773A">
        <w:rPr>
          <w:rFonts w:eastAsiaTheme="minorHAnsi"/>
        </w:rPr>
        <w:t>,</w:t>
      </w:r>
      <w:r w:rsidRPr="007B773A">
        <w:rPr>
          <w:rFonts w:eastAsiaTheme="minorHAnsi"/>
        </w:rPr>
        <w:t xml:space="preserve"> Australia) pasture may make up a large proportion of the total, so a large fraction of the land in question may not comprise highly fertile land capable of high-productivity output that could support large human populations.</w:t>
      </w:r>
      <w:r w:rsidR="008D52EA" w:rsidRPr="007B773A">
        <w:rPr>
          <w:rFonts w:eastAsiaTheme="minorHAnsi"/>
        </w:rPr>
        <w:t xml:space="preserve"> </w:t>
      </w:r>
      <w:r w:rsidRPr="007B773A">
        <w:rPr>
          <w:rFonts w:eastAsiaTheme="minorHAnsi"/>
        </w:rPr>
        <w:t>Therefore, the metric of ‘fraction of agricultural land’ is used as an indicative measure of the general carrying capacity of the territory of the country in question but may not reflect the country’s true capacity for food production.</w:t>
      </w:r>
    </w:p>
    <w:p w14:paraId="27C40AA1" w14:textId="001E0C8A" w:rsidR="00E12804" w:rsidRPr="002A59D0" w:rsidRDefault="00E12804" w:rsidP="002A59D0">
      <w:pPr>
        <w:adjustRightInd w:val="0"/>
        <w:snapToGrid w:val="0"/>
        <w:spacing w:after="160" w:line="259" w:lineRule="auto"/>
        <w:rPr>
          <w:rFonts w:eastAsiaTheme="minorHAnsi" w:cstheme="minorBidi"/>
          <w:noProof w:val="0"/>
          <w:color w:val="auto"/>
          <w:sz w:val="18"/>
          <w:szCs w:val="18"/>
          <w:lang w:eastAsia="en-US"/>
        </w:rPr>
        <w:sectPr w:rsidR="00E12804" w:rsidRPr="002A59D0" w:rsidSect="002A59D0">
          <w:headerReference w:type="default" r:id="rId21"/>
          <w:endnotePr>
            <w:numFmt w:val="decimal"/>
          </w:endnotePr>
          <w:pgSz w:w="16838" w:h="11906" w:orient="landscape"/>
          <w:pgMar w:top="1417" w:right="720" w:bottom="1077" w:left="720" w:header="1020" w:footer="340" w:gutter="0"/>
          <w:cols w:space="708"/>
          <w:bidi/>
          <w:docGrid w:linePitch="360"/>
        </w:sectPr>
      </w:pPr>
    </w:p>
    <w:p w14:paraId="38DC9ABC" w14:textId="77777777" w:rsidR="00C448F2" w:rsidRPr="002A59D0" w:rsidRDefault="00C448F2" w:rsidP="00C448F2">
      <w:pPr>
        <w:pStyle w:val="MDPI41tablecaption"/>
        <w:ind w:left="425" w:right="425"/>
        <w:jc w:val="center"/>
        <w:rPr>
          <w:rFonts w:eastAsiaTheme="minorHAnsi"/>
          <w:color w:val="auto"/>
          <w:sz w:val="22"/>
        </w:rPr>
      </w:pPr>
      <w:bookmarkStart w:id="13" w:name="_Hlk72081213"/>
      <w:r w:rsidRPr="00D3011B">
        <w:rPr>
          <w:rFonts w:eastAsiaTheme="minorHAnsi"/>
          <w:b/>
        </w:rPr>
        <w:lastRenderedPageBreak/>
        <w:t xml:space="preserve">Table 4. </w:t>
      </w:r>
      <w:r w:rsidRPr="002A59D0">
        <w:rPr>
          <w:rFonts w:eastAsiaTheme="minorHAnsi"/>
        </w:rPr>
        <w:t>‘</w:t>
      </w:r>
      <w:proofErr w:type="spellStart"/>
      <w:r w:rsidRPr="002A59D0">
        <w:rPr>
          <w:rFonts w:eastAsiaTheme="minorHAnsi"/>
        </w:rPr>
        <w:t>Favourable</w:t>
      </w:r>
      <w:proofErr w:type="spellEnd"/>
      <w:r w:rsidRPr="002A59D0">
        <w:rPr>
          <w:rFonts w:eastAsiaTheme="minorHAnsi"/>
        </w:rPr>
        <w:t xml:space="preserve"> Starting Location’ Rating</w:t>
      </w:r>
      <w:bookmarkEnd w:id="13"/>
      <w:r>
        <w:rPr>
          <w:rFonts w:eastAsiaTheme="minorHAnsi"/>
        </w:rPr>
        <w:t>.</w:t>
      </w:r>
    </w:p>
    <w:tbl>
      <w:tblPr>
        <w:tblStyle w:val="TableGrid4"/>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95"/>
        <w:gridCol w:w="2470"/>
        <w:gridCol w:w="2468"/>
        <w:gridCol w:w="3232"/>
      </w:tblGrid>
      <w:tr w:rsidR="00C448F2" w:rsidRPr="00C448F2" w14:paraId="7CE3D945" w14:textId="77777777" w:rsidTr="002C3C39">
        <w:trPr>
          <w:jc w:val="center"/>
        </w:trPr>
        <w:tc>
          <w:tcPr>
            <w:tcW w:w="1097" w:type="pct"/>
            <w:tcBorders>
              <w:top w:val="single" w:sz="8" w:space="0" w:color="auto"/>
              <w:bottom w:val="single" w:sz="4" w:space="0" w:color="auto"/>
            </w:tcBorders>
            <w:shd w:val="clear" w:color="auto" w:fill="auto"/>
            <w:vAlign w:val="center"/>
          </w:tcPr>
          <w:p w14:paraId="0228E602" w14:textId="77777777" w:rsidR="00C448F2" w:rsidRPr="00723E9C" w:rsidRDefault="00C448F2" w:rsidP="00C448F2">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Country</w:t>
            </w:r>
          </w:p>
        </w:tc>
        <w:tc>
          <w:tcPr>
            <w:tcW w:w="1180" w:type="pct"/>
            <w:tcBorders>
              <w:top w:val="single" w:sz="8" w:space="0" w:color="auto"/>
              <w:bottom w:val="single" w:sz="4" w:space="0" w:color="auto"/>
            </w:tcBorders>
            <w:shd w:val="clear" w:color="auto" w:fill="auto"/>
            <w:vAlign w:val="center"/>
          </w:tcPr>
          <w:p w14:paraId="760C87AE" w14:textId="77777777" w:rsidR="00C448F2" w:rsidRPr="00723E9C" w:rsidRDefault="00C448F2" w:rsidP="00C448F2">
            <w:pPr>
              <w:autoSpaceDE w:val="0"/>
              <w:autoSpaceDN w:val="0"/>
              <w:adjustRightInd w:val="0"/>
              <w:snapToGrid w:val="0"/>
              <w:spacing w:line="240" w:lineRule="auto"/>
              <w:jc w:val="center"/>
              <w:rPr>
                <w:b/>
                <w:noProof w:val="0"/>
                <w:color w:val="auto"/>
                <w:sz w:val="20"/>
                <w:szCs w:val="20"/>
                <w:lang w:val="en-US"/>
              </w:rPr>
            </w:pPr>
            <w:r w:rsidRPr="00723E9C">
              <w:rPr>
                <w:b/>
                <w:noProof w:val="0"/>
                <w:color w:val="auto"/>
                <w:sz w:val="20"/>
                <w:szCs w:val="20"/>
                <w:lang w:val="en-US"/>
              </w:rPr>
              <w:t>Further Analysis Score [A]</w:t>
            </w:r>
          </w:p>
        </w:tc>
        <w:tc>
          <w:tcPr>
            <w:tcW w:w="1179" w:type="pct"/>
            <w:tcBorders>
              <w:top w:val="single" w:sz="8" w:space="0" w:color="auto"/>
              <w:bottom w:val="single" w:sz="4" w:space="0" w:color="auto"/>
            </w:tcBorders>
            <w:shd w:val="clear" w:color="auto" w:fill="auto"/>
            <w:vAlign w:val="center"/>
          </w:tcPr>
          <w:p w14:paraId="59BE1DD1" w14:textId="77777777" w:rsidR="00C448F2" w:rsidRPr="00723E9C" w:rsidRDefault="00C448F2" w:rsidP="00C448F2">
            <w:pPr>
              <w:autoSpaceDE w:val="0"/>
              <w:autoSpaceDN w:val="0"/>
              <w:adjustRightInd w:val="0"/>
              <w:snapToGrid w:val="0"/>
              <w:spacing w:line="240" w:lineRule="auto"/>
              <w:jc w:val="center"/>
              <w:rPr>
                <w:b/>
                <w:noProof w:val="0"/>
                <w:color w:val="auto"/>
                <w:sz w:val="20"/>
                <w:szCs w:val="20"/>
                <w:lang w:val="en-US"/>
              </w:rPr>
            </w:pPr>
            <w:r w:rsidRPr="00723E9C">
              <w:rPr>
                <w:b/>
                <w:noProof w:val="0"/>
                <w:color w:val="auto"/>
                <w:sz w:val="20"/>
                <w:szCs w:val="20"/>
                <w:lang w:val="en-US"/>
              </w:rPr>
              <w:t>ND-Gain Ranking [B]</w:t>
            </w:r>
          </w:p>
        </w:tc>
        <w:tc>
          <w:tcPr>
            <w:tcW w:w="1544" w:type="pct"/>
            <w:tcBorders>
              <w:top w:val="single" w:sz="8" w:space="0" w:color="auto"/>
              <w:bottom w:val="single" w:sz="4" w:space="0" w:color="auto"/>
            </w:tcBorders>
            <w:shd w:val="clear" w:color="auto" w:fill="auto"/>
            <w:vAlign w:val="center"/>
          </w:tcPr>
          <w:p w14:paraId="6D8AB237" w14:textId="77777777" w:rsidR="00C448F2" w:rsidRPr="00723E9C" w:rsidRDefault="00C448F2" w:rsidP="00C448F2">
            <w:pPr>
              <w:autoSpaceDE w:val="0"/>
              <w:autoSpaceDN w:val="0"/>
              <w:adjustRightInd w:val="0"/>
              <w:snapToGrid w:val="0"/>
              <w:spacing w:line="240" w:lineRule="auto"/>
              <w:jc w:val="center"/>
              <w:rPr>
                <w:b/>
                <w:noProof w:val="0"/>
                <w:color w:val="auto"/>
                <w:sz w:val="20"/>
                <w:szCs w:val="20"/>
                <w:lang w:val="en-US"/>
              </w:rPr>
            </w:pPr>
            <w:r w:rsidRPr="00723E9C">
              <w:rPr>
                <w:b/>
                <w:noProof w:val="0"/>
                <w:color w:val="auto"/>
                <w:sz w:val="20"/>
                <w:szCs w:val="20"/>
                <w:lang w:val="en-US"/>
              </w:rPr>
              <w:t>‘</w:t>
            </w:r>
            <w:proofErr w:type="spellStart"/>
            <w:r w:rsidRPr="00723E9C">
              <w:rPr>
                <w:b/>
                <w:noProof w:val="0"/>
                <w:color w:val="auto"/>
                <w:sz w:val="20"/>
                <w:szCs w:val="20"/>
                <w:lang w:val="en-US"/>
              </w:rPr>
              <w:t>Favourable</w:t>
            </w:r>
            <w:proofErr w:type="spellEnd"/>
            <w:r w:rsidRPr="00723E9C">
              <w:rPr>
                <w:b/>
                <w:noProof w:val="0"/>
                <w:color w:val="auto"/>
                <w:sz w:val="20"/>
                <w:szCs w:val="20"/>
                <w:lang w:val="en-US"/>
              </w:rPr>
              <w:t xml:space="preserve"> Starting Condition’ </w:t>
            </w:r>
            <w:r w:rsidRPr="00723E9C">
              <w:rPr>
                <w:b/>
                <w:noProof w:val="0"/>
                <w:color w:val="auto"/>
                <w:sz w:val="20"/>
                <w:szCs w:val="20"/>
                <w:lang w:val="en-US"/>
              </w:rPr>
              <w:br/>
              <w:t>Rating [A/B]</w:t>
            </w:r>
          </w:p>
        </w:tc>
      </w:tr>
      <w:tr w:rsidR="00C448F2" w:rsidRPr="00C448F2" w14:paraId="559CBA56" w14:textId="77777777" w:rsidTr="00C448F2">
        <w:trPr>
          <w:jc w:val="center"/>
        </w:trPr>
        <w:tc>
          <w:tcPr>
            <w:tcW w:w="1097" w:type="pct"/>
            <w:tcBorders>
              <w:top w:val="single" w:sz="4" w:space="0" w:color="auto"/>
              <w:bottom w:val="nil"/>
            </w:tcBorders>
            <w:vAlign w:val="center"/>
          </w:tcPr>
          <w:p w14:paraId="4C131E7B" w14:textId="77777777" w:rsidR="00C448F2" w:rsidRPr="002C3C39" w:rsidRDefault="00C448F2" w:rsidP="00C448F2">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New Zealand</w:t>
            </w:r>
          </w:p>
        </w:tc>
        <w:tc>
          <w:tcPr>
            <w:tcW w:w="1180" w:type="pct"/>
            <w:tcBorders>
              <w:top w:val="single" w:sz="4" w:space="0" w:color="auto"/>
              <w:bottom w:val="nil"/>
            </w:tcBorders>
            <w:vAlign w:val="center"/>
          </w:tcPr>
          <w:p w14:paraId="14853C9D"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13</w:t>
            </w:r>
          </w:p>
        </w:tc>
        <w:tc>
          <w:tcPr>
            <w:tcW w:w="1179" w:type="pct"/>
            <w:tcBorders>
              <w:top w:val="single" w:sz="4" w:space="0" w:color="auto"/>
              <w:bottom w:val="nil"/>
            </w:tcBorders>
            <w:vAlign w:val="center"/>
          </w:tcPr>
          <w:p w14:paraId="5673040A"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2</w:t>
            </w:r>
          </w:p>
        </w:tc>
        <w:tc>
          <w:tcPr>
            <w:tcW w:w="1544" w:type="pct"/>
            <w:tcBorders>
              <w:top w:val="single" w:sz="4" w:space="0" w:color="auto"/>
              <w:bottom w:val="nil"/>
            </w:tcBorders>
            <w:vAlign w:val="center"/>
          </w:tcPr>
          <w:p w14:paraId="156EC588"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6.5</w:t>
            </w:r>
          </w:p>
        </w:tc>
      </w:tr>
      <w:tr w:rsidR="00C448F2" w:rsidRPr="00C448F2" w14:paraId="5C6C8C57" w14:textId="77777777" w:rsidTr="00C448F2">
        <w:trPr>
          <w:jc w:val="center"/>
        </w:trPr>
        <w:tc>
          <w:tcPr>
            <w:tcW w:w="1097" w:type="pct"/>
            <w:tcBorders>
              <w:top w:val="nil"/>
              <w:bottom w:val="nil"/>
            </w:tcBorders>
            <w:vAlign w:val="center"/>
          </w:tcPr>
          <w:p w14:paraId="78A55D77" w14:textId="77777777" w:rsidR="00C448F2" w:rsidRPr="002C3C39" w:rsidRDefault="00C448F2" w:rsidP="00C448F2">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Iceland</w:t>
            </w:r>
          </w:p>
        </w:tc>
        <w:tc>
          <w:tcPr>
            <w:tcW w:w="1180" w:type="pct"/>
            <w:tcBorders>
              <w:top w:val="nil"/>
              <w:bottom w:val="nil"/>
            </w:tcBorders>
            <w:vAlign w:val="center"/>
          </w:tcPr>
          <w:p w14:paraId="7AFF9178"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11</w:t>
            </w:r>
          </w:p>
        </w:tc>
        <w:tc>
          <w:tcPr>
            <w:tcW w:w="1179" w:type="pct"/>
            <w:tcBorders>
              <w:top w:val="nil"/>
              <w:bottom w:val="nil"/>
            </w:tcBorders>
            <w:vAlign w:val="center"/>
          </w:tcPr>
          <w:p w14:paraId="397C9085"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9</w:t>
            </w:r>
          </w:p>
        </w:tc>
        <w:tc>
          <w:tcPr>
            <w:tcW w:w="1544" w:type="pct"/>
            <w:tcBorders>
              <w:top w:val="nil"/>
              <w:bottom w:val="nil"/>
            </w:tcBorders>
            <w:vAlign w:val="center"/>
          </w:tcPr>
          <w:p w14:paraId="7AC115C1"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1.2</w:t>
            </w:r>
          </w:p>
        </w:tc>
      </w:tr>
      <w:tr w:rsidR="00C448F2" w:rsidRPr="00C448F2" w14:paraId="23C36DD2" w14:textId="77777777" w:rsidTr="00C448F2">
        <w:trPr>
          <w:jc w:val="center"/>
        </w:trPr>
        <w:tc>
          <w:tcPr>
            <w:tcW w:w="1097" w:type="pct"/>
            <w:tcBorders>
              <w:top w:val="nil"/>
              <w:bottom w:val="nil"/>
            </w:tcBorders>
            <w:vAlign w:val="center"/>
          </w:tcPr>
          <w:p w14:paraId="4B50CFEE" w14:textId="77777777" w:rsidR="00C448F2" w:rsidRPr="002C3C39" w:rsidRDefault="00C448F2" w:rsidP="00C448F2">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United Kingdom</w:t>
            </w:r>
          </w:p>
        </w:tc>
        <w:tc>
          <w:tcPr>
            <w:tcW w:w="1180" w:type="pct"/>
            <w:tcBorders>
              <w:top w:val="nil"/>
              <w:bottom w:val="nil"/>
            </w:tcBorders>
            <w:vAlign w:val="center"/>
          </w:tcPr>
          <w:p w14:paraId="7645ADA2"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11</w:t>
            </w:r>
          </w:p>
        </w:tc>
        <w:tc>
          <w:tcPr>
            <w:tcW w:w="1179" w:type="pct"/>
            <w:tcBorders>
              <w:top w:val="nil"/>
              <w:bottom w:val="nil"/>
            </w:tcBorders>
            <w:vAlign w:val="center"/>
          </w:tcPr>
          <w:p w14:paraId="6A230753"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11</w:t>
            </w:r>
          </w:p>
        </w:tc>
        <w:tc>
          <w:tcPr>
            <w:tcW w:w="1544" w:type="pct"/>
            <w:tcBorders>
              <w:top w:val="nil"/>
              <w:bottom w:val="nil"/>
            </w:tcBorders>
            <w:vAlign w:val="center"/>
          </w:tcPr>
          <w:p w14:paraId="5CDCF582"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w:t>
            </w:r>
          </w:p>
        </w:tc>
      </w:tr>
      <w:tr w:rsidR="00C448F2" w:rsidRPr="00C448F2" w14:paraId="6395F815" w14:textId="77777777" w:rsidTr="002C3C39">
        <w:trPr>
          <w:trHeight w:val="80"/>
          <w:jc w:val="center"/>
        </w:trPr>
        <w:tc>
          <w:tcPr>
            <w:tcW w:w="1097" w:type="pct"/>
            <w:tcBorders>
              <w:top w:val="nil"/>
              <w:bottom w:val="nil"/>
            </w:tcBorders>
            <w:vAlign w:val="center"/>
          </w:tcPr>
          <w:p w14:paraId="1B58D2DB" w14:textId="77777777" w:rsidR="00C448F2" w:rsidRPr="002C3C39" w:rsidRDefault="00C448F2" w:rsidP="00C448F2">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Australia</w:t>
            </w:r>
          </w:p>
        </w:tc>
        <w:tc>
          <w:tcPr>
            <w:tcW w:w="1180" w:type="pct"/>
            <w:tcBorders>
              <w:top w:val="nil"/>
              <w:bottom w:val="nil"/>
            </w:tcBorders>
            <w:vAlign w:val="center"/>
          </w:tcPr>
          <w:p w14:paraId="399DCC90"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13</w:t>
            </w:r>
          </w:p>
        </w:tc>
        <w:tc>
          <w:tcPr>
            <w:tcW w:w="1179" w:type="pct"/>
            <w:tcBorders>
              <w:top w:val="nil"/>
              <w:bottom w:val="nil"/>
            </w:tcBorders>
            <w:vAlign w:val="center"/>
          </w:tcPr>
          <w:p w14:paraId="75BD8235"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13</w:t>
            </w:r>
          </w:p>
        </w:tc>
        <w:tc>
          <w:tcPr>
            <w:tcW w:w="1544" w:type="pct"/>
            <w:tcBorders>
              <w:top w:val="nil"/>
              <w:bottom w:val="nil"/>
            </w:tcBorders>
            <w:vAlign w:val="center"/>
          </w:tcPr>
          <w:p w14:paraId="0239198D"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w:t>
            </w:r>
          </w:p>
        </w:tc>
      </w:tr>
      <w:tr w:rsidR="00C448F2" w:rsidRPr="00C448F2" w14:paraId="32A52002" w14:textId="77777777" w:rsidTr="00C448F2">
        <w:trPr>
          <w:jc w:val="center"/>
        </w:trPr>
        <w:tc>
          <w:tcPr>
            <w:tcW w:w="1097" w:type="pct"/>
            <w:tcBorders>
              <w:top w:val="nil"/>
              <w:bottom w:val="single" w:sz="8" w:space="0" w:color="auto"/>
            </w:tcBorders>
            <w:vAlign w:val="center"/>
          </w:tcPr>
          <w:p w14:paraId="0B5B30E0" w14:textId="77777777" w:rsidR="00C448F2" w:rsidRPr="002C3C39" w:rsidRDefault="00C448F2" w:rsidP="00C448F2">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Ireland</w:t>
            </w:r>
          </w:p>
        </w:tc>
        <w:tc>
          <w:tcPr>
            <w:tcW w:w="1180" w:type="pct"/>
            <w:tcBorders>
              <w:top w:val="nil"/>
              <w:bottom w:val="single" w:sz="8" w:space="0" w:color="auto"/>
            </w:tcBorders>
            <w:vAlign w:val="center"/>
          </w:tcPr>
          <w:p w14:paraId="446EB36D"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12</w:t>
            </w:r>
          </w:p>
        </w:tc>
        <w:tc>
          <w:tcPr>
            <w:tcW w:w="1179" w:type="pct"/>
            <w:tcBorders>
              <w:top w:val="nil"/>
              <w:bottom w:val="single" w:sz="8" w:space="0" w:color="auto"/>
            </w:tcBorders>
            <w:vAlign w:val="center"/>
          </w:tcPr>
          <w:p w14:paraId="65E64353"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20</w:t>
            </w:r>
          </w:p>
        </w:tc>
        <w:tc>
          <w:tcPr>
            <w:tcW w:w="1544" w:type="pct"/>
            <w:tcBorders>
              <w:top w:val="nil"/>
              <w:bottom w:val="single" w:sz="8" w:space="0" w:color="auto"/>
            </w:tcBorders>
            <w:vAlign w:val="center"/>
          </w:tcPr>
          <w:p w14:paraId="4DB1A21D" w14:textId="77777777" w:rsidR="00C448F2" w:rsidRPr="00C448F2" w:rsidRDefault="00C448F2" w:rsidP="00C448F2">
            <w:pPr>
              <w:autoSpaceDE w:val="0"/>
              <w:autoSpaceDN w:val="0"/>
              <w:adjustRightInd w:val="0"/>
              <w:snapToGrid w:val="0"/>
              <w:spacing w:line="240" w:lineRule="auto"/>
              <w:jc w:val="center"/>
              <w:rPr>
                <w:noProof w:val="0"/>
                <w:color w:val="auto"/>
                <w:sz w:val="20"/>
                <w:szCs w:val="20"/>
                <w:lang w:val="en-US"/>
              </w:rPr>
            </w:pPr>
            <w:r w:rsidRPr="00C448F2">
              <w:rPr>
                <w:noProof w:val="0"/>
                <w:color w:val="auto"/>
                <w:sz w:val="20"/>
                <w:szCs w:val="20"/>
                <w:lang w:val="en-US"/>
              </w:rPr>
              <w:t>0.6</w:t>
            </w:r>
          </w:p>
        </w:tc>
      </w:tr>
    </w:tbl>
    <w:p w14:paraId="11011816" w14:textId="5E1849CD" w:rsidR="00886311" w:rsidRPr="002A59D0" w:rsidRDefault="0062780A" w:rsidP="006412FE">
      <w:pPr>
        <w:pStyle w:val="MDPI21heading1"/>
      </w:pPr>
      <w:r>
        <w:t>4</w:t>
      </w:r>
      <w:r w:rsidR="006412FE">
        <w:t xml:space="preserve">. </w:t>
      </w:r>
      <w:r w:rsidR="00886311" w:rsidRPr="002A59D0">
        <w:t>Discussion</w:t>
      </w:r>
    </w:p>
    <w:p w14:paraId="7205BFDB" w14:textId="4E8AA701" w:rsidR="00886311" w:rsidRPr="002A59D0" w:rsidRDefault="00886311" w:rsidP="006412FE">
      <w:pPr>
        <w:pStyle w:val="MDPI31text"/>
      </w:pPr>
      <w:r w:rsidRPr="002A59D0">
        <w:t>The crucial features common to the nations that scored &gt;10 in the ‘further analysis’ (and therefore having ‘</w:t>
      </w:r>
      <w:proofErr w:type="spellStart"/>
      <w:r w:rsidRPr="002A59D0">
        <w:t>favourable</w:t>
      </w:r>
      <w:proofErr w:type="spellEnd"/>
      <w:r w:rsidRPr="002A59D0">
        <w:t xml:space="preserve"> starting conditions’) are that they consist of islands, island archipelagos or island continents located at temperate </w:t>
      </w:r>
      <w:r w:rsidRPr="00835F42">
        <w:t>latitude</w:t>
      </w:r>
      <w:r w:rsidR="008D52EA" w:rsidRPr="00835F42">
        <w:t>s</w:t>
      </w:r>
      <w:r w:rsidR="00BF63F1" w:rsidRPr="00835F42">
        <w:t xml:space="preserve"> </w:t>
      </w:r>
      <w:r w:rsidRPr="002A59D0">
        <w:t>with strong Oceanic climatic influence.</w:t>
      </w:r>
      <w:r w:rsidR="008D52EA">
        <w:t xml:space="preserve"> </w:t>
      </w:r>
      <w:r w:rsidR="00723E9C">
        <w:t>We n</w:t>
      </w:r>
      <w:r w:rsidR="00723E9C" w:rsidRPr="00723E9C">
        <w:t>ot</w:t>
      </w:r>
      <w:r w:rsidR="00723E9C">
        <w:t>e</w:t>
      </w:r>
      <w:r w:rsidR="00723E9C" w:rsidRPr="00723E9C">
        <w:t xml:space="preserve"> that Iceland is located at sub-polar latitudes but has a climate buffered by the North Atlantic Gulf Stream/North Atlantic Current and so has characteristics of a landmass located further </w:t>
      </w:r>
      <w:proofErr w:type="gramStart"/>
      <w:r w:rsidR="00723E9C" w:rsidRPr="00723E9C">
        <w:t>south</w:t>
      </w:r>
      <w:proofErr w:type="gramEnd"/>
      <w:r w:rsidR="00723E9C">
        <w:t xml:space="preserve"> and</w:t>
      </w:r>
      <w:r w:rsidR="00723E9C" w:rsidRPr="00723E9C">
        <w:t xml:space="preserve"> Australia encompasses multiple climatic regimes due to its physical size, but includes a significant area with a temperate Oceanic climate, principally the island/State of Tasmania (refer to Section 4.1).</w:t>
      </w:r>
      <w:r w:rsidR="00723E9C">
        <w:t xml:space="preserve"> </w:t>
      </w:r>
      <w:r w:rsidRPr="002A59D0">
        <w:t xml:space="preserve">Nations and geographical regions with these climatic characteristics have a relatively low degree of temperature and precipitation variability currently and therefore would </w:t>
      </w:r>
      <w:r w:rsidR="001C635C">
        <w:t>remain this way</w:t>
      </w:r>
      <w:r w:rsidRPr="002A59D0">
        <w:t xml:space="preserve"> at the start of any ‘de-complexification’ process.</w:t>
      </w:r>
      <w:r w:rsidR="008D52EA">
        <w:t xml:space="preserve"> </w:t>
      </w:r>
      <w:r w:rsidRPr="002A59D0">
        <w:t>These locations would therefore also have the greatest likelihood of relatively stable conditions being buffered and persisting in response to climate change scenarios for the 21st century.</w:t>
      </w:r>
    </w:p>
    <w:p w14:paraId="6C306F4E" w14:textId="4BA0E736" w:rsidR="00886311" w:rsidRPr="002A59D0" w:rsidRDefault="00886311" w:rsidP="006412FE">
      <w:pPr>
        <w:pStyle w:val="MDPI31text"/>
      </w:pPr>
      <w:r w:rsidRPr="002A59D0">
        <w:t xml:space="preserve">By </w:t>
      </w:r>
      <w:r w:rsidR="008E28F0" w:rsidRPr="002A59D0">
        <w:t>contrast</w:t>
      </w:r>
      <w:r w:rsidRPr="002A59D0">
        <w:t xml:space="preserve">, geographical regions in the tropics and subtropics are likely to suffer some of the largest changes in climatic patterns and at the earliest stages of projected climate change </w:t>
      </w:r>
      <w:r w:rsidR="00273DC4">
        <w:t>[</w:t>
      </w:r>
      <w:r w:rsidR="00100918">
        <w:t>7</w:t>
      </w:r>
      <w:r w:rsidR="00A9271C">
        <w:t>3</w:t>
      </w:r>
      <w:r w:rsidR="00273DC4">
        <w:t>–</w:t>
      </w:r>
      <w:r w:rsidR="00100918">
        <w:t>7</w:t>
      </w:r>
      <w:r w:rsidR="00A9271C">
        <w:t>5</w:t>
      </w:r>
      <w:r w:rsidR="00273DC4">
        <w:t>]</w:t>
      </w:r>
      <w:r w:rsidRPr="002A59D0">
        <w:t>.</w:t>
      </w:r>
      <w:r w:rsidR="008D52EA">
        <w:t xml:space="preserve"> </w:t>
      </w:r>
      <w:r w:rsidRPr="002A59D0">
        <w:t xml:space="preserve">The continued viability of large-scale agriculture is more likely in any regions with existing areas of rain-fed, high-quality and fertile soil that is at lower risk of erosion and degradation due to the buffering of potentially warmer, </w:t>
      </w:r>
      <w:proofErr w:type="gramStart"/>
      <w:r w:rsidRPr="002A59D0">
        <w:t>stormier</w:t>
      </w:r>
      <w:proofErr w:type="gramEnd"/>
      <w:r w:rsidRPr="002A59D0">
        <w:t xml:space="preserve"> and more generally unstable future climatic conditions</w:t>
      </w:r>
      <w:r w:rsidR="00393C51" w:rsidRPr="002A59D0">
        <w:t>.</w:t>
      </w:r>
      <w:r w:rsidR="00165B0C" w:rsidRPr="002A59D0">
        <w:t xml:space="preserve"> </w:t>
      </w:r>
      <w:r w:rsidRPr="002A59D0">
        <w:t>Alongside agriculture</w:t>
      </w:r>
      <w:r w:rsidR="00165B0C" w:rsidRPr="002A59D0">
        <w:t>,</w:t>
      </w:r>
      <w:r w:rsidRPr="002A59D0">
        <w:t xml:space="preserve"> access to domestic sources of energy is required to support the continuation of fundamental societal functions and therefore support the formation of ‘nodes of persisting complexity’.</w:t>
      </w:r>
      <w:r w:rsidR="008D52EA">
        <w:t xml:space="preserve"> </w:t>
      </w:r>
      <w:r w:rsidRPr="002A59D0">
        <w:t xml:space="preserve">For example, renewable electricity generation capacity could permit the ongoing operation of crucial infrastructure </w:t>
      </w:r>
      <w:r w:rsidR="001C635C">
        <w:t>(</w:t>
      </w:r>
      <w:r w:rsidRPr="002A59D0">
        <w:t>e.g., communications networks, pumping and treatment of water for irrigation and supply and manufacturing capacity</w:t>
      </w:r>
      <w:r w:rsidR="001C635C">
        <w:t>)</w:t>
      </w:r>
      <w:r w:rsidRPr="002A59D0">
        <w:t xml:space="preserve"> that would be necessary to support key capabilities.</w:t>
      </w:r>
    </w:p>
    <w:p w14:paraId="220E38A3" w14:textId="76D2E525" w:rsidR="00886311" w:rsidRPr="002A59D0" w:rsidRDefault="00886311" w:rsidP="006412FE">
      <w:pPr>
        <w:pStyle w:val="MDPI31text"/>
      </w:pPr>
      <w:r w:rsidRPr="002A59D0">
        <w:t xml:space="preserve">It is noted that highly complex technological systems such as power grids are reliant on technical knowledge and physical components, the provision of which is at least in part via highly </w:t>
      </w:r>
      <w:proofErr w:type="spellStart"/>
      <w:r w:rsidRPr="002A59D0">
        <w:t>specialised</w:t>
      </w:r>
      <w:proofErr w:type="spellEnd"/>
      <w:r w:rsidRPr="002A59D0">
        <w:t xml:space="preserve"> manufacturing and </w:t>
      </w:r>
      <w:proofErr w:type="spellStart"/>
      <w:r w:rsidRPr="002A59D0">
        <w:t>globalised</w:t>
      </w:r>
      <w:proofErr w:type="spellEnd"/>
      <w:r w:rsidRPr="002A59D0">
        <w:t xml:space="preserve"> supply chains (which is a key vulnerability </w:t>
      </w:r>
      <w:r w:rsidR="0001183F">
        <w:t>[</w:t>
      </w:r>
      <w:r w:rsidR="00115233">
        <w:t>7</w:t>
      </w:r>
      <w:r w:rsidR="00A9271C">
        <w:t>6</w:t>
      </w:r>
      <w:r w:rsidR="0001183F">
        <w:t>]</w:t>
      </w:r>
      <w:r w:rsidRPr="002A59D0">
        <w:t>).</w:t>
      </w:r>
      <w:r w:rsidR="008D52EA">
        <w:t xml:space="preserve"> </w:t>
      </w:r>
      <w:r w:rsidRPr="002A59D0">
        <w:t>In the event of a failure of these systems at global scale due to a ‘de-complexification’ event</w:t>
      </w:r>
      <w:r w:rsidR="001C635C">
        <w:t>,</w:t>
      </w:r>
      <w:r w:rsidRPr="002A59D0">
        <w:t xml:space="preserve"> the viability of the ongoing operation of large electrical systems exploiting renewable energy systems or the development new sources (e.g.</w:t>
      </w:r>
      <w:r w:rsidR="00CF3497">
        <w:t>,</w:t>
      </w:r>
      <w:r w:rsidRPr="002A59D0">
        <w:t xml:space="preserve"> drilling new deep hydrothermal wells) could potentially be in doubt.</w:t>
      </w:r>
      <w:r w:rsidR="008D52EA">
        <w:t xml:space="preserve"> </w:t>
      </w:r>
      <w:r w:rsidRPr="002A59D0">
        <w:t>For the purposes of this analysis, it is assumed that grids could be maintained at some level of functionality through domestic manufacturing capacity.</w:t>
      </w:r>
      <w:r w:rsidR="00393C51" w:rsidRPr="002A59D0">
        <w:t xml:space="preserve"> We also assume that other import dependencies of domestic industries including fertilizer or farm machinery can be discounted by assuming </w:t>
      </w:r>
      <w:r w:rsidR="001C635C">
        <w:t xml:space="preserve">that a </w:t>
      </w:r>
      <w:r w:rsidR="00393C51" w:rsidRPr="002A59D0">
        <w:t>sustainable intensification of agriculture would be adopted in the event of a de</w:t>
      </w:r>
      <w:r w:rsidR="001C635C">
        <w:t>-</w:t>
      </w:r>
      <w:r w:rsidR="00393C51" w:rsidRPr="002A59D0">
        <w:t>complexification event</w:t>
      </w:r>
      <w:r w:rsidR="001C635C">
        <w:t>,</w:t>
      </w:r>
      <w:r w:rsidR="00393C51" w:rsidRPr="002A59D0">
        <w:t xml:space="preserve"> or substitutions of key resources would be possible.</w:t>
      </w:r>
    </w:p>
    <w:p w14:paraId="0332DE72" w14:textId="0A590135" w:rsidR="00886311" w:rsidRPr="002A59D0" w:rsidRDefault="00886311" w:rsidP="006412FE">
      <w:pPr>
        <w:pStyle w:val="MDPI31text"/>
      </w:pPr>
      <w:r w:rsidRPr="002A59D0">
        <w:t>The nations discussed in the following subsections are currently net importers of liquid hydrocarbon fuels for transport (and other) purposes (e.g.</w:t>
      </w:r>
      <w:r w:rsidR="00CF3497">
        <w:t>,</w:t>
      </w:r>
      <w:r w:rsidRPr="002A59D0">
        <w:t xml:space="preserve"> as described by </w:t>
      </w:r>
      <w:r w:rsidR="0001183F">
        <w:t>[</w:t>
      </w:r>
      <w:r w:rsidR="00115233">
        <w:t>7</w:t>
      </w:r>
      <w:r w:rsidR="00A9271C">
        <w:t>7</w:t>
      </w:r>
      <w:r w:rsidR="0001183F">
        <w:t>]</w:t>
      </w:r>
      <w:r w:rsidRPr="002A59D0">
        <w:t xml:space="preserve"> in the case of Iceland) either because they do not have significant indigenous liquid hydrocarbon reserves (Iceland, Australia, Ireland) or have substantially depleted their reserves (New Zealand, United Kingdom).</w:t>
      </w:r>
      <w:r w:rsidR="008D52EA">
        <w:t xml:space="preserve"> </w:t>
      </w:r>
      <w:r w:rsidRPr="002A59D0">
        <w:t>T</w:t>
      </w:r>
      <w:r w:rsidR="001C635C">
        <w:t>he t</w:t>
      </w:r>
      <w:r w:rsidRPr="002A59D0">
        <w:t xml:space="preserve">echnologies to use renewable (or nuclear) electricity to generate synthetic liquid fuels have been developed but have not yet been deployed at </w:t>
      </w:r>
      <w:r w:rsidRPr="002A59D0">
        <w:lastRenderedPageBreak/>
        <w:t xml:space="preserve">scale </w:t>
      </w:r>
      <w:r w:rsidR="0001183F">
        <w:t>[</w:t>
      </w:r>
      <w:r w:rsidR="00115233">
        <w:t>7</w:t>
      </w:r>
      <w:r w:rsidR="00A9271C">
        <w:t>8</w:t>
      </w:r>
      <w:r w:rsidR="0001183F">
        <w:t>]</w:t>
      </w:r>
      <w:r w:rsidRPr="002A59D0">
        <w:t>, so it is assumed that this technology would also not be available following a ‘de-complexification’ event.</w:t>
      </w:r>
    </w:p>
    <w:p w14:paraId="7AFF82FE" w14:textId="29A1A32D" w:rsidR="00886311" w:rsidRPr="002A59D0" w:rsidRDefault="00886311" w:rsidP="006412FE">
      <w:pPr>
        <w:pStyle w:val="MDPI31text"/>
      </w:pPr>
      <w:r w:rsidRPr="002A59D0">
        <w:t>The following discussions therefore disregard the use of large volumes of liquid fuels for purposes</w:t>
      </w:r>
      <w:r w:rsidR="006008CD">
        <w:t>,</w:t>
      </w:r>
      <w:r w:rsidRPr="002A59D0">
        <w:t xml:space="preserve"> such as mass road transportation and aviation, and other primary fuels for large-scale industrial applications</w:t>
      </w:r>
      <w:r w:rsidR="006008CD">
        <w:t>,</w:t>
      </w:r>
      <w:r w:rsidRPr="002A59D0">
        <w:t xml:space="preserve"> such as cement manufacture.</w:t>
      </w:r>
      <w:r w:rsidR="008D52EA">
        <w:t xml:space="preserve"> </w:t>
      </w:r>
      <w:r w:rsidRPr="002A59D0">
        <w:t>This assumes that in a global ‘de-complexification’ event, large-scale mobility within and between nations, and the impetus for ongoing mass production of certain commodities, would reduce significantly.</w:t>
      </w:r>
      <w:r w:rsidR="008D52EA">
        <w:t xml:space="preserve"> </w:t>
      </w:r>
      <w:r w:rsidRPr="002A59D0">
        <w:t xml:space="preserve">Electrical energy at </w:t>
      </w:r>
      <w:r w:rsidR="006008CD">
        <w:t xml:space="preserve">either </w:t>
      </w:r>
      <w:r w:rsidRPr="002A59D0">
        <w:t>national or more local scales for essential functions as outlined above are instead assumed to be the priority.</w:t>
      </w:r>
    </w:p>
    <w:p w14:paraId="443AB135" w14:textId="29DD5660" w:rsidR="00886311" w:rsidRPr="006412FE" w:rsidRDefault="0062780A" w:rsidP="006412FE">
      <w:pPr>
        <w:pStyle w:val="MDPI22heading2"/>
        <w:spacing w:before="240"/>
      </w:pPr>
      <w:r>
        <w:t>4</w:t>
      </w:r>
      <w:r w:rsidR="006412FE" w:rsidRPr="006412FE">
        <w:t xml:space="preserve">.1. </w:t>
      </w:r>
      <w:r w:rsidR="00886311" w:rsidRPr="006412FE">
        <w:t xml:space="preserve">Discussion by </w:t>
      </w:r>
      <w:r w:rsidR="00112244" w:rsidRPr="006412FE">
        <w:t>Nation</w:t>
      </w:r>
    </w:p>
    <w:p w14:paraId="22B2A932" w14:textId="2B8F28AC" w:rsidR="008E28F0" w:rsidRPr="00801FE8" w:rsidRDefault="008E28F0" w:rsidP="006412FE">
      <w:pPr>
        <w:pStyle w:val="MDPI31text"/>
      </w:pPr>
      <w:r w:rsidRPr="00801FE8">
        <w:t xml:space="preserve">Table </w:t>
      </w:r>
      <w:r w:rsidR="003D2B42" w:rsidRPr="00801FE8">
        <w:t>5</w:t>
      </w:r>
      <w:r w:rsidRPr="00801FE8">
        <w:t xml:space="preserve"> contains further detailed analyses of each of the five nations identified in Table </w:t>
      </w:r>
      <w:r w:rsidR="003D2B42" w:rsidRPr="00801FE8">
        <w:t>4</w:t>
      </w:r>
      <w:r w:rsidRPr="00801FE8">
        <w:t>.</w:t>
      </w:r>
      <w:r w:rsidR="008D52EA" w:rsidRPr="00801FE8">
        <w:t xml:space="preserve"> </w:t>
      </w:r>
      <w:r w:rsidRPr="00801FE8">
        <w:t>For each nation, the analysis is divided into</w:t>
      </w:r>
      <w:r w:rsidR="006008CD">
        <w:t xml:space="preserve"> the following</w:t>
      </w:r>
      <w:r w:rsidRPr="00801FE8">
        <w:t xml:space="preserve">: energy resources; climate, agricultural </w:t>
      </w:r>
      <w:proofErr w:type="gramStart"/>
      <w:r w:rsidRPr="00801FE8">
        <w:t>resources</w:t>
      </w:r>
      <w:proofErr w:type="gramEnd"/>
      <w:r w:rsidRPr="00801FE8">
        <w:t xml:space="preserve"> and other factors; and an overview of the national situation with regards to potential for formation of ‘nodes of persisting complexity’ (the information is presented in bulleted format for ease of presentation and comprehension).</w:t>
      </w:r>
    </w:p>
    <w:p w14:paraId="10A273AB" w14:textId="77777777" w:rsidR="002C3717" w:rsidRPr="002A59D0" w:rsidRDefault="002C3717" w:rsidP="002A59D0">
      <w:pPr>
        <w:adjustRightInd w:val="0"/>
        <w:snapToGrid w:val="0"/>
        <w:rPr>
          <w:noProof w:val="0"/>
        </w:rPr>
        <w:sectPr w:rsidR="002C3717" w:rsidRPr="002A59D0" w:rsidSect="002A59D0">
          <w:headerReference w:type="default" r:id="rId22"/>
          <w:endnotePr>
            <w:numFmt w:val="decimal"/>
          </w:endnotePr>
          <w:pgSz w:w="11906" w:h="16838" w:code="9"/>
          <w:pgMar w:top="1417" w:right="720" w:bottom="1077" w:left="720" w:header="1020" w:footer="340" w:gutter="0"/>
          <w:cols w:space="425"/>
          <w:bidi/>
          <w:docGrid w:type="lines" w:linePitch="326"/>
        </w:sectPr>
      </w:pPr>
    </w:p>
    <w:p w14:paraId="1397963A" w14:textId="49E08DEC" w:rsidR="002C3717" w:rsidRPr="002A59D0" w:rsidRDefault="00A047DA" w:rsidP="00A047DA">
      <w:pPr>
        <w:pStyle w:val="MDPI41tablecaption"/>
        <w:ind w:left="425" w:right="425"/>
        <w:jc w:val="center"/>
        <w:rPr>
          <w:snapToGrid w:val="0"/>
        </w:rPr>
      </w:pPr>
      <w:bookmarkStart w:id="14" w:name="_Hlk76310590"/>
      <w:r w:rsidRPr="00A047DA">
        <w:rPr>
          <w:b/>
          <w:snapToGrid w:val="0"/>
        </w:rPr>
        <w:lastRenderedPageBreak/>
        <w:t xml:space="preserve">Table 5. </w:t>
      </w:r>
      <w:r w:rsidR="002C3717" w:rsidRPr="002A59D0">
        <w:rPr>
          <w:snapToGrid w:val="0"/>
        </w:rPr>
        <w:t>Further Analysis by Nation</w:t>
      </w:r>
      <w:r>
        <w:rPr>
          <w:snapToGrid w:val="0"/>
        </w:rPr>
        <w:t>.</w:t>
      </w:r>
    </w:p>
    <w:tbl>
      <w:tblPr>
        <w:tblStyle w:val="TableGrid"/>
        <w:tblW w:w="5000" w:type="pct"/>
        <w:jc w:val="center"/>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295"/>
        <w:gridCol w:w="2080"/>
        <w:gridCol w:w="12010"/>
        <w:gridCol w:w="13"/>
      </w:tblGrid>
      <w:tr w:rsidR="00A047DA" w:rsidRPr="00A047DA" w14:paraId="59AD7636" w14:textId="77777777" w:rsidTr="002C3C39">
        <w:trPr>
          <w:jc w:val="center"/>
        </w:trPr>
        <w:tc>
          <w:tcPr>
            <w:tcW w:w="422" w:type="pct"/>
            <w:tcBorders>
              <w:top w:val="single" w:sz="8" w:space="0" w:color="auto"/>
              <w:bottom w:val="single" w:sz="4" w:space="0" w:color="auto"/>
            </w:tcBorders>
            <w:shd w:val="clear" w:color="auto" w:fill="auto"/>
            <w:vAlign w:val="center"/>
          </w:tcPr>
          <w:bookmarkEnd w:id="14"/>
          <w:p w14:paraId="396AD7FB" w14:textId="61FA0369" w:rsidR="002C3717" w:rsidRPr="00A047DA" w:rsidRDefault="00801FE8" w:rsidP="00A047DA">
            <w:pPr>
              <w:autoSpaceDE w:val="0"/>
              <w:autoSpaceDN w:val="0"/>
              <w:adjustRightInd w:val="0"/>
              <w:snapToGrid w:val="0"/>
              <w:spacing w:line="240" w:lineRule="auto"/>
              <w:jc w:val="center"/>
              <w:rPr>
                <w:rFonts w:eastAsia="Times New Roman"/>
                <w:b/>
                <w:noProof w:val="0"/>
                <w:snapToGrid w:val="0"/>
                <w:szCs w:val="22"/>
                <w:lang w:bidi="en-US"/>
              </w:rPr>
            </w:pPr>
            <w:r w:rsidRPr="00801FE8">
              <w:rPr>
                <w:rFonts w:eastAsia="Times New Roman"/>
                <w:b/>
                <w:noProof w:val="0"/>
                <w:snapToGrid w:val="0"/>
                <w:szCs w:val="22"/>
                <w:highlight w:val="yellow"/>
                <w:lang w:bidi="en-US"/>
              </w:rPr>
              <w:t>Nation</w:t>
            </w:r>
          </w:p>
        </w:tc>
        <w:tc>
          <w:tcPr>
            <w:tcW w:w="4578" w:type="pct"/>
            <w:gridSpan w:val="3"/>
            <w:shd w:val="clear" w:color="auto" w:fill="auto"/>
            <w:vAlign w:val="center"/>
          </w:tcPr>
          <w:p w14:paraId="52EC98C4" w14:textId="3050FE38" w:rsidR="002C3717" w:rsidRPr="00A047DA" w:rsidRDefault="00801FE8" w:rsidP="00A047DA">
            <w:pPr>
              <w:autoSpaceDE w:val="0"/>
              <w:autoSpaceDN w:val="0"/>
              <w:adjustRightInd w:val="0"/>
              <w:snapToGrid w:val="0"/>
              <w:spacing w:line="240" w:lineRule="auto"/>
              <w:jc w:val="center"/>
              <w:rPr>
                <w:rFonts w:eastAsia="Times New Roman"/>
                <w:b/>
                <w:noProof w:val="0"/>
                <w:snapToGrid w:val="0"/>
                <w:szCs w:val="22"/>
                <w:lang w:bidi="en-US"/>
              </w:rPr>
            </w:pPr>
            <w:r w:rsidRPr="00A047DA">
              <w:rPr>
                <w:rFonts w:eastAsia="Times New Roman"/>
                <w:b/>
                <w:noProof w:val="0"/>
                <w:snapToGrid w:val="0"/>
                <w:szCs w:val="22"/>
                <w:lang w:bidi="en-US"/>
              </w:rPr>
              <w:t>Discussion</w:t>
            </w:r>
          </w:p>
        </w:tc>
      </w:tr>
      <w:tr w:rsidR="00A047DA" w:rsidRPr="00A047DA" w14:paraId="31FA214D" w14:textId="77777777" w:rsidTr="008226B5">
        <w:trPr>
          <w:jc w:val="center"/>
        </w:trPr>
        <w:tc>
          <w:tcPr>
            <w:tcW w:w="422" w:type="pct"/>
            <w:vMerge w:val="restart"/>
            <w:tcBorders>
              <w:top w:val="single" w:sz="4" w:space="0" w:color="auto"/>
              <w:bottom w:val="single" w:sz="4" w:space="0" w:color="auto"/>
            </w:tcBorders>
            <w:shd w:val="clear" w:color="auto" w:fill="auto"/>
            <w:vAlign w:val="center"/>
          </w:tcPr>
          <w:p w14:paraId="6E9CDBBE" w14:textId="294DB184" w:rsidR="002C3717" w:rsidRPr="002C3C39" w:rsidRDefault="00B24130"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szCs w:val="22"/>
                <w:lang w:bidi="en-US"/>
              </w:rPr>
              <w:t xml:space="preserve">New </w:t>
            </w:r>
            <w:r w:rsidR="00273DC4" w:rsidRPr="002C3C39">
              <w:rPr>
                <w:rFonts w:eastAsia="Times New Roman"/>
                <w:bCs/>
                <w:noProof w:val="0"/>
                <w:snapToGrid w:val="0"/>
                <w:szCs w:val="22"/>
                <w:lang w:bidi="en-US"/>
              </w:rPr>
              <w:br/>
            </w:r>
            <w:r w:rsidRPr="002C3C39">
              <w:rPr>
                <w:rFonts w:eastAsia="Times New Roman"/>
                <w:bCs/>
                <w:noProof w:val="0"/>
                <w:snapToGrid w:val="0"/>
                <w:szCs w:val="22"/>
                <w:lang w:bidi="en-US"/>
              </w:rPr>
              <w:t>Zealand</w:t>
            </w:r>
          </w:p>
        </w:tc>
        <w:tc>
          <w:tcPr>
            <w:tcW w:w="677" w:type="pct"/>
            <w:tcBorders>
              <w:bottom w:val="nil"/>
            </w:tcBorders>
            <w:shd w:val="clear" w:color="auto" w:fill="auto"/>
            <w:vAlign w:val="center"/>
          </w:tcPr>
          <w:p w14:paraId="12A6F7F8" w14:textId="30FB6054"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Pr>
                <w:rFonts w:eastAsia="Times New Roman"/>
                <w:bCs/>
                <w:noProof w:val="0"/>
                <w:snapToGrid w:val="0"/>
                <w:szCs w:val="22"/>
                <w:lang w:bidi="en-US"/>
              </w:rPr>
              <w:t>Energy Resources</w:t>
            </w:r>
          </w:p>
        </w:tc>
        <w:tc>
          <w:tcPr>
            <w:tcW w:w="3901" w:type="pct"/>
            <w:gridSpan w:val="2"/>
            <w:tcBorders>
              <w:bottom w:val="nil"/>
            </w:tcBorders>
            <w:shd w:val="clear" w:color="auto" w:fill="auto"/>
            <w:vAlign w:val="center"/>
          </w:tcPr>
          <w:p w14:paraId="2A83A6F5" w14:textId="205E8936"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Abundant domestic renewable energy resources, with existing large-scale </w:t>
            </w:r>
            <w:proofErr w:type="spellStart"/>
            <w:r w:rsidRPr="00A047DA">
              <w:rPr>
                <w:rFonts w:ascii="Palatino Linotype" w:hAnsi="Palatino Linotype"/>
                <w:sz w:val="20"/>
                <w:szCs w:val="18"/>
                <w:lang w:val="en-US"/>
              </w:rPr>
              <w:t>utilisation</w:t>
            </w:r>
            <w:proofErr w:type="spellEnd"/>
            <w:r w:rsidRPr="00A047DA">
              <w:rPr>
                <w:rFonts w:ascii="Palatino Linotype" w:hAnsi="Palatino Linotype"/>
                <w:sz w:val="20"/>
                <w:szCs w:val="18"/>
                <w:lang w:val="en-US"/>
              </w:rPr>
              <w:t xml:space="preserve"> of geothermal and hydroelectric resources</w:t>
            </w:r>
            <w:r w:rsidR="006C0A78">
              <w:rPr>
                <w:rFonts w:ascii="Palatino Linotype" w:hAnsi="Palatino Linotype"/>
                <w:sz w:val="20"/>
                <w:szCs w:val="18"/>
                <w:lang w:val="en-US"/>
              </w:rPr>
              <w:t xml:space="preserve">. </w:t>
            </w:r>
          </w:p>
          <w:p w14:paraId="17A8D1E2"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national geothermal resource is currently partially exploited, with potential for significant future increases in usage:</w:t>
            </w:r>
          </w:p>
          <w:p w14:paraId="42888C84" w14:textId="36AB3EE6" w:rsidR="002C3717" w:rsidRPr="00A047DA" w:rsidRDefault="0055269D" w:rsidP="002C3C39">
            <w:pPr>
              <w:pStyle w:val="ListParagraph"/>
              <w:numPr>
                <w:ilvl w:val="1"/>
                <w:numId w:val="25"/>
              </w:numPr>
              <w:autoSpaceDE w:val="0"/>
              <w:autoSpaceDN w:val="0"/>
              <w:adjustRightInd w:val="0"/>
              <w:snapToGrid w:val="0"/>
              <w:spacing w:after="0" w:line="240" w:lineRule="auto"/>
              <w:rPr>
                <w:rFonts w:ascii="Palatino Linotype" w:hAnsi="Palatino Linotype"/>
                <w:sz w:val="20"/>
                <w:szCs w:val="18"/>
                <w:lang w:val="en-US"/>
              </w:rPr>
            </w:pPr>
            <w:r>
              <w:rPr>
                <w:rFonts w:ascii="Palatino Linotype" w:hAnsi="Palatino Linotype"/>
                <w:sz w:val="20"/>
                <w:szCs w:val="18"/>
                <w:lang w:val="en-US"/>
              </w:rPr>
              <w:t>C</w:t>
            </w:r>
            <w:r w:rsidRPr="00A047DA">
              <w:rPr>
                <w:rFonts w:ascii="Palatino Linotype" w:hAnsi="Palatino Linotype"/>
                <w:sz w:val="20"/>
                <w:szCs w:val="18"/>
                <w:lang w:val="en-US"/>
              </w:rPr>
              <w:t>urrently</w:t>
            </w:r>
            <w:r>
              <w:rPr>
                <w:rFonts w:ascii="Palatino Linotype" w:hAnsi="Palatino Linotype"/>
                <w:sz w:val="20"/>
                <w:szCs w:val="18"/>
                <w:lang w:val="en-US"/>
              </w:rPr>
              <w:t>,</w:t>
            </w:r>
            <w:r w:rsidRPr="00A047DA">
              <w:rPr>
                <w:rFonts w:ascii="Palatino Linotype" w:hAnsi="Palatino Linotype"/>
                <w:sz w:val="20"/>
                <w:szCs w:val="18"/>
                <w:lang w:val="en-US"/>
              </w:rPr>
              <w:t xml:space="preserve"> </w:t>
            </w:r>
            <w:r w:rsidR="002C3717" w:rsidRPr="00A047DA">
              <w:rPr>
                <w:rFonts w:ascii="Palatino Linotype" w:hAnsi="Palatino Linotype"/>
                <w:sz w:val="20"/>
                <w:szCs w:val="18"/>
                <w:lang w:val="en-US"/>
              </w:rPr>
              <w:t xml:space="preserve">740 MW of shallow geothermal energy is developed in the North Island Taupo Volcanic Zone (TVZ) </w:t>
            </w:r>
            <w:r w:rsidR="0001183F">
              <w:rPr>
                <w:rFonts w:ascii="Palatino Linotype" w:hAnsi="Palatino Linotype"/>
                <w:sz w:val="20"/>
                <w:szCs w:val="18"/>
                <w:lang w:val="en-US"/>
              </w:rPr>
              <w:t>[</w:t>
            </w:r>
            <w:r w:rsidR="001D2394">
              <w:rPr>
                <w:rFonts w:ascii="Palatino Linotype" w:hAnsi="Palatino Linotype"/>
                <w:sz w:val="20"/>
                <w:szCs w:val="18"/>
                <w:lang w:val="en-US"/>
              </w:rPr>
              <w:t>7</w:t>
            </w:r>
            <w:r w:rsidR="00A9271C">
              <w:rPr>
                <w:rFonts w:ascii="Palatino Linotype" w:hAnsi="Palatino Linotype"/>
                <w:sz w:val="20"/>
                <w:szCs w:val="18"/>
                <w:lang w:val="en-US"/>
              </w:rPr>
              <w:t>9</w:t>
            </w:r>
            <w:r w:rsidR="0001183F">
              <w:rPr>
                <w:rFonts w:ascii="Palatino Linotype" w:hAnsi="Palatino Linotype"/>
                <w:sz w:val="20"/>
                <w:szCs w:val="18"/>
                <w:lang w:val="en-US"/>
              </w:rPr>
              <w:t>]</w:t>
            </w:r>
            <w:r w:rsidR="002C3717" w:rsidRPr="00A047DA">
              <w:rPr>
                <w:rFonts w:ascii="Palatino Linotype" w:hAnsi="Palatino Linotype"/>
                <w:sz w:val="20"/>
                <w:szCs w:val="18"/>
                <w:lang w:val="en-US"/>
              </w:rPr>
              <w:t>; exploitation of deeper geothermal resources may yield further large energy resources.</w:t>
            </w:r>
          </w:p>
          <w:p w14:paraId="0B836D63" w14:textId="197872CD" w:rsidR="002C3717" w:rsidRPr="00A047DA" w:rsidRDefault="002C3717" w:rsidP="002C3C39">
            <w:pPr>
              <w:pStyle w:val="ListParagraph"/>
              <w:numPr>
                <w:ilvl w:val="1"/>
                <w:numId w:val="25"/>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 xml:space="preserve">In addition to the TVZ, there is potential for development of shallow geothermal resources </w:t>
            </w:r>
            <w:r w:rsidR="0001183F">
              <w:rPr>
                <w:rFonts w:ascii="Palatino Linotype" w:hAnsi="Palatino Linotype"/>
                <w:sz w:val="20"/>
                <w:szCs w:val="18"/>
                <w:lang w:val="en-US"/>
              </w:rPr>
              <w:t>[</w:t>
            </w:r>
            <w:r w:rsidR="00A9271C">
              <w:rPr>
                <w:rFonts w:ascii="Palatino Linotype" w:hAnsi="Palatino Linotype"/>
                <w:sz w:val="20"/>
                <w:szCs w:val="18"/>
                <w:lang w:val="en-US"/>
              </w:rPr>
              <w:t>80</w:t>
            </w:r>
            <w:r w:rsidR="0001183F">
              <w:rPr>
                <w:rFonts w:ascii="Palatino Linotype" w:hAnsi="Palatino Linotype"/>
                <w:sz w:val="20"/>
                <w:szCs w:val="18"/>
                <w:lang w:val="en-US"/>
              </w:rPr>
              <w:t>]</w:t>
            </w:r>
            <w:r w:rsidRPr="00A047DA">
              <w:rPr>
                <w:rFonts w:ascii="Palatino Linotype" w:hAnsi="Palatino Linotype"/>
                <w:sz w:val="20"/>
                <w:szCs w:val="18"/>
                <w:lang w:val="en-US"/>
              </w:rPr>
              <w:t xml:space="preserve"> on the Alpine Fault on the South Island</w:t>
            </w:r>
          </w:p>
          <w:p w14:paraId="4C0822BD"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national hydroelectric resource is currently extensively exploited:</w:t>
            </w:r>
          </w:p>
          <w:p w14:paraId="6F299A34" w14:textId="68018103" w:rsidR="002C3717" w:rsidRPr="00A047DA" w:rsidRDefault="002C3717" w:rsidP="002C3C39">
            <w:pPr>
              <w:pStyle w:val="ListParagraph"/>
              <w:numPr>
                <w:ilvl w:val="1"/>
                <w:numId w:val="26"/>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 xml:space="preserve">The Manapouri hydroelectric scheme/Tiwai Point </w:t>
            </w:r>
            <w:proofErr w:type="spellStart"/>
            <w:r w:rsidRPr="00A047DA">
              <w:rPr>
                <w:rFonts w:ascii="Palatino Linotype" w:hAnsi="Palatino Linotype"/>
                <w:sz w:val="20"/>
                <w:szCs w:val="18"/>
                <w:lang w:val="en-US"/>
              </w:rPr>
              <w:t>Aluminium</w:t>
            </w:r>
            <w:proofErr w:type="spellEnd"/>
            <w:r w:rsidRPr="00A047DA">
              <w:rPr>
                <w:rFonts w:ascii="Palatino Linotype" w:hAnsi="Palatino Linotype"/>
                <w:sz w:val="20"/>
                <w:szCs w:val="18"/>
                <w:lang w:val="en-US"/>
              </w:rPr>
              <w:t xml:space="preserve"> Smelter in the far south of the South Island were co-developed with the infrastructure configured specifically to supply the energy demands of the smelting operations </w:t>
            </w:r>
            <w:r w:rsidR="0001183F">
              <w:rPr>
                <w:rFonts w:ascii="Palatino Linotype" w:hAnsi="Palatino Linotype"/>
                <w:sz w:val="20"/>
                <w:szCs w:val="18"/>
                <w:lang w:val="en-US"/>
              </w:rPr>
              <w:t>[</w:t>
            </w:r>
            <w:r w:rsidR="00A9271C">
              <w:rPr>
                <w:rFonts w:ascii="Palatino Linotype" w:hAnsi="Palatino Linotype"/>
                <w:sz w:val="20"/>
                <w:szCs w:val="18"/>
                <w:lang w:val="en-US"/>
              </w:rPr>
              <w:t>81</w:t>
            </w:r>
            <w:r w:rsidR="0001183F">
              <w:rPr>
                <w:rFonts w:ascii="Palatino Linotype" w:hAnsi="Palatino Linotype"/>
                <w:sz w:val="20"/>
                <w:szCs w:val="18"/>
                <w:lang w:val="en-US"/>
              </w:rPr>
              <w:t>]</w:t>
            </w:r>
            <w:r w:rsidRPr="00A047DA">
              <w:rPr>
                <w:rFonts w:ascii="Palatino Linotype" w:hAnsi="Palatino Linotype"/>
                <w:sz w:val="20"/>
                <w:szCs w:val="18"/>
                <w:lang w:val="en-US"/>
              </w:rPr>
              <w:t>.</w:t>
            </w:r>
          </w:p>
          <w:p w14:paraId="2A0DAC29" w14:textId="713BED24" w:rsidR="002C3717" w:rsidRPr="00A047DA" w:rsidRDefault="002C3717" w:rsidP="002C3C39">
            <w:pPr>
              <w:pStyle w:val="ListParagraph"/>
              <w:numPr>
                <w:ilvl w:val="1"/>
                <w:numId w:val="26"/>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 xml:space="preserve">The likely future closure of the smelter for economic reasons </w:t>
            </w:r>
            <w:r w:rsidR="0001183F">
              <w:rPr>
                <w:rFonts w:ascii="Palatino Linotype" w:hAnsi="Palatino Linotype"/>
                <w:sz w:val="20"/>
                <w:szCs w:val="18"/>
                <w:lang w:val="en-US"/>
              </w:rPr>
              <w:t>[</w:t>
            </w:r>
            <w:r w:rsidR="00100918">
              <w:rPr>
                <w:rFonts w:ascii="Palatino Linotype" w:hAnsi="Palatino Linotype"/>
                <w:sz w:val="20"/>
                <w:szCs w:val="18"/>
                <w:lang w:val="en-US"/>
              </w:rPr>
              <w:t>8</w:t>
            </w:r>
            <w:r w:rsidR="00A9271C">
              <w:rPr>
                <w:rFonts w:ascii="Palatino Linotype" w:hAnsi="Palatino Linotype"/>
                <w:sz w:val="20"/>
                <w:szCs w:val="18"/>
                <w:lang w:val="en-US"/>
              </w:rPr>
              <w:t>2</w:t>
            </w:r>
            <w:r w:rsidR="0001183F">
              <w:rPr>
                <w:rFonts w:ascii="Palatino Linotype" w:hAnsi="Palatino Linotype"/>
                <w:sz w:val="20"/>
                <w:szCs w:val="18"/>
                <w:lang w:val="en-US"/>
              </w:rPr>
              <w:t>]</w:t>
            </w:r>
            <w:r w:rsidRPr="00A047DA">
              <w:rPr>
                <w:rFonts w:ascii="Palatino Linotype" w:hAnsi="Palatino Linotype"/>
                <w:sz w:val="20"/>
                <w:szCs w:val="18"/>
                <w:lang w:val="en-US"/>
              </w:rPr>
              <w:t xml:space="preserve"> means that approximate 800 MW output of the Manapouri Power Station may become ‘surplus’ in future and could become available for more general national use</w:t>
            </w:r>
            <w:r w:rsidR="006C0A78">
              <w:rPr>
                <w:rFonts w:ascii="Palatino Linotype" w:hAnsi="Palatino Linotype"/>
                <w:sz w:val="20"/>
                <w:szCs w:val="18"/>
                <w:lang w:val="en-US"/>
              </w:rPr>
              <w:t xml:space="preserve">. </w:t>
            </w:r>
          </w:p>
          <w:p w14:paraId="699270B1" w14:textId="6B8E5AD6"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There is also a large and only partially</w:t>
            </w:r>
            <w:r w:rsidR="006008CD">
              <w:rPr>
                <w:rFonts w:ascii="Palatino Linotype" w:hAnsi="Palatino Linotype"/>
                <w:sz w:val="20"/>
                <w:szCs w:val="18"/>
                <w:lang w:val="en-US"/>
              </w:rPr>
              <w:t xml:space="preserve"> </w:t>
            </w:r>
            <w:r w:rsidRPr="00A047DA">
              <w:rPr>
                <w:rFonts w:ascii="Palatino Linotype" w:hAnsi="Palatino Linotype"/>
                <w:sz w:val="20"/>
                <w:szCs w:val="18"/>
                <w:lang w:val="en-US"/>
              </w:rPr>
              <w:t>developed potential for solar and on/offshore wind energy generation</w:t>
            </w:r>
            <w:r w:rsidR="006C0A78">
              <w:rPr>
                <w:rFonts w:ascii="Palatino Linotype" w:hAnsi="Palatino Linotype"/>
                <w:sz w:val="20"/>
                <w:szCs w:val="18"/>
                <w:lang w:val="en-US"/>
              </w:rPr>
              <w:t xml:space="preserve">. </w:t>
            </w:r>
          </w:p>
        </w:tc>
      </w:tr>
      <w:tr w:rsidR="00A047DA" w:rsidRPr="00100918" w14:paraId="19772B9F" w14:textId="77777777" w:rsidTr="008226B5">
        <w:trPr>
          <w:jc w:val="center"/>
        </w:trPr>
        <w:tc>
          <w:tcPr>
            <w:tcW w:w="422" w:type="pct"/>
            <w:vMerge/>
            <w:tcBorders>
              <w:top w:val="single" w:sz="4" w:space="0" w:color="auto"/>
              <w:bottom w:val="single" w:sz="4" w:space="0" w:color="auto"/>
            </w:tcBorders>
            <w:shd w:val="clear" w:color="auto" w:fill="auto"/>
            <w:vAlign w:val="center"/>
          </w:tcPr>
          <w:p w14:paraId="63DC4922"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77" w:type="pct"/>
            <w:tcBorders>
              <w:top w:val="nil"/>
              <w:bottom w:val="nil"/>
            </w:tcBorders>
            <w:shd w:val="clear" w:color="auto" w:fill="auto"/>
            <w:vAlign w:val="center"/>
          </w:tcPr>
          <w:p w14:paraId="14EE861B" w14:textId="07178EDC"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Pr>
                <w:rFonts w:eastAsia="Times New Roman"/>
                <w:bCs/>
                <w:noProof w:val="0"/>
                <w:snapToGrid w:val="0"/>
                <w:szCs w:val="22"/>
                <w:lang w:bidi="en-US"/>
              </w:rPr>
              <w:t xml:space="preserve">Climate, Agricultural </w:t>
            </w:r>
            <w:proofErr w:type="gramStart"/>
            <w:r>
              <w:rPr>
                <w:rFonts w:eastAsia="Times New Roman"/>
                <w:bCs/>
                <w:noProof w:val="0"/>
                <w:snapToGrid w:val="0"/>
                <w:szCs w:val="22"/>
                <w:lang w:bidi="en-US"/>
              </w:rPr>
              <w:t>resources</w:t>
            </w:r>
            <w:proofErr w:type="gramEnd"/>
            <w:r>
              <w:rPr>
                <w:rFonts w:eastAsia="Times New Roman"/>
                <w:bCs/>
                <w:noProof w:val="0"/>
                <w:snapToGrid w:val="0"/>
                <w:szCs w:val="22"/>
                <w:lang w:bidi="en-US"/>
              </w:rPr>
              <w:t xml:space="preserve"> and other factors</w:t>
            </w:r>
          </w:p>
        </w:tc>
        <w:tc>
          <w:tcPr>
            <w:tcW w:w="3901" w:type="pct"/>
            <w:gridSpan w:val="2"/>
            <w:tcBorders>
              <w:top w:val="nil"/>
              <w:bottom w:val="nil"/>
            </w:tcBorders>
            <w:shd w:val="clear" w:color="auto" w:fill="auto"/>
            <w:vAlign w:val="center"/>
          </w:tcPr>
          <w:p w14:paraId="1D9B6ABD" w14:textId="2BF07AA1" w:rsidR="002C3717" w:rsidRPr="00100918"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eastAsia="Times New Roman" w:hAnsi="Palatino Linotype"/>
                <w:b/>
                <w:snapToGrid w:val="0"/>
                <w:sz w:val="20"/>
                <w:szCs w:val="20"/>
                <w:lang w:val="en-US" w:bidi="en-US"/>
              </w:rPr>
            </w:pPr>
            <w:r w:rsidRPr="00100918">
              <w:rPr>
                <w:rFonts w:ascii="Palatino Linotype" w:hAnsi="Palatino Linotype"/>
                <w:sz w:val="20"/>
                <w:szCs w:val="20"/>
                <w:lang w:val="en-US"/>
              </w:rPr>
              <w:t>New Zealand has a temperate, oceanic climate with abundant precipitation (with regional variation</w:t>
            </w:r>
            <w:r w:rsidR="00077EC8" w:rsidRPr="00100918">
              <w:rPr>
                <w:rFonts w:ascii="Palatino Linotype" w:hAnsi="Palatino Linotype"/>
                <w:sz w:val="20"/>
                <w:szCs w:val="20"/>
                <w:lang w:val="en-US"/>
              </w:rPr>
              <w:t>, e.g.</w:t>
            </w:r>
            <w:r w:rsidR="00CF3497" w:rsidRPr="00100918">
              <w:rPr>
                <w:rFonts w:ascii="Palatino Linotype" w:hAnsi="Palatino Linotype"/>
                <w:sz w:val="20"/>
                <w:szCs w:val="20"/>
                <w:lang w:val="en-US"/>
              </w:rPr>
              <w:t>,</w:t>
            </w:r>
            <w:r w:rsidRPr="00100918">
              <w:rPr>
                <w:rFonts w:ascii="Palatino Linotype" w:hAnsi="Palatino Linotype"/>
                <w:sz w:val="20"/>
                <w:szCs w:val="20"/>
                <w:lang w:val="en-US"/>
              </w:rPr>
              <w:t xml:space="preserve"> sub-tropical zones in the north </w:t>
            </w:r>
            <w:r w:rsidR="0001183F" w:rsidRPr="00100918">
              <w:rPr>
                <w:rFonts w:ascii="Palatino Linotype" w:hAnsi="Palatino Linotype"/>
                <w:sz w:val="20"/>
                <w:szCs w:val="20"/>
                <w:lang w:val="en-US"/>
              </w:rPr>
              <w:t>[</w:t>
            </w:r>
            <w:r w:rsidR="00100918" w:rsidRPr="00100918">
              <w:rPr>
                <w:rFonts w:ascii="Palatino Linotype" w:hAnsi="Palatino Linotype"/>
                <w:sz w:val="20"/>
                <w:szCs w:val="20"/>
                <w:lang w:val="en-US"/>
              </w:rPr>
              <w:t>8</w:t>
            </w:r>
            <w:r w:rsidR="00A9271C">
              <w:rPr>
                <w:rFonts w:ascii="Palatino Linotype" w:hAnsi="Palatino Linotype"/>
                <w:sz w:val="20"/>
                <w:szCs w:val="20"/>
                <w:lang w:val="en-US"/>
              </w:rPr>
              <w:t>3</w:t>
            </w:r>
            <w:r w:rsidR="0001183F" w:rsidRPr="00100918">
              <w:rPr>
                <w:rFonts w:ascii="Palatino Linotype" w:hAnsi="Palatino Linotype"/>
                <w:sz w:val="20"/>
                <w:szCs w:val="20"/>
                <w:lang w:val="en-US"/>
              </w:rPr>
              <w:t>]</w:t>
            </w:r>
            <w:r w:rsidRPr="00100918">
              <w:rPr>
                <w:rFonts w:ascii="Palatino Linotype" w:hAnsi="Palatino Linotype"/>
                <w:sz w:val="20"/>
                <w:szCs w:val="20"/>
                <w:lang w:val="en-US"/>
              </w:rPr>
              <w:t>)</w:t>
            </w:r>
            <w:r w:rsidR="006C0A78" w:rsidRPr="00100918">
              <w:rPr>
                <w:rFonts w:ascii="Palatino Linotype" w:hAnsi="Palatino Linotype"/>
                <w:sz w:val="20"/>
                <w:szCs w:val="20"/>
                <w:lang w:val="en-US"/>
              </w:rPr>
              <w:t xml:space="preserve">. </w:t>
            </w:r>
          </w:p>
          <w:p w14:paraId="25A92FE9" w14:textId="037AB038" w:rsidR="002C3717" w:rsidRPr="002C3C39" w:rsidRDefault="002C3717" w:rsidP="002C3C39">
            <w:pPr>
              <w:pStyle w:val="ListParagraph"/>
              <w:numPr>
                <w:ilvl w:val="0"/>
                <w:numId w:val="3"/>
              </w:numPr>
              <w:autoSpaceDE w:val="0"/>
              <w:autoSpaceDN w:val="0"/>
              <w:adjustRightInd w:val="0"/>
              <w:snapToGrid w:val="0"/>
              <w:spacing w:line="240" w:lineRule="auto"/>
              <w:rPr>
                <w:rFonts w:ascii="Palatino Linotype" w:eastAsia="Times New Roman" w:hAnsi="Palatino Linotype"/>
                <w:bCs/>
                <w:snapToGrid w:val="0"/>
                <w:sz w:val="20"/>
                <w:szCs w:val="20"/>
                <w:lang w:bidi="en-US"/>
              </w:rPr>
            </w:pPr>
            <w:r w:rsidRPr="00100918">
              <w:rPr>
                <w:rFonts w:ascii="Palatino Linotype" w:eastAsia="Times New Roman" w:hAnsi="Palatino Linotype"/>
                <w:bCs/>
                <w:snapToGrid w:val="0"/>
                <w:sz w:val="20"/>
                <w:szCs w:val="20"/>
                <w:lang w:val="en-US" w:bidi="en-US"/>
              </w:rPr>
              <w:t>There is also abundant agricultural land (and a high per</w:t>
            </w:r>
            <w:r w:rsidR="006008CD" w:rsidRPr="00100918">
              <w:rPr>
                <w:rFonts w:ascii="Palatino Linotype" w:eastAsia="Times New Roman" w:hAnsi="Palatino Linotype"/>
                <w:bCs/>
                <w:snapToGrid w:val="0"/>
                <w:sz w:val="20"/>
                <w:szCs w:val="20"/>
                <w:lang w:val="en-US" w:bidi="en-US"/>
              </w:rPr>
              <w:t xml:space="preserve"> </w:t>
            </w:r>
            <w:r w:rsidRPr="00100918">
              <w:rPr>
                <w:rFonts w:ascii="Palatino Linotype" w:eastAsia="Times New Roman" w:hAnsi="Palatino Linotype"/>
                <w:bCs/>
                <w:snapToGrid w:val="0"/>
                <w:sz w:val="20"/>
                <w:szCs w:val="20"/>
                <w:lang w:val="en-US" w:bidi="en-US"/>
              </w:rPr>
              <w:t>capita availability, as identified in Table 4).</w:t>
            </w:r>
            <w:r w:rsidR="00100918" w:rsidRPr="00100918">
              <w:rPr>
                <w:rFonts w:ascii="Palatino Linotype" w:eastAsia="Times New Roman" w:hAnsi="Palatino Linotype"/>
                <w:bCs/>
                <w:snapToGrid w:val="0"/>
                <w:sz w:val="20"/>
                <w:szCs w:val="20"/>
                <w:lang w:val="en-US" w:bidi="en-US"/>
              </w:rPr>
              <w:t xml:space="preserve"> </w:t>
            </w:r>
            <w:r w:rsidRPr="002C3C39">
              <w:rPr>
                <w:rFonts w:ascii="Palatino Linotype" w:eastAsia="Times New Roman" w:hAnsi="Palatino Linotype"/>
                <w:bCs/>
                <w:snapToGrid w:val="0"/>
                <w:sz w:val="20"/>
                <w:szCs w:val="20"/>
                <w:lang w:bidi="en-US"/>
              </w:rPr>
              <w:t xml:space="preserve">However, </w:t>
            </w:r>
            <w:r w:rsidR="0001183F" w:rsidRPr="002C3C39">
              <w:rPr>
                <w:rFonts w:ascii="Palatino Linotype" w:eastAsia="Times New Roman" w:hAnsi="Palatino Linotype"/>
                <w:bCs/>
                <w:snapToGrid w:val="0"/>
                <w:sz w:val="20"/>
                <w:szCs w:val="20"/>
                <w:lang w:bidi="en-US"/>
              </w:rPr>
              <w:t>[</w:t>
            </w:r>
            <w:r w:rsidR="00F36AB0" w:rsidRPr="002C3C39">
              <w:rPr>
                <w:rFonts w:ascii="Palatino Linotype" w:eastAsia="Times New Roman" w:hAnsi="Palatino Linotype"/>
                <w:bCs/>
                <w:snapToGrid w:val="0"/>
                <w:sz w:val="20"/>
                <w:szCs w:val="20"/>
                <w:lang w:bidi="en-US"/>
              </w:rPr>
              <w:t>8</w:t>
            </w:r>
            <w:r w:rsidR="00A9271C">
              <w:rPr>
                <w:rFonts w:ascii="Palatino Linotype" w:eastAsia="Times New Roman" w:hAnsi="Palatino Linotype"/>
                <w:bCs/>
                <w:snapToGrid w:val="0"/>
                <w:sz w:val="20"/>
                <w:szCs w:val="20"/>
                <w:lang w:bidi="en-US"/>
              </w:rPr>
              <w:t>4</w:t>
            </w:r>
            <w:r w:rsidR="0001183F" w:rsidRPr="002C3C39">
              <w:rPr>
                <w:rFonts w:ascii="Palatino Linotype" w:eastAsia="Times New Roman" w:hAnsi="Palatino Linotype"/>
                <w:bCs/>
                <w:snapToGrid w:val="0"/>
                <w:sz w:val="20"/>
                <w:szCs w:val="20"/>
                <w:lang w:bidi="en-US"/>
              </w:rPr>
              <w:t>]</w:t>
            </w:r>
            <w:r w:rsidRPr="002C3C39">
              <w:rPr>
                <w:rFonts w:ascii="Palatino Linotype" w:eastAsia="Times New Roman" w:hAnsi="Palatino Linotype"/>
                <w:bCs/>
                <w:snapToGrid w:val="0"/>
                <w:sz w:val="20"/>
                <w:szCs w:val="20"/>
                <w:lang w:bidi="en-US"/>
              </w:rPr>
              <w:t xml:space="preserve"> identifies the challenges associated with access to water resources, particularly in relation to heterogeneous distribution and decreasing quality due to widespread contemporary agricultural over-intensity (noting that access to energy resources could contribute to alleviating challenges such as these)</w:t>
            </w:r>
            <w:r w:rsidR="006C0A78" w:rsidRPr="002C3C39">
              <w:rPr>
                <w:rFonts w:ascii="Palatino Linotype" w:eastAsia="Times New Roman" w:hAnsi="Palatino Linotype"/>
                <w:bCs/>
                <w:snapToGrid w:val="0"/>
                <w:sz w:val="20"/>
                <w:szCs w:val="20"/>
                <w:lang w:bidi="en-US"/>
              </w:rPr>
              <w:t xml:space="preserve">. </w:t>
            </w:r>
          </w:p>
          <w:p w14:paraId="669FBF34" w14:textId="77777777" w:rsidR="002C3717" w:rsidRPr="00100918"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eastAsia="Times New Roman" w:hAnsi="Palatino Linotype"/>
                <w:b/>
                <w:snapToGrid w:val="0"/>
                <w:sz w:val="20"/>
                <w:szCs w:val="20"/>
                <w:lang w:val="en-US" w:bidi="en-US"/>
              </w:rPr>
            </w:pPr>
            <w:r w:rsidRPr="00100918">
              <w:rPr>
                <w:rFonts w:ascii="Palatino Linotype" w:hAnsi="Palatino Linotype"/>
                <w:sz w:val="20"/>
                <w:szCs w:val="20"/>
                <w:lang w:val="en-US"/>
              </w:rPr>
              <w:t>New Zealand also has susceptibility/vulnerability to natural hazards (particularly geohazards such as large seismic and/or volcanic events).</w:t>
            </w:r>
          </w:p>
        </w:tc>
      </w:tr>
      <w:tr w:rsidR="00A047DA" w:rsidRPr="00A047DA" w14:paraId="51E2398F" w14:textId="77777777" w:rsidTr="004A6B48">
        <w:trPr>
          <w:jc w:val="center"/>
        </w:trPr>
        <w:tc>
          <w:tcPr>
            <w:tcW w:w="422" w:type="pct"/>
            <w:vMerge/>
            <w:tcBorders>
              <w:top w:val="single" w:sz="4" w:space="0" w:color="auto"/>
              <w:bottom w:val="nil"/>
            </w:tcBorders>
            <w:shd w:val="clear" w:color="auto" w:fill="auto"/>
            <w:vAlign w:val="center"/>
          </w:tcPr>
          <w:p w14:paraId="0BD144A9"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77" w:type="pct"/>
            <w:tcBorders>
              <w:top w:val="nil"/>
              <w:bottom w:val="nil"/>
            </w:tcBorders>
            <w:shd w:val="clear" w:color="auto" w:fill="auto"/>
            <w:vAlign w:val="center"/>
          </w:tcPr>
          <w:p w14:paraId="7643CF53" w14:textId="14C70700"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Pr>
                <w:rFonts w:eastAsia="Times New Roman"/>
                <w:bCs/>
                <w:noProof w:val="0"/>
                <w:snapToGrid w:val="0"/>
                <w:szCs w:val="22"/>
                <w:lang w:bidi="en-US"/>
              </w:rPr>
              <w:t>Overview</w:t>
            </w:r>
          </w:p>
        </w:tc>
        <w:tc>
          <w:tcPr>
            <w:tcW w:w="3901" w:type="pct"/>
            <w:gridSpan w:val="2"/>
            <w:tcBorders>
              <w:top w:val="nil"/>
              <w:bottom w:val="nil"/>
            </w:tcBorders>
            <w:shd w:val="clear" w:color="auto" w:fill="auto"/>
            <w:vAlign w:val="center"/>
          </w:tcPr>
          <w:p w14:paraId="22758B61" w14:textId="32F18E38"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 xml:space="preserve">In terms of provision of indigenous electrical energy, New Zealand has highly </w:t>
            </w:r>
            <w:proofErr w:type="spellStart"/>
            <w:r w:rsidRPr="00A047DA">
              <w:rPr>
                <w:rFonts w:ascii="Palatino Linotype" w:eastAsia="Times New Roman" w:hAnsi="Palatino Linotype"/>
                <w:bCs/>
                <w:snapToGrid w:val="0"/>
                <w:sz w:val="20"/>
                <w:szCs w:val="18"/>
                <w:lang w:val="en-US" w:bidi="en-US"/>
              </w:rPr>
              <w:t>favourable</w:t>
            </w:r>
            <w:proofErr w:type="spellEnd"/>
            <w:r w:rsidRPr="00A047DA">
              <w:rPr>
                <w:rFonts w:ascii="Palatino Linotype" w:eastAsia="Times New Roman" w:hAnsi="Palatino Linotype"/>
                <w:bCs/>
                <w:snapToGrid w:val="0"/>
                <w:sz w:val="20"/>
                <w:szCs w:val="18"/>
                <w:lang w:val="en-US" w:bidi="en-US"/>
              </w:rPr>
              <w:t xml:space="preserve"> conditions </w:t>
            </w:r>
            <w:proofErr w:type="gramStart"/>
            <w:r w:rsidRPr="00A047DA">
              <w:rPr>
                <w:rFonts w:ascii="Palatino Linotype" w:eastAsia="Times New Roman" w:hAnsi="Palatino Linotype"/>
                <w:bCs/>
                <w:snapToGrid w:val="0"/>
                <w:sz w:val="20"/>
                <w:szCs w:val="18"/>
                <w:lang w:val="en-US" w:bidi="en-US"/>
              </w:rPr>
              <w:t>as a result of</w:t>
            </w:r>
            <w:proofErr w:type="gramEnd"/>
            <w:r w:rsidRPr="00A047DA">
              <w:rPr>
                <w:rFonts w:ascii="Palatino Linotype" w:eastAsia="Times New Roman" w:hAnsi="Palatino Linotype"/>
                <w:bCs/>
                <w:snapToGrid w:val="0"/>
                <w:sz w:val="20"/>
                <w:szCs w:val="18"/>
                <w:lang w:val="en-US" w:bidi="en-US"/>
              </w:rPr>
              <w:t xml:space="preserve"> its</w:t>
            </w:r>
            <w:r w:rsidRPr="00A047DA">
              <w:rPr>
                <w:rFonts w:ascii="Palatino Linotype" w:hAnsi="Palatino Linotype"/>
                <w:sz w:val="20"/>
                <w:lang w:val="en-US"/>
              </w:rPr>
              <w:t xml:space="preserve"> </w:t>
            </w:r>
            <w:r w:rsidRPr="00A047DA">
              <w:rPr>
                <w:rFonts w:ascii="Palatino Linotype" w:eastAsia="Times New Roman" w:hAnsi="Palatino Linotype"/>
                <w:bCs/>
                <w:snapToGrid w:val="0"/>
                <w:sz w:val="20"/>
                <w:szCs w:val="18"/>
                <w:lang w:val="en-US" w:bidi="en-US"/>
              </w:rPr>
              <w:t>geographic contexts (a volcanically and tectonically</w:t>
            </w:r>
            <w:r w:rsidR="006008CD">
              <w:rPr>
                <w:rFonts w:ascii="Palatino Linotype" w:eastAsia="Times New Roman" w:hAnsi="Palatino Linotype"/>
                <w:bCs/>
                <w:snapToGrid w:val="0"/>
                <w:sz w:val="20"/>
                <w:szCs w:val="18"/>
                <w:lang w:val="en-US" w:bidi="en-US"/>
              </w:rPr>
              <w:t xml:space="preserve"> </w:t>
            </w:r>
            <w:r w:rsidRPr="00A047DA">
              <w:rPr>
                <w:rFonts w:ascii="Palatino Linotype" w:eastAsia="Times New Roman" w:hAnsi="Palatino Linotype"/>
                <w:bCs/>
                <w:snapToGrid w:val="0"/>
                <w:sz w:val="20"/>
                <w:szCs w:val="18"/>
                <w:lang w:val="en-US" w:bidi="en-US"/>
              </w:rPr>
              <w:t>active archipelago)</w:t>
            </w:r>
            <w:r w:rsidR="006C0A78">
              <w:rPr>
                <w:rFonts w:ascii="Palatino Linotype" w:eastAsia="Times New Roman" w:hAnsi="Palatino Linotype"/>
                <w:bCs/>
                <w:snapToGrid w:val="0"/>
                <w:sz w:val="20"/>
                <w:szCs w:val="18"/>
                <w:lang w:val="en-US" w:bidi="en-US"/>
              </w:rPr>
              <w:t xml:space="preserve">. </w:t>
            </w:r>
          </w:p>
          <w:p w14:paraId="1270D531" w14:textId="32643662"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The potential future general availability of the output of the Manapouri scheme may result in New Zealand in essence having more energy than it can use, even before development of future resources is considered.</w:t>
            </w:r>
          </w:p>
          <w:p w14:paraId="0DAF812F" w14:textId="4B062B9F"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Despite abundant energy resources</w:t>
            </w:r>
            <w:r w:rsidR="006008CD">
              <w:rPr>
                <w:rFonts w:ascii="Palatino Linotype" w:eastAsia="Times New Roman" w:hAnsi="Palatino Linotype"/>
                <w:bCs/>
                <w:snapToGrid w:val="0"/>
                <w:sz w:val="20"/>
                <w:szCs w:val="18"/>
                <w:lang w:val="en-US" w:bidi="en-US"/>
              </w:rPr>
              <w:t>,</w:t>
            </w:r>
            <w:r w:rsidRPr="00A047DA">
              <w:rPr>
                <w:rFonts w:ascii="Palatino Linotype" w:eastAsia="Times New Roman" w:hAnsi="Palatino Linotype"/>
                <w:bCs/>
                <w:snapToGrid w:val="0"/>
                <w:sz w:val="20"/>
                <w:szCs w:val="18"/>
                <w:lang w:val="en-US" w:bidi="en-US"/>
              </w:rPr>
              <w:t xml:space="preserve"> manufacturing capacity has historically been limited.</w:t>
            </w:r>
          </w:p>
          <w:p w14:paraId="20FBAD63" w14:textId="77E9C618"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This is</w:t>
            </w:r>
            <w:r w:rsidR="006008CD">
              <w:rPr>
                <w:rFonts w:ascii="Palatino Linotype" w:eastAsia="Times New Roman" w:hAnsi="Palatino Linotype"/>
                <w:bCs/>
                <w:snapToGrid w:val="0"/>
                <w:sz w:val="20"/>
                <w:szCs w:val="18"/>
                <w:lang w:val="en-US" w:bidi="en-US"/>
              </w:rPr>
              <w:t>,</w:t>
            </w:r>
            <w:r w:rsidRPr="00A047DA">
              <w:rPr>
                <w:rFonts w:ascii="Palatino Linotype" w:eastAsia="Times New Roman" w:hAnsi="Palatino Linotype"/>
                <w:bCs/>
                <w:snapToGrid w:val="0"/>
                <w:sz w:val="20"/>
                <w:szCs w:val="18"/>
                <w:lang w:val="en-US" w:bidi="en-US"/>
              </w:rPr>
              <w:t xml:space="preserve"> however</w:t>
            </w:r>
            <w:r w:rsidR="006008CD">
              <w:rPr>
                <w:rFonts w:ascii="Palatino Linotype" w:eastAsia="Times New Roman" w:hAnsi="Palatino Linotype"/>
                <w:bCs/>
                <w:snapToGrid w:val="0"/>
                <w:sz w:val="20"/>
                <w:szCs w:val="18"/>
                <w:lang w:val="en-US" w:bidi="en-US"/>
              </w:rPr>
              <w:t>,</w:t>
            </w:r>
            <w:r w:rsidRPr="00A047DA">
              <w:rPr>
                <w:rFonts w:ascii="Palatino Linotype" w:eastAsia="Times New Roman" w:hAnsi="Palatino Linotype"/>
                <w:bCs/>
                <w:snapToGrid w:val="0"/>
                <w:sz w:val="20"/>
                <w:szCs w:val="18"/>
                <w:lang w:val="en-US" w:bidi="en-US"/>
              </w:rPr>
              <w:t xml:space="preserve"> largely a function of a historical/current low population density, remoteness from world markets and a reliance on agriculture as an economic mainstay.</w:t>
            </w:r>
          </w:p>
          <w:p w14:paraId="7237631D"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Overall, New Zealand has inherent, specific features that make it a compelling candidate as a potential ‘node of persisting complexity’.</w:t>
            </w:r>
          </w:p>
        </w:tc>
      </w:tr>
      <w:tr w:rsidR="00A047DA" w:rsidRPr="00A047DA" w14:paraId="21ACEB2A" w14:textId="77777777" w:rsidTr="004A6B48">
        <w:trPr>
          <w:jc w:val="center"/>
        </w:trPr>
        <w:tc>
          <w:tcPr>
            <w:tcW w:w="422" w:type="pct"/>
            <w:vMerge w:val="restart"/>
            <w:tcBorders>
              <w:top w:val="nil"/>
              <w:bottom w:val="nil"/>
            </w:tcBorders>
            <w:vAlign w:val="center"/>
          </w:tcPr>
          <w:p w14:paraId="6EC6FDAF" w14:textId="46734F6C" w:rsidR="002C3717" w:rsidRPr="002C3C39" w:rsidRDefault="009F2295"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szCs w:val="22"/>
                <w:lang w:bidi="en-US"/>
              </w:rPr>
              <w:t>Iceland</w:t>
            </w:r>
          </w:p>
        </w:tc>
        <w:tc>
          <w:tcPr>
            <w:tcW w:w="677" w:type="pct"/>
            <w:tcBorders>
              <w:top w:val="nil"/>
              <w:bottom w:val="nil"/>
            </w:tcBorders>
            <w:shd w:val="clear" w:color="auto" w:fill="auto"/>
            <w:vAlign w:val="center"/>
          </w:tcPr>
          <w:p w14:paraId="62FF2180" w14:textId="754DEE15" w:rsidR="002C3717" w:rsidRPr="002C3C39" w:rsidRDefault="00FB5ADE" w:rsidP="00A047DA">
            <w:pPr>
              <w:autoSpaceDE w:val="0"/>
              <w:autoSpaceDN w:val="0"/>
              <w:adjustRightInd w:val="0"/>
              <w:snapToGrid w:val="0"/>
              <w:spacing w:line="240" w:lineRule="auto"/>
              <w:jc w:val="center"/>
              <w:rPr>
                <w:bCs/>
                <w:noProof w:val="0"/>
                <w:szCs w:val="18"/>
              </w:rPr>
            </w:pPr>
            <w:r w:rsidRPr="002C3C39">
              <w:rPr>
                <w:rFonts w:eastAsia="Times New Roman"/>
                <w:bCs/>
                <w:noProof w:val="0"/>
                <w:snapToGrid w:val="0"/>
                <w:lang w:bidi="en-US"/>
              </w:rPr>
              <w:t>Energy Resources</w:t>
            </w:r>
          </w:p>
        </w:tc>
        <w:tc>
          <w:tcPr>
            <w:tcW w:w="3901" w:type="pct"/>
            <w:gridSpan w:val="2"/>
            <w:tcBorders>
              <w:top w:val="nil"/>
              <w:bottom w:val="nil"/>
            </w:tcBorders>
            <w:vAlign w:val="center"/>
          </w:tcPr>
          <w:p w14:paraId="70B52050"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Abundant domestic renewable energy resources, with existing large-scale </w:t>
            </w:r>
            <w:proofErr w:type="spellStart"/>
            <w:r w:rsidRPr="00A047DA">
              <w:rPr>
                <w:rFonts w:ascii="Palatino Linotype" w:hAnsi="Palatino Linotype"/>
                <w:sz w:val="20"/>
                <w:szCs w:val="18"/>
                <w:lang w:val="en-US"/>
              </w:rPr>
              <w:t>utilisation</w:t>
            </w:r>
            <w:proofErr w:type="spellEnd"/>
            <w:r w:rsidRPr="00A047DA">
              <w:rPr>
                <w:rFonts w:ascii="Palatino Linotype" w:hAnsi="Palatino Linotype"/>
                <w:sz w:val="20"/>
                <w:szCs w:val="18"/>
                <w:lang w:val="en-US"/>
              </w:rPr>
              <w:t xml:space="preserve"> of geothermal and hydroelectric resources</w:t>
            </w:r>
          </w:p>
          <w:p w14:paraId="6FA57DB8" w14:textId="07D32A22" w:rsidR="002C3717" w:rsidRPr="00A047DA" w:rsidRDefault="002C3717" w:rsidP="00AE21C4">
            <w:pPr>
              <w:pStyle w:val="ListParagraph"/>
              <w:numPr>
                <w:ilvl w:val="1"/>
                <w:numId w:val="12"/>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lastRenderedPageBreak/>
              <w:t>The national geothermal resource has already been extensively developed (</w:t>
            </w:r>
            <w:proofErr w:type="spellStart"/>
            <w:r w:rsidRPr="00A047DA">
              <w:rPr>
                <w:rFonts w:ascii="Palatino Linotype" w:hAnsi="Palatino Linotype"/>
                <w:sz w:val="20"/>
                <w:szCs w:val="18"/>
                <w:lang w:val="en-US"/>
              </w:rPr>
              <w:t>utilised</w:t>
            </w:r>
            <w:proofErr w:type="spellEnd"/>
            <w:r w:rsidRPr="00A047DA">
              <w:rPr>
                <w:rFonts w:ascii="Palatino Linotype" w:hAnsi="Palatino Linotype"/>
                <w:sz w:val="20"/>
                <w:szCs w:val="18"/>
                <w:lang w:val="en-US"/>
              </w:rPr>
              <w:t xml:space="preserve"> for electrical generation and widespread urban space heating) [7</w:t>
            </w:r>
            <w:r w:rsidR="00A9271C">
              <w:rPr>
                <w:rFonts w:ascii="Palatino Linotype" w:hAnsi="Palatino Linotype"/>
                <w:sz w:val="20"/>
                <w:szCs w:val="18"/>
                <w:lang w:val="en-US"/>
              </w:rPr>
              <w:t>7</w:t>
            </w:r>
            <w:r w:rsidRPr="00A047DA">
              <w:rPr>
                <w:rFonts w:ascii="Palatino Linotype" w:hAnsi="Palatino Linotype"/>
                <w:sz w:val="20"/>
                <w:szCs w:val="18"/>
                <w:lang w:val="en-US"/>
              </w:rPr>
              <w:t>,</w:t>
            </w:r>
            <w:r w:rsidR="00D24597">
              <w:rPr>
                <w:rFonts w:ascii="Palatino Linotype" w:hAnsi="Palatino Linotype"/>
                <w:sz w:val="20"/>
                <w:szCs w:val="18"/>
                <w:lang w:val="en-US"/>
              </w:rPr>
              <w:t>8</w:t>
            </w:r>
            <w:r w:rsidR="00A9271C">
              <w:rPr>
                <w:rFonts w:ascii="Palatino Linotype" w:hAnsi="Palatino Linotype"/>
                <w:sz w:val="20"/>
                <w:szCs w:val="18"/>
                <w:lang w:val="en-US"/>
              </w:rPr>
              <w:t>5</w:t>
            </w:r>
            <w:r w:rsidR="0001183F">
              <w:rPr>
                <w:rFonts w:ascii="Palatino Linotype" w:hAnsi="Palatino Linotype"/>
                <w:sz w:val="20"/>
                <w:szCs w:val="18"/>
                <w:lang w:val="en-US"/>
              </w:rPr>
              <w:t>]</w:t>
            </w:r>
            <w:r w:rsidR="006C0A78">
              <w:rPr>
                <w:rFonts w:ascii="Palatino Linotype" w:hAnsi="Palatino Linotype"/>
                <w:sz w:val="20"/>
                <w:szCs w:val="18"/>
                <w:lang w:val="en-US"/>
              </w:rPr>
              <w:t>.</w:t>
            </w:r>
          </w:p>
          <w:p w14:paraId="3AD4E1F9"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national hydroelectric resource is currently partially exploited:</w:t>
            </w:r>
          </w:p>
          <w:p w14:paraId="13EDD71D" w14:textId="4B041159" w:rsidR="002C3717" w:rsidRPr="00A047DA" w:rsidRDefault="002C3717" w:rsidP="00AE21C4">
            <w:pPr>
              <w:pStyle w:val="ListParagraph"/>
              <w:numPr>
                <w:ilvl w:val="1"/>
                <w:numId w:val="13"/>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 xml:space="preserve">The key component of Iceland’s hydroelectric generation infrastructure is the 690MW </w:t>
            </w:r>
            <w:proofErr w:type="spellStart"/>
            <w:r w:rsidRPr="00A047DA">
              <w:rPr>
                <w:rFonts w:ascii="Palatino Linotype" w:hAnsi="Palatino Linotype"/>
                <w:sz w:val="20"/>
                <w:szCs w:val="18"/>
                <w:lang w:val="en-US"/>
              </w:rPr>
              <w:t>Kárahnjúkar</w:t>
            </w:r>
            <w:proofErr w:type="spellEnd"/>
            <w:r w:rsidRPr="00A047DA">
              <w:rPr>
                <w:rFonts w:ascii="Palatino Linotype" w:hAnsi="Palatino Linotype"/>
                <w:sz w:val="20"/>
                <w:szCs w:val="18"/>
                <w:lang w:val="en-US"/>
              </w:rPr>
              <w:t xml:space="preserve"> hydroelectric plant </w:t>
            </w:r>
            <w:r w:rsidR="0001183F">
              <w:rPr>
                <w:rFonts w:ascii="Palatino Linotype" w:hAnsi="Palatino Linotype"/>
                <w:sz w:val="20"/>
                <w:szCs w:val="18"/>
                <w:lang w:val="en-US"/>
              </w:rPr>
              <w:t>[</w:t>
            </w:r>
            <w:r w:rsidR="0002693A">
              <w:rPr>
                <w:rFonts w:ascii="Palatino Linotype" w:hAnsi="Palatino Linotype"/>
                <w:sz w:val="20"/>
                <w:szCs w:val="18"/>
                <w:lang w:val="en-US"/>
              </w:rPr>
              <w:t>8</w:t>
            </w:r>
            <w:r w:rsidR="00A9271C">
              <w:rPr>
                <w:rFonts w:ascii="Palatino Linotype" w:hAnsi="Palatino Linotype"/>
                <w:sz w:val="20"/>
                <w:szCs w:val="18"/>
                <w:lang w:val="en-US"/>
              </w:rPr>
              <w:t>6</w:t>
            </w:r>
            <w:r w:rsidR="0001183F">
              <w:rPr>
                <w:rFonts w:ascii="Palatino Linotype" w:hAnsi="Palatino Linotype"/>
                <w:sz w:val="20"/>
                <w:szCs w:val="18"/>
                <w:lang w:val="en-US"/>
              </w:rPr>
              <w:t>]</w:t>
            </w:r>
            <w:r w:rsidR="006C0A78">
              <w:rPr>
                <w:rFonts w:ascii="Palatino Linotype" w:hAnsi="Palatino Linotype"/>
                <w:sz w:val="20"/>
                <w:szCs w:val="18"/>
                <w:lang w:val="en-US"/>
              </w:rPr>
              <w:t xml:space="preserve">. </w:t>
            </w:r>
            <w:r w:rsidRPr="00A047DA">
              <w:rPr>
                <w:rFonts w:ascii="Palatino Linotype" w:hAnsi="Palatino Linotype"/>
                <w:sz w:val="20"/>
                <w:szCs w:val="18"/>
                <w:lang w:val="en-US"/>
              </w:rPr>
              <w:t xml:space="preserve">This was commissioned in 2007 to supply power to the </w:t>
            </w:r>
            <w:proofErr w:type="spellStart"/>
            <w:r w:rsidRPr="00A047DA">
              <w:rPr>
                <w:rFonts w:ascii="Palatino Linotype" w:hAnsi="Palatino Linotype"/>
                <w:sz w:val="20"/>
                <w:szCs w:val="18"/>
                <w:lang w:val="en-US"/>
              </w:rPr>
              <w:t>Aluminium</w:t>
            </w:r>
            <w:proofErr w:type="spellEnd"/>
            <w:r w:rsidRPr="00A047DA">
              <w:rPr>
                <w:rFonts w:ascii="Palatino Linotype" w:hAnsi="Palatino Linotype"/>
                <w:sz w:val="20"/>
                <w:szCs w:val="18"/>
                <w:lang w:val="en-US"/>
              </w:rPr>
              <w:t xml:space="preserve"> smelter in </w:t>
            </w:r>
            <w:proofErr w:type="spellStart"/>
            <w:r w:rsidRPr="00A047DA">
              <w:rPr>
                <w:rFonts w:ascii="Palatino Linotype" w:hAnsi="Palatino Linotype"/>
                <w:sz w:val="20"/>
                <w:szCs w:val="18"/>
                <w:lang w:val="en-US"/>
              </w:rPr>
              <w:t>Fjardaál</w:t>
            </w:r>
            <w:proofErr w:type="spellEnd"/>
            <w:r w:rsidRPr="00A047DA">
              <w:rPr>
                <w:rFonts w:ascii="Palatino Linotype" w:hAnsi="Palatino Linotype"/>
                <w:sz w:val="20"/>
                <w:szCs w:val="18"/>
                <w:lang w:val="en-US"/>
              </w:rPr>
              <w:t xml:space="preserve"> (through a dedicated transmission line) and is Iceland’s largest power station (accounting for approx. 25% of the nation’s generation capacity).</w:t>
            </w:r>
          </w:p>
          <w:p w14:paraId="26623C38"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hAnsi="Palatino Linotype"/>
                <w:sz w:val="20"/>
                <w:szCs w:val="18"/>
                <w:lang w:val="en-US"/>
              </w:rPr>
              <w:t>There is also a large and currently undeveloped potential for solar (which is significant even with the low solar irradiance values received at Iceland’s high latitude) and on/offshore wind energy generation.</w:t>
            </w:r>
          </w:p>
        </w:tc>
      </w:tr>
      <w:tr w:rsidR="00A047DA" w:rsidRPr="00A047DA" w14:paraId="64737A09" w14:textId="77777777" w:rsidTr="004A6B48">
        <w:trPr>
          <w:jc w:val="center"/>
        </w:trPr>
        <w:tc>
          <w:tcPr>
            <w:tcW w:w="422" w:type="pct"/>
            <w:vMerge/>
            <w:tcBorders>
              <w:top w:val="nil"/>
              <w:bottom w:val="nil"/>
            </w:tcBorders>
            <w:vAlign w:val="center"/>
          </w:tcPr>
          <w:p w14:paraId="01C6744B"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77" w:type="pct"/>
            <w:tcBorders>
              <w:top w:val="nil"/>
              <w:bottom w:val="nil"/>
            </w:tcBorders>
            <w:shd w:val="clear" w:color="auto" w:fill="auto"/>
            <w:vAlign w:val="center"/>
          </w:tcPr>
          <w:p w14:paraId="3568000B" w14:textId="4F259ABE" w:rsidR="002C3717" w:rsidRPr="002C3C39" w:rsidRDefault="00FB5ADE" w:rsidP="00A047DA">
            <w:pPr>
              <w:autoSpaceDE w:val="0"/>
              <w:autoSpaceDN w:val="0"/>
              <w:adjustRightInd w:val="0"/>
              <w:snapToGrid w:val="0"/>
              <w:spacing w:line="240" w:lineRule="auto"/>
              <w:jc w:val="center"/>
              <w:rPr>
                <w:bCs/>
                <w:noProof w:val="0"/>
                <w:szCs w:val="18"/>
              </w:rPr>
            </w:pPr>
            <w:r w:rsidRPr="00FB5ADE">
              <w:rPr>
                <w:rFonts w:eastAsia="Times New Roman"/>
                <w:bCs/>
                <w:noProof w:val="0"/>
                <w:snapToGrid w:val="0"/>
                <w:szCs w:val="22"/>
                <w:lang w:bidi="en-US"/>
              </w:rPr>
              <w:t xml:space="preserve">Climate, Agricultural </w:t>
            </w:r>
            <w:proofErr w:type="gramStart"/>
            <w:r w:rsidRPr="00FB5ADE">
              <w:rPr>
                <w:rFonts w:eastAsia="Times New Roman"/>
                <w:bCs/>
                <w:noProof w:val="0"/>
                <w:snapToGrid w:val="0"/>
                <w:szCs w:val="22"/>
                <w:lang w:bidi="en-US"/>
              </w:rPr>
              <w:t>resources</w:t>
            </w:r>
            <w:proofErr w:type="gramEnd"/>
            <w:r w:rsidRPr="00FB5ADE">
              <w:rPr>
                <w:rFonts w:eastAsia="Times New Roman"/>
                <w:bCs/>
                <w:noProof w:val="0"/>
                <w:snapToGrid w:val="0"/>
                <w:szCs w:val="22"/>
                <w:lang w:bidi="en-US"/>
              </w:rPr>
              <w:t xml:space="preserve"> and other factors</w:t>
            </w:r>
          </w:p>
        </w:tc>
        <w:tc>
          <w:tcPr>
            <w:tcW w:w="3901" w:type="pct"/>
            <w:gridSpan w:val="2"/>
            <w:tcBorders>
              <w:top w:val="nil"/>
              <w:bottom w:val="nil"/>
            </w:tcBorders>
            <w:vAlign w:val="center"/>
          </w:tcPr>
          <w:p w14:paraId="71D67293" w14:textId="6AB6CB62"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Iceland has a cool temperate climate (the island is at sub-Arctic latitude, but the climatic regime is moderated by the North Atlantic Current) with moderate precipitation [</w:t>
            </w:r>
            <w:r w:rsidR="00C91FFA">
              <w:rPr>
                <w:rFonts w:ascii="Palatino Linotype" w:hAnsi="Palatino Linotype"/>
                <w:sz w:val="20"/>
                <w:szCs w:val="18"/>
                <w:lang w:val="en-US"/>
              </w:rPr>
              <w:t>8</w:t>
            </w:r>
            <w:r w:rsidR="00A9271C">
              <w:rPr>
                <w:rFonts w:ascii="Palatino Linotype" w:hAnsi="Palatino Linotype"/>
                <w:sz w:val="20"/>
                <w:szCs w:val="18"/>
                <w:lang w:val="en-US"/>
              </w:rPr>
              <w:t>3</w:t>
            </w:r>
            <w:r w:rsidRPr="00A047DA">
              <w:rPr>
                <w:rFonts w:ascii="Palatino Linotype" w:hAnsi="Palatino Linotype"/>
                <w:sz w:val="20"/>
                <w:szCs w:val="18"/>
                <w:lang w:val="en-US"/>
              </w:rPr>
              <w:t>]</w:t>
            </w:r>
          </w:p>
          <w:p w14:paraId="4AF6544F" w14:textId="5C6E157B" w:rsidR="002C3717" w:rsidRPr="00A047DA" w:rsidRDefault="002C3717" w:rsidP="00AE21C4">
            <w:pPr>
              <w:pStyle w:val="ListParagraph"/>
              <w:numPr>
                <w:ilvl w:val="1"/>
                <w:numId w:val="14"/>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It has a high per</w:t>
            </w:r>
            <w:r w:rsidR="006008CD">
              <w:rPr>
                <w:rFonts w:ascii="Palatino Linotype" w:hAnsi="Palatino Linotype"/>
                <w:sz w:val="20"/>
                <w:szCs w:val="18"/>
                <w:lang w:val="en-US"/>
              </w:rPr>
              <w:t xml:space="preserve"> </w:t>
            </w:r>
            <w:r w:rsidRPr="00A047DA">
              <w:rPr>
                <w:rFonts w:ascii="Palatino Linotype" w:hAnsi="Palatino Linotype"/>
                <w:sz w:val="20"/>
                <w:szCs w:val="18"/>
                <w:lang w:val="en-US"/>
              </w:rPr>
              <w:t>capita availability of agricultural land; this is</w:t>
            </w:r>
            <w:r w:rsidR="006008CD">
              <w:rPr>
                <w:rFonts w:ascii="Palatino Linotype" w:hAnsi="Palatino Linotype"/>
                <w:sz w:val="20"/>
                <w:szCs w:val="18"/>
                <w:lang w:val="en-US"/>
              </w:rPr>
              <w:t>,</w:t>
            </w:r>
            <w:r w:rsidRPr="00A047DA">
              <w:rPr>
                <w:rFonts w:ascii="Palatino Linotype" w:hAnsi="Palatino Linotype"/>
                <w:sz w:val="20"/>
                <w:szCs w:val="18"/>
                <w:lang w:val="en-US"/>
              </w:rPr>
              <w:t xml:space="preserve"> however</w:t>
            </w:r>
            <w:r w:rsidR="006008CD">
              <w:rPr>
                <w:rFonts w:ascii="Palatino Linotype" w:hAnsi="Palatino Linotype"/>
                <w:sz w:val="20"/>
                <w:szCs w:val="18"/>
                <w:lang w:val="en-US"/>
              </w:rPr>
              <w:t>,</w:t>
            </w:r>
            <w:r w:rsidRPr="00A047DA">
              <w:rPr>
                <w:rFonts w:ascii="Palatino Linotype" w:hAnsi="Palatino Linotype"/>
                <w:sz w:val="20"/>
                <w:szCs w:val="18"/>
                <w:lang w:val="en-US"/>
              </w:rPr>
              <w:t xml:space="preserve"> largely an artefact of the very low population of the country relative to its total geographical area.</w:t>
            </w:r>
          </w:p>
          <w:p w14:paraId="670D2B8B" w14:textId="02BABB64"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Although the total fraction of agricultural land is moderate </w:t>
            </w:r>
            <w:r w:rsidR="0001183F">
              <w:rPr>
                <w:rFonts w:ascii="Palatino Linotype" w:hAnsi="Palatino Linotype"/>
                <w:sz w:val="20"/>
                <w:szCs w:val="18"/>
                <w:lang w:val="en-US"/>
              </w:rPr>
              <w:t>[</w:t>
            </w:r>
            <w:r w:rsidR="00C91FFA">
              <w:rPr>
                <w:rFonts w:ascii="Palatino Linotype" w:hAnsi="Palatino Linotype"/>
                <w:sz w:val="20"/>
                <w:szCs w:val="18"/>
                <w:lang w:val="en-US"/>
              </w:rPr>
              <w:t>7</w:t>
            </w:r>
            <w:r w:rsidR="00A9271C">
              <w:rPr>
                <w:rFonts w:ascii="Palatino Linotype" w:hAnsi="Palatino Linotype"/>
                <w:sz w:val="20"/>
                <w:szCs w:val="18"/>
                <w:lang w:val="en-US"/>
              </w:rPr>
              <w:t>2</w:t>
            </w:r>
            <w:r w:rsidR="0001183F">
              <w:rPr>
                <w:rFonts w:ascii="Palatino Linotype" w:hAnsi="Palatino Linotype"/>
                <w:sz w:val="20"/>
                <w:szCs w:val="18"/>
                <w:lang w:val="en-US"/>
              </w:rPr>
              <w:t>]</w:t>
            </w:r>
            <w:r w:rsidR="006008CD">
              <w:rPr>
                <w:rFonts w:ascii="Palatino Linotype" w:hAnsi="Palatino Linotype"/>
                <w:sz w:val="20"/>
                <w:szCs w:val="18"/>
                <w:lang w:val="en-US"/>
              </w:rPr>
              <w:t>,</w:t>
            </w:r>
            <w:r w:rsidRPr="00A047DA">
              <w:rPr>
                <w:rFonts w:ascii="Palatino Linotype" w:hAnsi="Palatino Linotype"/>
                <w:sz w:val="20"/>
                <w:szCs w:val="18"/>
                <w:lang w:val="en-US"/>
              </w:rPr>
              <w:t xml:space="preserve"> there is limited agricultural capacity </w:t>
            </w:r>
            <w:r w:rsidR="00C91FFA">
              <w:rPr>
                <w:rFonts w:ascii="Palatino Linotype" w:hAnsi="Palatino Linotype"/>
                <w:sz w:val="20"/>
                <w:szCs w:val="18"/>
                <w:lang w:val="en-US"/>
              </w:rPr>
              <w:t>[8</w:t>
            </w:r>
            <w:r w:rsidR="00A9271C">
              <w:rPr>
                <w:rFonts w:ascii="Palatino Linotype" w:hAnsi="Palatino Linotype"/>
                <w:sz w:val="20"/>
                <w:szCs w:val="18"/>
                <w:lang w:val="en-US"/>
              </w:rPr>
              <w:t>7</w:t>
            </w:r>
            <w:r w:rsidR="00C91FFA">
              <w:rPr>
                <w:rFonts w:ascii="Palatino Linotype" w:hAnsi="Palatino Linotype"/>
                <w:sz w:val="20"/>
                <w:szCs w:val="18"/>
                <w:lang w:val="en-US"/>
              </w:rPr>
              <w:t xml:space="preserve">] </w:t>
            </w:r>
            <w:r w:rsidRPr="00A047DA">
              <w:rPr>
                <w:rFonts w:ascii="Palatino Linotype" w:hAnsi="Palatino Linotype"/>
                <w:sz w:val="20"/>
                <w:szCs w:val="18"/>
                <w:lang w:val="en-US"/>
              </w:rPr>
              <w:t>(due to limited fertile land and a climate unsuited to many arable crops) and remains reliant on food imports for a large proportion of its domestic demand</w:t>
            </w:r>
            <w:r w:rsidR="006C0A78">
              <w:rPr>
                <w:rFonts w:ascii="Palatino Linotype" w:hAnsi="Palatino Linotype"/>
                <w:sz w:val="20"/>
                <w:szCs w:val="18"/>
                <w:lang w:val="en-US"/>
              </w:rPr>
              <w:t xml:space="preserve">. </w:t>
            </w:r>
          </w:p>
          <w:p w14:paraId="7F4C7352" w14:textId="10919A99"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Iceland is also prone (in a similar manner to New Zealand) to volcanic geohazards, which pose an ongoing threat to the agricultural resources that the nation does possess</w:t>
            </w:r>
            <w:r w:rsidR="006C0A78">
              <w:rPr>
                <w:rFonts w:ascii="Palatino Linotype" w:hAnsi="Palatino Linotype"/>
                <w:sz w:val="20"/>
                <w:szCs w:val="18"/>
                <w:lang w:val="en-US"/>
              </w:rPr>
              <w:t xml:space="preserve">. </w:t>
            </w:r>
          </w:p>
          <w:p w14:paraId="32F10C59" w14:textId="063AF225"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hAnsi="Palatino Linotype"/>
                <w:sz w:val="20"/>
                <w:szCs w:val="18"/>
                <w:lang w:val="en-US"/>
              </w:rPr>
              <w:t>The low provision of land suitable for arable or livestock farming is</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however</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partly offset by extensive and well-established fisheries in the surrounding North Atlantic and the increasing use of intensive agricultural techniques supplemented by technology and abundant energy availability (e.g.</w:t>
            </w:r>
            <w:r w:rsidR="00CF3497">
              <w:rPr>
                <w:rFonts w:ascii="Palatino Linotype" w:hAnsi="Palatino Linotype"/>
                <w:sz w:val="20"/>
                <w:szCs w:val="18"/>
                <w:lang w:val="en-US"/>
              </w:rPr>
              <w:t>,</w:t>
            </w:r>
            <w:r w:rsidRPr="00A047DA">
              <w:rPr>
                <w:rFonts w:ascii="Palatino Linotype" w:hAnsi="Palatino Linotype"/>
                <w:sz w:val="20"/>
                <w:szCs w:val="18"/>
                <w:lang w:val="en-US"/>
              </w:rPr>
              <w:t xml:space="preserve"> geothermally heated polytunnels).</w:t>
            </w:r>
          </w:p>
        </w:tc>
      </w:tr>
      <w:tr w:rsidR="00A047DA" w:rsidRPr="00A047DA" w14:paraId="663DD329" w14:textId="77777777" w:rsidTr="004A6B48">
        <w:trPr>
          <w:jc w:val="center"/>
        </w:trPr>
        <w:tc>
          <w:tcPr>
            <w:tcW w:w="422" w:type="pct"/>
            <w:vMerge/>
            <w:tcBorders>
              <w:top w:val="nil"/>
              <w:bottom w:val="nil"/>
            </w:tcBorders>
            <w:vAlign w:val="center"/>
          </w:tcPr>
          <w:p w14:paraId="3D1DA4F4"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77" w:type="pct"/>
            <w:tcBorders>
              <w:top w:val="nil"/>
              <w:bottom w:val="nil"/>
            </w:tcBorders>
            <w:shd w:val="clear" w:color="auto" w:fill="auto"/>
            <w:vAlign w:val="center"/>
          </w:tcPr>
          <w:p w14:paraId="354DFDE2" w14:textId="50B3A732" w:rsidR="002C3717" w:rsidRPr="002C3C39" w:rsidRDefault="00FB5ADE" w:rsidP="00A047DA">
            <w:pPr>
              <w:autoSpaceDE w:val="0"/>
              <w:autoSpaceDN w:val="0"/>
              <w:adjustRightInd w:val="0"/>
              <w:snapToGrid w:val="0"/>
              <w:spacing w:line="240" w:lineRule="auto"/>
              <w:jc w:val="center"/>
              <w:rPr>
                <w:bCs/>
                <w:noProof w:val="0"/>
                <w:szCs w:val="18"/>
              </w:rPr>
            </w:pPr>
            <w:r w:rsidRPr="002C3C39">
              <w:rPr>
                <w:rFonts w:eastAsia="Times New Roman"/>
                <w:bCs/>
                <w:noProof w:val="0"/>
                <w:snapToGrid w:val="0"/>
                <w:lang w:bidi="en-US"/>
              </w:rPr>
              <w:t>Overview</w:t>
            </w:r>
          </w:p>
        </w:tc>
        <w:tc>
          <w:tcPr>
            <w:tcW w:w="3901" w:type="pct"/>
            <w:gridSpan w:val="2"/>
            <w:tcBorders>
              <w:top w:val="nil"/>
              <w:bottom w:val="nil"/>
            </w:tcBorders>
            <w:vAlign w:val="center"/>
          </w:tcPr>
          <w:p w14:paraId="0C118765" w14:textId="1E681C7B"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 xml:space="preserve">In terms of provision of indigenous electrical energy, Iceland has highly </w:t>
            </w:r>
            <w:proofErr w:type="spellStart"/>
            <w:r w:rsidRPr="00A047DA">
              <w:rPr>
                <w:rFonts w:ascii="Palatino Linotype" w:eastAsia="Times New Roman" w:hAnsi="Palatino Linotype"/>
                <w:bCs/>
                <w:snapToGrid w:val="0"/>
                <w:sz w:val="20"/>
                <w:szCs w:val="18"/>
                <w:lang w:val="en-US" w:bidi="en-US"/>
              </w:rPr>
              <w:t>favourable</w:t>
            </w:r>
            <w:proofErr w:type="spellEnd"/>
            <w:r w:rsidRPr="00A047DA">
              <w:rPr>
                <w:rFonts w:ascii="Palatino Linotype" w:eastAsia="Times New Roman" w:hAnsi="Palatino Linotype"/>
                <w:bCs/>
                <w:snapToGrid w:val="0"/>
                <w:sz w:val="20"/>
                <w:szCs w:val="18"/>
                <w:lang w:val="en-US" w:bidi="en-US"/>
              </w:rPr>
              <w:t xml:space="preserve"> conditions </w:t>
            </w:r>
            <w:proofErr w:type="gramStart"/>
            <w:r w:rsidRPr="00A047DA">
              <w:rPr>
                <w:rFonts w:ascii="Palatino Linotype" w:eastAsia="Times New Roman" w:hAnsi="Palatino Linotype"/>
                <w:bCs/>
                <w:snapToGrid w:val="0"/>
                <w:sz w:val="20"/>
                <w:szCs w:val="18"/>
                <w:lang w:val="en-US" w:bidi="en-US"/>
              </w:rPr>
              <w:t>as a result of</w:t>
            </w:r>
            <w:proofErr w:type="gramEnd"/>
            <w:r w:rsidRPr="00A047DA">
              <w:rPr>
                <w:rFonts w:ascii="Palatino Linotype" w:eastAsia="Times New Roman" w:hAnsi="Palatino Linotype"/>
                <w:bCs/>
                <w:snapToGrid w:val="0"/>
                <w:sz w:val="20"/>
                <w:szCs w:val="18"/>
                <w:lang w:val="en-US" w:bidi="en-US"/>
              </w:rPr>
              <w:t xml:space="preserve"> its</w:t>
            </w:r>
            <w:r w:rsidRPr="00A047DA">
              <w:rPr>
                <w:rFonts w:ascii="Palatino Linotype" w:hAnsi="Palatino Linotype"/>
                <w:sz w:val="20"/>
                <w:lang w:val="en-US"/>
              </w:rPr>
              <w:t xml:space="preserve"> </w:t>
            </w:r>
            <w:r w:rsidRPr="00A047DA">
              <w:rPr>
                <w:rFonts w:ascii="Palatino Linotype" w:eastAsia="Times New Roman" w:hAnsi="Palatino Linotype"/>
                <w:bCs/>
                <w:snapToGrid w:val="0"/>
                <w:sz w:val="20"/>
                <w:szCs w:val="18"/>
                <w:lang w:val="en-US" w:bidi="en-US"/>
              </w:rPr>
              <w:t>geographic contexts (a volcanically</w:t>
            </w:r>
            <w:r w:rsidR="00C84B23">
              <w:rPr>
                <w:rFonts w:ascii="Palatino Linotype" w:eastAsia="Times New Roman" w:hAnsi="Palatino Linotype"/>
                <w:bCs/>
                <w:snapToGrid w:val="0"/>
                <w:sz w:val="20"/>
                <w:szCs w:val="18"/>
                <w:lang w:val="en-US" w:bidi="en-US"/>
              </w:rPr>
              <w:t xml:space="preserve"> </w:t>
            </w:r>
            <w:r w:rsidRPr="00A047DA">
              <w:rPr>
                <w:rFonts w:ascii="Palatino Linotype" w:eastAsia="Times New Roman" w:hAnsi="Palatino Linotype"/>
                <w:bCs/>
                <w:snapToGrid w:val="0"/>
                <w:sz w:val="20"/>
                <w:szCs w:val="18"/>
                <w:lang w:val="en-US" w:bidi="en-US"/>
              </w:rPr>
              <w:t xml:space="preserve">active island at high northern latitudes, resulting in icecaps with significant runoff). </w:t>
            </w:r>
          </w:p>
          <w:p w14:paraId="1783DB53"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 xml:space="preserve">These indigenous sources comprise a resource that is greater than national demand (particularly if the requirements of </w:t>
            </w:r>
            <w:proofErr w:type="spellStart"/>
            <w:r w:rsidRPr="00A047DA">
              <w:rPr>
                <w:rFonts w:ascii="Palatino Linotype" w:eastAsia="Times New Roman" w:hAnsi="Palatino Linotype"/>
                <w:bCs/>
                <w:snapToGrid w:val="0"/>
                <w:sz w:val="20"/>
                <w:szCs w:val="18"/>
                <w:lang w:val="en-US" w:bidi="en-US"/>
              </w:rPr>
              <w:t>Fjardaál</w:t>
            </w:r>
            <w:proofErr w:type="spellEnd"/>
            <w:r w:rsidRPr="00A047DA">
              <w:rPr>
                <w:rFonts w:ascii="Palatino Linotype" w:eastAsia="Times New Roman" w:hAnsi="Palatino Linotype"/>
                <w:bCs/>
                <w:snapToGrid w:val="0"/>
                <w:sz w:val="20"/>
                <w:szCs w:val="18"/>
                <w:lang w:val="en-US" w:bidi="en-US"/>
              </w:rPr>
              <w:t xml:space="preserve"> were subtracted) in a similar vein to New Zealand. </w:t>
            </w:r>
          </w:p>
          <w:p w14:paraId="3881CA62"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Overall, Iceland has several ‘</w:t>
            </w:r>
            <w:proofErr w:type="spellStart"/>
            <w:r w:rsidRPr="00A047DA">
              <w:rPr>
                <w:rFonts w:ascii="Palatino Linotype" w:eastAsia="Times New Roman" w:hAnsi="Palatino Linotype"/>
                <w:bCs/>
                <w:snapToGrid w:val="0"/>
                <w:sz w:val="20"/>
                <w:szCs w:val="18"/>
                <w:lang w:val="en-US" w:bidi="en-US"/>
              </w:rPr>
              <w:t>favourable</w:t>
            </w:r>
            <w:proofErr w:type="spellEnd"/>
            <w:r w:rsidRPr="00A047DA">
              <w:rPr>
                <w:rFonts w:ascii="Palatino Linotype" w:eastAsia="Times New Roman" w:hAnsi="Palatino Linotype"/>
                <w:bCs/>
                <w:snapToGrid w:val="0"/>
                <w:sz w:val="20"/>
                <w:szCs w:val="18"/>
                <w:lang w:val="en-US" w:bidi="en-US"/>
              </w:rPr>
              <w:t xml:space="preserve"> starting conditions’ (primarily an abundance of current/potential renewable energy resources that may serve to offset agricultural capacity limited by geography) that give it potential to comprise a future ‘node of persisting complexity’.</w:t>
            </w:r>
          </w:p>
        </w:tc>
      </w:tr>
      <w:tr w:rsidR="00A047DA" w:rsidRPr="00A047DA" w14:paraId="11E8F471" w14:textId="77777777" w:rsidTr="004A6B48">
        <w:trPr>
          <w:jc w:val="center"/>
        </w:trPr>
        <w:tc>
          <w:tcPr>
            <w:tcW w:w="422" w:type="pct"/>
            <w:vMerge w:val="restart"/>
            <w:tcBorders>
              <w:top w:val="nil"/>
              <w:bottom w:val="nil"/>
            </w:tcBorders>
            <w:vAlign w:val="center"/>
          </w:tcPr>
          <w:p w14:paraId="6CDAC99F" w14:textId="2049420D" w:rsidR="002C3717" w:rsidRPr="002C3C39" w:rsidRDefault="009F2295"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szCs w:val="22"/>
                <w:lang w:bidi="en-US"/>
              </w:rPr>
              <w:t>United Kingdom</w:t>
            </w:r>
          </w:p>
        </w:tc>
        <w:tc>
          <w:tcPr>
            <w:tcW w:w="663" w:type="pct"/>
            <w:tcBorders>
              <w:top w:val="nil"/>
              <w:bottom w:val="nil"/>
            </w:tcBorders>
            <w:shd w:val="clear" w:color="auto" w:fill="auto"/>
            <w:vAlign w:val="center"/>
          </w:tcPr>
          <w:p w14:paraId="2075D106" w14:textId="3E5FD4A1" w:rsidR="002C3717" w:rsidRPr="002C3C39" w:rsidRDefault="00FB5ADE" w:rsidP="00A047DA">
            <w:pPr>
              <w:autoSpaceDE w:val="0"/>
              <w:autoSpaceDN w:val="0"/>
              <w:adjustRightInd w:val="0"/>
              <w:snapToGrid w:val="0"/>
              <w:spacing w:line="240" w:lineRule="auto"/>
              <w:jc w:val="center"/>
              <w:rPr>
                <w:bCs/>
                <w:noProof w:val="0"/>
                <w:szCs w:val="18"/>
              </w:rPr>
            </w:pPr>
            <w:r w:rsidRPr="00FB5ADE">
              <w:rPr>
                <w:rFonts w:eastAsia="Times New Roman"/>
                <w:bCs/>
                <w:noProof w:val="0"/>
                <w:snapToGrid w:val="0"/>
                <w:szCs w:val="22"/>
                <w:lang w:bidi="en-US"/>
              </w:rPr>
              <w:t>Energy Resources</w:t>
            </w:r>
          </w:p>
        </w:tc>
        <w:tc>
          <w:tcPr>
            <w:tcW w:w="3914" w:type="pct"/>
            <w:gridSpan w:val="2"/>
            <w:tcBorders>
              <w:top w:val="nil"/>
              <w:bottom w:val="nil"/>
            </w:tcBorders>
            <w:vAlign w:val="center"/>
          </w:tcPr>
          <w:p w14:paraId="62E09B2F" w14:textId="7D6D0CA3"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United Kingdom</w:t>
            </w:r>
            <w:r w:rsidRPr="00A047DA">
              <w:rPr>
                <w:rFonts w:ascii="Palatino Linotype" w:eastAsia="SimSun" w:hAnsi="Palatino Linotype" w:cs="Times New Roman"/>
                <w:color w:val="000000"/>
                <w:sz w:val="20"/>
                <w:szCs w:val="20"/>
                <w:lang w:val="en-US" w:eastAsia="zh-CN"/>
              </w:rPr>
              <w:t xml:space="preserve"> </w:t>
            </w:r>
            <w:r w:rsidRPr="00A047DA">
              <w:rPr>
                <w:rFonts w:ascii="Palatino Linotype" w:hAnsi="Palatino Linotype"/>
                <w:sz w:val="20"/>
                <w:szCs w:val="18"/>
                <w:lang w:val="en-US"/>
              </w:rPr>
              <w:t xml:space="preserve">has mixed energy resources and capacity </w:t>
            </w:r>
            <w:r w:rsidR="0001183F">
              <w:rPr>
                <w:rFonts w:ascii="Palatino Linotype" w:hAnsi="Palatino Linotype"/>
                <w:sz w:val="20"/>
                <w:szCs w:val="18"/>
                <w:lang w:val="en-US"/>
              </w:rPr>
              <w:t>[</w:t>
            </w:r>
            <w:r w:rsidR="007C36B8">
              <w:rPr>
                <w:rFonts w:ascii="Palatino Linotype" w:hAnsi="Palatino Linotype"/>
                <w:sz w:val="20"/>
                <w:szCs w:val="18"/>
                <w:lang w:val="en-US"/>
              </w:rPr>
              <w:t>8</w:t>
            </w:r>
            <w:r w:rsidR="00A9271C">
              <w:rPr>
                <w:rFonts w:ascii="Palatino Linotype" w:hAnsi="Palatino Linotype"/>
                <w:sz w:val="20"/>
                <w:szCs w:val="18"/>
                <w:lang w:val="en-US"/>
              </w:rPr>
              <w:t>8</w:t>
            </w:r>
            <w:r w:rsidR="0001183F">
              <w:rPr>
                <w:rFonts w:ascii="Palatino Linotype" w:hAnsi="Palatino Linotype"/>
                <w:sz w:val="20"/>
                <w:szCs w:val="18"/>
                <w:lang w:val="en-US"/>
              </w:rPr>
              <w:t>]</w:t>
            </w:r>
            <w:r w:rsidRPr="00A047DA">
              <w:rPr>
                <w:rFonts w:ascii="Palatino Linotype" w:hAnsi="Palatino Linotype"/>
                <w:sz w:val="20"/>
                <w:szCs w:val="18"/>
                <w:lang w:val="en-US"/>
              </w:rPr>
              <w:t xml:space="preserve"> and</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therefore</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a more complex ‘energy base’ than the other nations considered to have ‘</w:t>
            </w:r>
            <w:proofErr w:type="spellStart"/>
            <w:r w:rsidRPr="00A047DA">
              <w:rPr>
                <w:rFonts w:ascii="Palatino Linotype" w:hAnsi="Palatino Linotype"/>
                <w:sz w:val="20"/>
                <w:szCs w:val="18"/>
                <w:lang w:val="en-US"/>
              </w:rPr>
              <w:t>favourable</w:t>
            </w:r>
            <w:proofErr w:type="spellEnd"/>
            <w:r w:rsidRPr="00A047DA">
              <w:rPr>
                <w:rFonts w:ascii="Palatino Linotype" w:hAnsi="Palatino Linotype"/>
                <w:sz w:val="20"/>
                <w:szCs w:val="18"/>
                <w:lang w:val="en-US"/>
              </w:rPr>
              <w:t xml:space="preserve"> starting </w:t>
            </w:r>
            <w:proofErr w:type="gramStart"/>
            <w:r w:rsidRPr="00A047DA">
              <w:rPr>
                <w:rFonts w:ascii="Palatino Linotype" w:hAnsi="Palatino Linotype"/>
                <w:sz w:val="20"/>
                <w:szCs w:val="18"/>
                <w:lang w:val="en-US"/>
              </w:rPr>
              <w:t>conditions’</w:t>
            </w:r>
            <w:proofErr w:type="gramEnd"/>
            <w:r w:rsidRPr="00A047DA">
              <w:rPr>
                <w:rFonts w:ascii="Palatino Linotype" w:hAnsi="Palatino Linotype"/>
                <w:sz w:val="20"/>
                <w:szCs w:val="18"/>
                <w:lang w:val="en-US"/>
              </w:rPr>
              <w:t>.</w:t>
            </w:r>
          </w:p>
          <w:p w14:paraId="5DAE4944" w14:textId="2A689C4D"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It currently has a large (but decreasing) reliance of fossil fuel (particularly natural gas) and nuclear generation capacity, with a large (and increasing</w:t>
            </w:r>
            <w:r w:rsidR="00C84B23">
              <w:rPr>
                <w:rFonts w:ascii="Palatino Linotype" w:hAnsi="Palatino Linotype"/>
                <w:sz w:val="20"/>
                <w:szCs w:val="18"/>
                <w:lang w:val="en-US"/>
              </w:rPr>
              <w:t>—</w:t>
            </w:r>
            <w:r w:rsidRPr="00A047DA">
              <w:rPr>
                <w:rFonts w:ascii="Palatino Linotype" w:hAnsi="Palatino Linotype"/>
                <w:sz w:val="20"/>
                <w:szCs w:val="18"/>
                <w:lang w:val="en-US"/>
              </w:rPr>
              <w:t>peaking at up to approx. 50% of total electrical load) renewables contribution (particularly offshore wind)</w:t>
            </w:r>
            <w:r w:rsidR="00C84B23">
              <w:rPr>
                <w:rFonts w:ascii="Palatino Linotype" w:hAnsi="Palatino Linotype"/>
                <w:sz w:val="20"/>
                <w:szCs w:val="18"/>
                <w:lang w:val="en-US"/>
              </w:rPr>
              <w:t>.</w:t>
            </w:r>
          </w:p>
          <w:p w14:paraId="023DA4D3" w14:textId="5B8AB57C"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The indigenous renewable energy infrastructure also has significant potential to be increased, primarily due to currently unexploited wind resources, but also through infrastructure to exploit other large resources, such as lagoons or barrages in the highly tidal Severn </w:t>
            </w:r>
            <w:r w:rsidRPr="004513D3">
              <w:rPr>
                <w:rFonts w:ascii="Palatino Linotype" w:hAnsi="Palatino Linotype"/>
                <w:sz w:val="20"/>
                <w:szCs w:val="18"/>
                <w:highlight w:val="yellow"/>
                <w:lang w:val="en-US"/>
              </w:rPr>
              <w:t xml:space="preserve">Estuary </w:t>
            </w:r>
            <w:r w:rsidR="0001183F" w:rsidRPr="004513D3">
              <w:rPr>
                <w:rFonts w:ascii="Palatino Linotype" w:hAnsi="Palatino Linotype"/>
                <w:sz w:val="20"/>
                <w:szCs w:val="18"/>
                <w:highlight w:val="yellow"/>
                <w:lang w:val="en-US"/>
              </w:rPr>
              <w:t>[</w:t>
            </w:r>
            <w:r w:rsidR="009C0E15" w:rsidRPr="004513D3">
              <w:rPr>
                <w:rFonts w:ascii="Palatino Linotype" w:hAnsi="Palatino Linotype"/>
                <w:sz w:val="20"/>
                <w:szCs w:val="18"/>
                <w:highlight w:val="yellow"/>
                <w:lang w:val="en-US"/>
              </w:rPr>
              <w:t>8</w:t>
            </w:r>
            <w:r w:rsidR="00A9271C">
              <w:rPr>
                <w:rFonts w:ascii="Palatino Linotype" w:hAnsi="Palatino Linotype"/>
                <w:sz w:val="20"/>
                <w:szCs w:val="18"/>
                <w:highlight w:val="yellow"/>
                <w:lang w:val="en-US"/>
              </w:rPr>
              <w:t>9</w:t>
            </w:r>
            <w:r w:rsidR="0001183F" w:rsidRPr="004513D3">
              <w:rPr>
                <w:rFonts w:ascii="Palatino Linotype" w:hAnsi="Palatino Linotype"/>
                <w:sz w:val="20"/>
                <w:szCs w:val="18"/>
                <w:highlight w:val="yellow"/>
                <w:lang w:val="en-US"/>
              </w:rPr>
              <w:t>]</w:t>
            </w:r>
            <w:r w:rsidR="006C0A78" w:rsidRPr="004513D3">
              <w:rPr>
                <w:rFonts w:ascii="Palatino Linotype" w:hAnsi="Palatino Linotype"/>
                <w:sz w:val="20"/>
                <w:szCs w:val="18"/>
                <w:highlight w:val="yellow"/>
                <w:lang w:val="en-US"/>
              </w:rPr>
              <w:t xml:space="preserve">. </w:t>
            </w:r>
          </w:p>
        </w:tc>
      </w:tr>
      <w:tr w:rsidR="00A047DA" w:rsidRPr="00A047DA" w14:paraId="647C1E1B" w14:textId="77777777" w:rsidTr="004A6B48">
        <w:trPr>
          <w:jc w:val="center"/>
        </w:trPr>
        <w:tc>
          <w:tcPr>
            <w:tcW w:w="422" w:type="pct"/>
            <w:vMerge/>
            <w:tcBorders>
              <w:top w:val="nil"/>
              <w:bottom w:val="nil"/>
            </w:tcBorders>
            <w:vAlign w:val="center"/>
          </w:tcPr>
          <w:p w14:paraId="30F658F6"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63" w:type="pct"/>
            <w:tcBorders>
              <w:top w:val="nil"/>
              <w:bottom w:val="nil"/>
            </w:tcBorders>
            <w:shd w:val="clear" w:color="auto" w:fill="auto"/>
            <w:vAlign w:val="center"/>
          </w:tcPr>
          <w:p w14:paraId="75BFB1E7" w14:textId="156AD6A6" w:rsidR="002C3717" w:rsidRPr="002C3C39" w:rsidRDefault="00FB5ADE" w:rsidP="00A047DA">
            <w:pPr>
              <w:autoSpaceDE w:val="0"/>
              <w:autoSpaceDN w:val="0"/>
              <w:adjustRightInd w:val="0"/>
              <w:snapToGrid w:val="0"/>
              <w:spacing w:line="240" w:lineRule="auto"/>
              <w:jc w:val="center"/>
              <w:rPr>
                <w:bCs/>
                <w:noProof w:val="0"/>
                <w:szCs w:val="18"/>
              </w:rPr>
            </w:pPr>
            <w:r w:rsidRPr="00FB5ADE">
              <w:rPr>
                <w:rFonts w:eastAsia="Times New Roman"/>
                <w:bCs/>
                <w:noProof w:val="0"/>
                <w:snapToGrid w:val="0"/>
                <w:szCs w:val="22"/>
                <w:lang w:bidi="en-US"/>
              </w:rPr>
              <w:t xml:space="preserve">Climate, Agricultural </w:t>
            </w:r>
            <w:proofErr w:type="gramStart"/>
            <w:r w:rsidRPr="00FB5ADE">
              <w:rPr>
                <w:rFonts w:eastAsia="Times New Roman"/>
                <w:bCs/>
                <w:noProof w:val="0"/>
                <w:snapToGrid w:val="0"/>
                <w:szCs w:val="22"/>
                <w:lang w:bidi="en-US"/>
              </w:rPr>
              <w:t>resources</w:t>
            </w:r>
            <w:proofErr w:type="gramEnd"/>
            <w:r w:rsidRPr="00FB5ADE">
              <w:rPr>
                <w:rFonts w:eastAsia="Times New Roman"/>
                <w:bCs/>
                <w:noProof w:val="0"/>
                <w:snapToGrid w:val="0"/>
                <w:szCs w:val="22"/>
                <w:lang w:bidi="en-US"/>
              </w:rPr>
              <w:t xml:space="preserve"> and other factors</w:t>
            </w:r>
          </w:p>
        </w:tc>
        <w:tc>
          <w:tcPr>
            <w:tcW w:w="3914" w:type="pct"/>
            <w:gridSpan w:val="2"/>
            <w:tcBorders>
              <w:top w:val="nil"/>
              <w:bottom w:val="nil"/>
            </w:tcBorders>
            <w:vAlign w:val="center"/>
          </w:tcPr>
          <w:p w14:paraId="5618D145" w14:textId="3EB9542E"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United Kingdom has a temperate climate (moderated by prevailing southwest winds over the North Atlantic Current), plentiful precipitation [8</w:t>
            </w:r>
            <w:r w:rsidR="00A9271C">
              <w:rPr>
                <w:rFonts w:ascii="Palatino Linotype" w:hAnsi="Palatino Linotype"/>
                <w:sz w:val="20"/>
                <w:szCs w:val="18"/>
                <w:lang w:val="en-US"/>
              </w:rPr>
              <w:t>3</w:t>
            </w:r>
            <w:r w:rsidRPr="00A047DA">
              <w:rPr>
                <w:rFonts w:ascii="Palatino Linotype" w:hAnsi="Palatino Linotype"/>
                <w:sz w:val="20"/>
                <w:szCs w:val="18"/>
                <w:lang w:val="en-US"/>
              </w:rPr>
              <w:t>] and generally fertile soils</w:t>
            </w:r>
            <w:r w:rsidR="006C0A78">
              <w:rPr>
                <w:rFonts w:ascii="Palatino Linotype" w:hAnsi="Palatino Linotype"/>
                <w:sz w:val="20"/>
                <w:szCs w:val="18"/>
                <w:lang w:val="en-US"/>
              </w:rPr>
              <w:t xml:space="preserve">. </w:t>
            </w:r>
          </w:p>
          <w:p w14:paraId="112122B4" w14:textId="0A410819"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It has a low per</w:t>
            </w:r>
            <w:r w:rsidR="00C84B23">
              <w:rPr>
                <w:rFonts w:ascii="Palatino Linotype" w:hAnsi="Palatino Linotype"/>
                <w:sz w:val="20"/>
                <w:szCs w:val="18"/>
                <w:lang w:val="en-US"/>
              </w:rPr>
              <w:t xml:space="preserve"> </w:t>
            </w:r>
            <w:r w:rsidRPr="00A047DA">
              <w:rPr>
                <w:rFonts w:ascii="Palatino Linotype" w:hAnsi="Palatino Linotype"/>
                <w:sz w:val="20"/>
                <w:szCs w:val="18"/>
                <w:lang w:val="en-US"/>
              </w:rPr>
              <w:t>capita availability of agricultural land; this is</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however</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largely an artefact of the very high population of the country relative to its endowment of agricultural land and total geographical area</w:t>
            </w:r>
            <w:r w:rsidR="006C0A78">
              <w:rPr>
                <w:rFonts w:ascii="Palatino Linotype" w:hAnsi="Palatino Linotype"/>
                <w:sz w:val="20"/>
                <w:szCs w:val="18"/>
                <w:lang w:val="en-US"/>
              </w:rPr>
              <w:t xml:space="preserve">. </w:t>
            </w:r>
          </w:p>
          <w:p w14:paraId="3F3D16AD" w14:textId="1BBBA769"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Agriculture in the United Kingdom is extensive </w:t>
            </w:r>
            <w:r w:rsidR="0001183F">
              <w:rPr>
                <w:rFonts w:ascii="Palatino Linotype" w:hAnsi="Palatino Linotype"/>
                <w:sz w:val="20"/>
                <w:szCs w:val="18"/>
                <w:lang w:val="en-US"/>
              </w:rPr>
              <w:t>[</w:t>
            </w:r>
            <w:r w:rsidR="00A9271C">
              <w:rPr>
                <w:rFonts w:ascii="Palatino Linotype" w:hAnsi="Palatino Linotype"/>
                <w:sz w:val="20"/>
                <w:szCs w:val="18"/>
                <w:lang w:val="en-US"/>
              </w:rPr>
              <w:t>90</w:t>
            </w:r>
            <w:r w:rsidR="0001183F">
              <w:rPr>
                <w:rFonts w:ascii="Palatino Linotype" w:hAnsi="Palatino Linotype"/>
                <w:sz w:val="20"/>
                <w:szCs w:val="18"/>
                <w:lang w:val="en-US"/>
              </w:rPr>
              <w:t>]</w:t>
            </w:r>
            <w:r w:rsidRPr="00A047DA">
              <w:rPr>
                <w:rFonts w:ascii="Palatino Linotype" w:hAnsi="Palatino Linotype"/>
                <w:sz w:val="20"/>
                <w:szCs w:val="18"/>
                <w:lang w:val="en-US"/>
              </w:rPr>
              <w:t>, varied in terms of produce and outputs and shows generally increasing trends in outputs and generally improving environmental metrics</w:t>
            </w:r>
            <w:r w:rsidR="006C0A78">
              <w:rPr>
                <w:rFonts w:ascii="Palatino Linotype" w:hAnsi="Palatino Linotype"/>
                <w:sz w:val="20"/>
                <w:szCs w:val="18"/>
                <w:lang w:val="en-US"/>
              </w:rPr>
              <w:t xml:space="preserve">. </w:t>
            </w:r>
          </w:p>
          <w:p w14:paraId="259BC909"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United Kingdom is not prone to major natural hazards, though extreme weather events have the potential to damage agricultural output, particularly considering the small land area of the nation.</w:t>
            </w:r>
          </w:p>
        </w:tc>
      </w:tr>
      <w:tr w:rsidR="00A047DA" w:rsidRPr="00A047DA" w14:paraId="1F5C3162" w14:textId="77777777" w:rsidTr="004A6B48">
        <w:trPr>
          <w:jc w:val="center"/>
        </w:trPr>
        <w:tc>
          <w:tcPr>
            <w:tcW w:w="422" w:type="pct"/>
            <w:vMerge/>
            <w:tcBorders>
              <w:top w:val="nil"/>
              <w:bottom w:val="nil"/>
            </w:tcBorders>
            <w:vAlign w:val="center"/>
          </w:tcPr>
          <w:p w14:paraId="089BE8B9"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63" w:type="pct"/>
            <w:tcBorders>
              <w:top w:val="nil"/>
              <w:bottom w:val="nil"/>
            </w:tcBorders>
            <w:shd w:val="clear" w:color="auto" w:fill="auto"/>
            <w:vAlign w:val="center"/>
          </w:tcPr>
          <w:p w14:paraId="603BBECC" w14:textId="09121B00" w:rsidR="002C3717" w:rsidRPr="002C3C39" w:rsidRDefault="00FB5ADE" w:rsidP="00A047DA">
            <w:pPr>
              <w:autoSpaceDE w:val="0"/>
              <w:autoSpaceDN w:val="0"/>
              <w:adjustRightInd w:val="0"/>
              <w:snapToGrid w:val="0"/>
              <w:spacing w:line="240" w:lineRule="auto"/>
              <w:jc w:val="center"/>
              <w:rPr>
                <w:bCs/>
                <w:noProof w:val="0"/>
                <w:szCs w:val="18"/>
              </w:rPr>
            </w:pPr>
            <w:r w:rsidRPr="002C3C39">
              <w:rPr>
                <w:rFonts w:eastAsia="Times New Roman"/>
                <w:bCs/>
                <w:noProof w:val="0"/>
                <w:snapToGrid w:val="0"/>
                <w:lang w:bidi="en-US"/>
              </w:rPr>
              <w:t>Overview</w:t>
            </w:r>
          </w:p>
        </w:tc>
        <w:tc>
          <w:tcPr>
            <w:tcW w:w="3914" w:type="pct"/>
            <w:gridSpan w:val="2"/>
            <w:tcBorders>
              <w:top w:val="nil"/>
              <w:bottom w:val="nil"/>
            </w:tcBorders>
            <w:vAlign w:val="center"/>
          </w:tcPr>
          <w:p w14:paraId="6F137DC9"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The United Kingdom has an overall complex and mixed picture for ‘</w:t>
            </w:r>
            <w:proofErr w:type="spellStart"/>
            <w:r w:rsidRPr="00A047DA">
              <w:rPr>
                <w:rFonts w:ascii="Palatino Linotype" w:hAnsi="Palatino Linotype"/>
                <w:sz w:val="20"/>
                <w:szCs w:val="18"/>
                <w:lang w:val="en-US"/>
              </w:rPr>
              <w:t>favourable</w:t>
            </w:r>
            <w:proofErr w:type="spellEnd"/>
            <w:r w:rsidRPr="00A047DA">
              <w:rPr>
                <w:rFonts w:ascii="Palatino Linotype" w:hAnsi="Palatino Linotype"/>
                <w:sz w:val="20"/>
                <w:szCs w:val="18"/>
                <w:lang w:val="en-US"/>
              </w:rPr>
              <w:t xml:space="preserve"> starting </w:t>
            </w:r>
            <w:proofErr w:type="gramStart"/>
            <w:r w:rsidRPr="00A047DA">
              <w:rPr>
                <w:rFonts w:ascii="Palatino Linotype" w:hAnsi="Palatino Linotype"/>
                <w:sz w:val="20"/>
                <w:szCs w:val="18"/>
                <w:lang w:val="en-US"/>
              </w:rPr>
              <w:t>conditions’</w:t>
            </w:r>
            <w:proofErr w:type="gramEnd"/>
            <w:r w:rsidRPr="00A047DA">
              <w:rPr>
                <w:rFonts w:ascii="Palatino Linotype" w:hAnsi="Palatino Linotype"/>
                <w:sz w:val="20"/>
                <w:szCs w:val="18"/>
                <w:lang w:val="en-US"/>
              </w:rPr>
              <w:t>.</w:t>
            </w:r>
          </w:p>
          <w:p w14:paraId="59CD7484" w14:textId="75D8E210"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It has extensive renewable energy resources (primarily wind)</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which are partially exploited and with capacity for the usage to increase in future</w:t>
            </w:r>
            <w:r w:rsidR="006C0A78">
              <w:rPr>
                <w:rFonts w:ascii="Palatino Linotype" w:hAnsi="Palatino Linotype"/>
                <w:sz w:val="20"/>
                <w:szCs w:val="18"/>
                <w:lang w:val="en-US"/>
              </w:rPr>
              <w:t xml:space="preserve">. </w:t>
            </w:r>
          </w:p>
          <w:p w14:paraId="39FBC664" w14:textId="71B3E82A" w:rsidR="002C3717" w:rsidRPr="00A047DA" w:rsidRDefault="002C3717" w:rsidP="002C3C39">
            <w:pPr>
              <w:pStyle w:val="ListParagraph"/>
              <w:numPr>
                <w:ilvl w:val="1"/>
                <w:numId w:val="27"/>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However, it has a high population and per</w:t>
            </w:r>
            <w:r w:rsidR="00C84B23">
              <w:rPr>
                <w:rFonts w:ascii="Palatino Linotype" w:hAnsi="Palatino Linotype"/>
                <w:sz w:val="20"/>
                <w:szCs w:val="18"/>
                <w:lang w:val="en-US"/>
              </w:rPr>
              <w:t xml:space="preserve"> c</w:t>
            </w:r>
            <w:r w:rsidRPr="00A047DA">
              <w:rPr>
                <w:rFonts w:ascii="Palatino Linotype" w:hAnsi="Palatino Linotype"/>
                <w:sz w:val="20"/>
                <w:szCs w:val="18"/>
                <w:lang w:val="en-US"/>
              </w:rPr>
              <w:t xml:space="preserve">apita energy demand </w:t>
            </w:r>
            <w:r w:rsidR="0001183F">
              <w:rPr>
                <w:rFonts w:ascii="Palatino Linotype" w:hAnsi="Palatino Linotype"/>
                <w:sz w:val="20"/>
                <w:szCs w:val="18"/>
                <w:lang w:val="en-US"/>
              </w:rPr>
              <w:t>[</w:t>
            </w:r>
            <w:r w:rsidR="00A9271C">
              <w:rPr>
                <w:rFonts w:ascii="Palatino Linotype" w:hAnsi="Palatino Linotype"/>
                <w:sz w:val="20"/>
                <w:szCs w:val="18"/>
                <w:lang w:val="en-US"/>
              </w:rPr>
              <w:t>91</w:t>
            </w:r>
            <w:r w:rsidR="0001183F">
              <w:rPr>
                <w:rFonts w:ascii="Palatino Linotype" w:hAnsi="Palatino Linotype"/>
                <w:sz w:val="20"/>
                <w:szCs w:val="18"/>
                <w:lang w:val="en-US"/>
              </w:rPr>
              <w:t>]</w:t>
            </w:r>
            <w:r w:rsidR="00C84B23">
              <w:rPr>
                <w:rFonts w:ascii="Palatino Linotype" w:hAnsi="Palatino Linotype"/>
                <w:sz w:val="20"/>
                <w:szCs w:val="18"/>
                <w:lang w:val="en-US"/>
              </w:rPr>
              <w:t>,</w:t>
            </w:r>
            <w:r w:rsidRPr="00A047DA">
              <w:rPr>
                <w:rFonts w:ascii="Palatino Linotype" w:hAnsi="Palatino Linotype"/>
                <w:sz w:val="20"/>
                <w:szCs w:val="18"/>
                <w:lang w:val="en-US"/>
              </w:rPr>
              <w:t xml:space="preserve"> and meeting contemporary demands with renewables alone would require very extensive infrastructure, hence the lower penetration than other nations considered</w:t>
            </w:r>
          </w:p>
          <w:p w14:paraId="0AF6CD63" w14:textId="0F0FFFE1" w:rsidR="002C3717" w:rsidRPr="00A047DA" w:rsidRDefault="002C3717" w:rsidP="002C3C39">
            <w:pPr>
              <w:pStyle w:val="ListParagraph"/>
              <w:numPr>
                <w:ilvl w:val="1"/>
                <w:numId w:val="27"/>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The reliance on a mix of generation sources also has the potential to render a transition in a global ‘de-complexification’ event more challenging</w:t>
            </w:r>
            <w:r w:rsidR="006C0A78">
              <w:rPr>
                <w:rFonts w:ascii="Palatino Linotype" w:hAnsi="Palatino Linotype"/>
                <w:sz w:val="20"/>
                <w:szCs w:val="18"/>
                <w:lang w:val="en-US"/>
              </w:rPr>
              <w:t xml:space="preserve">. </w:t>
            </w:r>
            <w:r w:rsidRPr="00A047DA">
              <w:rPr>
                <w:rFonts w:ascii="Palatino Linotype" w:hAnsi="Palatino Linotype"/>
                <w:sz w:val="20"/>
                <w:szCs w:val="18"/>
                <w:lang w:val="en-US"/>
              </w:rPr>
              <w:t xml:space="preserve">High-technology generation sources that rely on </w:t>
            </w:r>
            <w:proofErr w:type="spellStart"/>
            <w:r w:rsidRPr="00A047DA">
              <w:rPr>
                <w:rFonts w:ascii="Palatino Linotype" w:hAnsi="Palatino Linotype"/>
                <w:sz w:val="20"/>
                <w:szCs w:val="18"/>
                <w:lang w:val="en-US"/>
              </w:rPr>
              <w:t>globalised</w:t>
            </w:r>
            <w:proofErr w:type="spellEnd"/>
            <w:r w:rsidRPr="00A047DA">
              <w:rPr>
                <w:rFonts w:ascii="Palatino Linotype" w:hAnsi="Palatino Linotype"/>
                <w:sz w:val="20"/>
                <w:szCs w:val="18"/>
                <w:lang w:val="en-US"/>
              </w:rPr>
              <w:t xml:space="preserve"> supply chains for fuel and other support services (i.e.</w:t>
            </w:r>
            <w:r w:rsidR="00CF3497">
              <w:rPr>
                <w:rFonts w:ascii="Palatino Linotype" w:hAnsi="Palatino Linotype"/>
                <w:sz w:val="20"/>
                <w:szCs w:val="18"/>
                <w:lang w:val="en-US"/>
              </w:rPr>
              <w:t>,</w:t>
            </w:r>
            <w:r w:rsidRPr="00A047DA">
              <w:rPr>
                <w:rFonts w:ascii="Palatino Linotype" w:hAnsi="Palatino Linotype"/>
                <w:sz w:val="20"/>
                <w:szCs w:val="18"/>
                <w:lang w:val="en-US"/>
              </w:rPr>
              <w:t xml:space="preserve"> natural gas and nuclear generation capacity) could potentially be rendered at least partly inoperable after </w:t>
            </w:r>
            <w:proofErr w:type="gramStart"/>
            <w:r w:rsidRPr="00A047DA">
              <w:rPr>
                <w:rFonts w:ascii="Palatino Linotype" w:hAnsi="Palatino Linotype"/>
                <w:sz w:val="20"/>
                <w:szCs w:val="18"/>
                <w:lang w:val="en-US"/>
              </w:rPr>
              <w:t>a period of time</w:t>
            </w:r>
            <w:proofErr w:type="gramEnd"/>
            <w:r w:rsidRPr="00A047DA">
              <w:rPr>
                <w:rFonts w:ascii="Palatino Linotype" w:hAnsi="Palatino Linotype"/>
                <w:sz w:val="20"/>
                <w:szCs w:val="18"/>
                <w:lang w:val="en-US"/>
              </w:rPr>
              <w:t xml:space="preserve"> (although the nation’s manufacturing capabilities may be able to at least partly mitigate this)</w:t>
            </w:r>
            <w:r w:rsidR="006C0A78">
              <w:rPr>
                <w:rFonts w:ascii="Palatino Linotype" w:hAnsi="Palatino Linotype"/>
                <w:sz w:val="20"/>
                <w:szCs w:val="18"/>
                <w:lang w:val="en-US"/>
              </w:rPr>
              <w:t xml:space="preserve">. </w:t>
            </w:r>
          </w:p>
          <w:p w14:paraId="39320763" w14:textId="77777777" w:rsidR="002C3717" w:rsidRPr="00A047DA" w:rsidRDefault="002C3717" w:rsidP="002C3C39">
            <w:pPr>
              <w:pStyle w:val="ListParagraph"/>
              <w:numPr>
                <w:ilvl w:val="1"/>
                <w:numId w:val="27"/>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A switch to greater reliance on renewables could also be more challenging than in the nations that currently have a simpler energy mix with much higher existing penetration of renewables, even with decreased energy demand.</w:t>
            </w:r>
          </w:p>
          <w:p w14:paraId="4F523230"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
                <w:snapToGrid w:val="0"/>
                <w:sz w:val="20"/>
                <w:lang w:val="en-US" w:bidi="en-US"/>
              </w:rPr>
            </w:pPr>
            <w:r w:rsidRPr="00A047DA">
              <w:rPr>
                <w:rFonts w:ascii="Palatino Linotype" w:hAnsi="Palatino Linotype"/>
                <w:sz w:val="20"/>
                <w:szCs w:val="18"/>
                <w:lang w:val="en-US"/>
              </w:rPr>
              <w:t>The issues with energy and agricultural resources are compounded by the large population and small land area; these factors limit the potential for this nation to comprise a future ‘node of persisting complexity’.</w:t>
            </w:r>
          </w:p>
        </w:tc>
      </w:tr>
      <w:tr w:rsidR="00A047DA" w:rsidRPr="00A047DA" w14:paraId="2555D49A" w14:textId="77777777" w:rsidTr="004A6B48">
        <w:trPr>
          <w:gridAfter w:val="1"/>
          <w:wAfter w:w="9" w:type="pct"/>
          <w:jc w:val="center"/>
        </w:trPr>
        <w:tc>
          <w:tcPr>
            <w:tcW w:w="422" w:type="pct"/>
            <w:vMerge w:val="restart"/>
            <w:tcBorders>
              <w:top w:val="nil"/>
              <w:bottom w:val="nil"/>
            </w:tcBorders>
            <w:vAlign w:val="center"/>
          </w:tcPr>
          <w:p w14:paraId="2EDF3D31" w14:textId="5EEB7D8E" w:rsidR="002C3717" w:rsidRPr="002C3C39" w:rsidRDefault="009F2295"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szCs w:val="22"/>
                <w:lang w:bidi="en-US"/>
              </w:rPr>
              <w:t>Australia</w:t>
            </w:r>
          </w:p>
        </w:tc>
        <w:tc>
          <w:tcPr>
            <w:tcW w:w="643" w:type="pct"/>
            <w:tcBorders>
              <w:top w:val="nil"/>
              <w:bottom w:val="nil"/>
            </w:tcBorders>
            <w:shd w:val="clear" w:color="auto" w:fill="auto"/>
            <w:vAlign w:val="center"/>
          </w:tcPr>
          <w:p w14:paraId="453B4A4E" w14:textId="6FBF8C9B" w:rsidR="002C3717" w:rsidRPr="002C3C39" w:rsidRDefault="00FB5ADE" w:rsidP="00A047DA">
            <w:pPr>
              <w:autoSpaceDE w:val="0"/>
              <w:autoSpaceDN w:val="0"/>
              <w:adjustRightInd w:val="0"/>
              <w:snapToGrid w:val="0"/>
              <w:spacing w:line="240" w:lineRule="auto"/>
              <w:jc w:val="center"/>
              <w:rPr>
                <w:bCs/>
                <w:noProof w:val="0"/>
              </w:rPr>
            </w:pPr>
            <w:r w:rsidRPr="00FB5ADE">
              <w:rPr>
                <w:rFonts w:eastAsia="Times New Roman"/>
                <w:bCs/>
                <w:noProof w:val="0"/>
                <w:snapToGrid w:val="0"/>
                <w:szCs w:val="22"/>
                <w:lang w:bidi="en-US"/>
              </w:rPr>
              <w:t>Energy Resources</w:t>
            </w:r>
          </w:p>
        </w:tc>
        <w:tc>
          <w:tcPr>
            <w:tcW w:w="3926" w:type="pct"/>
            <w:tcBorders>
              <w:top w:val="nil"/>
              <w:bottom w:val="nil"/>
            </w:tcBorders>
            <w:vAlign w:val="center"/>
          </w:tcPr>
          <w:p w14:paraId="0E9E7372" w14:textId="430AC120"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cstheme="minorHAnsi"/>
                <w:sz w:val="20"/>
                <w:szCs w:val="18"/>
                <w:lang w:val="en-US"/>
              </w:rPr>
            </w:pPr>
            <w:r w:rsidRPr="00A047DA">
              <w:rPr>
                <w:rFonts w:ascii="Palatino Linotype" w:hAnsi="Palatino Linotype" w:cstheme="minorHAnsi"/>
                <w:sz w:val="20"/>
                <w:szCs w:val="18"/>
                <w:lang w:val="en-US"/>
              </w:rPr>
              <w:t>Focusing on Tasmania (see below), the island has a significant endowment of renewable energy, primarily in the form of hydroelectric capacity (comprising a smaller number of large power stations and a larger number of small to medium generators) and wind generation capacity</w:t>
            </w:r>
            <w:r w:rsidR="006C0A78">
              <w:rPr>
                <w:rFonts w:ascii="Palatino Linotype" w:hAnsi="Palatino Linotype" w:cstheme="minorHAnsi"/>
                <w:sz w:val="20"/>
                <w:szCs w:val="18"/>
                <w:lang w:val="en-US"/>
              </w:rPr>
              <w:t xml:space="preserve">. </w:t>
            </w:r>
          </w:p>
          <w:p w14:paraId="6FBF9F79" w14:textId="6FBE1E57" w:rsidR="002C3717" w:rsidRPr="00A047DA" w:rsidRDefault="002C3717" w:rsidP="00AE21C4">
            <w:pPr>
              <w:pStyle w:val="ListParagraph"/>
              <w:numPr>
                <w:ilvl w:val="1"/>
                <w:numId w:val="16"/>
              </w:numPr>
              <w:autoSpaceDE w:val="0"/>
              <w:autoSpaceDN w:val="0"/>
              <w:adjustRightInd w:val="0"/>
              <w:snapToGrid w:val="0"/>
              <w:spacing w:after="0" w:line="240" w:lineRule="auto"/>
              <w:rPr>
                <w:rFonts w:ascii="Palatino Linotype" w:hAnsi="Palatino Linotype" w:cstheme="minorHAnsi"/>
                <w:sz w:val="20"/>
                <w:szCs w:val="18"/>
                <w:lang w:val="en-US"/>
              </w:rPr>
            </w:pPr>
            <w:r w:rsidRPr="00A047DA">
              <w:rPr>
                <w:rFonts w:ascii="Palatino Linotype" w:hAnsi="Palatino Linotype" w:cstheme="minorHAnsi"/>
                <w:sz w:val="20"/>
                <w:szCs w:val="18"/>
                <w:lang w:val="en-US"/>
              </w:rPr>
              <w:t xml:space="preserve">There is also a large and currently undeveloped potential for expansion of renewable generation capacity, which is being explored through the ‘Battery for the Nation’ initiative </w:t>
            </w:r>
            <w:r w:rsidR="0001183F">
              <w:rPr>
                <w:rFonts w:ascii="Palatino Linotype" w:hAnsi="Palatino Linotype" w:cstheme="minorHAnsi"/>
                <w:sz w:val="20"/>
                <w:szCs w:val="18"/>
                <w:lang w:val="en-US"/>
              </w:rPr>
              <w:t>[</w:t>
            </w:r>
            <w:r w:rsidR="00E17615">
              <w:rPr>
                <w:rFonts w:ascii="Palatino Linotype" w:hAnsi="Palatino Linotype" w:cstheme="minorHAnsi"/>
                <w:sz w:val="20"/>
                <w:szCs w:val="18"/>
                <w:lang w:val="en-US"/>
              </w:rPr>
              <w:t>9</w:t>
            </w:r>
            <w:r w:rsidR="00A9271C">
              <w:rPr>
                <w:rFonts w:ascii="Palatino Linotype" w:hAnsi="Palatino Linotype" w:cstheme="minorHAnsi"/>
                <w:sz w:val="20"/>
                <w:szCs w:val="18"/>
                <w:lang w:val="en-US"/>
              </w:rPr>
              <w:t>2</w:t>
            </w:r>
            <w:r w:rsidR="0001183F">
              <w:rPr>
                <w:rFonts w:ascii="Palatino Linotype" w:hAnsi="Palatino Linotype" w:cstheme="minorHAnsi"/>
                <w:sz w:val="20"/>
                <w:szCs w:val="18"/>
                <w:lang w:val="en-US"/>
              </w:rPr>
              <w:t>]</w:t>
            </w:r>
            <w:r w:rsidR="006C0A78">
              <w:rPr>
                <w:rFonts w:ascii="Palatino Linotype" w:hAnsi="Palatino Linotype" w:cstheme="minorHAnsi"/>
                <w:sz w:val="20"/>
                <w:szCs w:val="18"/>
                <w:lang w:val="en-US"/>
              </w:rPr>
              <w:t xml:space="preserve">. </w:t>
            </w:r>
          </w:p>
        </w:tc>
      </w:tr>
      <w:tr w:rsidR="00A047DA" w:rsidRPr="00A047DA" w14:paraId="25975CEE" w14:textId="77777777" w:rsidTr="004A6B48">
        <w:trPr>
          <w:gridAfter w:val="1"/>
          <w:wAfter w:w="9" w:type="pct"/>
          <w:jc w:val="center"/>
        </w:trPr>
        <w:tc>
          <w:tcPr>
            <w:tcW w:w="422" w:type="pct"/>
            <w:vMerge/>
            <w:tcBorders>
              <w:top w:val="nil"/>
              <w:bottom w:val="nil"/>
            </w:tcBorders>
            <w:vAlign w:val="center"/>
          </w:tcPr>
          <w:p w14:paraId="68C9E44C"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43" w:type="pct"/>
            <w:tcBorders>
              <w:top w:val="nil"/>
              <w:bottom w:val="nil"/>
            </w:tcBorders>
            <w:shd w:val="clear" w:color="auto" w:fill="auto"/>
            <w:vAlign w:val="center"/>
          </w:tcPr>
          <w:p w14:paraId="244814F9" w14:textId="7E24B041" w:rsidR="002C3717" w:rsidRPr="002C3C39" w:rsidRDefault="00FB5ADE" w:rsidP="00A047DA">
            <w:pPr>
              <w:autoSpaceDE w:val="0"/>
              <w:autoSpaceDN w:val="0"/>
              <w:adjustRightInd w:val="0"/>
              <w:snapToGrid w:val="0"/>
              <w:spacing w:line="240" w:lineRule="auto"/>
              <w:jc w:val="center"/>
              <w:rPr>
                <w:bCs/>
                <w:noProof w:val="0"/>
              </w:rPr>
            </w:pPr>
            <w:r w:rsidRPr="00FB5ADE">
              <w:rPr>
                <w:rFonts w:eastAsia="Times New Roman"/>
                <w:bCs/>
                <w:noProof w:val="0"/>
                <w:snapToGrid w:val="0"/>
                <w:szCs w:val="22"/>
                <w:lang w:bidi="en-US"/>
              </w:rPr>
              <w:t xml:space="preserve">Climate, Agricultural </w:t>
            </w:r>
            <w:proofErr w:type="gramStart"/>
            <w:r w:rsidRPr="00FB5ADE">
              <w:rPr>
                <w:rFonts w:eastAsia="Times New Roman"/>
                <w:bCs/>
                <w:noProof w:val="0"/>
                <w:snapToGrid w:val="0"/>
                <w:szCs w:val="22"/>
                <w:lang w:bidi="en-US"/>
              </w:rPr>
              <w:t>resources</w:t>
            </w:r>
            <w:proofErr w:type="gramEnd"/>
            <w:r w:rsidRPr="00FB5ADE">
              <w:rPr>
                <w:rFonts w:eastAsia="Times New Roman"/>
                <w:bCs/>
                <w:noProof w:val="0"/>
                <w:snapToGrid w:val="0"/>
                <w:szCs w:val="22"/>
                <w:lang w:bidi="en-US"/>
              </w:rPr>
              <w:t xml:space="preserve"> and other factors</w:t>
            </w:r>
          </w:p>
        </w:tc>
        <w:tc>
          <w:tcPr>
            <w:tcW w:w="3926" w:type="pct"/>
            <w:tcBorders>
              <w:top w:val="nil"/>
              <w:bottom w:val="nil"/>
            </w:tcBorders>
            <w:vAlign w:val="center"/>
          </w:tcPr>
          <w:p w14:paraId="7C59545E" w14:textId="608A97DC"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The continental scale of Australia means that it encompasses large variations in climate, but </w:t>
            </w:r>
            <w:proofErr w:type="gramStart"/>
            <w:r w:rsidRPr="00A047DA">
              <w:rPr>
                <w:rFonts w:ascii="Palatino Linotype" w:hAnsi="Palatino Linotype"/>
                <w:sz w:val="20"/>
                <w:szCs w:val="18"/>
                <w:lang w:val="en-US"/>
              </w:rPr>
              <w:t>the majority of</w:t>
            </w:r>
            <w:proofErr w:type="gramEnd"/>
            <w:r w:rsidRPr="00A047DA">
              <w:rPr>
                <w:rFonts w:ascii="Palatino Linotype" w:hAnsi="Palatino Linotype"/>
                <w:sz w:val="20"/>
                <w:szCs w:val="18"/>
                <w:lang w:val="en-US"/>
              </w:rPr>
              <w:t xml:space="preserve"> the landmass experiences arid to semi-arid conditions, with wet tropical conditions prevailing in the far north and temperate conditions prevailing in the southeast of the continent and Tasmania [8</w:t>
            </w:r>
            <w:r w:rsidR="00A9271C">
              <w:rPr>
                <w:rFonts w:ascii="Palatino Linotype" w:hAnsi="Palatino Linotype"/>
                <w:sz w:val="20"/>
                <w:szCs w:val="18"/>
                <w:lang w:val="en-US"/>
              </w:rPr>
              <w:t>3</w:t>
            </w:r>
            <w:r w:rsidRPr="00A047DA">
              <w:rPr>
                <w:rFonts w:ascii="Palatino Linotype" w:hAnsi="Palatino Linotype"/>
                <w:sz w:val="20"/>
                <w:szCs w:val="18"/>
                <w:lang w:val="en-US"/>
              </w:rPr>
              <w:t>]</w:t>
            </w:r>
            <w:r w:rsidR="006C0A78">
              <w:rPr>
                <w:rFonts w:ascii="Palatino Linotype" w:hAnsi="Palatino Linotype"/>
                <w:sz w:val="20"/>
                <w:szCs w:val="18"/>
                <w:lang w:val="en-US"/>
              </w:rPr>
              <w:t xml:space="preserve">. </w:t>
            </w:r>
          </w:p>
          <w:p w14:paraId="0A069808" w14:textId="641E003E"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Land use is dominated by agriculture in the temperate, higher precipitation zones and rangeland in the drier central and northern zones. </w:t>
            </w:r>
          </w:p>
          <w:p w14:paraId="3A032460" w14:textId="3FF0C2A4"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cstheme="minorHAnsi"/>
                <w:sz w:val="20"/>
                <w:szCs w:val="18"/>
                <w:lang w:val="en-US"/>
              </w:rPr>
              <w:t xml:space="preserve">In the case of Tasmania, one-quarter of the landmass is currently in use for agriculture </w:t>
            </w:r>
            <w:r w:rsidR="0001183F">
              <w:rPr>
                <w:rFonts w:ascii="Palatino Linotype" w:hAnsi="Palatino Linotype" w:cstheme="minorHAnsi"/>
                <w:sz w:val="20"/>
                <w:szCs w:val="18"/>
                <w:lang w:val="en-US"/>
              </w:rPr>
              <w:t>[</w:t>
            </w:r>
            <w:r w:rsidR="009C0E15">
              <w:rPr>
                <w:rFonts w:ascii="Palatino Linotype" w:hAnsi="Palatino Linotype" w:cstheme="minorHAnsi"/>
                <w:sz w:val="20"/>
                <w:szCs w:val="18"/>
                <w:lang w:val="en-US"/>
              </w:rPr>
              <w:t>9</w:t>
            </w:r>
            <w:r w:rsidR="00A9271C">
              <w:rPr>
                <w:rFonts w:ascii="Palatino Linotype" w:hAnsi="Palatino Linotype" w:cstheme="minorHAnsi"/>
                <w:sz w:val="20"/>
                <w:szCs w:val="18"/>
                <w:lang w:val="en-US"/>
              </w:rPr>
              <w:t>3</w:t>
            </w:r>
            <w:r w:rsidR="0001183F">
              <w:rPr>
                <w:rFonts w:ascii="Palatino Linotype" w:hAnsi="Palatino Linotype" w:cstheme="minorHAnsi"/>
                <w:sz w:val="20"/>
                <w:szCs w:val="18"/>
                <w:lang w:val="en-US"/>
              </w:rPr>
              <w:t>]</w:t>
            </w:r>
            <w:r w:rsidRPr="00A047DA">
              <w:rPr>
                <w:rFonts w:ascii="Palatino Linotype" w:hAnsi="Palatino Linotype" w:cstheme="minorHAnsi"/>
                <w:sz w:val="20"/>
                <w:szCs w:val="18"/>
                <w:lang w:val="en-US"/>
              </w:rPr>
              <w:t>, and the (relatively, by the standards of Australia) fertile soil and temperate, oceanic climate allow for varied and productive agriculture.</w:t>
            </w:r>
          </w:p>
        </w:tc>
      </w:tr>
      <w:tr w:rsidR="00A047DA" w:rsidRPr="00A047DA" w14:paraId="033F4644" w14:textId="77777777" w:rsidTr="004A6B48">
        <w:trPr>
          <w:gridAfter w:val="1"/>
          <w:wAfter w:w="9" w:type="pct"/>
          <w:jc w:val="center"/>
        </w:trPr>
        <w:tc>
          <w:tcPr>
            <w:tcW w:w="422" w:type="pct"/>
            <w:vMerge/>
            <w:tcBorders>
              <w:top w:val="nil"/>
              <w:bottom w:val="nil"/>
            </w:tcBorders>
            <w:vAlign w:val="center"/>
          </w:tcPr>
          <w:p w14:paraId="3AD4D913"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43" w:type="pct"/>
            <w:tcBorders>
              <w:top w:val="nil"/>
              <w:bottom w:val="nil"/>
            </w:tcBorders>
            <w:shd w:val="clear" w:color="auto" w:fill="auto"/>
            <w:vAlign w:val="center"/>
          </w:tcPr>
          <w:p w14:paraId="129873BD" w14:textId="1267E0C0" w:rsidR="002C3717" w:rsidRPr="002C3C39" w:rsidRDefault="00FB5ADE" w:rsidP="00A047DA">
            <w:pPr>
              <w:autoSpaceDE w:val="0"/>
              <w:autoSpaceDN w:val="0"/>
              <w:adjustRightInd w:val="0"/>
              <w:snapToGrid w:val="0"/>
              <w:spacing w:line="240" w:lineRule="auto"/>
              <w:jc w:val="center"/>
              <w:rPr>
                <w:bCs/>
                <w:noProof w:val="0"/>
              </w:rPr>
            </w:pPr>
            <w:r w:rsidRPr="002C3C39">
              <w:rPr>
                <w:rFonts w:eastAsia="Times New Roman"/>
                <w:bCs/>
                <w:noProof w:val="0"/>
                <w:snapToGrid w:val="0"/>
                <w:lang w:bidi="en-US"/>
              </w:rPr>
              <w:t>Overview</w:t>
            </w:r>
          </w:p>
        </w:tc>
        <w:tc>
          <w:tcPr>
            <w:tcW w:w="3926" w:type="pct"/>
            <w:tcBorders>
              <w:top w:val="nil"/>
              <w:bottom w:val="nil"/>
            </w:tcBorders>
            <w:vAlign w:val="center"/>
          </w:tcPr>
          <w:p w14:paraId="7D9CD839" w14:textId="3625F10E"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Climatic warming </w:t>
            </w:r>
            <w:r w:rsidR="0001183F">
              <w:rPr>
                <w:rFonts w:ascii="Palatino Linotype" w:hAnsi="Palatino Linotype"/>
                <w:sz w:val="20"/>
                <w:szCs w:val="18"/>
                <w:lang w:val="en-US"/>
              </w:rPr>
              <w:t>[</w:t>
            </w:r>
            <w:r w:rsidR="009C0E15">
              <w:rPr>
                <w:rFonts w:ascii="Palatino Linotype" w:hAnsi="Palatino Linotype"/>
                <w:sz w:val="20"/>
                <w:szCs w:val="18"/>
                <w:lang w:val="en-US"/>
              </w:rPr>
              <w:t>9</w:t>
            </w:r>
            <w:r w:rsidR="00A9271C">
              <w:rPr>
                <w:rFonts w:ascii="Palatino Linotype" w:hAnsi="Palatino Linotype"/>
                <w:sz w:val="20"/>
                <w:szCs w:val="18"/>
                <w:lang w:val="en-US"/>
              </w:rPr>
              <w:t>4</w:t>
            </w:r>
            <w:r w:rsidR="0001183F">
              <w:rPr>
                <w:rFonts w:ascii="Palatino Linotype" w:hAnsi="Palatino Linotype"/>
                <w:sz w:val="20"/>
                <w:szCs w:val="18"/>
                <w:lang w:val="en-US"/>
              </w:rPr>
              <w:t>]</w:t>
            </w:r>
            <w:r w:rsidRPr="00A047DA">
              <w:rPr>
                <w:rFonts w:ascii="Palatino Linotype" w:hAnsi="Palatino Linotype"/>
                <w:sz w:val="20"/>
                <w:szCs w:val="18"/>
                <w:lang w:val="en-US"/>
              </w:rPr>
              <w:t xml:space="preserve"> is likely to lead to </w:t>
            </w:r>
            <w:r w:rsidR="0055269D">
              <w:rPr>
                <w:rFonts w:ascii="Palatino Linotype" w:hAnsi="Palatino Linotype"/>
                <w:sz w:val="20"/>
                <w:szCs w:val="18"/>
                <w:lang w:val="en-US"/>
              </w:rPr>
              <w:t xml:space="preserve">the </w:t>
            </w:r>
            <w:r w:rsidRPr="00A047DA">
              <w:rPr>
                <w:rFonts w:ascii="Palatino Linotype" w:hAnsi="Palatino Linotype"/>
                <w:sz w:val="20"/>
                <w:szCs w:val="18"/>
                <w:lang w:val="en-US"/>
              </w:rPr>
              <w:t>exacerbation of existing trends on the Australian continent</w:t>
            </w:r>
            <w:r w:rsidR="0055269D">
              <w:rPr>
                <w:rFonts w:ascii="Palatino Linotype" w:hAnsi="Palatino Linotype"/>
                <w:sz w:val="20"/>
                <w:szCs w:val="18"/>
                <w:lang w:val="en-US"/>
              </w:rPr>
              <w:t>,</w:t>
            </w:r>
            <w:r w:rsidRPr="00A047DA">
              <w:rPr>
                <w:rFonts w:ascii="Palatino Linotype" w:hAnsi="Palatino Linotype"/>
                <w:sz w:val="20"/>
                <w:szCs w:val="18"/>
                <w:lang w:val="en-US"/>
              </w:rPr>
              <w:t xml:space="preserve"> i.e.</w:t>
            </w:r>
            <w:r w:rsidR="00CF3497">
              <w:rPr>
                <w:rFonts w:ascii="Palatino Linotype" w:hAnsi="Palatino Linotype"/>
                <w:sz w:val="20"/>
                <w:szCs w:val="18"/>
                <w:lang w:val="en-US"/>
              </w:rPr>
              <w:t>,</w:t>
            </w:r>
            <w:r w:rsidRPr="00A047DA">
              <w:rPr>
                <w:rFonts w:ascii="Palatino Linotype" w:hAnsi="Palatino Linotype"/>
                <w:sz w:val="20"/>
                <w:szCs w:val="18"/>
                <w:lang w:val="en-US"/>
              </w:rPr>
              <w:t xml:space="preserve"> increased precipitation in wet, tropical zones and decreased precipitation in temperate and arid zones (i.e.</w:t>
            </w:r>
            <w:r w:rsidR="00CF3497">
              <w:rPr>
                <w:rFonts w:ascii="Palatino Linotype" w:hAnsi="Palatino Linotype"/>
                <w:sz w:val="20"/>
                <w:szCs w:val="18"/>
                <w:lang w:val="en-US"/>
              </w:rPr>
              <w:t>,</w:t>
            </w:r>
            <w:r w:rsidRPr="00A047DA">
              <w:rPr>
                <w:rFonts w:ascii="Palatino Linotype" w:hAnsi="Palatino Linotype"/>
                <w:sz w:val="20"/>
                <w:szCs w:val="18"/>
                <w:lang w:val="en-US"/>
              </w:rPr>
              <w:t xml:space="preserve"> prevailing climatic conditions that are likely to be become more extreme), which is likely to result in </w:t>
            </w:r>
            <w:proofErr w:type="spellStart"/>
            <w:r w:rsidRPr="00A047DA">
              <w:rPr>
                <w:rFonts w:ascii="Palatino Linotype" w:hAnsi="Palatino Linotype"/>
                <w:sz w:val="20"/>
                <w:szCs w:val="18"/>
                <w:lang w:val="en-US"/>
              </w:rPr>
              <w:t>generalised</w:t>
            </w:r>
            <w:proofErr w:type="spellEnd"/>
            <w:r w:rsidRPr="00A047DA">
              <w:rPr>
                <w:rFonts w:ascii="Palatino Linotype" w:hAnsi="Palatino Linotype"/>
                <w:sz w:val="20"/>
                <w:szCs w:val="18"/>
                <w:lang w:val="en-US"/>
              </w:rPr>
              <w:t xml:space="preserve"> negative effects for biodiversity, </w:t>
            </w:r>
            <w:proofErr w:type="gramStart"/>
            <w:r w:rsidRPr="00A047DA">
              <w:rPr>
                <w:rFonts w:ascii="Palatino Linotype" w:hAnsi="Palatino Linotype"/>
                <w:sz w:val="20"/>
                <w:szCs w:val="18"/>
                <w:lang w:val="en-US"/>
              </w:rPr>
              <w:t>agriculture</w:t>
            </w:r>
            <w:proofErr w:type="gramEnd"/>
            <w:r w:rsidRPr="00A047DA">
              <w:rPr>
                <w:rFonts w:ascii="Palatino Linotype" w:hAnsi="Palatino Linotype"/>
                <w:sz w:val="20"/>
                <w:szCs w:val="18"/>
                <w:lang w:val="en-US"/>
              </w:rPr>
              <w:t xml:space="preserve"> and infrastructure</w:t>
            </w:r>
            <w:r w:rsidR="006C0A78">
              <w:rPr>
                <w:rFonts w:ascii="Palatino Linotype" w:hAnsi="Palatino Linotype"/>
                <w:sz w:val="20"/>
                <w:szCs w:val="18"/>
                <w:lang w:val="en-US"/>
              </w:rPr>
              <w:t xml:space="preserve">. </w:t>
            </w:r>
          </w:p>
          <w:p w14:paraId="051FF640"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Land use patterns introduced since European </w:t>
            </w:r>
            <w:proofErr w:type="spellStart"/>
            <w:r w:rsidRPr="00A047DA">
              <w:rPr>
                <w:rFonts w:ascii="Palatino Linotype" w:hAnsi="Palatino Linotype"/>
                <w:sz w:val="20"/>
                <w:szCs w:val="18"/>
                <w:lang w:val="en-US"/>
              </w:rPr>
              <w:t>colonisation</w:t>
            </w:r>
            <w:proofErr w:type="spellEnd"/>
            <w:r w:rsidRPr="00A047DA">
              <w:rPr>
                <w:rFonts w:ascii="Palatino Linotype" w:hAnsi="Palatino Linotype"/>
                <w:sz w:val="20"/>
                <w:szCs w:val="18"/>
                <w:lang w:val="en-US"/>
              </w:rPr>
              <w:t xml:space="preserve"> of the continent have degraded the (already low fertility) land such that the impacts of climate change (incidences of wildfires, water shortages) are likely be exacerbated.</w:t>
            </w:r>
          </w:p>
          <w:p w14:paraId="3636AC53" w14:textId="77777777"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Australia presents a unique situation amongst the other nations in that an enclave (the island State of Tasmania) diverges significantly from the continental landmass by </w:t>
            </w:r>
            <w:proofErr w:type="gramStart"/>
            <w:r w:rsidRPr="00A047DA">
              <w:rPr>
                <w:rFonts w:ascii="Palatino Linotype" w:hAnsi="Palatino Linotype"/>
                <w:sz w:val="20"/>
                <w:szCs w:val="18"/>
                <w:lang w:val="en-US"/>
              </w:rPr>
              <w:t>a number of</w:t>
            </w:r>
            <w:proofErr w:type="gramEnd"/>
            <w:r w:rsidRPr="00A047DA">
              <w:rPr>
                <w:rFonts w:ascii="Palatino Linotype" w:hAnsi="Palatino Linotype"/>
                <w:sz w:val="20"/>
                <w:szCs w:val="18"/>
                <w:lang w:val="en-US"/>
              </w:rPr>
              <w:t xml:space="preserve"> measures.</w:t>
            </w:r>
          </w:p>
          <w:p w14:paraId="6A7DB308" w14:textId="689D6E9D" w:rsidR="002C3717" w:rsidRPr="00A047DA" w:rsidRDefault="0055269D" w:rsidP="002C3C39">
            <w:pPr>
              <w:pStyle w:val="ListParagraph"/>
              <w:numPr>
                <w:ilvl w:val="1"/>
                <w:numId w:val="28"/>
              </w:numPr>
              <w:autoSpaceDE w:val="0"/>
              <w:autoSpaceDN w:val="0"/>
              <w:adjustRightInd w:val="0"/>
              <w:snapToGrid w:val="0"/>
              <w:spacing w:after="0" w:line="240" w:lineRule="auto"/>
              <w:rPr>
                <w:rFonts w:ascii="Palatino Linotype" w:hAnsi="Palatino Linotype"/>
                <w:sz w:val="20"/>
                <w:szCs w:val="18"/>
                <w:lang w:val="en-US"/>
              </w:rPr>
            </w:pPr>
            <w:r>
              <w:rPr>
                <w:rFonts w:ascii="Palatino Linotype" w:hAnsi="Palatino Linotype"/>
                <w:sz w:val="20"/>
                <w:szCs w:val="18"/>
                <w:lang w:val="en-US"/>
              </w:rPr>
              <w:t xml:space="preserve">Ref. </w:t>
            </w:r>
            <w:r w:rsidR="0001183F">
              <w:rPr>
                <w:rFonts w:ascii="Palatino Linotype" w:hAnsi="Palatino Linotype"/>
                <w:sz w:val="20"/>
                <w:szCs w:val="18"/>
                <w:lang w:val="en-US"/>
              </w:rPr>
              <w:t>[</w:t>
            </w:r>
            <w:r w:rsidR="009C0E15">
              <w:rPr>
                <w:rFonts w:ascii="Palatino Linotype" w:hAnsi="Palatino Linotype"/>
                <w:sz w:val="20"/>
                <w:szCs w:val="18"/>
                <w:lang w:val="en-US"/>
              </w:rPr>
              <w:t>9</w:t>
            </w:r>
            <w:r w:rsidR="00A9271C">
              <w:rPr>
                <w:rFonts w:ascii="Palatino Linotype" w:hAnsi="Palatino Linotype"/>
                <w:sz w:val="20"/>
                <w:szCs w:val="18"/>
                <w:lang w:val="en-US"/>
              </w:rPr>
              <w:t>5</w:t>
            </w:r>
            <w:r w:rsidR="0001183F">
              <w:rPr>
                <w:rFonts w:ascii="Palatino Linotype" w:hAnsi="Palatino Linotype"/>
                <w:sz w:val="20"/>
                <w:szCs w:val="18"/>
                <w:lang w:val="en-US"/>
              </w:rPr>
              <w:t>]</w:t>
            </w:r>
            <w:r w:rsidR="002C3717" w:rsidRPr="00A047DA">
              <w:rPr>
                <w:rFonts w:ascii="Palatino Linotype" w:hAnsi="Palatino Linotype"/>
                <w:sz w:val="20"/>
                <w:szCs w:val="18"/>
                <w:lang w:val="en-US"/>
              </w:rPr>
              <w:t xml:space="preserve"> describes the general climatic changes that have occurred to date in Tasmania, and the conditions that are likely to prevail over the course of the 21st century due to climate change; temperatures in Tasmania have increased since the mid-20th century but to a lesser extent than in continental Australia, but total rainfall has decreased in line with that experience in southern Australia</w:t>
            </w:r>
            <w:r w:rsidR="006C0A78">
              <w:rPr>
                <w:rFonts w:ascii="Palatino Linotype" w:hAnsi="Palatino Linotype"/>
                <w:sz w:val="20"/>
                <w:szCs w:val="18"/>
                <w:lang w:val="en-US"/>
              </w:rPr>
              <w:t xml:space="preserve">. </w:t>
            </w:r>
          </w:p>
          <w:p w14:paraId="734A33A9" w14:textId="3CCAE2F5" w:rsidR="002C3717" w:rsidRPr="00A047DA" w:rsidRDefault="002C3717" w:rsidP="002C3C39">
            <w:pPr>
              <w:pStyle w:val="ListParagraph"/>
              <w:numPr>
                <w:ilvl w:val="1"/>
                <w:numId w:val="28"/>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Under high or low global emissions scenarios</w:t>
            </w:r>
            <w:r w:rsidR="0055269D">
              <w:rPr>
                <w:rFonts w:ascii="Palatino Linotype" w:hAnsi="Palatino Linotype"/>
                <w:sz w:val="20"/>
                <w:szCs w:val="18"/>
                <w:lang w:val="en-US"/>
              </w:rPr>
              <w:t>,</w:t>
            </w:r>
            <w:r w:rsidRPr="00A047DA">
              <w:rPr>
                <w:rFonts w:ascii="Palatino Linotype" w:hAnsi="Palatino Linotype"/>
                <w:sz w:val="20"/>
                <w:szCs w:val="18"/>
                <w:lang w:val="en-US"/>
              </w:rPr>
              <w:t xml:space="preserve"> temperature increases in Tasmania are projected to be lower than the global average, largely due to a southerly latitude and the moderating influence of the Southern Ocean, though the spatial and seasonal distribution of precipitation is likely to undergo significant change due to climatic changes</w:t>
            </w:r>
            <w:r w:rsidR="006C0A78">
              <w:rPr>
                <w:rFonts w:ascii="Palatino Linotype" w:hAnsi="Palatino Linotype"/>
                <w:sz w:val="20"/>
                <w:szCs w:val="18"/>
                <w:lang w:val="en-US"/>
              </w:rPr>
              <w:t xml:space="preserve">. </w:t>
            </w:r>
          </w:p>
          <w:p w14:paraId="00ACE0F8" w14:textId="571AC520"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Overall, Tasmania is likely to experience lesser climate change impacts than continental Australia, and as such</w:t>
            </w:r>
            <w:r w:rsidR="0055269D">
              <w:rPr>
                <w:rFonts w:ascii="Palatino Linotype" w:hAnsi="Palatino Linotype"/>
                <w:sz w:val="20"/>
                <w:szCs w:val="18"/>
                <w:lang w:val="en-US"/>
              </w:rPr>
              <w:t>,</w:t>
            </w:r>
            <w:r w:rsidRPr="00A047DA">
              <w:rPr>
                <w:rFonts w:ascii="Palatino Linotype" w:hAnsi="Palatino Linotype"/>
                <w:sz w:val="20"/>
                <w:szCs w:val="18"/>
                <w:lang w:val="en-US"/>
              </w:rPr>
              <w:t xml:space="preserve"> may act as a </w:t>
            </w:r>
            <w:proofErr w:type="spellStart"/>
            <w:r w:rsidRPr="00A047DA">
              <w:rPr>
                <w:rFonts w:ascii="Palatino Linotype" w:hAnsi="Palatino Linotype"/>
                <w:sz w:val="20"/>
                <w:szCs w:val="18"/>
                <w:lang w:val="en-US"/>
              </w:rPr>
              <w:t>localised</w:t>
            </w:r>
            <w:proofErr w:type="spellEnd"/>
            <w:r w:rsidRPr="00A047DA">
              <w:rPr>
                <w:rFonts w:ascii="Palatino Linotype" w:hAnsi="Palatino Linotype"/>
                <w:sz w:val="20"/>
                <w:szCs w:val="18"/>
                <w:lang w:val="en-US"/>
              </w:rPr>
              <w:t xml:space="preserve"> region of that nation with greater ‘</w:t>
            </w:r>
            <w:proofErr w:type="spellStart"/>
            <w:r w:rsidRPr="00A047DA">
              <w:rPr>
                <w:rFonts w:ascii="Palatino Linotype" w:hAnsi="Palatino Linotype"/>
                <w:sz w:val="20"/>
                <w:szCs w:val="18"/>
                <w:lang w:val="en-US"/>
              </w:rPr>
              <w:t>favourable</w:t>
            </w:r>
            <w:proofErr w:type="spellEnd"/>
            <w:r w:rsidRPr="00A047DA">
              <w:rPr>
                <w:rFonts w:ascii="Palatino Linotype" w:hAnsi="Palatino Linotype"/>
                <w:sz w:val="20"/>
                <w:szCs w:val="18"/>
                <w:lang w:val="en-US"/>
              </w:rPr>
              <w:t xml:space="preserve"> starting conditions’, and could become increasingly </w:t>
            </w:r>
            <w:proofErr w:type="spellStart"/>
            <w:r w:rsidRPr="00A047DA">
              <w:rPr>
                <w:rFonts w:ascii="Palatino Linotype" w:hAnsi="Palatino Linotype"/>
                <w:sz w:val="20"/>
                <w:szCs w:val="18"/>
                <w:lang w:val="en-US"/>
              </w:rPr>
              <w:t>recognised</w:t>
            </w:r>
            <w:proofErr w:type="spellEnd"/>
            <w:r w:rsidRPr="00A047DA">
              <w:rPr>
                <w:rFonts w:ascii="Palatino Linotype" w:hAnsi="Palatino Linotype"/>
                <w:sz w:val="20"/>
                <w:szCs w:val="18"/>
                <w:lang w:val="en-US"/>
              </w:rPr>
              <w:t xml:space="preserve"> as Australia’s ‘local refuge (lifeboat)’ as conditions on the continental mainland may become less amenable to supporting large human populations in </w:t>
            </w:r>
            <w:r w:rsidR="0055269D">
              <w:rPr>
                <w:rFonts w:ascii="Palatino Linotype" w:hAnsi="Palatino Linotype"/>
                <w:sz w:val="20"/>
                <w:szCs w:val="18"/>
                <w:lang w:val="en-US"/>
              </w:rPr>
              <w:t xml:space="preserve">the </w:t>
            </w:r>
            <w:r w:rsidRPr="00A047DA">
              <w:rPr>
                <w:rFonts w:ascii="Palatino Linotype" w:hAnsi="Palatino Linotype"/>
                <w:sz w:val="20"/>
                <w:szCs w:val="18"/>
                <w:lang w:val="en-US"/>
              </w:rPr>
              <w:t>future.</w:t>
            </w:r>
          </w:p>
        </w:tc>
      </w:tr>
      <w:tr w:rsidR="00A047DA" w:rsidRPr="00A047DA" w14:paraId="3557E742" w14:textId="77777777" w:rsidTr="004A6B48">
        <w:trPr>
          <w:jc w:val="center"/>
        </w:trPr>
        <w:tc>
          <w:tcPr>
            <w:tcW w:w="422" w:type="pct"/>
            <w:vMerge w:val="restart"/>
            <w:tcBorders>
              <w:top w:val="nil"/>
            </w:tcBorders>
            <w:vAlign w:val="center"/>
          </w:tcPr>
          <w:p w14:paraId="2D774CB6" w14:textId="260E810F" w:rsidR="002C3717" w:rsidRPr="002C3C39" w:rsidRDefault="009F2295"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szCs w:val="22"/>
                <w:lang w:bidi="en-US"/>
              </w:rPr>
              <w:t>Ireland</w:t>
            </w:r>
          </w:p>
        </w:tc>
        <w:tc>
          <w:tcPr>
            <w:tcW w:w="630" w:type="pct"/>
            <w:tcBorders>
              <w:top w:val="nil"/>
              <w:bottom w:val="nil"/>
            </w:tcBorders>
            <w:shd w:val="clear" w:color="auto" w:fill="auto"/>
            <w:vAlign w:val="center"/>
          </w:tcPr>
          <w:p w14:paraId="54C6B552" w14:textId="7FAC8489"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sidRPr="00FB5ADE">
              <w:rPr>
                <w:rFonts w:eastAsia="Times New Roman"/>
                <w:bCs/>
                <w:noProof w:val="0"/>
                <w:snapToGrid w:val="0"/>
                <w:szCs w:val="22"/>
                <w:lang w:bidi="en-US"/>
              </w:rPr>
              <w:t>Energy Resources</w:t>
            </w:r>
          </w:p>
        </w:tc>
        <w:tc>
          <w:tcPr>
            <w:tcW w:w="3947" w:type="pct"/>
            <w:gridSpan w:val="2"/>
            <w:tcBorders>
              <w:top w:val="nil"/>
              <w:bottom w:val="nil"/>
            </w:tcBorders>
            <w:vAlign w:val="center"/>
          </w:tcPr>
          <w:p w14:paraId="6626FC1E" w14:textId="186583B1"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The island of Ireland (disregarding political subdivisions) is somewhat </w:t>
            </w:r>
            <w:proofErr w:type="gramStart"/>
            <w:r w:rsidRPr="00A047DA">
              <w:rPr>
                <w:rFonts w:ascii="Palatino Linotype" w:hAnsi="Palatino Linotype"/>
                <w:sz w:val="20"/>
                <w:szCs w:val="18"/>
                <w:lang w:val="en-US"/>
              </w:rPr>
              <w:t>similar to</w:t>
            </w:r>
            <w:proofErr w:type="gramEnd"/>
            <w:r w:rsidRPr="00A047DA">
              <w:rPr>
                <w:rFonts w:ascii="Palatino Linotype" w:hAnsi="Palatino Linotype"/>
                <w:sz w:val="20"/>
                <w:szCs w:val="18"/>
                <w:lang w:val="en-US"/>
              </w:rPr>
              <w:t xml:space="preserve"> the UK in terms of majority reliance on natural gas-fired thermal generation, but with a significant and rapidly growing contribution from renewables, which has the potential to improve energy security overall [8</w:t>
            </w:r>
            <w:r w:rsidR="00A9271C">
              <w:rPr>
                <w:rFonts w:ascii="Palatino Linotype" w:hAnsi="Palatino Linotype"/>
                <w:sz w:val="20"/>
                <w:szCs w:val="18"/>
                <w:lang w:val="en-US"/>
              </w:rPr>
              <w:t>5</w:t>
            </w:r>
            <w:r w:rsidRPr="00A047DA">
              <w:rPr>
                <w:rFonts w:ascii="Palatino Linotype" w:hAnsi="Palatino Linotype"/>
                <w:sz w:val="20"/>
                <w:szCs w:val="18"/>
                <w:lang w:val="en-US"/>
              </w:rPr>
              <w:t>]</w:t>
            </w:r>
            <w:r w:rsidR="006C0A78">
              <w:rPr>
                <w:rFonts w:ascii="Palatino Linotype" w:hAnsi="Palatino Linotype"/>
                <w:sz w:val="20"/>
                <w:szCs w:val="18"/>
                <w:lang w:val="en-US"/>
              </w:rPr>
              <w:t>.</w:t>
            </w:r>
            <w:r w:rsidR="00F7402C">
              <w:rPr>
                <w:rFonts w:ascii="Palatino Linotype" w:hAnsi="Palatino Linotype"/>
                <w:sz w:val="20"/>
                <w:szCs w:val="18"/>
                <w:lang w:val="en-US"/>
              </w:rPr>
              <w:t xml:space="preserve"> </w:t>
            </w:r>
          </w:p>
          <w:p w14:paraId="00A2EDA8" w14:textId="0979E3F6" w:rsidR="002C3717" w:rsidRPr="00A047DA" w:rsidRDefault="002C3717" w:rsidP="00AE21C4">
            <w:pPr>
              <w:pStyle w:val="ListParagraph"/>
              <w:numPr>
                <w:ilvl w:val="1"/>
                <w:numId w:val="18"/>
              </w:numPr>
              <w:autoSpaceDE w:val="0"/>
              <w:autoSpaceDN w:val="0"/>
              <w:adjustRightInd w:val="0"/>
              <w:snapToGrid w:val="0"/>
              <w:spacing w:after="0" w:line="240" w:lineRule="auto"/>
              <w:rPr>
                <w:rFonts w:ascii="Palatino Linotype" w:hAnsi="Palatino Linotype"/>
                <w:sz w:val="20"/>
                <w:szCs w:val="18"/>
                <w:lang w:val="en-US"/>
              </w:rPr>
            </w:pPr>
            <w:r w:rsidRPr="00A047DA">
              <w:rPr>
                <w:rFonts w:ascii="Palatino Linotype" w:hAnsi="Palatino Linotype"/>
                <w:sz w:val="20"/>
                <w:szCs w:val="18"/>
                <w:lang w:val="en-US"/>
              </w:rPr>
              <w:t>Approximately one</w:t>
            </w:r>
            <w:r w:rsidR="004D08FD">
              <w:rPr>
                <w:rFonts w:ascii="Palatino Linotype" w:hAnsi="Palatino Linotype"/>
                <w:sz w:val="20"/>
                <w:szCs w:val="18"/>
                <w:lang w:val="en-US"/>
              </w:rPr>
              <w:t>-</w:t>
            </w:r>
            <w:r w:rsidRPr="00A047DA">
              <w:rPr>
                <w:rFonts w:ascii="Palatino Linotype" w:hAnsi="Palatino Linotype"/>
                <w:sz w:val="20"/>
                <w:szCs w:val="18"/>
                <w:lang w:val="en-US"/>
              </w:rPr>
              <w:t>quarter of electricity generation was from renewable sources (predominantly wind generation, but renewable gas and hydroelectric as well) in 2019, which represented a 13% increase over the previous year</w:t>
            </w:r>
            <w:r w:rsidR="006C0A78">
              <w:rPr>
                <w:rFonts w:ascii="Palatino Linotype" w:hAnsi="Palatino Linotype"/>
                <w:sz w:val="20"/>
                <w:szCs w:val="18"/>
                <w:lang w:val="en-US"/>
              </w:rPr>
              <w:t xml:space="preserve">. </w:t>
            </w:r>
            <w:r w:rsidRPr="00A047DA">
              <w:rPr>
                <w:rFonts w:ascii="Palatino Linotype" w:hAnsi="Palatino Linotype"/>
                <w:sz w:val="20"/>
                <w:szCs w:val="18"/>
                <w:lang w:val="en-US"/>
              </w:rPr>
              <w:t xml:space="preserve">There is potential to grow this capacity through use of currently unexploited offshore wind resources </w:t>
            </w:r>
            <w:r w:rsidR="0001183F">
              <w:rPr>
                <w:rFonts w:ascii="Palatino Linotype" w:hAnsi="Palatino Linotype"/>
                <w:sz w:val="20"/>
                <w:szCs w:val="18"/>
                <w:lang w:val="en-US"/>
              </w:rPr>
              <w:t>[</w:t>
            </w:r>
            <w:r w:rsidR="009C0E15">
              <w:rPr>
                <w:rFonts w:ascii="Palatino Linotype" w:hAnsi="Palatino Linotype"/>
                <w:sz w:val="20"/>
                <w:szCs w:val="18"/>
                <w:lang w:val="en-US"/>
              </w:rPr>
              <w:t>9</w:t>
            </w:r>
            <w:r w:rsidR="00A9271C">
              <w:rPr>
                <w:rFonts w:ascii="Palatino Linotype" w:hAnsi="Palatino Linotype"/>
                <w:sz w:val="20"/>
                <w:szCs w:val="18"/>
                <w:lang w:val="en-US"/>
              </w:rPr>
              <w:t>6</w:t>
            </w:r>
            <w:r w:rsidR="0001183F">
              <w:rPr>
                <w:rFonts w:ascii="Palatino Linotype" w:hAnsi="Palatino Linotype"/>
                <w:sz w:val="20"/>
                <w:szCs w:val="18"/>
                <w:lang w:val="en-US"/>
              </w:rPr>
              <w:t>]</w:t>
            </w:r>
            <w:r w:rsidR="006C0A78">
              <w:rPr>
                <w:rFonts w:ascii="Palatino Linotype" w:hAnsi="Palatino Linotype"/>
                <w:sz w:val="20"/>
                <w:szCs w:val="18"/>
                <w:lang w:val="en-US"/>
              </w:rPr>
              <w:t xml:space="preserve">. </w:t>
            </w:r>
          </w:p>
          <w:p w14:paraId="058408F2" w14:textId="33F0D40C" w:rsidR="002C3717" w:rsidRPr="00A047DA" w:rsidRDefault="002C3717" w:rsidP="00AE21C4">
            <w:pPr>
              <w:pStyle w:val="ListParagraph"/>
              <w:numPr>
                <w:ilvl w:val="0"/>
                <w:numId w:val="3"/>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Key differences from the United Kingdom are a much smaller population and therefore a much smaller overall energy demand, and the absence of nuclear generation capacity</w:t>
            </w:r>
            <w:r w:rsidR="006C0A78">
              <w:rPr>
                <w:rFonts w:ascii="Palatino Linotype" w:hAnsi="Palatino Linotype"/>
                <w:sz w:val="20"/>
                <w:szCs w:val="18"/>
                <w:lang w:val="en-US"/>
              </w:rPr>
              <w:t xml:space="preserve">. </w:t>
            </w:r>
            <w:r w:rsidRPr="00A047DA">
              <w:rPr>
                <w:rFonts w:ascii="Palatino Linotype" w:hAnsi="Palatino Linotype"/>
                <w:sz w:val="20"/>
                <w:szCs w:val="18"/>
                <w:lang w:val="en-US"/>
              </w:rPr>
              <w:t xml:space="preserve">The lower energy demand combined with the absence of partial reliance on high-technology energy sources means that a transition to reliance on renewables (assuming drastically decreased demand) may be more feasible, even with the lower </w:t>
            </w:r>
            <w:r w:rsidR="004D08FD" w:rsidRPr="00A047DA">
              <w:rPr>
                <w:rFonts w:ascii="Palatino Linotype" w:hAnsi="Palatino Linotype"/>
                <w:sz w:val="20"/>
                <w:szCs w:val="18"/>
                <w:lang w:val="en-US"/>
              </w:rPr>
              <w:t xml:space="preserve">penetration </w:t>
            </w:r>
            <w:r w:rsidR="004D08FD">
              <w:rPr>
                <w:rFonts w:ascii="Palatino Linotype" w:hAnsi="Palatino Linotype"/>
                <w:sz w:val="20"/>
                <w:szCs w:val="18"/>
                <w:lang w:val="en-US"/>
              </w:rPr>
              <w:t xml:space="preserve">of </w:t>
            </w:r>
            <w:r w:rsidRPr="00A047DA">
              <w:rPr>
                <w:rFonts w:ascii="Palatino Linotype" w:hAnsi="Palatino Linotype"/>
                <w:sz w:val="20"/>
                <w:szCs w:val="18"/>
                <w:lang w:val="en-US"/>
              </w:rPr>
              <w:t>renewables than in nations such as New Zealand.</w:t>
            </w:r>
          </w:p>
        </w:tc>
      </w:tr>
      <w:tr w:rsidR="00A047DA" w:rsidRPr="00A047DA" w14:paraId="442840BC" w14:textId="77777777" w:rsidTr="008226B5">
        <w:trPr>
          <w:jc w:val="center"/>
        </w:trPr>
        <w:tc>
          <w:tcPr>
            <w:tcW w:w="422" w:type="pct"/>
            <w:vMerge/>
            <w:vAlign w:val="center"/>
          </w:tcPr>
          <w:p w14:paraId="084FAEEC"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30" w:type="pct"/>
            <w:tcBorders>
              <w:top w:val="nil"/>
              <w:bottom w:val="nil"/>
            </w:tcBorders>
            <w:shd w:val="clear" w:color="auto" w:fill="auto"/>
            <w:vAlign w:val="center"/>
          </w:tcPr>
          <w:p w14:paraId="73F6430C" w14:textId="64FEFB65"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sidRPr="00FB5ADE">
              <w:rPr>
                <w:rFonts w:eastAsia="Times New Roman"/>
                <w:bCs/>
                <w:noProof w:val="0"/>
                <w:snapToGrid w:val="0"/>
                <w:szCs w:val="22"/>
                <w:lang w:bidi="en-US"/>
              </w:rPr>
              <w:t xml:space="preserve">Climate, Agricultural </w:t>
            </w:r>
            <w:proofErr w:type="gramStart"/>
            <w:r w:rsidRPr="00FB5ADE">
              <w:rPr>
                <w:rFonts w:eastAsia="Times New Roman"/>
                <w:bCs/>
                <w:noProof w:val="0"/>
                <w:snapToGrid w:val="0"/>
                <w:szCs w:val="22"/>
                <w:lang w:bidi="en-US"/>
              </w:rPr>
              <w:t>resources</w:t>
            </w:r>
            <w:proofErr w:type="gramEnd"/>
            <w:r w:rsidRPr="00FB5ADE">
              <w:rPr>
                <w:rFonts w:eastAsia="Times New Roman"/>
                <w:bCs/>
                <w:noProof w:val="0"/>
                <w:snapToGrid w:val="0"/>
                <w:szCs w:val="22"/>
                <w:lang w:bidi="en-US"/>
              </w:rPr>
              <w:t xml:space="preserve"> and other factors</w:t>
            </w:r>
          </w:p>
        </w:tc>
        <w:tc>
          <w:tcPr>
            <w:tcW w:w="3947" w:type="pct"/>
            <w:gridSpan w:val="2"/>
            <w:tcBorders>
              <w:top w:val="nil"/>
              <w:bottom w:val="nil"/>
            </w:tcBorders>
            <w:vAlign w:val="center"/>
          </w:tcPr>
          <w:p w14:paraId="49772B77" w14:textId="24FF30A1"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Ireland has a humid, temperate climate (moderated by the North Atlantic Current), plentiful precipitation [8</w:t>
            </w:r>
            <w:r w:rsidR="00A9271C">
              <w:rPr>
                <w:rFonts w:ascii="Palatino Linotype" w:hAnsi="Palatino Linotype"/>
                <w:sz w:val="20"/>
                <w:szCs w:val="18"/>
                <w:lang w:val="en-US"/>
              </w:rPr>
              <w:t>3</w:t>
            </w:r>
            <w:r w:rsidRPr="00A047DA">
              <w:rPr>
                <w:rFonts w:ascii="Palatino Linotype" w:hAnsi="Palatino Linotype"/>
                <w:sz w:val="20"/>
                <w:szCs w:val="18"/>
                <w:lang w:val="en-US"/>
              </w:rPr>
              <w:t>] and fertile soils in the eastern part of the island.</w:t>
            </w:r>
          </w:p>
          <w:p w14:paraId="7BCB5F73" w14:textId="39038D94"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It has a moderate per</w:t>
            </w:r>
            <w:r w:rsidR="004D08FD">
              <w:rPr>
                <w:rFonts w:ascii="Palatino Linotype" w:hAnsi="Palatino Linotype"/>
                <w:sz w:val="20"/>
                <w:szCs w:val="18"/>
                <w:lang w:val="en-US"/>
              </w:rPr>
              <w:t xml:space="preserve"> </w:t>
            </w:r>
            <w:r w:rsidRPr="00A047DA">
              <w:rPr>
                <w:rFonts w:ascii="Palatino Linotype" w:hAnsi="Palatino Linotype"/>
                <w:sz w:val="20"/>
                <w:szCs w:val="18"/>
                <w:lang w:val="en-US"/>
              </w:rPr>
              <w:t>capita availability of agricultural land; this is</w:t>
            </w:r>
            <w:r w:rsidR="004D08FD">
              <w:rPr>
                <w:rFonts w:ascii="Palatino Linotype" w:hAnsi="Palatino Linotype"/>
                <w:sz w:val="20"/>
                <w:szCs w:val="18"/>
                <w:lang w:val="en-US"/>
              </w:rPr>
              <w:t>,</w:t>
            </w:r>
            <w:r w:rsidRPr="00A047DA">
              <w:rPr>
                <w:rFonts w:ascii="Palatino Linotype" w:hAnsi="Palatino Linotype"/>
                <w:sz w:val="20"/>
                <w:szCs w:val="18"/>
                <w:lang w:val="en-US"/>
              </w:rPr>
              <w:t xml:space="preserve"> however</w:t>
            </w:r>
            <w:r w:rsidR="004D08FD">
              <w:rPr>
                <w:rFonts w:ascii="Palatino Linotype" w:hAnsi="Palatino Linotype"/>
                <w:sz w:val="20"/>
                <w:szCs w:val="18"/>
                <w:lang w:val="en-US"/>
              </w:rPr>
              <w:t>,</w:t>
            </w:r>
            <w:r w:rsidRPr="00A047DA">
              <w:rPr>
                <w:rFonts w:ascii="Palatino Linotype" w:hAnsi="Palatino Linotype"/>
                <w:sz w:val="20"/>
                <w:szCs w:val="18"/>
                <w:lang w:val="en-US"/>
              </w:rPr>
              <w:t xml:space="preserve"> largely an artefact of the limited geographical area of the nation, given that the population is low, and the proportion of agricultural land is high</w:t>
            </w:r>
            <w:r w:rsidR="006C0A78">
              <w:rPr>
                <w:rFonts w:ascii="Palatino Linotype" w:hAnsi="Palatino Linotype"/>
                <w:sz w:val="20"/>
                <w:szCs w:val="18"/>
                <w:lang w:val="en-US"/>
              </w:rPr>
              <w:t xml:space="preserve">. </w:t>
            </w:r>
          </w:p>
          <w:p w14:paraId="4419BC35" w14:textId="6CF94948"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t xml:space="preserve">Agriculture in Ireland is extensive </w:t>
            </w:r>
            <w:r w:rsidR="0001183F">
              <w:rPr>
                <w:rFonts w:ascii="Palatino Linotype" w:hAnsi="Palatino Linotype"/>
                <w:sz w:val="20"/>
                <w:szCs w:val="18"/>
                <w:lang w:val="en-US"/>
              </w:rPr>
              <w:t>[</w:t>
            </w:r>
            <w:r w:rsidR="009C0E15">
              <w:rPr>
                <w:rFonts w:ascii="Palatino Linotype" w:hAnsi="Palatino Linotype"/>
                <w:sz w:val="20"/>
                <w:szCs w:val="18"/>
                <w:lang w:val="en-US"/>
              </w:rPr>
              <w:t>9</w:t>
            </w:r>
            <w:r w:rsidR="00A9271C">
              <w:rPr>
                <w:rFonts w:ascii="Palatino Linotype" w:hAnsi="Palatino Linotype"/>
                <w:sz w:val="20"/>
                <w:szCs w:val="18"/>
                <w:lang w:val="en-US"/>
              </w:rPr>
              <w:t>7</w:t>
            </w:r>
            <w:proofErr w:type="gramStart"/>
            <w:r w:rsidR="0001183F">
              <w:rPr>
                <w:rFonts w:ascii="Palatino Linotype" w:hAnsi="Palatino Linotype"/>
                <w:sz w:val="20"/>
                <w:szCs w:val="18"/>
                <w:lang w:val="en-US"/>
              </w:rPr>
              <w:t>]</w:t>
            </w:r>
            <w:r w:rsidRPr="00A047DA">
              <w:rPr>
                <w:rFonts w:ascii="Palatino Linotype" w:hAnsi="Palatino Linotype"/>
                <w:sz w:val="20"/>
                <w:szCs w:val="18"/>
                <w:lang w:val="en-US"/>
              </w:rPr>
              <w:t>,varied</w:t>
            </w:r>
            <w:proofErr w:type="gramEnd"/>
            <w:r w:rsidRPr="00A047DA">
              <w:rPr>
                <w:rFonts w:ascii="Palatino Linotype" w:hAnsi="Palatino Linotype"/>
                <w:sz w:val="20"/>
                <w:szCs w:val="18"/>
                <w:lang w:val="en-US"/>
              </w:rPr>
              <w:t xml:space="preserve"> in terms of produce and outputs, has high productivity and is a net exporter.</w:t>
            </w:r>
          </w:p>
          <w:p w14:paraId="2A5619CB" w14:textId="63D45B28"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hAnsi="Palatino Linotype"/>
                <w:sz w:val="20"/>
                <w:szCs w:val="18"/>
                <w:lang w:val="en-US"/>
              </w:rPr>
            </w:pPr>
            <w:r w:rsidRPr="00A047DA">
              <w:rPr>
                <w:rFonts w:ascii="Palatino Linotype" w:hAnsi="Palatino Linotype"/>
                <w:sz w:val="20"/>
                <w:szCs w:val="18"/>
                <w:lang w:val="en-US"/>
              </w:rPr>
              <w:lastRenderedPageBreak/>
              <w:t>In addition to extensive agricultural capacity</w:t>
            </w:r>
            <w:r w:rsidR="004D08FD">
              <w:rPr>
                <w:rFonts w:ascii="Palatino Linotype" w:hAnsi="Palatino Linotype"/>
                <w:sz w:val="20"/>
                <w:szCs w:val="18"/>
                <w:lang w:val="en-US"/>
              </w:rPr>
              <w:t>,</w:t>
            </w:r>
            <w:r w:rsidRPr="00A047DA">
              <w:rPr>
                <w:rFonts w:ascii="Palatino Linotype" w:hAnsi="Palatino Linotype"/>
                <w:sz w:val="20"/>
                <w:szCs w:val="18"/>
                <w:lang w:val="en-US"/>
              </w:rPr>
              <w:t xml:space="preserve"> Ireland is not prone to major natural hazards, though extreme weather events have the potential to damage agricultural output, particularly considering the small land area of the nation.</w:t>
            </w:r>
          </w:p>
        </w:tc>
      </w:tr>
      <w:tr w:rsidR="00A047DA" w:rsidRPr="00A047DA" w14:paraId="565A8B59" w14:textId="77777777" w:rsidTr="008226B5">
        <w:trPr>
          <w:jc w:val="center"/>
        </w:trPr>
        <w:tc>
          <w:tcPr>
            <w:tcW w:w="422" w:type="pct"/>
            <w:vMerge/>
            <w:vAlign w:val="center"/>
          </w:tcPr>
          <w:p w14:paraId="57484AC8" w14:textId="77777777" w:rsidR="002C3717" w:rsidRPr="002C3C39" w:rsidRDefault="002C3717" w:rsidP="00A047DA">
            <w:pPr>
              <w:autoSpaceDE w:val="0"/>
              <w:autoSpaceDN w:val="0"/>
              <w:adjustRightInd w:val="0"/>
              <w:snapToGrid w:val="0"/>
              <w:spacing w:line="240" w:lineRule="auto"/>
              <w:jc w:val="center"/>
              <w:rPr>
                <w:rFonts w:eastAsia="Times New Roman"/>
                <w:bCs/>
                <w:noProof w:val="0"/>
                <w:snapToGrid w:val="0"/>
                <w:szCs w:val="22"/>
                <w:lang w:bidi="en-US"/>
              </w:rPr>
            </w:pPr>
          </w:p>
        </w:tc>
        <w:tc>
          <w:tcPr>
            <w:tcW w:w="630" w:type="pct"/>
            <w:tcBorders>
              <w:top w:val="nil"/>
            </w:tcBorders>
            <w:shd w:val="clear" w:color="auto" w:fill="auto"/>
            <w:vAlign w:val="center"/>
          </w:tcPr>
          <w:p w14:paraId="0B69B65F" w14:textId="327D4339" w:rsidR="002C3717" w:rsidRPr="002C3C39" w:rsidRDefault="00FB5ADE" w:rsidP="00A047DA">
            <w:pPr>
              <w:autoSpaceDE w:val="0"/>
              <w:autoSpaceDN w:val="0"/>
              <w:adjustRightInd w:val="0"/>
              <w:snapToGrid w:val="0"/>
              <w:spacing w:line="240" w:lineRule="auto"/>
              <w:jc w:val="center"/>
              <w:rPr>
                <w:rFonts w:eastAsia="Times New Roman"/>
                <w:bCs/>
                <w:noProof w:val="0"/>
                <w:snapToGrid w:val="0"/>
                <w:szCs w:val="22"/>
                <w:lang w:bidi="en-US"/>
              </w:rPr>
            </w:pPr>
            <w:r w:rsidRPr="002C3C39">
              <w:rPr>
                <w:rFonts w:eastAsia="Times New Roman"/>
                <w:bCs/>
                <w:noProof w:val="0"/>
                <w:snapToGrid w:val="0"/>
                <w:lang w:bidi="en-US"/>
              </w:rPr>
              <w:t>Overview</w:t>
            </w:r>
          </w:p>
        </w:tc>
        <w:tc>
          <w:tcPr>
            <w:tcW w:w="3947" w:type="pct"/>
            <w:gridSpan w:val="2"/>
            <w:tcBorders>
              <w:top w:val="nil"/>
            </w:tcBorders>
            <w:vAlign w:val="center"/>
          </w:tcPr>
          <w:p w14:paraId="71861A93" w14:textId="77777777"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eastAsia="Times New Roman" w:hAnsi="Palatino Linotype"/>
                <w:bCs/>
                <w:snapToGrid w:val="0"/>
                <w:sz w:val="20"/>
                <w:szCs w:val="18"/>
                <w:lang w:val="en-US" w:bidi="en-US"/>
              </w:rPr>
              <w:t xml:space="preserve">Ireland has </w:t>
            </w:r>
            <w:r w:rsidRPr="00A047DA">
              <w:rPr>
                <w:rFonts w:ascii="Palatino Linotype" w:hAnsi="Palatino Linotype"/>
                <w:sz w:val="20"/>
                <w:szCs w:val="18"/>
                <w:lang w:val="en-US"/>
              </w:rPr>
              <w:t>extensive renewable energy resources (primarily wind) which are currently only partially exploited and so have capacity for usage to increase in future, noting that fossil fuel generation currently dominates.</w:t>
            </w:r>
          </w:p>
          <w:p w14:paraId="40B65EDB" w14:textId="46C9D028" w:rsidR="002C3717" w:rsidRPr="00A047DA" w:rsidRDefault="002C3717" w:rsidP="00AE21C4">
            <w:pPr>
              <w:pStyle w:val="ListParagraph"/>
              <w:numPr>
                <w:ilvl w:val="1"/>
                <w:numId w:val="19"/>
              </w:numPr>
              <w:autoSpaceDE w:val="0"/>
              <w:autoSpaceDN w:val="0"/>
              <w:adjustRightInd w:val="0"/>
              <w:snapToGrid w:val="0"/>
              <w:spacing w:after="0" w:line="240" w:lineRule="auto"/>
              <w:rPr>
                <w:rFonts w:ascii="Palatino Linotype" w:eastAsia="Times New Roman" w:hAnsi="Palatino Linotype"/>
                <w:bCs/>
                <w:snapToGrid w:val="0"/>
                <w:sz w:val="20"/>
                <w:szCs w:val="18"/>
                <w:lang w:val="en-US" w:bidi="en-US"/>
              </w:rPr>
            </w:pPr>
            <w:r w:rsidRPr="00A047DA">
              <w:rPr>
                <w:rFonts w:ascii="Palatino Linotype" w:hAnsi="Palatino Linotype"/>
                <w:sz w:val="20"/>
                <w:szCs w:val="18"/>
                <w:lang w:val="en-US"/>
              </w:rPr>
              <w:t xml:space="preserve">As such, any transition during a ‘de-complexification’ event would potentially be complicated relative to nations with current high existing renewables penetration but would still be </w:t>
            </w:r>
            <w:proofErr w:type="spellStart"/>
            <w:r w:rsidRPr="00A047DA">
              <w:rPr>
                <w:rFonts w:ascii="Palatino Linotype" w:hAnsi="Palatino Linotype"/>
                <w:sz w:val="20"/>
                <w:szCs w:val="18"/>
                <w:lang w:val="en-US"/>
              </w:rPr>
              <w:t>favourable</w:t>
            </w:r>
            <w:proofErr w:type="spellEnd"/>
            <w:r w:rsidRPr="00A047DA">
              <w:rPr>
                <w:rFonts w:ascii="Palatino Linotype" w:hAnsi="Palatino Linotype"/>
                <w:sz w:val="20"/>
                <w:szCs w:val="18"/>
                <w:lang w:val="en-US"/>
              </w:rPr>
              <w:t xml:space="preserve"> compared to the UK (with its more complex energy mix and high overall energy demand)</w:t>
            </w:r>
            <w:r w:rsidR="006C0A78">
              <w:rPr>
                <w:rFonts w:ascii="Palatino Linotype" w:hAnsi="Palatino Linotype"/>
                <w:sz w:val="20"/>
                <w:szCs w:val="18"/>
                <w:lang w:val="en-US"/>
              </w:rPr>
              <w:t xml:space="preserve">. </w:t>
            </w:r>
          </w:p>
          <w:p w14:paraId="2F61CF4D" w14:textId="768A95BE" w:rsidR="002C3717" w:rsidRPr="00A047DA" w:rsidRDefault="002C3717" w:rsidP="00AE21C4">
            <w:pPr>
              <w:pStyle w:val="ListParagraph"/>
              <w:numPr>
                <w:ilvl w:val="0"/>
                <w:numId w:val="4"/>
              </w:numPr>
              <w:autoSpaceDE w:val="0"/>
              <w:autoSpaceDN w:val="0"/>
              <w:adjustRightInd w:val="0"/>
              <w:snapToGrid w:val="0"/>
              <w:spacing w:after="0" w:line="240" w:lineRule="auto"/>
              <w:ind w:left="0" w:firstLine="0"/>
              <w:rPr>
                <w:rFonts w:ascii="Palatino Linotype" w:eastAsia="Times New Roman" w:hAnsi="Palatino Linotype"/>
                <w:bCs/>
                <w:snapToGrid w:val="0"/>
                <w:sz w:val="20"/>
                <w:szCs w:val="18"/>
                <w:lang w:val="en-US" w:bidi="en-US"/>
              </w:rPr>
            </w:pPr>
            <w:r w:rsidRPr="00A047DA">
              <w:rPr>
                <w:rFonts w:ascii="Palatino Linotype" w:hAnsi="Palatino Linotype"/>
                <w:sz w:val="20"/>
                <w:szCs w:val="18"/>
                <w:lang w:val="en-US"/>
              </w:rPr>
              <w:t xml:space="preserve">Agricultural resources are extensive and generally </w:t>
            </w:r>
            <w:proofErr w:type="spellStart"/>
            <w:r w:rsidRPr="00A047DA">
              <w:rPr>
                <w:rFonts w:ascii="Palatino Linotype" w:hAnsi="Palatino Linotype"/>
                <w:sz w:val="20"/>
                <w:szCs w:val="18"/>
                <w:lang w:val="en-US"/>
              </w:rPr>
              <w:t>favoured</w:t>
            </w:r>
            <w:proofErr w:type="spellEnd"/>
            <w:r w:rsidRPr="00A047DA">
              <w:rPr>
                <w:rFonts w:ascii="Palatino Linotype" w:hAnsi="Palatino Linotype"/>
                <w:sz w:val="20"/>
                <w:szCs w:val="18"/>
                <w:lang w:val="en-US"/>
              </w:rPr>
              <w:t xml:space="preserve"> by climatic conditions (now and in the future) but have the potential to be impacted by extreme weather events</w:t>
            </w:r>
            <w:r w:rsidR="006C0A78">
              <w:rPr>
                <w:rFonts w:ascii="Palatino Linotype" w:hAnsi="Palatino Linotype"/>
                <w:sz w:val="20"/>
                <w:szCs w:val="18"/>
                <w:lang w:val="en-US"/>
              </w:rPr>
              <w:t xml:space="preserve">. </w:t>
            </w:r>
            <w:r w:rsidRPr="00A047DA">
              <w:rPr>
                <w:rFonts w:ascii="Palatino Linotype" w:hAnsi="Palatino Linotype"/>
                <w:sz w:val="20"/>
                <w:szCs w:val="18"/>
                <w:lang w:val="en-US"/>
              </w:rPr>
              <w:t xml:space="preserve">The small population of Ireland would likely offset limitations linked to its small geographical area and current reliance on fossil fuels, giving it </w:t>
            </w:r>
            <w:r w:rsidR="004D08FD">
              <w:rPr>
                <w:rFonts w:ascii="Palatino Linotype" w:hAnsi="Palatino Linotype"/>
                <w:sz w:val="20"/>
                <w:szCs w:val="18"/>
                <w:lang w:val="en-US"/>
              </w:rPr>
              <w:t xml:space="preserve">the </w:t>
            </w:r>
            <w:r w:rsidRPr="00A047DA">
              <w:rPr>
                <w:rFonts w:ascii="Palatino Linotype" w:hAnsi="Palatino Linotype"/>
                <w:sz w:val="20"/>
                <w:szCs w:val="18"/>
                <w:lang w:val="en-US"/>
              </w:rPr>
              <w:t>potential to comprise a future ‘node of persisting complexity’.</w:t>
            </w:r>
          </w:p>
        </w:tc>
      </w:tr>
    </w:tbl>
    <w:p w14:paraId="21D6BDD6" w14:textId="13C4FFAD" w:rsidR="008E28F0" w:rsidRPr="002A59D0" w:rsidRDefault="008E28F0" w:rsidP="002A59D0">
      <w:pPr>
        <w:adjustRightInd w:val="0"/>
        <w:snapToGrid w:val="0"/>
        <w:rPr>
          <w:noProof w:val="0"/>
        </w:rPr>
      </w:pPr>
    </w:p>
    <w:p w14:paraId="6BF10593" w14:textId="77777777" w:rsidR="002C3717" w:rsidRPr="002A59D0" w:rsidRDefault="002C3717" w:rsidP="002A59D0">
      <w:pPr>
        <w:adjustRightInd w:val="0"/>
        <w:snapToGrid w:val="0"/>
        <w:rPr>
          <w:noProof w:val="0"/>
        </w:rPr>
        <w:sectPr w:rsidR="002C3717" w:rsidRPr="002A59D0" w:rsidSect="002A59D0">
          <w:headerReference w:type="default" r:id="rId23"/>
          <w:endnotePr>
            <w:numFmt w:val="decimal"/>
          </w:endnotePr>
          <w:pgSz w:w="16838" w:h="11906" w:orient="landscape" w:code="9"/>
          <w:pgMar w:top="1417" w:right="720" w:bottom="1077" w:left="720" w:header="1020" w:footer="340" w:gutter="0"/>
          <w:cols w:space="425"/>
          <w:bidi/>
          <w:docGrid w:type="lines" w:linePitch="326"/>
        </w:sectPr>
      </w:pPr>
    </w:p>
    <w:p w14:paraId="4D111140" w14:textId="2DDF09D3" w:rsidR="00765756" w:rsidRPr="00A047DA" w:rsidRDefault="0062780A" w:rsidP="00A047DA">
      <w:pPr>
        <w:pStyle w:val="MDPI22heading2"/>
        <w:spacing w:before="240"/>
      </w:pPr>
      <w:r>
        <w:lastRenderedPageBreak/>
        <w:t>4</w:t>
      </w:r>
      <w:r w:rsidR="00A047DA" w:rsidRPr="00A047DA">
        <w:t>.</w:t>
      </w:r>
      <w:r>
        <w:t>2</w:t>
      </w:r>
      <w:r w:rsidR="00A047DA" w:rsidRPr="00A047DA">
        <w:t xml:space="preserve">. </w:t>
      </w:r>
      <w:r w:rsidR="00765756" w:rsidRPr="00A047DA">
        <w:t xml:space="preserve">Sustainability and </w:t>
      </w:r>
      <w:r w:rsidR="00112244" w:rsidRPr="00A047DA">
        <w:t>Resilience Lessons</w:t>
      </w:r>
    </w:p>
    <w:p w14:paraId="144C4EDF" w14:textId="69AB6860" w:rsidR="00765756" w:rsidRPr="002A59D0" w:rsidRDefault="00765756" w:rsidP="00A047DA">
      <w:pPr>
        <w:pStyle w:val="MDPI31text"/>
      </w:pPr>
      <w:r w:rsidRPr="002A59D0">
        <w:t xml:space="preserve">This analysis of ‘nodes of persisting complexity’ would be of limited value if it were simply a dispassionate analysis of what parts of human </w:t>
      </w:r>
      <w:proofErr w:type="spellStart"/>
      <w:r w:rsidRPr="002A59D0">
        <w:t>civilisation</w:t>
      </w:r>
      <w:proofErr w:type="spellEnd"/>
      <w:r w:rsidRPr="002A59D0">
        <w:t xml:space="preserve"> might survive a major, global scale ‘de-complexification’ in relatively unscathed forms.</w:t>
      </w:r>
      <w:r w:rsidR="008D52EA">
        <w:t xml:space="preserve"> </w:t>
      </w:r>
      <w:r w:rsidRPr="002A59D0">
        <w:t xml:space="preserve">Such an event would be bleak, tragic and history-altering when the loss of life, </w:t>
      </w:r>
      <w:proofErr w:type="gramStart"/>
      <w:r w:rsidRPr="002A59D0">
        <w:t>knowledge</w:t>
      </w:r>
      <w:proofErr w:type="gramEnd"/>
      <w:r w:rsidRPr="002A59D0">
        <w:t xml:space="preserve"> and cultural achievements, which would inevitably be attendant to such scenarios, are considered.</w:t>
      </w:r>
      <w:r w:rsidR="008D52EA">
        <w:t xml:space="preserve"> </w:t>
      </w:r>
      <w:r w:rsidRPr="002A59D0">
        <w:t>As such, this analysis is carried out with the intent to aid the understanding of what contributes to making such events possible or probable and</w:t>
      </w:r>
      <w:r w:rsidR="0002756B">
        <w:t>,</w:t>
      </w:r>
      <w:r w:rsidRPr="002A59D0">
        <w:t xml:space="preserve"> therefore</w:t>
      </w:r>
      <w:r w:rsidR="0002756B">
        <w:t>,</w:t>
      </w:r>
      <w:r w:rsidRPr="002A59D0">
        <w:t xml:space="preserve"> to act as a component of the feedback</w:t>
      </w:r>
      <w:r w:rsidR="0002756B">
        <w:t>,</w:t>
      </w:r>
      <w:r w:rsidRPr="002A59D0">
        <w:t xml:space="preserve"> which may reduce the risk of them occurring.</w:t>
      </w:r>
    </w:p>
    <w:p w14:paraId="10A5A68D" w14:textId="42181550" w:rsidR="00765756" w:rsidRPr="002A59D0" w:rsidRDefault="00765756" w:rsidP="00A047DA">
      <w:pPr>
        <w:pStyle w:val="MDPI31text"/>
      </w:pPr>
      <w:r w:rsidRPr="002A59D0">
        <w:t>The analysis undertaken in Section 3 highlights that certain nations have particular characteristics (‘</w:t>
      </w:r>
      <w:proofErr w:type="spellStart"/>
      <w:r w:rsidRPr="002A59D0">
        <w:t>favourable</w:t>
      </w:r>
      <w:proofErr w:type="spellEnd"/>
      <w:r w:rsidRPr="002A59D0">
        <w:t xml:space="preserve"> starting conditions’) that may </w:t>
      </w:r>
      <w:proofErr w:type="spellStart"/>
      <w:r w:rsidRPr="002A59D0">
        <w:t>maximise</w:t>
      </w:r>
      <w:proofErr w:type="spellEnd"/>
      <w:r w:rsidRPr="002A59D0">
        <w:t xml:space="preserve"> their potential to form ‘nodes of persisting complexity’.</w:t>
      </w:r>
      <w:r w:rsidR="008D52EA">
        <w:t xml:space="preserve"> </w:t>
      </w:r>
      <w:r w:rsidRPr="002A59D0">
        <w:t>These characteristics are inherent to these locations, but there may be scope to apply aspects of these characteristics (or the benefits they naturally confer) to other locations that do not naturally have them.</w:t>
      </w:r>
      <w:r w:rsidR="008D52EA">
        <w:t xml:space="preserve"> </w:t>
      </w:r>
      <w:r w:rsidRPr="002A59D0">
        <w:t>The application of learning from the ‘nodes of persisting complexity analysis’ may be possible through actions local to nations or global regions, and/or through global-scale actions.</w:t>
      </w:r>
      <w:r w:rsidR="008D52EA">
        <w:t xml:space="preserve"> </w:t>
      </w:r>
      <w:r w:rsidRPr="002A59D0">
        <w:t xml:space="preserve">Some of these may be already underway, or may </w:t>
      </w:r>
      <w:proofErr w:type="gramStart"/>
      <w:r w:rsidRPr="002A59D0">
        <w:t>be things that are</w:t>
      </w:r>
      <w:proofErr w:type="gramEnd"/>
      <w:r w:rsidRPr="002A59D0">
        <w:t xml:space="preserve"> not yet happening, but which may be feasible in </w:t>
      </w:r>
      <w:r w:rsidR="0002756B">
        <w:t xml:space="preserve">the </w:t>
      </w:r>
      <w:r w:rsidRPr="002A59D0">
        <w:t>future.</w:t>
      </w:r>
      <w:r w:rsidR="008D52EA">
        <w:t xml:space="preserve"> </w:t>
      </w:r>
      <w:r w:rsidRPr="002A59D0">
        <w:t>The following subsections discuss the ‘</w:t>
      </w:r>
      <w:proofErr w:type="spellStart"/>
      <w:r w:rsidRPr="002A59D0">
        <w:t>favourable</w:t>
      </w:r>
      <w:proofErr w:type="spellEnd"/>
      <w:r w:rsidRPr="002A59D0">
        <w:t xml:space="preserve"> starting conditions’ in turn with reference to how they may be applied.</w:t>
      </w:r>
    </w:p>
    <w:p w14:paraId="6B283CFF" w14:textId="13963F60" w:rsidR="00765756" w:rsidRPr="00A047DA" w:rsidRDefault="0062780A" w:rsidP="00A047DA">
      <w:pPr>
        <w:pStyle w:val="MDPI23heading3"/>
        <w:spacing w:before="240"/>
      </w:pPr>
      <w:r>
        <w:t>4</w:t>
      </w:r>
      <w:r w:rsidR="00A047DA" w:rsidRPr="00A047DA">
        <w:t>.</w:t>
      </w:r>
      <w:r>
        <w:t>2</w:t>
      </w:r>
      <w:r w:rsidR="00A047DA" w:rsidRPr="00A047DA">
        <w:t xml:space="preserve">.1. </w:t>
      </w:r>
      <w:r w:rsidR="00765756" w:rsidRPr="00A047DA">
        <w:t xml:space="preserve">Future </w:t>
      </w:r>
      <w:r w:rsidR="00112244" w:rsidRPr="00A047DA">
        <w:t>Climatic Conditions</w:t>
      </w:r>
    </w:p>
    <w:p w14:paraId="01B8E792" w14:textId="0A88A31F" w:rsidR="00765756" w:rsidRPr="002A59D0" w:rsidRDefault="00765756" w:rsidP="00A047DA">
      <w:pPr>
        <w:pStyle w:val="MDPI31text"/>
      </w:pPr>
      <w:r w:rsidRPr="002A59D0">
        <w:t>Anthropogenically</w:t>
      </w:r>
      <w:r w:rsidR="0002756B">
        <w:t xml:space="preserve"> </w:t>
      </w:r>
      <w:r w:rsidRPr="002A59D0">
        <w:t xml:space="preserve">caused climatic change </w:t>
      </w:r>
      <w:r w:rsidR="00F21CCF" w:rsidRPr="002A59D0">
        <w:t xml:space="preserve">has </w:t>
      </w:r>
      <w:r w:rsidRPr="002A59D0">
        <w:t>the potential over the coming century and beyond to exacerbate conditions in regions already experiencing climate stresses and</w:t>
      </w:r>
      <w:r w:rsidR="002A0FD7">
        <w:t>,</w:t>
      </w:r>
      <w:r w:rsidRPr="002A59D0">
        <w:t xml:space="preserve"> in time</w:t>
      </w:r>
      <w:r w:rsidR="002A0FD7">
        <w:t>,</w:t>
      </w:r>
      <w:r w:rsidRPr="002A59D0">
        <w:t xml:space="preserve"> to significantly reduce the habitability of whole regions (e.g.</w:t>
      </w:r>
      <w:r w:rsidR="00CF3497">
        <w:t>,</w:t>
      </w:r>
      <w:r w:rsidRPr="002A59D0">
        <w:t xml:space="preserve"> by </w:t>
      </w:r>
      <w:proofErr w:type="spellStart"/>
      <w:r w:rsidRPr="002A59D0">
        <w:t>jeopardising</w:t>
      </w:r>
      <w:proofErr w:type="spellEnd"/>
      <w:r w:rsidRPr="002A59D0">
        <w:t xml:space="preserve"> reliable rain-fed agriculture) </w:t>
      </w:r>
      <w:r w:rsidR="0013004D" w:rsidRPr="002A59D0">
        <w:t>[</w:t>
      </w:r>
      <w:r w:rsidR="00FD0DFA" w:rsidRPr="002A59D0">
        <w:t>7</w:t>
      </w:r>
      <w:r w:rsidR="00A9271C">
        <w:t>5</w:t>
      </w:r>
      <w:r w:rsidR="0013004D" w:rsidRPr="002A59D0">
        <w:t>]</w:t>
      </w:r>
      <w:r w:rsidRPr="002A59D0">
        <w:t>.</w:t>
      </w:r>
      <w:r w:rsidR="008D52EA">
        <w:t xml:space="preserve"> </w:t>
      </w:r>
      <w:r w:rsidRPr="002A59D0">
        <w:t>The changes will be subject to complex local factors (i.e.</w:t>
      </w:r>
      <w:r w:rsidR="00CF3497">
        <w:t>,</w:t>
      </w:r>
      <w:r w:rsidRPr="002A59D0">
        <w:t xml:space="preserve"> </w:t>
      </w:r>
      <w:proofErr w:type="gramStart"/>
      <w:r w:rsidRPr="002A59D0">
        <w:t>geographical</w:t>
      </w:r>
      <w:proofErr w:type="gramEnd"/>
      <w:r w:rsidRPr="002A59D0">
        <w:t xml:space="preserve"> and cultural features)</w:t>
      </w:r>
      <w:r w:rsidR="002A0FD7">
        <w:t>,</w:t>
      </w:r>
      <w:r w:rsidRPr="002A59D0">
        <w:t xml:space="preserve"> but there may be several degrees of freedom/</w:t>
      </w:r>
      <w:proofErr w:type="spellStart"/>
      <w:r w:rsidRPr="002A59D0">
        <w:t>generalised</w:t>
      </w:r>
      <w:proofErr w:type="spellEnd"/>
      <w:r w:rsidRPr="002A59D0">
        <w:t xml:space="preserve"> actions available that could potentially be undertaken to reduce vulnerability to these future climatic changes.</w:t>
      </w:r>
    </w:p>
    <w:p w14:paraId="35FA2086" w14:textId="496F5170" w:rsidR="00765756" w:rsidRPr="002A59D0" w:rsidRDefault="00765756" w:rsidP="00A047DA">
      <w:pPr>
        <w:pStyle w:val="MDPI31text"/>
      </w:pPr>
      <w:r w:rsidRPr="002A59D0">
        <w:t>At the global</w:t>
      </w:r>
      <w:r w:rsidR="002A0FD7">
        <w:t>–</w:t>
      </w:r>
      <w:r w:rsidRPr="002A59D0">
        <w:t>national level</w:t>
      </w:r>
      <w:r w:rsidR="002A0FD7">
        <w:t>, the</w:t>
      </w:r>
      <w:r w:rsidRPr="002A59D0">
        <w:t xml:space="preserve"> </w:t>
      </w:r>
      <w:proofErr w:type="spellStart"/>
      <w:r w:rsidRPr="002A59D0">
        <w:t>minimisation</w:t>
      </w:r>
      <w:proofErr w:type="spellEnd"/>
      <w:r w:rsidRPr="002A59D0">
        <w:t xml:space="preserve"> of risks to regions that do not currently have benign climatic condition and/or which are unlikely to have resilience to changes may be best achieved through the international efforts to limit and mitigate greenhouse gas emissions.</w:t>
      </w:r>
      <w:r w:rsidR="008D52EA">
        <w:t xml:space="preserve"> </w:t>
      </w:r>
      <w:r w:rsidRPr="002A59D0">
        <w:t>Given the uncertainty surrounding the scope and effectiveness of these international emission-reduction schemes, efforts at the national</w:t>
      </w:r>
      <w:r w:rsidR="002A0FD7">
        <w:t>–</w:t>
      </w:r>
      <w:r w:rsidRPr="002A59D0">
        <w:t>local scale may potentially be more effective.</w:t>
      </w:r>
      <w:r w:rsidR="008D52EA">
        <w:t xml:space="preserve"> </w:t>
      </w:r>
      <w:r w:rsidRPr="002A59D0">
        <w:t xml:space="preserve">These may include </w:t>
      </w:r>
      <w:r w:rsidR="002A0FD7">
        <w:t xml:space="preserve">the </w:t>
      </w:r>
      <w:r w:rsidRPr="002A59D0">
        <w:t>variation of agriculture to adapt to changing conditions (including diversion from industrial monocultures towards widespread application of techniques such as permaculture</w:t>
      </w:r>
      <w:r w:rsidR="0013004D" w:rsidRPr="002A59D0">
        <w:t xml:space="preserve"> </w:t>
      </w:r>
      <w:r w:rsidR="0001183F">
        <w:t>[</w:t>
      </w:r>
      <w:r w:rsidR="00BC24B3">
        <w:t>6</w:t>
      </w:r>
      <w:r w:rsidR="00A9271C">
        <w:t>2</w:t>
      </w:r>
      <w:r w:rsidR="0001183F">
        <w:t>]</w:t>
      </w:r>
      <w:r w:rsidRPr="002A59D0">
        <w:t xml:space="preserve">, measures to </w:t>
      </w:r>
      <w:proofErr w:type="spellStart"/>
      <w:r w:rsidRPr="002A59D0">
        <w:t>minimise</w:t>
      </w:r>
      <w:proofErr w:type="spellEnd"/>
      <w:r w:rsidRPr="002A59D0">
        <w:t xml:space="preserve"> the vulnerability of soils to erosion under increased storminess and civil engineering to adapt to changing precipitation patterns (e.g.</w:t>
      </w:r>
      <w:r w:rsidR="00CF3497">
        <w:t>,</w:t>
      </w:r>
      <w:r w:rsidRPr="002A59D0">
        <w:t xml:space="preserve"> construction of reservoirs)</w:t>
      </w:r>
      <w:r w:rsidR="002A0FD7">
        <w:t>)</w:t>
      </w:r>
      <w:r w:rsidRPr="002A59D0">
        <w:t>.</w:t>
      </w:r>
    </w:p>
    <w:p w14:paraId="3BF37419" w14:textId="4BC3346C" w:rsidR="00765756" w:rsidRPr="00A047DA" w:rsidRDefault="0062780A" w:rsidP="00A047DA">
      <w:pPr>
        <w:pStyle w:val="MDPI23heading3"/>
        <w:spacing w:before="240"/>
      </w:pPr>
      <w:r>
        <w:t>4</w:t>
      </w:r>
      <w:r w:rsidR="00A047DA" w:rsidRPr="00A047DA">
        <w:t>.</w:t>
      </w:r>
      <w:r>
        <w:t>2</w:t>
      </w:r>
      <w:r w:rsidR="00A047DA" w:rsidRPr="00A047DA">
        <w:t>.</w:t>
      </w:r>
      <w:r>
        <w:t>2</w:t>
      </w:r>
      <w:r w:rsidR="00A047DA" w:rsidRPr="00A047DA">
        <w:t xml:space="preserve">. </w:t>
      </w:r>
      <w:r w:rsidR="00765756" w:rsidRPr="00A047DA">
        <w:t xml:space="preserve">Carrying </w:t>
      </w:r>
      <w:r w:rsidR="00112244" w:rsidRPr="00A047DA">
        <w:t>Capacity</w:t>
      </w:r>
    </w:p>
    <w:p w14:paraId="05B9C58B" w14:textId="0E437679" w:rsidR="00765756" w:rsidRPr="002A59D0" w:rsidRDefault="00765756" w:rsidP="00A047DA">
      <w:pPr>
        <w:pStyle w:val="MDPI31text"/>
      </w:pPr>
      <w:r w:rsidRPr="002A59D0">
        <w:t>Prior to the modern era human societies were predominantly reliant on local/regional environments for key resources (e.g.</w:t>
      </w:r>
      <w:r w:rsidR="00CF3497">
        <w:t>,</w:t>
      </w:r>
      <w:r w:rsidRPr="002A59D0">
        <w:t xml:space="preserve"> food and metal ores).</w:t>
      </w:r>
      <w:r w:rsidR="008D52EA">
        <w:t xml:space="preserve"> </w:t>
      </w:r>
      <w:r w:rsidRPr="002A59D0">
        <w:t xml:space="preserve">Constraints on the availability of </w:t>
      </w:r>
      <w:proofErr w:type="spellStart"/>
      <w:r w:rsidRPr="002A59D0">
        <w:t>localised</w:t>
      </w:r>
      <w:proofErr w:type="spellEnd"/>
      <w:r w:rsidRPr="002A59D0">
        <w:t xml:space="preserve"> resources (i.e.</w:t>
      </w:r>
      <w:r w:rsidR="00CF3497">
        <w:t>,</w:t>
      </w:r>
      <w:r w:rsidRPr="002A59D0">
        <w:t xml:space="preserve"> carrying capacities) were one of the main motivations underlying the expansion of historical nations and empires </w:t>
      </w:r>
      <w:r w:rsidR="0013004D" w:rsidRPr="002A59D0">
        <w:t>[</w:t>
      </w:r>
      <w:r w:rsidR="00FD0DFA" w:rsidRPr="002A59D0">
        <w:t>5</w:t>
      </w:r>
      <w:r w:rsidR="0013004D" w:rsidRPr="002A59D0">
        <w:t>]</w:t>
      </w:r>
      <w:r w:rsidRPr="002A59D0">
        <w:t>.</w:t>
      </w:r>
      <w:r w:rsidR="008D52EA">
        <w:t xml:space="preserve"> </w:t>
      </w:r>
      <w:r w:rsidRPr="002A59D0">
        <w:t xml:space="preserve">Colonialism, </w:t>
      </w:r>
      <w:proofErr w:type="spellStart"/>
      <w:r w:rsidRPr="002A59D0">
        <w:t>industrialisation</w:t>
      </w:r>
      <w:proofErr w:type="spellEnd"/>
      <w:r w:rsidRPr="002A59D0">
        <w:t xml:space="preserve">, and the </w:t>
      </w:r>
      <w:proofErr w:type="spellStart"/>
      <w:r w:rsidRPr="002A59D0">
        <w:t>globalisation</w:t>
      </w:r>
      <w:proofErr w:type="spellEnd"/>
      <w:r w:rsidRPr="002A59D0">
        <w:t xml:space="preserve"> of supply chains has since reduced/removed the need for many nations to be self-reliant.</w:t>
      </w:r>
      <w:r w:rsidR="008D52EA">
        <w:t xml:space="preserve"> </w:t>
      </w:r>
      <w:r w:rsidRPr="002A59D0">
        <w:t xml:space="preserve">This trend has increased global resilience to </w:t>
      </w:r>
      <w:proofErr w:type="spellStart"/>
      <w:r w:rsidRPr="002A59D0">
        <w:t>localised</w:t>
      </w:r>
      <w:proofErr w:type="spellEnd"/>
      <w:r w:rsidRPr="002A59D0">
        <w:t xml:space="preserve"> resource constraints whilst global resources remain plentiful (i.e.</w:t>
      </w:r>
      <w:r w:rsidR="00CF3497">
        <w:t>,</w:t>
      </w:r>
      <w:r w:rsidRPr="002A59D0">
        <w:t xml:space="preserve"> overall surpluses can be exported as needed) but has also increased overall global vulnerability to ‘de-complexification’.</w:t>
      </w:r>
    </w:p>
    <w:p w14:paraId="0ED9AF9A" w14:textId="41ADC25A" w:rsidR="00765756" w:rsidRPr="002A59D0" w:rsidRDefault="00765756" w:rsidP="00A047DA">
      <w:pPr>
        <w:pStyle w:val="MDPI31text"/>
      </w:pPr>
      <w:r w:rsidRPr="002A59D0">
        <w:t xml:space="preserve">Where nations have become reliant on global supply chains their ability to </w:t>
      </w:r>
      <w:proofErr w:type="spellStart"/>
      <w:r w:rsidRPr="002A59D0">
        <w:t>utilise</w:t>
      </w:r>
      <w:proofErr w:type="spellEnd"/>
      <w:r w:rsidRPr="002A59D0">
        <w:t xml:space="preserve"> local resources may be degraded and/or local populations may have expanded per</w:t>
      </w:r>
      <w:r w:rsidR="002A0FD7">
        <w:t xml:space="preserve"> </w:t>
      </w:r>
      <w:r w:rsidRPr="002A59D0">
        <w:t>capita resource use beyond the local carrying capacity.</w:t>
      </w:r>
      <w:r w:rsidR="008D52EA">
        <w:t xml:space="preserve"> </w:t>
      </w:r>
      <w:r w:rsidRPr="002A59D0">
        <w:t>This may result in a high degree vulnerability to the reduction or cessation of externally supplied resources.</w:t>
      </w:r>
      <w:r w:rsidR="008D52EA">
        <w:t xml:space="preserve"> </w:t>
      </w:r>
      <w:r w:rsidRPr="002A59D0">
        <w:t>There would there</w:t>
      </w:r>
      <w:r w:rsidRPr="002A59D0">
        <w:lastRenderedPageBreak/>
        <w:t>fore be significant benefit in nations assessing alignment or mismatch with their local carrying capacity (now and in the future, based on projected changes in population, including from any potential large-scale inward migrations).</w:t>
      </w:r>
    </w:p>
    <w:p w14:paraId="6F918369" w14:textId="75825967" w:rsidR="00765756" w:rsidRPr="002A59D0" w:rsidRDefault="00765756" w:rsidP="00A047DA">
      <w:pPr>
        <w:pStyle w:val="MDPI31text"/>
      </w:pPr>
      <w:r w:rsidRPr="002A59D0">
        <w:t>This could allow for the planning and implementation of measures to decrease vulnerability.</w:t>
      </w:r>
      <w:r w:rsidR="008D52EA">
        <w:t xml:space="preserve"> </w:t>
      </w:r>
      <w:r w:rsidRPr="002A59D0">
        <w:t>This could include increasing the development and use of local resources (e.g.</w:t>
      </w:r>
      <w:r w:rsidR="00CF3497">
        <w:t>,</w:t>
      </w:r>
      <w:r w:rsidRPr="002A59D0">
        <w:t xml:space="preserve"> agricultural land and water resources, even if not currently the most cost-effective solution)</w:t>
      </w:r>
      <w:r w:rsidR="00F21CCF" w:rsidRPr="002A59D0">
        <w:t>,</w:t>
      </w:r>
      <w:r w:rsidRPr="002A59D0">
        <w:t xml:space="preserve"> reduction/elimination of reliance on resources/products that cannot be produced internally (e.g.</w:t>
      </w:r>
      <w:r w:rsidR="00CF3497">
        <w:t>,</w:t>
      </w:r>
      <w:r w:rsidRPr="002A59D0">
        <w:t xml:space="preserve"> agriculture reliant on imported </w:t>
      </w:r>
      <w:proofErr w:type="spellStart"/>
      <w:r w:rsidRPr="002A59D0">
        <w:t>fertiliser</w:t>
      </w:r>
      <w:proofErr w:type="spellEnd"/>
      <w:r w:rsidRPr="002A59D0">
        <w:t>) and measures to decrease per</w:t>
      </w:r>
      <w:r w:rsidR="002A0FD7">
        <w:t xml:space="preserve"> </w:t>
      </w:r>
      <w:r w:rsidRPr="002A59D0">
        <w:t>capita resource usage.</w:t>
      </w:r>
      <w:r w:rsidR="008D52EA">
        <w:t xml:space="preserve"> </w:t>
      </w:r>
      <w:r w:rsidRPr="002A59D0">
        <w:t>Such efforts could have the dual effect of reducing global resource consumption in parallel to increasing the resilience of regions and nations to global-scale events such as ‘de-complexification’.</w:t>
      </w:r>
    </w:p>
    <w:p w14:paraId="6DC43372" w14:textId="72EE9ADF" w:rsidR="00765756" w:rsidRPr="00A047DA" w:rsidRDefault="0062780A" w:rsidP="00A047DA">
      <w:pPr>
        <w:pStyle w:val="MDPI23heading3"/>
        <w:spacing w:before="240"/>
      </w:pPr>
      <w:r>
        <w:t>4</w:t>
      </w:r>
      <w:r w:rsidR="00A047DA" w:rsidRPr="00A047DA">
        <w:t>.</w:t>
      </w:r>
      <w:r>
        <w:t>2</w:t>
      </w:r>
      <w:r w:rsidR="00A047DA" w:rsidRPr="00A047DA">
        <w:t>.</w:t>
      </w:r>
      <w:r>
        <w:t>3</w:t>
      </w:r>
      <w:r w:rsidR="00A047DA" w:rsidRPr="00A047DA">
        <w:t xml:space="preserve">. </w:t>
      </w:r>
      <w:r w:rsidR="00765756" w:rsidRPr="00A047DA">
        <w:t xml:space="preserve">Indigenous and </w:t>
      </w:r>
      <w:r w:rsidR="00112244" w:rsidRPr="00A047DA">
        <w:t>Resilient Energy Supplies</w:t>
      </w:r>
    </w:p>
    <w:p w14:paraId="1AF68970" w14:textId="4E94233B" w:rsidR="00765756" w:rsidRPr="002A59D0" w:rsidRDefault="00765756" w:rsidP="00A047DA">
      <w:pPr>
        <w:pStyle w:val="MDPI31text"/>
      </w:pPr>
      <w:r w:rsidRPr="002A59D0">
        <w:t>Energy is one of the metrics comprising carrying capacity as described above but is so fundamental that it warrants separate consideration.</w:t>
      </w:r>
      <w:r w:rsidR="008D52EA">
        <w:t xml:space="preserve"> </w:t>
      </w:r>
      <w:r w:rsidRPr="002A59D0">
        <w:t>This is because modern technological societies are wholly reliant on a continual supply of energy (in primary form and as electricity) to maintain the functions that underpin complexity (e.g.</w:t>
      </w:r>
      <w:r w:rsidR="00CF3497">
        <w:t>,</w:t>
      </w:r>
      <w:r w:rsidRPr="002A59D0">
        <w:t xml:space="preserve"> supply of water services, logistics networks). The fossil fuels that supply </w:t>
      </w:r>
      <w:proofErr w:type="gramStart"/>
      <w:r w:rsidRPr="002A59D0">
        <w:t>the majority of</w:t>
      </w:r>
      <w:proofErr w:type="gramEnd"/>
      <w:r w:rsidRPr="002A59D0">
        <w:t xml:space="preserve"> the world’s primary and secondary energy at </w:t>
      </w:r>
      <w:r w:rsidR="002A0FD7">
        <w:t xml:space="preserve">a </w:t>
      </w:r>
      <w:r w:rsidRPr="002A59D0">
        <w:t>global scale are very unevenly distributed and</w:t>
      </w:r>
      <w:r w:rsidR="002A0FD7">
        <w:t>,</w:t>
      </w:r>
      <w:r w:rsidRPr="002A59D0">
        <w:t xml:space="preserve"> as such</w:t>
      </w:r>
      <w:r w:rsidR="002A0FD7">
        <w:t>, are</w:t>
      </w:r>
      <w:r w:rsidRPr="002A59D0">
        <w:t xml:space="preserve"> globally traded/supplied commodities.</w:t>
      </w:r>
      <w:r w:rsidR="008D52EA">
        <w:t xml:space="preserve"> </w:t>
      </w:r>
      <w:r w:rsidRPr="002A59D0">
        <w:t xml:space="preserve">Therefore, nations that are reliant on imported energy (due to supply or economic factors) could be made highly vulnerable in a ‘de-complexification’ event leading to a cessation of large-scale energy resource distribution </w:t>
      </w:r>
      <w:r w:rsidR="0013004D" w:rsidRPr="002A59D0">
        <w:t>[</w:t>
      </w:r>
      <w:r w:rsidR="00A9271C">
        <w:t>50</w:t>
      </w:r>
      <w:r w:rsidR="0013004D" w:rsidRPr="002A59D0">
        <w:t>]</w:t>
      </w:r>
      <w:r w:rsidRPr="002A59D0">
        <w:t>.</w:t>
      </w:r>
    </w:p>
    <w:p w14:paraId="5214AF7D" w14:textId="6C1EFCE1" w:rsidR="00765756" w:rsidRPr="002A59D0" w:rsidRDefault="00765756" w:rsidP="00A047DA">
      <w:pPr>
        <w:pStyle w:val="MDPI31text"/>
      </w:pPr>
      <w:r w:rsidRPr="002A59D0">
        <w:t>Renewable energy resources are inherently more evenly distributed than fossil energy resources, and most nations will have access to some renewable resources.</w:t>
      </w:r>
      <w:r w:rsidR="008D52EA">
        <w:t xml:space="preserve"> </w:t>
      </w:r>
      <w:r w:rsidRPr="002A59D0">
        <w:t xml:space="preserve">Therefore, </w:t>
      </w:r>
      <w:r w:rsidR="002A0FD7">
        <w:t xml:space="preserve">the </w:t>
      </w:r>
      <w:r w:rsidRPr="002A59D0">
        <w:t>development of renewables infrastructure would provide resilience to much of the world to interruption of global energy flows.</w:t>
      </w:r>
      <w:r w:rsidR="008D52EA">
        <w:t xml:space="preserve"> </w:t>
      </w:r>
      <w:r w:rsidRPr="002A59D0">
        <w:t>Even if the amount of energy that could be supplied via indigenous renewables infrastructure would be relatively low in comparison to that supplied by fossil fuels via global supply chains, some continued availability of energy may provide resilience (i.e.</w:t>
      </w:r>
      <w:r w:rsidR="00CF3497">
        <w:t>,</w:t>
      </w:r>
      <w:r w:rsidRPr="002A59D0">
        <w:t xml:space="preserve"> by allowing vital functions and therefore a degree of complexity to be sustained).</w:t>
      </w:r>
    </w:p>
    <w:p w14:paraId="2CD71DFE" w14:textId="79B94AE1" w:rsidR="00765756" w:rsidRPr="00A047DA" w:rsidRDefault="0062780A" w:rsidP="00A047DA">
      <w:pPr>
        <w:pStyle w:val="MDPI23heading3"/>
        <w:spacing w:before="240"/>
      </w:pPr>
      <w:r>
        <w:t>4</w:t>
      </w:r>
      <w:r w:rsidR="00A047DA" w:rsidRPr="00A047DA">
        <w:t>.</w:t>
      </w:r>
      <w:r>
        <w:t>2</w:t>
      </w:r>
      <w:r w:rsidR="00A047DA" w:rsidRPr="00A047DA">
        <w:t>.</w:t>
      </w:r>
      <w:r>
        <w:t>4</w:t>
      </w:r>
      <w:r w:rsidR="00A047DA" w:rsidRPr="00A047DA">
        <w:t xml:space="preserve">. </w:t>
      </w:r>
      <w:r w:rsidR="00765756" w:rsidRPr="00A047DA">
        <w:t xml:space="preserve">Dependence on </w:t>
      </w:r>
      <w:r w:rsidR="00112244" w:rsidRPr="00A047DA">
        <w:t>Global Supply Chains</w:t>
      </w:r>
    </w:p>
    <w:p w14:paraId="53A65A29" w14:textId="5490518A" w:rsidR="00765756" w:rsidRPr="002A59D0" w:rsidRDefault="00765756" w:rsidP="00A047DA">
      <w:pPr>
        <w:pStyle w:val="MDPI31text"/>
      </w:pPr>
      <w:r w:rsidRPr="002A59D0">
        <w:t>As described in the previous subsection</w:t>
      </w:r>
      <w:r w:rsidR="002A0FD7">
        <w:t>,</w:t>
      </w:r>
      <w:r w:rsidRPr="002A59D0">
        <w:t xml:space="preserve"> modern societies are wholly reliant on technological systems, and these are in turn as reliant on the availability of manufactured items (i.e.</w:t>
      </w:r>
      <w:r w:rsidR="00CF3497">
        <w:t>,</w:t>
      </w:r>
      <w:r w:rsidRPr="002A59D0">
        <w:t xml:space="preserve"> parts and components).</w:t>
      </w:r>
      <w:r w:rsidR="008D52EA">
        <w:t xml:space="preserve"> </w:t>
      </w:r>
      <w:r w:rsidRPr="002A59D0">
        <w:t xml:space="preserve">The capitalist economic system that has become dominant globally has led to global manufacturing becoming largely consolidated into a limited number of nations with </w:t>
      </w:r>
      <w:proofErr w:type="spellStart"/>
      <w:r w:rsidRPr="002A59D0">
        <w:t>favourable</w:t>
      </w:r>
      <w:proofErr w:type="spellEnd"/>
      <w:r w:rsidRPr="002A59D0">
        <w:t xml:space="preserve"> economic conditions, with low-cost logistics providing global distribution </w:t>
      </w:r>
      <w:r w:rsidR="00B8513C" w:rsidRPr="002A59D0">
        <w:t>[</w:t>
      </w:r>
      <w:r w:rsidR="00FD0DFA" w:rsidRPr="002A59D0">
        <w:t>5</w:t>
      </w:r>
      <w:r w:rsidR="00B8513C" w:rsidRPr="002A59D0">
        <w:t>]</w:t>
      </w:r>
      <w:r w:rsidRPr="002A59D0">
        <w:t>.</w:t>
      </w:r>
      <w:r w:rsidR="008D52EA">
        <w:t xml:space="preserve"> </w:t>
      </w:r>
      <w:r w:rsidRPr="002A59D0">
        <w:t>This situation potentially makes a significant number of nations with limited and/or inflexible manufacturing capacity vulnerable</w:t>
      </w:r>
      <w:r w:rsidR="002A0FD7">
        <w:t>,</w:t>
      </w:r>
      <w:r w:rsidRPr="002A59D0">
        <w:t xml:space="preserve"> i.e.</w:t>
      </w:r>
      <w:r w:rsidR="00CF3497">
        <w:t>,</w:t>
      </w:r>
      <w:r w:rsidRPr="002A59D0">
        <w:t xml:space="preserve"> a ‘de-complexification’ event may decrease the local availability of manufactured items.</w:t>
      </w:r>
    </w:p>
    <w:p w14:paraId="27D14AD4" w14:textId="06E5EBD5" w:rsidR="00765756" w:rsidRPr="005E2893" w:rsidRDefault="00765756" w:rsidP="00A047DA">
      <w:pPr>
        <w:pStyle w:val="MDPI31text"/>
      </w:pPr>
      <w:r w:rsidRPr="002A59D0">
        <w:t>The development or modification of a manufacturing base that could reliably supply key components necessary to the continued operation of fundamental systems (e.g.</w:t>
      </w:r>
      <w:r w:rsidR="00CF3497">
        <w:t>,</w:t>
      </w:r>
      <w:r w:rsidRPr="002A59D0">
        <w:t xml:space="preserve"> power networks, water supply infrastructure) may provide some degree of resilience against a reduction in the global availability of such items.</w:t>
      </w:r>
      <w:r w:rsidR="008D52EA">
        <w:t xml:space="preserve"> </w:t>
      </w:r>
      <w:r w:rsidRPr="002A59D0">
        <w:t>Even if the local manufacturing capacity were limited and able to only produce relatively crude/simple items, this may provide resilience (i.e.</w:t>
      </w:r>
      <w:r w:rsidR="00CF3497">
        <w:t>,</w:t>
      </w:r>
      <w:r w:rsidRPr="002A59D0">
        <w:t xml:space="preserve"> by allowing vital functions and therefore complexity to be sustained to a degree).</w:t>
      </w:r>
    </w:p>
    <w:p w14:paraId="2CDFB641" w14:textId="5649AB69" w:rsidR="00765756" w:rsidRPr="00A047DA" w:rsidRDefault="0062780A" w:rsidP="00A047DA">
      <w:pPr>
        <w:pStyle w:val="MDPI23heading3"/>
        <w:spacing w:before="240"/>
      </w:pPr>
      <w:r>
        <w:t>4</w:t>
      </w:r>
      <w:r w:rsidR="00A047DA" w:rsidRPr="00A047DA">
        <w:t>.</w:t>
      </w:r>
      <w:r>
        <w:t>2</w:t>
      </w:r>
      <w:r w:rsidR="00A047DA" w:rsidRPr="00A047DA">
        <w:t>.</w:t>
      </w:r>
      <w:r>
        <w:t>5</w:t>
      </w:r>
      <w:r w:rsidR="00A047DA" w:rsidRPr="00A047DA">
        <w:t xml:space="preserve">. </w:t>
      </w:r>
      <w:r w:rsidR="00765756" w:rsidRPr="00A047DA">
        <w:t>Over-</w:t>
      </w:r>
      <w:r w:rsidR="00112244" w:rsidRPr="00A047DA">
        <w:t xml:space="preserve">Reliance </w:t>
      </w:r>
      <w:r w:rsidR="00765756" w:rsidRPr="00A047DA">
        <w:t xml:space="preserve">on </w:t>
      </w:r>
      <w:r w:rsidR="00112244" w:rsidRPr="00A047DA">
        <w:t xml:space="preserve">High Levels </w:t>
      </w:r>
      <w:r w:rsidR="00765756" w:rsidRPr="00A047DA">
        <w:t xml:space="preserve">of </w:t>
      </w:r>
      <w:r w:rsidR="00112244" w:rsidRPr="00A047DA">
        <w:t>Complexity</w:t>
      </w:r>
    </w:p>
    <w:p w14:paraId="1D5F9AB5" w14:textId="24187DB4" w:rsidR="00765756" w:rsidRPr="002A59D0" w:rsidRDefault="00765756" w:rsidP="00A047DA">
      <w:pPr>
        <w:pStyle w:val="MDPI31text"/>
      </w:pPr>
      <w:r w:rsidRPr="002A59D0">
        <w:t xml:space="preserve">Modern </w:t>
      </w:r>
      <w:proofErr w:type="spellStart"/>
      <w:r w:rsidRPr="002A59D0">
        <w:t>globalised</w:t>
      </w:r>
      <w:proofErr w:type="spellEnd"/>
      <w:r w:rsidRPr="002A59D0">
        <w:t xml:space="preserve"> society is </w:t>
      </w:r>
      <w:proofErr w:type="spellStart"/>
      <w:r w:rsidRPr="002A59D0">
        <w:t>characterised</w:t>
      </w:r>
      <w:proofErr w:type="spellEnd"/>
      <w:r w:rsidRPr="002A59D0">
        <w:t xml:space="preserve"> by high and continually growing levels of complexity (sociopolitical and technological).</w:t>
      </w:r>
      <w:r w:rsidR="008D52EA">
        <w:t xml:space="preserve"> </w:t>
      </w:r>
      <w:r w:rsidRPr="002A59D0">
        <w:t>This has resulted from deliberate deployment of complexity to solve problems (i.e.</w:t>
      </w:r>
      <w:r w:rsidR="00CF3497">
        <w:t>,</w:t>
      </w:r>
      <w:r w:rsidRPr="002A59D0">
        <w:t xml:space="preserve"> increasing crop yields to feed growing populations) and as a self-reinforcing emergent property of complexity itself (e.g.</w:t>
      </w:r>
      <w:r w:rsidR="00CF3497">
        <w:t>,</w:t>
      </w:r>
      <w:r w:rsidRPr="002A59D0">
        <w:t xml:space="preserve"> development of computing technology leading to the internet).</w:t>
      </w:r>
      <w:r w:rsidR="008D52EA">
        <w:t xml:space="preserve"> </w:t>
      </w:r>
      <w:r w:rsidRPr="002A59D0">
        <w:t xml:space="preserve">The deployment of complexity as a </w:t>
      </w:r>
      <w:r w:rsidRPr="002A59D0">
        <w:lastRenderedPageBreak/>
        <w:t>problem-solving strategy has become vital to the fundamental functioning of modern societies (e.g.</w:t>
      </w:r>
      <w:r w:rsidR="00CF3497">
        <w:t>,</w:t>
      </w:r>
      <w:r w:rsidRPr="002A59D0">
        <w:t xml:space="preserve"> provision of reliable food supplies), but it leads to a vulnerability in that societies become reliant on its continual smooth functioning and growth.</w:t>
      </w:r>
      <w:r w:rsidR="008D52EA">
        <w:t xml:space="preserve"> </w:t>
      </w:r>
      <w:r w:rsidRPr="002A59D0">
        <w:t xml:space="preserve">This vulnerability grows as complexity increases and more and more societal functions become reliant on underpinning complexity </w:t>
      </w:r>
      <w:r w:rsidR="00B8513C" w:rsidRPr="002A59D0">
        <w:t>[</w:t>
      </w:r>
      <w:r w:rsidR="00A9271C">
        <w:t>50</w:t>
      </w:r>
      <w:r w:rsidR="00B8513C" w:rsidRPr="002A59D0">
        <w:t>].</w:t>
      </w:r>
    </w:p>
    <w:p w14:paraId="23DEE658" w14:textId="5A9B321D" w:rsidR="00765756" w:rsidRPr="002A59D0" w:rsidRDefault="00765756" w:rsidP="00A047DA">
      <w:pPr>
        <w:pStyle w:val="MDPI31text"/>
      </w:pPr>
      <w:r w:rsidRPr="002A59D0">
        <w:t xml:space="preserve">Although it is likely to be difficult (practically and politically) to deliberately slow this trend and/or revert to less-complex structures, efforts to seek solutions to fundamental problems that are inherently simpler may provide many nations with </w:t>
      </w:r>
      <w:r w:rsidR="002A0FD7">
        <w:t xml:space="preserve">an </w:t>
      </w:r>
      <w:r w:rsidRPr="002A59D0">
        <w:t>enhanced resilience against the failure of complexity and other major risks.</w:t>
      </w:r>
      <w:r w:rsidR="008D52EA">
        <w:t xml:space="preserve"> </w:t>
      </w:r>
      <w:r w:rsidRPr="002A59D0">
        <w:t xml:space="preserve">Examples </w:t>
      </w:r>
      <w:r w:rsidR="002A0FD7">
        <w:t xml:space="preserve">of such efforts </w:t>
      </w:r>
      <w:r w:rsidRPr="002A59D0">
        <w:t xml:space="preserve">would include building local renewable energy systems in </w:t>
      </w:r>
      <w:proofErr w:type="spellStart"/>
      <w:r w:rsidRPr="002A59D0">
        <w:t>favour</w:t>
      </w:r>
      <w:proofErr w:type="spellEnd"/>
      <w:r w:rsidRPr="002A59D0">
        <w:t xml:space="preserve"> of gas-fired generation capacity requiring global supply chains or </w:t>
      </w:r>
      <w:r w:rsidR="002A0FD7">
        <w:t xml:space="preserve">a </w:t>
      </w:r>
      <w:r w:rsidRPr="002A59D0">
        <w:t xml:space="preserve">reduction in water demand in </w:t>
      </w:r>
      <w:proofErr w:type="spellStart"/>
      <w:r w:rsidRPr="002A59D0">
        <w:t>favour</w:t>
      </w:r>
      <w:proofErr w:type="spellEnd"/>
      <w:r w:rsidRPr="002A59D0">
        <w:t xml:space="preserve"> of building large-scale </w:t>
      </w:r>
      <w:proofErr w:type="spellStart"/>
      <w:r w:rsidRPr="002A59D0">
        <w:t>desalinisation</w:t>
      </w:r>
      <w:proofErr w:type="spellEnd"/>
      <w:r w:rsidRPr="002A59D0">
        <w:t xml:space="preserve"> infrastructure (such as </w:t>
      </w:r>
      <w:r w:rsidR="002A0FD7">
        <w:t>that</w:t>
      </w:r>
      <w:r w:rsidR="002A0FD7" w:rsidRPr="002A59D0">
        <w:t xml:space="preserve"> </w:t>
      </w:r>
      <w:r w:rsidRPr="002A59D0">
        <w:t>achieved in Cape Town in 2017</w:t>
      </w:r>
      <w:r w:rsidR="00D1729D">
        <w:t>–</w:t>
      </w:r>
      <w:r w:rsidRPr="002A59D0">
        <w:t>18</w:t>
      </w:r>
      <w:r w:rsidR="00B8513C" w:rsidRPr="002A59D0">
        <w:t xml:space="preserve"> </w:t>
      </w:r>
      <w:r w:rsidR="0001183F">
        <w:t>[</w:t>
      </w:r>
      <w:r w:rsidR="0072549B">
        <w:t>9</w:t>
      </w:r>
      <w:r w:rsidR="00A9271C">
        <w:t>8</w:t>
      </w:r>
      <w:r w:rsidR="0001183F">
        <w:t>]</w:t>
      </w:r>
      <w:r w:rsidRPr="002A59D0">
        <w:t>).</w:t>
      </w:r>
    </w:p>
    <w:p w14:paraId="33D797AC" w14:textId="4767CF84" w:rsidR="00765756" w:rsidRPr="00A047DA" w:rsidRDefault="0062780A" w:rsidP="00A047DA">
      <w:pPr>
        <w:pStyle w:val="MDPI22heading2"/>
        <w:spacing w:before="240"/>
      </w:pPr>
      <w:r>
        <w:t>4</w:t>
      </w:r>
      <w:r w:rsidR="00A047DA" w:rsidRPr="00A047DA">
        <w:t>.</w:t>
      </w:r>
      <w:r>
        <w:t>3</w:t>
      </w:r>
      <w:r w:rsidR="00A047DA" w:rsidRPr="00A047DA">
        <w:t xml:space="preserve">. </w:t>
      </w:r>
      <w:r w:rsidR="00320694" w:rsidRPr="00A047DA">
        <w:t xml:space="preserve">Long </w:t>
      </w:r>
      <w:r w:rsidR="00112244" w:rsidRPr="00A047DA">
        <w:t>Term Perspective</w:t>
      </w:r>
    </w:p>
    <w:p w14:paraId="70E28330" w14:textId="0EDE6691" w:rsidR="00765756" w:rsidRPr="002A59D0" w:rsidRDefault="00765756" w:rsidP="00A047DA">
      <w:pPr>
        <w:pStyle w:val="MDPI31text"/>
      </w:pPr>
      <w:r w:rsidRPr="002A59D0">
        <w:t xml:space="preserve">Given the human predicament and the challenges of seeking an effective means to navigate a safe path through it, a ‘long-view’ of humanity’s situation that considers </w:t>
      </w:r>
      <w:proofErr w:type="spellStart"/>
      <w:r w:rsidRPr="002A59D0">
        <w:t>civilisation</w:t>
      </w:r>
      <w:proofErr w:type="spellEnd"/>
      <w:r w:rsidRPr="002A59D0">
        <w:t xml:space="preserve"> in a cosmic perspective may be useful.</w:t>
      </w:r>
      <w:r w:rsidR="008D52EA">
        <w:t xml:space="preserve"> </w:t>
      </w:r>
      <w:r w:rsidR="00C076CB" w:rsidRPr="002A59D0">
        <w:t>M</w:t>
      </w:r>
      <w:r w:rsidRPr="002A59D0">
        <w:t>odell</w:t>
      </w:r>
      <w:r w:rsidR="00C076CB" w:rsidRPr="002A59D0">
        <w:t>ing</w:t>
      </w:r>
      <w:r w:rsidRPr="002A59D0">
        <w:t xml:space="preserve"> </w:t>
      </w:r>
      <w:r w:rsidR="00C076CB" w:rsidRPr="002A59D0">
        <w:t>t</w:t>
      </w:r>
      <w:r w:rsidRPr="002A59D0">
        <w:t>he complex feedback loops inherent to the interaction between theoretical ‘</w:t>
      </w:r>
      <w:proofErr w:type="spellStart"/>
      <w:r w:rsidRPr="002A59D0">
        <w:t>exo-civilisations</w:t>
      </w:r>
      <w:proofErr w:type="spellEnd"/>
      <w:r w:rsidRPr="002A59D0">
        <w:t xml:space="preserve">’ (resource-harvesting technological </w:t>
      </w:r>
      <w:proofErr w:type="spellStart"/>
      <w:r w:rsidRPr="002A59D0">
        <w:t>civilisations</w:t>
      </w:r>
      <w:proofErr w:type="spellEnd"/>
      <w:r w:rsidRPr="002A59D0">
        <w:t xml:space="preserve"> equivalent to global human </w:t>
      </w:r>
      <w:proofErr w:type="spellStart"/>
      <w:r w:rsidRPr="002A59D0">
        <w:t>civilisation</w:t>
      </w:r>
      <w:proofErr w:type="spellEnd"/>
      <w:r w:rsidRPr="002A59D0">
        <w:t>) provide</w:t>
      </w:r>
      <w:r w:rsidR="00C076CB" w:rsidRPr="002A59D0">
        <w:t>s</w:t>
      </w:r>
      <w:r w:rsidRPr="002A59D0">
        <w:t xml:space="preserve"> a </w:t>
      </w:r>
      <w:proofErr w:type="spellStart"/>
      <w:r w:rsidRPr="002A59D0">
        <w:t>generalised</w:t>
      </w:r>
      <w:proofErr w:type="spellEnd"/>
      <w:r w:rsidRPr="002A59D0">
        <w:t xml:space="preserve"> context for the Anthropocene</w:t>
      </w:r>
      <w:r w:rsidR="00C076CB" w:rsidRPr="002A59D0">
        <w:t xml:space="preserve"> </w:t>
      </w:r>
      <w:r w:rsidR="0001183F">
        <w:t>[</w:t>
      </w:r>
      <w:r w:rsidR="000213B8">
        <w:t>9</w:t>
      </w:r>
      <w:r w:rsidR="00A9271C">
        <w:t>9</w:t>
      </w:r>
      <w:r w:rsidR="0001183F">
        <w:t>]</w:t>
      </w:r>
      <w:r w:rsidR="00C076CB" w:rsidRPr="002A59D0">
        <w:t xml:space="preserve"> which</w:t>
      </w:r>
      <w:r w:rsidRPr="002A59D0">
        <w:t xml:space="preserve"> indicates that any </w:t>
      </w:r>
      <w:proofErr w:type="spellStart"/>
      <w:r w:rsidRPr="002A59D0">
        <w:t>civilisation</w:t>
      </w:r>
      <w:proofErr w:type="spellEnd"/>
      <w:r w:rsidRPr="002A59D0">
        <w:t xml:space="preserve"> intensively exploiting the resources of a closed planetary system will inevitably generate severe perturbation (i.e.</w:t>
      </w:r>
      <w:r w:rsidR="00CF3497">
        <w:t>,</w:t>
      </w:r>
      <w:r w:rsidRPr="002A59D0">
        <w:t xml:space="preserve"> through excessive entropy export to the surrounding environment) of its host system.</w:t>
      </w:r>
      <w:r w:rsidR="008D52EA">
        <w:t xml:space="preserve"> </w:t>
      </w:r>
      <w:r w:rsidRPr="002A59D0">
        <w:t xml:space="preserve">The emergence of resource-depleting, self-destructive systems akin to the ‘superorganism’ </w:t>
      </w:r>
      <w:r w:rsidR="00B8513C" w:rsidRPr="002A59D0">
        <w:t>[</w:t>
      </w:r>
      <w:r w:rsidR="00FD0DFA" w:rsidRPr="002A59D0">
        <w:t>1</w:t>
      </w:r>
      <w:r w:rsidR="00B8513C" w:rsidRPr="002A59D0">
        <w:t>]</w:t>
      </w:r>
      <w:r w:rsidRPr="002A59D0">
        <w:t xml:space="preserve"> may be a thermodynamic inevitability </w:t>
      </w:r>
      <w:r w:rsidR="00B8513C" w:rsidRPr="002A59D0">
        <w:t>[</w:t>
      </w:r>
      <w:r w:rsidR="00FD0DFA" w:rsidRPr="002A59D0">
        <w:t>4</w:t>
      </w:r>
      <w:r w:rsidR="00B8513C" w:rsidRPr="002A59D0">
        <w:t>]</w:t>
      </w:r>
      <w:r w:rsidRPr="002A59D0">
        <w:t xml:space="preserve"> where intelligence evolves in a planetary environment with an excess of resources (and therefore may be </w:t>
      </w:r>
      <w:r w:rsidR="00BD2F6A">
        <w:t xml:space="preserve">a </w:t>
      </w:r>
      <w:r w:rsidRPr="002A59D0">
        <w:t>potential solution to the Fermi Paradox</w:t>
      </w:r>
      <w:r w:rsidR="00C7491B">
        <w:t>, i.e.</w:t>
      </w:r>
      <w:r w:rsidR="00CF3497">
        <w:t>,</w:t>
      </w:r>
      <w:r w:rsidRPr="002A59D0">
        <w:t xml:space="preserve"> a ‘great filter’).</w:t>
      </w:r>
    </w:p>
    <w:p w14:paraId="17769A47" w14:textId="0DA63562" w:rsidR="00765756" w:rsidRPr="002A59D0" w:rsidRDefault="00C076CB" w:rsidP="00A047DA">
      <w:pPr>
        <w:pStyle w:val="MDPI31text"/>
      </w:pPr>
      <w:r w:rsidRPr="002A59D0">
        <w:t>A</w:t>
      </w:r>
      <w:r w:rsidR="00765756" w:rsidRPr="002A59D0">
        <w:t xml:space="preserve"> slight variation of this scenario </w:t>
      </w:r>
      <w:r w:rsidRPr="002A59D0">
        <w:t>[</w:t>
      </w:r>
      <w:r w:rsidR="00FD0DFA" w:rsidRPr="002A59D0">
        <w:t>18</w:t>
      </w:r>
      <w:r w:rsidRPr="002A59D0">
        <w:t xml:space="preserve">] </w:t>
      </w:r>
      <w:r w:rsidR="00765756" w:rsidRPr="002A59D0">
        <w:t xml:space="preserve">that may also place the trends of </w:t>
      </w:r>
      <w:proofErr w:type="spellStart"/>
      <w:r w:rsidR="00765756" w:rsidRPr="002A59D0">
        <w:t>civilisation</w:t>
      </w:r>
      <w:proofErr w:type="spellEnd"/>
      <w:r w:rsidR="00765756" w:rsidRPr="002A59D0">
        <w:t xml:space="preserve"> in perspective</w:t>
      </w:r>
      <w:r w:rsidRPr="002A59D0">
        <w:t xml:space="preserve"> suggests</w:t>
      </w:r>
      <w:r w:rsidR="00765756" w:rsidRPr="002A59D0">
        <w:t xml:space="preserve"> </w:t>
      </w:r>
      <w:r w:rsidR="00BD2F6A">
        <w:t xml:space="preserve">that </w:t>
      </w:r>
      <w:r w:rsidRPr="002A59D0">
        <w:t>e</w:t>
      </w:r>
      <w:r w:rsidR="00765756" w:rsidRPr="002A59D0">
        <w:t xml:space="preserve">volution may produce species with instincts and intelligence sufficient to build the tools to access and exploit the accumulated energy sources of a planetary environment but may be less likely to produce species able to build these capabilities </w:t>
      </w:r>
      <w:proofErr w:type="gramStart"/>
      <w:r w:rsidR="00765756" w:rsidRPr="002A59D0">
        <w:t>and also</w:t>
      </w:r>
      <w:proofErr w:type="gramEnd"/>
      <w:r w:rsidR="00765756" w:rsidRPr="002A59D0">
        <w:t xml:space="preserve"> to foresee the long</w:t>
      </w:r>
      <w:r w:rsidR="00BD2F6A">
        <w:t>-</w:t>
      </w:r>
      <w:r w:rsidR="00765756" w:rsidRPr="002A59D0">
        <w:t xml:space="preserve">term consequences of </w:t>
      </w:r>
      <w:r w:rsidR="00BD2F6A">
        <w:t xml:space="preserve">the </w:t>
      </w:r>
      <w:r w:rsidR="00765756" w:rsidRPr="002A59D0">
        <w:t xml:space="preserve">rapid depletion of a large resource endowment </w:t>
      </w:r>
      <w:r w:rsidR="008A6B2D" w:rsidRPr="002A59D0">
        <w:t>[</w:t>
      </w:r>
      <w:r w:rsidR="00BC24B3">
        <w:t>5</w:t>
      </w:r>
      <w:r w:rsidR="00A9271C">
        <w:t>2</w:t>
      </w:r>
      <w:r w:rsidR="008A6B2D" w:rsidRPr="002A59D0">
        <w:t>]</w:t>
      </w:r>
      <w:r w:rsidR="00765756" w:rsidRPr="002A59D0">
        <w:t>.</w:t>
      </w:r>
      <w:r w:rsidR="00320694" w:rsidRPr="002A59D0">
        <w:t xml:space="preserve"> </w:t>
      </w:r>
      <w:r w:rsidR="00765756" w:rsidRPr="002A59D0">
        <w:t>Given this perspective, the situation in which humanity finds itself currently may not be unique or unusual and may even represent something of an inevitability.</w:t>
      </w:r>
      <w:r w:rsidR="008D52EA">
        <w:t xml:space="preserve"> </w:t>
      </w:r>
      <w:r w:rsidR="00765756" w:rsidRPr="002A59D0">
        <w:t>If this is the case, the biggest challenge facing humanity may not be how to curtail the period of rapid growth after evolving the means to exploit a resource-rich environment (which evolutionary processes will equip intelligent species with tendencies to do).</w:t>
      </w:r>
      <w:r w:rsidR="008D52EA">
        <w:t xml:space="preserve"> </w:t>
      </w:r>
      <w:r w:rsidR="00765756" w:rsidRPr="002A59D0">
        <w:t>It may instead be long</w:t>
      </w:r>
      <w:r w:rsidR="00BD2F6A">
        <w:t>-</w:t>
      </w:r>
      <w:r w:rsidR="00765756" w:rsidRPr="002A59D0">
        <w:t>term survival after the ‘bottleneck’ of collapse that becomes a high-probability event in such circumstances.</w:t>
      </w:r>
      <w:r w:rsidR="008D52EA">
        <w:t xml:space="preserve"> </w:t>
      </w:r>
      <w:r w:rsidR="00765756" w:rsidRPr="002A59D0">
        <w:t>The ‘nodes of persisting complexity’ that are the subject of this study could potentially be one of the factors in such long-term survival.</w:t>
      </w:r>
    </w:p>
    <w:p w14:paraId="723E2D89" w14:textId="6B73CEC1" w:rsidR="00765756" w:rsidRPr="002A59D0" w:rsidRDefault="0062780A" w:rsidP="00A047DA">
      <w:pPr>
        <w:pStyle w:val="MDPI21heading1"/>
      </w:pPr>
      <w:r>
        <w:t>5</w:t>
      </w:r>
      <w:r w:rsidR="00A047DA">
        <w:t xml:space="preserve">. </w:t>
      </w:r>
      <w:r w:rsidR="00AD29AC" w:rsidRPr="002A59D0">
        <w:t>C</w:t>
      </w:r>
      <w:r w:rsidR="00765756" w:rsidRPr="002A59D0">
        <w:t>onclusion</w:t>
      </w:r>
      <w:r w:rsidR="00A047DA">
        <w:t>s</w:t>
      </w:r>
    </w:p>
    <w:p w14:paraId="26382377" w14:textId="2C0F417C" w:rsidR="00765756" w:rsidRPr="002A59D0" w:rsidRDefault="00765756" w:rsidP="00A047DA">
      <w:pPr>
        <w:pStyle w:val="MDPI31text"/>
      </w:pPr>
      <w:r w:rsidRPr="002A59D0">
        <w:t xml:space="preserve">Human </w:t>
      </w:r>
      <w:proofErr w:type="spellStart"/>
      <w:r w:rsidRPr="002A59D0">
        <w:t>civilisation</w:t>
      </w:r>
      <w:proofErr w:type="spellEnd"/>
      <w:r w:rsidRPr="002A59D0">
        <w:t xml:space="preserve"> </w:t>
      </w:r>
      <w:r w:rsidR="00D22D00" w:rsidRPr="002A59D0">
        <w:t>underwent increases in</w:t>
      </w:r>
      <w:r w:rsidRPr="002A59D0">
        <w:t xml:space="preserve"> sociopolitical complexity since the Agricultural Revolution </w:t>
      </w:r>
      <w:r w:rsidR="00D22D00" w:rsidRPr="002A59D0">
        <w:t xml:space="preserve">(ca. </w:t>
      </w:r>
      <w:r w:rsidRPr="002A59D0">
        <w:t>100 centuries ago</w:t>
      </w:r>
      <w:r w:rsidR="00D22D00" w:rsidRPr="002A59D0">
        <w:t>),</w:t>
      </w:r>
      <w:r w:rsidRPr="002A59D0">
        <w:t xml:space="preserve"> the Industrial Revolution </w:t>
      </w:r>
      <w:r w:rsidR="00D22D00" w:rsidRPr="002A59D0">
        <w:t xml:space="preserve">(ca. </w:t>
      </w:r>
      <w:r w:rsidRPr="002A59D0">
        <w:t>two centuries ago</w:t>
      </w:r>
      <w:r w:rsidR="00D22D00" w:rsidRPr="002A59D0">
        <w:t>)</w:t>
      </w:r>
      <w:r w:rsidRPr="002A59D0">
        <w:t xml:space="preserve"> and </w:t>
      </w:r>
      <w:r w:rsidR="00D22D00" w:rsidRPr="002A59D0">
        <w:t>with</w:t>
      </w:r>
      <w:r w:rsidRPr="002A59D0">
        <w:t xml:space="preserve"> exponential characteristics </w:t>
      </w:r>
      <w:r w:rsidR="00D22D00" w:rsidRPr="002A59D0">
        <w:t xml:space="preserve">as part of </w:t>
      </w:r>
      <w:r w:rsidRPr="002A59D0">
        <w:t>the ‘Great Acceleration’</w:t>
      </w:r>
      <w:r w:rsidR="008A6B2D" w:rsidRPr="002A59D0">
        <w:t xml:space="preserve"> [</w:t>
      </w:r>
      <w:r w:rsidR="00FD0DFA" w:rsidRPr="002A59D0">
        <w:t>2</w:t>
      </w:r>
      <w:r w:rsidR="008A6B2D" w:rsidRPr="002A59D0">
        <w:t>]</w:t>
      </w:r>
      <w:r w:rsidR="00D22D00" w:rsidRPr="002A59D0">
        <w:t xml:space="preserve"> (starting ca. 70 years ago</w:t>
      </w:r>
      <w:r w:rsidRPr="002A59D0">
        <w:t xml:space="preserve">). </w:t>
      </w:r>
      <w:r w:rsidR="000A5012" w:rsidRPr="002A59D0">
        <w:t xml:space="preserve">This generally has been </w:t>
      </w:r>
      <w:proofErr w:type="spellStart"/>
      <w:r w:rsidR="000A5012" w:rsidRPr="002A59D0">
        <w:t>characterised</w:t>
      </w:r>
      <w:proofErr w:type="spellEnd"/>
      <w:r w:rsidR="000A5012" w:rsidRPr="002A59D0">
        <w:t xml:space="preserve"> by phenomena such as large increases in population, energy use and interconnectedness and has resulted in increasingly extensive and severe perturbation of the Earth System and </w:t>
      </w:r>
      <w:r w:rsidR="00BD2F6A">
        <w:t xml:space="preserve">the </w:t>
      </w:r>
      <w:r w:rsidR="000A5012" w:rsidRPr="002A59D0">
        <w:t xml:space="preserve">biosphere. </w:t>
      </w:r>
      <w:r w:rsidRPr="002A59D0">
        <w:t xml:space="preserve">This perturbation </w:t>
      </w:r>
      <w:r w:rsidR="000A5012" w:rsidRPr="002A59D0">
        <w:t xml:space="preserve">has resulted </w:t>
      </w:r>
      <w:r w:rsidRPr="002A59D0">
        <w:t xml:space="preserve">in a wide range of effects and feedbacks on global human </w:t>
      </w:r>
      <w:proofErr w:type="spellStart"/>
      <w:r w:rsidRPr="002A59D0">
        <w:t>civilisation</w:t>
      </w:r>
      <w:proofErr w:type="spellEnd"/>
      <w:r w:rsidRPr="002A59D0">
        <w:t xml:space="preserve"> including (but not limited to) climate change, increased risk of pandemics, ecological destruction (manifesting as a sixth extinction event) and growing risk</w:t>
      </w:r>
      <w:r w:rsidR="00BD2F6A">
        <w:t>s</w:t>
      </w:r>
      <w:r w:rsidRPr="002A59D0">
        <w:t xml:space="preserve"> of systemic instabilities.</w:t>
      </w:r>
      <w:r w:rsidR="008D52EA">
        <w:t xml:space="preserve"> </w:t>
      </w:r>
      <w:r w:rsidRPr="002A59D0">
        <w:t xml:space="preserve">In combination, these effects place complex human </w:t>
      </w:r>
      <w:proofErr w:type="spellStart"/>
      <w:r w:rsidRPr="002A59D0">
        <w:t>civilisation</w:t>
      </w:r>
      <w:proofErr w:type="spellEnd"/>
      <w:r w:rsidRPr="002A59D0">
        <w:t xml:space="preserve"> in a precarious and </w:t>
      </w:r>
      <w:r w:rsidRPr="002A59D0">
        <w:lastRenderedPageBreak/>
        <w:t xml:space="preserve">perilous position with regards to its future; the risk of an uncontrolled ‘de-complexification’ event (a systemic reduction in the overall complexity of </w:t>
      </w:r>
      <w:proofErr w:type="spellStart"/>
      <w:r w:rsidRPr="002A59D0">
        <w:t>civilisation</w:t>
      </w:r>
      <w:proofErr w:type="spellEnd"/>
      <w:r w:rsidRPr="002A59D0">
        <w:t xml:space="preserve"> at global scale) occurring </w:t>
      </w:r>
      <w:r w:rsidR="000A5012" w:rsidRPr="002A59D0">
        <w:t>may be increasing</w:t>
      </w:r>
      <w:r w:rsidRPr="002A59D0">
        <w:t>.</w:t>
      </w:r>
    </w:p>
    <w:p w14:paraId="57D0DD61" w14:textId="79B3F755" w:rsidR="00765756" w:rsidRPr="002A59D0" w:rsidRDefault="000A5012" w:rsidP="00A047DA">
      <w:pPr>
        <w:pStyle w:val="MDPI31text"/>
      </w:pPr>
      <w:r w:rsidRPr="002A59D0">
        <w:t>‘De-complexification’ has previously been described in the scientific and popular literature as ‘collapse’ (or alternative descriptors including ‘the Olduvai Collapse’ and ‘the Great Simplification’, which may take place through various rapid or prolonged mechanisms).</w:t>
      </w:r>
      <w:r w:rsidR="008D52EA">
        <w:t xml:space="preserve"> </w:t>
      </w:r>
      <w:r w:rsidRPr="002A59D0">
        <w:t xml:space="preserve">The concept of ‘lifeboats’ has also been previously presented as a phenomenon that may emerge from ‘de-complexification’ events and generally describe geographical locations that have capacity (by virtue of natural features and/or potential for human action) to avoid the most egregious effects of climate change or other global events and therefore maintain significant populations. </w:t>
      </w:r>
      <w:r w:rsidR="00765756" w:rsidRPr="002A59D0">
        <w:t xml:space="preserve">This study introduces an alternative </w:t>
      </w:r>
      <w:r w:rsidRPr="002A59D0">
        <w:t xml:space="preserve">description and </w:t>
      </w:r>
      <w:r w:rsidR="00765756" w:rsidRPr="002A59D0">
        <w:t>narrative in the form of the ‘node of persisting complexity’</w:t>
      </w:r>
      <w:r w:rsidR="00F6158B" w:rsidRPr="002A59D0">
        <w:t>.</w:t>
      </w:r>
      <w:r w:rsidRPr="002A59D0">
        <w:t xml:space="preserve"> These are defined as nations that may have certain characteristics (‘</w:t>
      </w:r>
      <w:proofErr w:type="spellStart"/>
      <w:r w:rsidRPr="002A59D0">
        <w:t>favourable</w:t>
      </w:r>
      <w:proofErr w:type="spellEnd"/>
      <w:r w:rsidRPr="002A59D0">
        <w:t xml:space="preserve"> starting conditions’) that may feasibly allow them to retain </w:t>
      </w:r>
      <w:proofErr w:type="spellStart"/>
      <w:r w:rsidRPr="002A59D0">
        <w:t>localised</w:t>
      </w:r>
      <w:proofErr w:type="spellEnd"/>
      <w:r w:rsidRPr="002A59D0">
        <w:t>, higher level</w:t>
      </w:r>
      <w:r w:rsidR="00BD2F6A">
        <w:t>s</w:t>
      </w:r>
      <w:r w:rsidRPr="002A59D0">
        <w:t xml:space="preserve"> of societal, technological and </w:t>
      </w:r>
      <w:proofErr w:type="spellStart"/>
      <w:r w:rsidRPr="002A59D0">
        <w:t>organisation</w:t>
      </w:r>
      <w:proofErr w:type="spellEnd"/>
      <w:r w:rsidRPr="002A59D0">
        <w:t xml:space="preserve"> complexity. </w:t>
      </w:r>
      <w:r w:rsidR="00765756" w:rsidRPr="002A59D0">
        <w:t xml:space="preserve">A key difference with preceding narratives is that ‘nodes of persisting complexity’ would form through evolutionary system </w:t>
      </w:r>
      <w:proofErr w:type="spellStart"/>
      <w:r w:rsidR="00765756" w:rsidRPr="002A59D0">
        <w:t>behaviour</w:t>
      </w:r>
      <w:proofErr w:type="spellEnd"/>
      <w:r w:rsidR="00765756" w:rsidRPr="002A59D0">
        <w:t>, rather than through any direct human agency.</w:t>
      </w:r>
    </w:p>
    <w:p w14:paraId="0F010FA5" w14:textId="790E7B95" w:rsidR="000A5012" w:rsidRPr="002A59D0" w:rsidRDefault="00765756" w:rsidP="00A047DA">
      <w:pPr>
        <w:pStyle w:val="MDPI31text"/>
      </w:pPr>
      <w:r w:rsidRPr="002A59D0">
        <w:t xml:space="preserve">The methodology for assessing which nations have the potential to form ‘nodes of persisting complexity’ </w:t>
      </w:r>
      <w:proofErr w:type="spellStart"/>
      <w:r w:rsidR="000A5012" w:rsidRPr="002A59D0">
        <w:t>utilises</w:t>
      </w:r>
      <w:proofErr w:type="spellEnd"/>
      <w:r w:rsidR="000A5012" w:rsidRPr="002A59D0">
        <w:t xml:space="preserve"> the outputs o</w:t>
      </w:r>
      <w:r w:rsidRPr="002A59D0">
        <w:t>f the ‘University of Notre Dame</w:t>
      </w:r>
      <w:r w:rsidR="005E2893">
        <w:t>—</w:t>
      </w:r>
      <w:r w:rsidRPr="002A59D0">
        <w:t>Global Adaptation Index’ (ND-GAIN) study</w:t>
      </w:r>
      <w:r w:rsidR="000A5012" w:rsidRPr="002A59D0">
        <w:t>, which asses</w:t>
      </w:r>
      <w:r w:rsidR="00BD2F6A">
        <w:t>s</w:t>
      </w:r>
      <w:r w:rsidR="000A5012" w:rsidRPr="002A59D0">
        <w:t xml:space="preserve">ed and ranked all nations in terms of </w:t>
      </w:r>
      <w:r w:rsidRPr="002A59D0">
        <w:t>vulnerability and readiness to future environmental change</w:t>
      </w:r>
      <w:r w:rsidR="000A5012" w:rsidRPr="002A59D0">
        <w:t>.</w:t>
      </w:r>
      <w:r w:rsidRPr="002A59D0">
        <w:t xml:space="preserve"> </w:t>
      </w:r>
      <w:r w:rsidR="000A5012" w:rsidRPr="002A59D0">
        <w:t>The ND-GAIN ranking was screen</w:t>
      </w:r>
      <w:r w:rsidR="00F6158B" w:rsidRPr="002A59D0">
        <w:t>ed</w:t>
      </w:r>
      <w:r w:rsidR="000A5012" w:rsidRPr="002A59D0">
        <w:t xml:space="preserve"> against additional semi-quantitative measures specifically related to the ‘nodes of persisting complexity’ concept to generate a ‘shortlist’ of five nations (New Zealand, Iceland, the United Kingdom, Australia (Tasmania) and Ireland).</w:t>
      </w:r>
      <w:r w:rsidR="008D52EA">
        <w:t xml:space="preserve"> </w:t>
      </w:r>
      <w:r w:rsidR="000A5012" w:rsidRPr="002A59D0">
        <w:t>Each of these was then further qualitatively assessed for their individual, local-scale (primarily energy and agricultural) characteristics.</w:t>
      </w:r>
      <w:r w:rsidR="008D52EA">
        <w:t xml:space="preserve"> </w:t>
      </w:r>
      <w:r w:rsidR="000A5012" w:rsidRPr="002A59D0">
        <w:t xml:space="preserve">This identified New Zealand as having the greatest potential to form a ‘node of persisting complexity’, with Iceland, Australia (Tasmania) and Ireland also having </w:t>
      </w:r>
      <w:proofErr w:type="spellStart"/>
      <w:r w:rsidR="000A5012" w:rsidRPr="002A59D0">
        <w:t>favourable</w:t>
      </w:r>
      <w:proofErr w:type="spellEnd"/>
      <w:r w:rsidR="000A5012" w:rsidRPr="002A59D0">
        <w:t xml:space="preserve"> characteristics.</w:t>
      </w:r>
      <w:r w:rsidR="008D52EA">
        <w:t xml:space="preserve"> </w:t>
      </w:r>
      <w:r w:rsidR="000A5012" w:rsidRPr="002A59D0">
        <w:t xml:space="preserve">The United Kingdom presents a more complex picture and potentially has less </w:t>
      </w:r>
      <w:proofErr w:type="spellStart"/>
      <w:r w:rsidR="000A5012" w:rsidRPr="002A59D0">
        <w:t>favourable</w:t>
      </w:r>
      <w:proofErr w:type="spellEnd"/>
      <w:r w:rsidR="000A5012" w:rsidRPr="002A59D0">
        <w:t xml:space="preserve"> characteristics overall.</w:t>
      </w:r>
    </w:p>
    <w:p w14:paraId="52BFD9BA" w14:textId="01E09E89" w:rsidR="00765756" w:rsidRDefault="000A5012" w:rsidP="00A047DA">
      <w:pPr>
        <w:pStyle w:val="MDPI31text"/>
      </w:pPr>
      <w:r w:rsidRPr="002A59D0">
        <w:t>The analysis of the possible systemic evolution of global complexity is by itself of limited potential value, so this study applies the analysis of the ‘nodes of persisting complexity’ to identify potentially useful insights for enhancing resilience for nations that</w:t>
      </w:r>
      <w:r w:rsidR="00C81AED" w:rsidRPr="002A59D0">
        <w:t xml:space="preserve"> do</w:t>
      </w:r>
      <w:r w:rsidRPr="002A59D0">
        <w:t xml:space="preserve"> not have the natural confluence of ‘</w:t>
      </w:r>
      <w:proofErr w:type="spellStart"/>
      <w:r w:rsidRPr="002A59D0">
        <w:t>favourable</w:t>
      </w:r>
      <w:proofErr w:type="spellEnd"/>
      <w:r w:rsidRPr="002A59D0">
        <w:t xml:space="preserve"> starting </w:t>
      </w:r>
      <w:proofErr w:type="gramStart"/>
      <w:r w:rsidRPr="002A59D0">
        <w:t>conditions’</w:t>
      </w:r>
      <w:proofErr w:type="gramEnd"/>
      <w:r w:rsidRPr="002A59D0">
        <w:t>.</w:t>
      </w:r>
      <w:r w:rsidR="008D52EA">
        <w:t xml:space="preserve"> </w:t>
      </w:r>
      <w:r w:rsidRPr="002A59D0">
        <w:t xml:space="preserve">This analysis identifies that actions that may provide the means to address the interlinked factors of climate change, carrying capacity, indigenous energy and manufacturing capacity and </w:t>
      </w:r>
      <w:r w:rsidR="00BD2F6A">
        <w:t xml:space="preserve">the </w:t>
      </w:r>
      <w:r w:rsidRPr="002A59D0">
        <w:t>over-reliance on complexity might provide the greatest resilience against future ‘de-complexification’.</w:t>
      </w:r>
      <w:r w:rsidR="00455721" w:rsidRPr="002A59D0">
        <w:t xml:space="preserve"> </w:t>
      </w:r>
      <w:r w:rsidR="00765756" w:rsidRPr="002A59D0">
        <w:t xml:space="preserve">Overall, the human predicament of exceeding global environmental limits, creating unmanageable and increasingly ineffective complexity and perturbing global life support systems may be typical of any energy and material resource-harvesting </w:t>
      </w:r>
      <w:proofErr w:type="spellStart"/>
      <w:r w:rsidR="00765756" w:rsidRPr="002A59D0">
        <w:t>civilisation</w:t>
      </w:r>
      <w:proofErr w:type="spellEnd"/>
      <w:r w:rsidR="00765756" w:rsidRPr="002A59D0">
        <w:t xml:space="preserve"> in a constrained environment.</w:t>
      </w:r>
      <w:r w:rsidR="008D52EA">
        <w:t xml:space="preserve"> </w:t>
      </w:r>
      <w:r w:rsidR="00765756" w:rsidRPr="002A59D0">
        <w:t xml:space="preserve">In </w:t>
      </w:r>
      <w:r w:rsidR="00747861" w:rsidRPr="002A59D0">
        <w:t>this context,</w:t>
      </w:r>
      <w:r w:rsidR="00765756" w:rsidRPr="002A59D0">
        <w:t xml:space="preserve"> ‘nodes of persisting complexity’ may </w:t>
      </w:r>
      <w:r w:rsidR="00747861" w:rsidRPr="002A59D0">
        <w:t>provide the</w:t>
      </w:r>
      <w:r w:rsidR="00765756" w:rsidRPr="002A59D0">
        <w:t xml:space="preserve"> greatest </w:t>
      </w:r>
      <w:r w:rsidR="00747861" w:rsidRPr="002A59D0">
        <w:t xml:space="preserve">opportunity for human society </w:t>
      </w:r>
      <w:r w:rsidR="00765756" w:rsidRPr="002A59D0">
        <w:t>to retain technology</w:t>
      </w:r>
      <w:r w:rsidR="00BD2F6A">
        <w:t xml:space="preserve"> </w:t>
      </w:r>
      <w:r w:rsidR="00765756" w:rsidRPr="002A59D0">
        <w:t xml:space="preserve">and </w:t>
      </w:r>
      <w:proofErr w:type="spellStart"/>
      <w:r w:rsidR="00765756" w:rsidRPr="002A59D0">
        <w:t>organisation</w:t>
      </w:r>
      <w:proofErr w:type="spellEnd"/>
      <w:r w:rsidR="00765756" w:rsidRPr="002A59D0">
        <w:t xml:space="preserve"> into the longer term.</w:t>
      </w:r>
    </w:p>
    <w:p w14:paraId="2E23519E" w14:textId="1FB84BA8" w:rsidR="005E2893" w:rsidRPr="00A240E4" w:rsidRDefault="00B93C0C" w:rsidP="00B93C0C">
      <w:pPr>
        <w:pStyle w:val="MDPI62BackMatter"/>
        <w:spacing w:before="240"/>
        <w:rPr>
          <w:bCs/>
        </w:rPr>
      </w:pPr>
      <w:r w:rsidRPr="00B93C0C">
        <w:rPr>
          <w:b/>
        </w:rPr>
        <w:t>Author Contribution</w:t>
      </w:r>
      <w:r w:rsidR="005E2893" w:rsidRPr="00B93C0C">
        <w:rPr>
          <w:b/>
        </w:rPr>
        <w:t xml:space="preserve">s: </w:t>
      </w:r>
      <w:r w:rsidR="00A240E4" w:rsidRPr="00A240E4">
        <w:t xml:space="preserve"> </w:t>
      </w:r>
      <w:r w:rsidR="00A240E4" w:rsidRPr="002C3C39">
        <w:rPr>
          <w:bCs/>
        </w:rPr>
        <w:t xml:space="preserve">Conceptualization, </w:t>
      </w:r>
      <w:r w:rsidR="00A240E4">
        <w:rPr>
          <w:bCs/>
        </w:rPr>
        <w:t>N</w:t>
      </w:r>
      <w:r w:rsidR="00A240E4" w:rsidRPr="002C3C39">
        <w:rPr>
          <w:bCs/>
        </w:rPr>
        <w:t>.</w:t>
      </w:r>
      <w:r w:rsidR="00A240E4">
        <w:rPr>
          <w:bCs/>
        </w:rPr>
        <w:t>K</w:t>
      </w:r>
      <w:r w:rsidR="00A240E4" w:rsidRPr="002C3C39">
        <w:rPr>
          <w:bCs/>
        </w:rPr>
        <w:t>.</w:t>
      </w:r>
      <w:r w:rsidR="00A240E4">
        <w:rPr>
          <w:bCs/>
        </w:rPr>
        <w:t xml:space="preserve"> and A.J.</w:t>
      </w:r>
      <w:r w:rsidR="00A240E4" w:rsidRPr="002C3C39">
        <w:rPr>
          <w:bCs/>
        </w:rPr>
        <w:t xml:space="preserve">; methodology, </w:t>
      </w:r>
      <w:r w:rsidR="00A240E4">
        <w:rPr>
          <w:bCs/>
        </w:rPr>
        <w:t>N</w:t>
      </w:r>
      <w:r w:rsidR="00A240E4" w:rsidRPr="002C3C39">
        <w:rPr>
          <w:bCs/>
        </w:rPr>
        <w:t>.</w:t>
      </w:r>
      <w:r w:rsidR="00A240E4">
        <w:rPr>
          <w:bCs/>
        </w:rPr>
        <w:t>K</w:t>
      </w:r>
      <w:r w:rsidR="00A240E4" w:rsidRPr="002C3C39">
        <w:rPr>
          <w:bCs/>
        </w:rPr>
        <w:t xml:space="preserve">.; formal analysis, </w:t>
      </w:r>
      <w:r w:rsidR="00A240E4">
        <w:rPr>
          <w:bCs/>
        </w:rPr>
        <w:t>N</w:t>
      </w:r>
      <w:r w:rsidR="00A240E4" w:rsidRPr="002C3C39">
        <w:rPr>
          <w:bCs/>
        </w:rPr>
        <w:t>.</w:t>
      </w:r>
      <w:r w:rsidR="00A240E4">
        <w:rPr>
          <w:bCs/>
        </w:rPr>
        <w:t>K</w:t>
      </w:r>
      <w:r w:rsidR="00A240E4" w:rsidRPr="002C3C39">
        <w:rPr>
          <w:bCs/>
        </w:rPr>
        <w:t xml:space="preserve">.; writing—original draft preparation, </w:t>
      </w:r>
      <w:r w:rsidR="00A240E4">
        <w:rPr>
          <w:bCs/>
        </w:rPr>
        <w:t>N</w:t>
      </w:r>
      <w:r w:rsidR="00A240E4" w:rsidRPr="002C3C39">
        <w:rPr>
          <w:bCs/>
        </w:rPr>
        <w:t>.</w:t>
      </w:r>
      <w:r w:rsidR="00A240E4">
        <w:rPr>
          <w:bCs/>
        </w:rPr>
        <w:t>K</w:t>
      </w:r>
      <w:r w:rsidR="00A240E4" w:rsidRPr="002C3C39">
        <w:rPr>
          <w:bCs/>
        </w:rPr>
        <w:t xml:space="preserve">.; writing—review and editing, </w:t>
      </w:r>
      <w:r w:rsidR="00A240E4">
        <w:rPr>
          <w:bCs/>
        </w:rPr>
        <w:t>A</w:t>
      </w:r>
      <w:r w:rsidR="00A240E4" w:rsidRPr="002C3C39">
        <w:rPr>
          <w:bCs/>
        </w:rPr>
        <w:t>.</w:t>
      </w:r>
      <w:r w:rsidR="00A240E4">
        <w:rPr>
          <w:bCs/>
        </w:rPr>
        <w:t>J</w:t>
      </w:r>
      <w:r w:rsidR="00A240E4" w:rsidRPr="002C3C39">
        <w:rPr>
          <w:bCs/>
        </w:rPr>
        <w:t xml:space="preserve">.; supervision, </w:t>
      </w:r>
      <w:r w:rsidR="00A240E4">
        <w:rPr>
          <w:bCs/>
        </w:rPr>
        <w:t>A</w:t>
      </w:r>
      <w:r w:rsidR="00A240E4" w:rsidRPr="002C3C39">
        <w:rPr>
          <w:bCs/>
        </w:rPr>
        <w:t>.</w:t>
      </w:r>
      <w:r w:rsidR="00A240E4">
        <w:rPr>
          <w:bCs/>
        </w:rPr>
        <w:t>J</w:t>
      </w:r>
      <w:r w:rsidR="00A240E4" w:rsidRPr="002C3C39">
        <w:rPr>
          <w:bCs/>
        </w:rPr>
        <w:t>.; All authors have read and agreed to the published version of the manuscript.</w:t>
      </w:r>
    </w:p>
    <w:p w14:paraId="0A2BA3DF" w14:textId="6C07C4C4" w:rsidR="00585BA8" w:rsidRDefault="00585BA8" w:rsidP="00B93C0C">
      <w:pPr>
        <w:pStyle w:val="MDPI62BackMatter"/>
      </w:pPr>
      <w:r w:rsidRPr="00B93C0C">
        <w:rPr>
          <w:b/>
        </w:rPr>
        <w:t xml:space="preserve">Funding: </w:t>
      </w:r>
      <w:r w:rsidRPr="002A59D0">
        <w:t>This research received no external funding</w:t>
      </w:r>
      <w:r w:rsidR="005E2893">
        <w:t>.</w:t>
      </w:r>
    </w:p>
    <w:p w14:paraId="01147224" w14:textId="280EEE65" w:rsidR="005E2893" w:rsidRPr="005E2893" w:rsidRDefault="005E2893" w:rsidP="005E2893">
      <w:pPr>
        <w:pStyle w:val="MDPI62BackMatter"/>
      </w:pPr>
      <w:r w:rsidRPr="005E2893">
        <w:rPr>
          <w:b/>
        </w:rPr>
        <w:t>Institutional Review Board Statement:</w:t>
      </w:r>
      <w:r w:rsidRPr="005E2893">
        <w:t xml:space="preserve"> </w:t>
      </w:r>
      <w:r w:rsidR="00A240E4">
        <w:t xml:space="preserve">Not applicable </w:t>
      </w:r>
    </w:p>
    <w:p w14:paraId="204B49F3" w14:textId="4237BA78" w:rsidR="005E2893" w:rsidRPr="005E2893" w:rsidRDefault="005E2893" w:rsidP="005E2893">
      <w:pPr>
        <w:pStyle w:val="MDPI62BackMatter"/>
      </w:pPr>
      <w:r w:rsidRPr="005E2893">
        <w:rPr>
          <w:b/>
        </w:rPr>
        <w:t>Informed Consent Statement:</w:t>
      </w:r>
      <w:r w:rsidRPr="005E2893">
        <w:t xml:space="preserve"> </w:t>
      </w:r>
      <w:r w:rsidR="00A240E4">
        <w:t xml:space="preserve">Not applicable </w:t>
      </w:r>
    </w:p>
    <w:p w14:paraId="307F831F" w14:textId="172F4308" w:rsidR="005E2893" w:rsidRPr="005E2893" w:rsidRDefault="005E2893" w:rsidP="005E2893">
      <w:pPr>
        <w:pStyle w:val="MDPI62BackMatter"/>
      </w:pPr>
      <w:r w:rsidRPr="005E2893">
        <w:rPr>
          <w:b/>
        </w:rPr>
        <w:t>Data Availability Statement:</w:t>
      </w:r>
      <w:r w:rsidRPr="005E2893">
        <w:t xml:space="preserve"> </w:t>
      </w:r>
      <w:r w:rsidR="00A240E4">
        <w:t xml:space="preserve">All data included in the paper. </w:t>
      </w:r>
    </w:p>
    <w:p w14:paraId="4DAB80FF" w14:textId="77777777" w:rsidR="005E2893" w:rsidRDefault="00A047DA" w:rsidP="00A047DA">
      <w:pPr>
        <w:pStyle w:val="MDPI62BackMatter"/>
      </w:pPr>
      <w:r w:rsidRPr="00CF3497">
        <w:rPr>
          <w:b/>
          <w:highlight w:val="red"/>
        </w:rPr>
        <w:t>Acknowledgments</w:t>
      </w:r>
      <w:r w:rsidR="009B4544" w:rsidRPr="00B93C0C">
        <w:rPr>
          <w:b/>
        </w:rPr>
        <w:t>:</w:t>
      </w:r>
      <w:r w:rsidR="009B4544" w:rsidRPr="00B93C0C">
        <w:t xml:space="preserve"> The </w:t>
      </w:r>
      <w:r w:rsidR="009B4544" w:rsidRPr="002A59D0">
        <w:t xml:space="preserve">authors would like to thank the constructive comments and engagement with the paper from our four reviewers. </w:t>
      </w:r>
    </w:p>
    <w:p w14:paraId="2CD4B9D6" w14:textId="54BCC755" w:rsidR="00B93C0C" w:rsidRDefault="005E2893" w:rsidP="005E2893">
      <w:pPr>
        <w:pStyle w:val="MDPI62BackMatter"/>
      </w:pPr>
      <w:r w:rsidRPr="00A047DA">
        <w:rPr>
          <w:b/>
        </w:rPr>
        <w:t xml:space="preserve">Conflicts of Interest: </w:t>
      </w:r>
      <w:r w:rsidRPr="002A59D0">
        <w:t>The authors declare no conflict of interest.</w:t>
      </w:r>
    </w:p>
    <w:p w14:paraId="6937DB1F" w14:textId="77777777" w:rsidR="00B93C0C" w:rsidRDefault="00B93C0C" w:rsidP="00B93C0C">
      <w:pPr>
        <w:pStyle w:val="MDPI31text"/>
        <w:rPr>
          <w:sz w:val="18"/>
          <w:lang w:eastAsia="en-US"/>
        </w:rPr>
      </w:pPr>
      <w:r>
        <w:lastRenderedPageBreak/>
        <w:br w:type="page"/>
      </w:r>
    </w:p>
    <w:p w14:paraId="3AE95FEF" w14:textId="64822E9A" w:rsidR="004528C2" w:rsidRPr="002A59D0" w:rsidRDefault="004528C2" w:rsidP="00E86A3C">
      <w:pPr>
        <w:pStyle w:val="MDPI21heading1"/>
      </w:pPr>
      <w:r w:rsidRPr="002A59D0">
        <w:lastRenderedPageBreak/>
        <w:t>Appendix A</w:t>
      </w:r>
      <w:r w:rsidR="007979EE">
        <w:t>—</w:t>
      </w:r>
      <w:r w:rsidRPr="002A59D0">
        <w:t xml:space="preserve">ND-GAIN </w:t>
      </w:r>
      <w:r w:rsidR="00112244" w:rsidRPr="002A59D0">
        <w:t xml:space="preserve">Ranking </w:t>
      </w:r>
      <w:r w:rsidRPr="002A59D0">
        <w:t xml:space="preserve">of </w:t>
      </w:r>
      <w:r w:rsidR="00112244" w:rsidRPr="002A59D0">
        <w:t>Highest</w:t>
      </w:r>
      <w:r w:rsidRPr="002A59D0">
        <w:t>-</w:t>
      </w:r>
      <w:r w:rsidR="00112244" w:rsidRPr="002A59D0">
        <w:t>Scoring Nations</w:t>
      </w:r>
    </w:p>
    <w:p w14:paraId="261218D6" w14:textId="26889B53" w:rsidR="004528C2" w:rsidRPr="002A59D0" w:rsidRDefault="00E86A3C" w:rsidP="00E86A3C">
      <w:pPr>
        <w:pStyle w:val="MDPI41tablecaption"/>
        <w:rPr>
          <w:rFonts w:eastAsiaTheme="minorHAnsi"/>
        </w:rPr>
      </w:pPr>
      <w:r w:rsidRPr="00E86A3C">
        <w:rPr>
          <w:rFonts w:eastAsiaTheme="minorHAnsi"/>
          <w:b/>
        </w:rPr>
        <w:t xml:space="preserve">Table A1. </w:t>
      </w:r>
      <w:r w:rsidR="004528C2" w:rsidRPr="002A59D0">
        <w:rPr>
          <w:rFonts w:eastAsiaTheme="minorHAnsi"/>
        </w:rPr>
        <w:t>Ranking of ND-GAIN Highest-Scoring Nations</w:t>
      </w:r>
      <w:r>
        <w:rPr>
          <w:rFonts w:eastAsiaTheme="minorHAnsi"/>
        </w:rPr>
        <w:t>.</w:t>
      </w:r>
    </w:p>
    <w:tbl>
      <w:tblPr>
        <w:tblStyle w:val="TableGrid5"/>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24"/>
        <w:gridCol w:w="7233"/>
      </w:tblGrid>
      <w:tr w:rsidR="00E86A3C" w:rsidRPr="00E86A3C" w14:paraId="4E73D78D" w14:textId="77777777" w:rsidTr="002C3C39">
        <w:tc>
          <w:tcPr>
            <w:tcW w:w="739" w:type="dxa"/>
            <w:tcBorders>
              <w:top w:val="single" w:sz="8" w:space="0" w:color="auto"/>
              <w:bottom w:val="single" w:sz="4" w:space="0" w:color="auto"/>
            </w:tcBorders>
            <w:shd w:val="clear" w:color="auto" w:fill="auto"/>
            <w:vAlign w:val="center"/>
          </w:tcPr>
          <w:p w14:paraId="1F4F8862" w14:textId="3C5FF30E" w:rsidR="004528C2" w:rsidRPr="009D4C13" w:rsidRDefault="00FE3EB2" w:rsidP="00E86A3C">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Rank</w:t>
            </w:r>
          </w:p>
        </w:tc>
        <w:tc>
          <w:tcPr>
            <w:tcW w:w="8612" w:type="dxa"/>
            <w:tcBorders>
              <w:top w:val="single" w:sz="8" w:space="0" w:color="auto"/>
              <w:bottom w:val="single" w:sz="4" w:space="0" w:color="auto"/>
            </w:tcBorders>
            <w:shd w:val="clear" w:color="auto" w:fill="auto"/>
            <w:vAlign w:val="center"/>
          </w:tcPr>
          <w:p w14:paraId="492FEBBF" w14:textId="2CEB5D8B" w:rsidR="004528C2" w:rsidRPr="009D4C13" w:rsidRDefault="00FE3EB2" w:rsidP="00E86A3C">
            <w:pPr>
              <w:autoSpaceDE w:val="0"/>
              <w:autoSpaceDN w:val="0"/>
              <w:adjustRightInd w:val="0"/>
              <w:snapToGrid w:val="0"/>
              <w:spacing w:line="240" w:lineRule="auto"/>
              <w:jc w:val="center"/>
              <w:rPr>
                <w:b/>
                <w:noProof w:val="0"/>
                <w:color w:val="auto"/>
                <w:sz w:val="20"/>
                <w:szCs w:val="20"/>
                <w:lang w:val="en-US"/>
              </w:rPr>
            </w:pPr>
            <w:r w:rsidRPr="009D4C13">
              <w:rPr>
                <w:b/>
                <w:noProof w:val="0"/>
                <w:color w:val="auto"/>
                <w:sz w:val="20"/>
                <w:szCs w:val="20"/>
                <w:lang w:val="en-US"/>
              </w:rPr>
              <w:t>Country</w:t>
            </w:r>
          </w:p>
        </w:tc>
      </w:tr>
      <w:tr w:rsidR="004528C2" w:rsidRPr="00E86A3C" w14:paraId="317CF2E9" w14:textId="77777777" w:rsidTr="002C3C39">
        <w:tc>
          <w:tcPr>
            <w:tcW w:w="739" w:type="dxa"/>
            <w:tcBorders>
              <w:top w:val="single" w:sz="4" w:space="0" w:color="auto"/>
              <w:bottom w:val="nil"/>
            </w:tcBorders>
            <w:shd w:val="clear" w:color="auto" w:fill="auto"/>
            <w:vAlign w:val="center"/>
          </w:tcPr>
          <w:p w14:paraId="4D211BE8"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w:t>
            </w:r>
          </w:p>
        </w:tc>
        <w:tc>
          <w:tcPr>
            <w:tcW w:w="8612" w:type="dxa"/>
            <w:tcBorders>
              <w:top w:val="single" w:sz="4" w:space="0" w:color="auto"/>
              <w:bottom w:val="nil"/>
            </w:tcBorders>
            <w:vAlign w:val="center"/>
          </w:tcPr>
          <w:p w14:paraId="0A386B67" w14:textId="3C5AA50D"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2C3C39">
              <w:rPr>
                <w:noProof w:val="0"/>
                <w:color w:val="auto"/>
              </w:rPr>
              <w:t>N</w:t>
            </w:r>
            <w:proofErr w:type="spellStart"/>
            <w:r w:rsidR="004977EA">
              <w:rPr>
                <w:noProof w:val="0"/>
                <w:color w:val="auto"/>
                <w:sz w:val="20"/>
                <w:szCs w:val="20"/>
                <w:lang w:val="en-US"/>
              </w:rPr>
              <w:t>orway</w:t>
            </w:r>
            <w:proofErr w:type="spellEnd"/>
          </w:p>
        </w:tc>
      </w:tr>
      <w:tr w:rsidR="004528C2" w:rsidRPr="00E86A3C" w14:paraId="2F398485" w14:textId="77777777" w:rsidTr="002C3C39">
        <w:tc>
          <w:tcPr>
            <w:tcW w:w="739" w:type="dxa"/>
            <w:tcBorders>
              <w:top w:val="nil"/>
              <w:bottom w:val="nil"/>
            </w:tcBorders>
            <w:shd w:val="clear" w:color="auto" w:fill="auto"/>
            <w:vAlign w:val="center"/>
          </w:tcPr>
          <w:p w14:paraId="217F99BB"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2</w:t>
            </w:r>
          </w:p>
        </w:tc>
        <w:tc>
          <w:tcPr>
            <w:tcW w:w="8612" w:type="dxa"/>
            <w:tcBorders>
              <w:top w:val="nil"/>
              <w:bottom w:val="nil"/>
            </w:tcBorders>
            <w:vAlign w:val="center"/>
          </w:tcPr>
          <w:p w14:paraId="3739608B" w14:textId="2B7E22C7" w:rsidR="004528C2" w:rsidRPr="009D4C13" w:rsidRDefault="004977EA" w:rsidP="00E86A3C">
            <w:pPr>
              <w:autoSpaceDE w:val="0"/>
              <w:autoSpaceDN w:val="0"/>
              <w:adjustRightInd w:val="0"/>
              <w:snapToGrid w:val="0"/>
              <w:spacing w:line="240" w:lineRule="auto"/>
              <w:jc w:val="center"/>
              <w:rPr>
                <w:noProof w:val="0"/>
                <w:color w:val="auto"/>
                <w:sz w:val="20"/>
                <w:szCs w:val="20"/>
                <w:lang w:val="en-US"/>
              </w:rPr>
            </w:pPr>
            <w:r w:rsidRPr="002C3C39">
              <w:rPr>
                <w:noProof w:val="0"/>
                <w:color w:val="auto"/>
              </w:rPr>
              <w:t>N</w:t>
            </w:r>
            <w:proofErr w:type="spellStart"/>
            <w:r>
              <w:rPr>
                <w:noProof w:val="0"/>
                <w:color w:val="auto"/>
                <w:sz w:val="20"/>
                <w:szCs w:val="20"/>
                <w:lang w:val="en-US"/>
              </w:rPr>
              <w:t>ew</w:t>
            </w:r>
            <w:proofErr w:type="spellEnd"/>
            <w:r w:rsidRPr="009D4C13">
              <w:rPr>
                <w:noProof w:val="0"/>
                <w:color w:val="auto"/>
                <w:sz w:val="20"/>
                <w:szCs w:val="20"/>
                <w:lang w:val="en-US"/>
              </w:rPr>
              <w:t xml:space="preserve"> Z</w:t>
            </w:r>
            <w:r>
              <w:rPr>
                <w:noProof w:val="0"/>
                <w:color w:val="auto"/>
                <w:sz w:val="20"/>
                <w:szCs w:val="20"/>
                <w:lang w:val="en-US"/>
              </w:rPr>
              <w:t>ealand</w:t>
            </w:r>
          </w:p>
        </w:tc>
      </w:tr>
      <w:tr w:rsidR="004528C2" w:rsidRPr="00E86A3C" w14:paraId="625528B7" w14:textId="77777777" w:rsidTr="002C3C39">
        <w:tc>
          <w:tcPr>
            <w:tcW w:w="739" w:type="dxa"/>
            <w:tcBorders>
              <w:top w:val="nil"/>
              <w:bottom w:val="nil"/>
            </w:tcBorders>
            <w:shd w:val="clear" w:color="auto" w:fill="auto"/>
            <w:vAlign w:val="center"/>
          </w:tcPr>
          <w:p w14:paraId="4C9DBBDB"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3</w:t>
            </w:r>
          </w:p>
        </w:tc>
        <w:tc>
          <w:tcPr>
            <w:tcW w:w="8612" w:type="dxa"/>
            <w:tcBorders>
              <w:top w:val="nil"/>
              <w:bottom w:val="nil"/>
            </w:tcBorders>
            <w:vAlign w:val="center"/>
          </w:tcPr>
          <w:p w14:paraId="5A3C9CB8" w14:textId="711AC515" w:rsidR="004528C2" w:rsidRPr="009D4C13" w:rsidRDefault="004977EA" w:rsidP="00E86A3C">
            <w:pPr>
              <w:autoSpaceDE w:val="0"/>
              <w:autoSpaceDN w:val="0"/>
              <w:adjustRightInd w:val="0"/>
              <w:snapToGrid w:val="0"/>
              <w:spacing w:line="240" w:lineRule="auto"/>
              <w:jc w:val="center"/>
              <w:rPr>
                <w:noProof w:val="0"/>
                <w:color w:val="auto"/>
                <w:sz w:val="20"/>
                <w:szCs w:val="20"/>
                <w:lang w:val="en-US"/>
              </w:rPr>
            </w:pPr>
            <w:r w:rsidRPr="002C3C39">
              <w:rPr>
                <w:noProof w:val="0"/>
                <w:color w:val="auto"/>
              </w:rPr>
              <w:t>F</w:t>
            </w:r>
            <w:r>
              <w:rPr>
                <w:noProof w:val="0"/>
                <w:color w:val="auto"/>
                <w:sz w:val="20"/>
                <w:szCs w:val="20"/>
                <w:lang w:val="en-US"/>
              </w:rPr>
              <w:t>inland</w:t>
            </w:r>
          </w:p>
        </w:tc>
      </w:tr>
      <w:tr w:rsidR="004528C2" w:rsidRPr="00E86A3C" w14:paraId="0B277A7D" w14:textId="77777777" w:rsidTr="002C3C39">
        <w:tc>
          <w:tcPr>
            <w:tcW w:w="739" w:type="dxa"/>
            <w:tcBorders>
              <w:top w:val="nil"/>
              <w:bottom w:val="nil"/>
            </w:tcBorders>
            <w:shd w:val="clear" w:color="auto" w:fill="auto"/>
            <w:vAlign w:val="center"/>
          </w:tcPr>
          <w:p w14:paraId="7807E791"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4</w:t>
            </w:r>
          </w:p>
        </w:tc>
        <w:tc>
          <w:tcPr>
            <w:tcW w:w="8612" w:type="dxa"/>
            <w:tcBorders>
              <w:top w:val="nil"/>
              <w:bottom w:val="nil"/>
            </w:tcBorders>
            <w:vAlign w:val="center"/>
          </w:tcPr>
          <w:p w14:paraId="624BA5E0" w14:textId="2B07B09D"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D</w:t>
            </w:r>
            <w:r w:rsidR="004977EA">
              <w:rPr>
                <w:noProof w:val="0"/>
                <w:color w:val="auto"/>
                <w:sz w:val="20"/>
                <w:szCs w:val="20"/>
                <w:lang w:val="en-US"/>
              </w:rPr>
              <w:t>enmark</w:t>
            </w:r>
          </w:p>
        </w:tc>
      </w:tr>
      <w:tr w:rsidR="004528C2" w:rsidRPr="00E86A3C" w14:paraId="17C09298" w14:textId="77777777" w:rsidTr="002C3C39">
        <w:tc>
          <w:tcPr>
            <w:tcW w:w="739" w:type="dxa"/>
            <w:tcBorders>
              <w:top w:val="nil"/>
              <w:bottom w:val="nil"/>
            </w:tcBorders>
            <w:shd w:val="clear" w:color="auto" w:fill="auto"/>
            <w:vAlign w:val="center"/>
          </w:tcPr>
          <w:p w14:paraId="0492C769"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5</w:t>
            </w:r>
          </w:p>
        </w:tc>
        <w:tc>
          <w:tcPr>
            <w:tcW w:w="8612" w:type="dxa"/>
            <w:tcBorders>
              <w:top w:val="nil"/>
              <w:bottom w:val="nil"/>
            </w:tcBorders>
            <w:vAlign w:val="center"/>
          </w:tcPr>
          <w:p w14:paraId="0DF8AAE4" w14:textId="610F45C8"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S</w:t>
            </w:r>
            <w:r w:rsidR="004977EA">
              <w:rPr>
                <w:noProof w:val="0"/>
                <w:color w:val="auto"/>
                <w:sz w:val="20"/>
                <w:szCs w:val="20"/>
                <w:lang w:val="en-US"/>
              </w:rPr>
              <w:t>weden</w:t>
            </w:r>
          </w:p>
        </w:tc>
      </w:tr>
      <w:tr w:rsidR="004528C2" w:rsidRPr="00E86A3C" w14:paraId="36E9F805" w14:textId="77777777" w:rsidTr="002C3C39">
        <w:tc>
          <w:tcPr>
            <w:tcW w:w="739" w:type="dxa"/>
            <w:tcBorders>
              <w:top w:val="nil"/>
              <w:bottom w:val="nil"/>
            </w:tcBorders>
            <w:shd w:val="clear" w:color="auto" w:fill="auto"/>
            <w:vAlign w:val="center"/>
          </w:tcPr>
          <w:p w14:paraId="51C499AC"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6</w:t>
            </w:r>
          </w:p>
        </w:tc>
        <w:tc>
          <w:tcPr>
            <w:tcW w:w="8612" w:type="dxa"/>
            <w:tcBorders>
              <w:top w:val="nil"/>
              <w:bottom w:val="nil"/>
            </w:tcBorders>
            <w:vAlign w:val="center"/>
          </w:tcPr>
          <w:p w14:paraId="7E484E1F" w14:textId="21F50630"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S</w:t>
            </w:r>
            <w:r w:rsidR="004977EA">
              <w:rPr>
                <w:noProof w:val="0"/>
                <w:color w:val="auto"/>
                <w:sz w:val="20"/>
                <w:szCs w:val="20"/>
                <w:lang w:val="en-US"/>
              </w:rPr>
              <w:t>witzerland</w:t>
            </w:r>
          </w:p>
        </w:tc>
      </w:tr>
      <w:tr w:rsidR="004528C2" w:rsidRPr="00E86A3C" w14:paraId="62D91D7C" w14:textId="77777777" w:rsidTr="002C3C39">
        <w:tc>
          <w:tcPr>
            <w:tcW w:w="739" w:type="dxa"/>
            <w:tcBorders>
              <w:top w:val="nil"/>
              <w:bottom w:val="nil"/>
            </w:tcBorders>
            <w:shd w:val="clear" w:color="auto" w:fill="auto"/>
            <w:vAlign w:val="center"/>
          </w:tcPr>
          <w:p w14:paraId="48DC9BE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7</w:t>
            </w:r>
          </w:p>
        </w:tc>
        <w:tc>
          <w:tcPr>
            <w:tcW w:w="8612" w:type="dxa"/>
            <w:tcBorders>
              <w:top w:val="nil"/>
              <w:bottom w:val="nil"/>
            </w:tcBorders>
            <w:vAlign w:val="center"/>
          </w:tcPr>
          <w:p w14:paraId="5256B135" w14:textId="4FFB34EE"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S</w:t>
            </w:r>
            <w:r w:rsidR="004977EA">
              <w:rPr>
                <w:noProof w:val="0"/>
                <w:color w:val="auto"/>
                <w:sz w:val="20"/>
                <w:szCs w:val="20"/>
                <w:lang w:val="en-US"/>
              </w:rPr>
              <w:t>ingapore</w:t>
            </w:r>
          </w:p>
        </w:tc>
      </w:tr>
      <w:tr w:rsidR="004528C2" w:rsidRPr="00E86A3C" w14:paraId="487C02AB" w14:textId="77777777" w:rsidTr="002C3C39">
        <w:tc>
          <w:tcPr>
            <w:tcW w:w="739" w:type="dxa"/>
            <w:tcBorders>
              <w:top w:val="nil"/>
              <w:bottom w:val="nil"/>
            </w:tcBorders>
            <w:shd w:val="clear" w:color="auto" w:fill="auto"/>
            <w:vAlign w:val="center"/>
          </w:tcPr>
          <w:p w14:paraId="3E4D1914" w14:textId="77777777" w:rsidR="004528C2" w:rsidRPr="002567EA" w:rsidRDefault="004528C2" w:rsidP="00E86A3C">
            <w:pPr>
              <w:autoSpaceDE w:val="0"/>
              <w:autoSpaceDN w:val="0"/>
              <w:adjustRightInd w:val="0"/>
              <w:snapToGrid w:val="0"/>
              <w:spacing w:line="240" w:lineRule="auto"/>
              <w:jc w:val="center"/>
              <w:rPr>
                <w:bCs/>
                <w:noProof w:val="0"/>
                <w:color w:val="auto"/>
                <w:sz w:val="20"/>
                <w:szCs w:val="20"/>
                <w:lang w:val="en-US"/>
              </w:rPr>
            </w:pPr>
            <w:r w:rsidRPr="002567EA">
              <w:rPr>
                <w:bCs/>
                <w:noProof w:val="0"/>
                <w:color w:val="auto"/>
                <w:sz w:val="20"/>
                <w:szCs w:val="20"/>
                <w:lang w:val="en-US"/>
              </w:rPr>
              <w:t>8</w:t>
            </w:r>
          </w:p>
        </w:tc>
        <w:tc>
          <w:tcPr>
            <w:tcW w:w="8612" w:type="dxa"/>
            <w:tcBorders>
              <w:top w:val="nil"/>
              <w:bottom w:val="nil"/>
            </w:tcBorders>
            <w:vAlign w:val="center"/>
          </w:tcPr>
          <w:p w14:paraId="2EC7F7D9" w14:textId="732A71F7"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A</w:t>
            </w:r>
            <w:r w:rsidR="004977EA">
              <w:rPr>
                <w:noProof w:val="0"/>
                <w:color w:val="auto"/>
                <w:sz w:val="20"/>
                <w:szCs w:val="20"/>
                <w:lang w:val="en-US"/>
              </w:rPr>
              <w:t>ustria</w:t>
            </w:r>
          </w:p>
        </w:tc>
      </w:tr>
      <w:tr w:rsidR="004528C2" w:rsidRPr="00E86A3C" w14:paraId="78E7EDB5" w14:textId="77777777" w:rsidTr="002C3C39">
        <w:tc>
          <w:tcPr>
            <w:tcW w:w="739" w:type="dxa"/>
            <w:tcBorders>
              <w:top w:val="nil"/>
              <w:bottom w:val="nil"/>
            </w:tcBorders>
            <w:shd w:val="clear" w:color="auto" w:fill="auto"/>
            <w:vAlign w:val="center"/>
          </w:tcPr>
          <w:p w14:paraId="587F34DC" w14:textId="77777777" w:rsidR="004528C2" w:rsidRPr="002567EA" w:rsidRDefault="004528C2" w:rsidP="00E86A3C">
            <w:pPr>
              <w:autoSpaceDE w:val="0"/>
              <w:autoSpaceDN w:val="0"/>
              <w:adjustRightInd w:val="0"/>
              <w:snapToGrid w:val="0"/>
              <w:spacing w:line="240" w:lineRule="auto"/>
              <w:jc w:val="center"/>
              <w:rPr>
                <w:bCs/>
                <w:noProof w:val="0"/>
                <w:color w:val="auto"/>
                <w:sz w:val="20"/>
                <w:szCs w:val="20"/>
                <w:lang w:val="en-US"/>
              </w:rPr>
            </w:pPr>
            <w:r w:rsidRPr="002567EA">
              <w:rPr>
                <w:bCs/>
                <w:noProof w:val="0"/>
                <w:color w:val="auto"/>
                <w:sz w:val="20"/>
                <w:szCs w:val="20"/>
                <w:lang w:val="en-US"/>
              </w:rPr>
              <w:t>9</w:t>
            </w:r>
          </w:p>
        </w:tc>
        <w:tc>
          <w:tcPr>
            <w:tcW w:w="8612" w:type="dxa"/>
            <w:tcBorders>
              <w:top w:val="nil"/>
              <w:bottom w:val="nil"/>
            </w:tcBorders>
            <w:vAlign w:val="center"/>
          </w:tcPr>
          <w:p w14:paraId="231BB47D" w14:textId="3E62F2F6"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I</w:t>
            </w:r>
            <w:r w:rsidR="004977EA">
              <w:rPr>
                <w:noProof w:val="0"/>
                <w:color w:val="auto"/>
                <w:sz w:val="20"/>
                <w:szCs w:val="20"/>
                <w:lang w:val="en-US"/>
              </w:rPr>
              <w:t>celand</w:t>
            </w:r>
          </w:p>
        </w:tc>
      </w:tr>
      <w:tr w:rsidR="004528C2" w:rsidRPr="00E86A3C" w14:paraId="6146DAB3" w14:textId="77777777" w:rsidTr="002C3C39">
        <w:tc>
          <w:tcPr>
            <w:tcW w:w="739" w:type="dxa"/>
            <w:tcBorders>
              <w:top w:val="nil"/>
              <w:bottom w:val="nil"/>
            </w:tcBorders>
            <w:shd w:val="clear" w:color="auto" w:fill="auto"/>
            <w:vAlign w:val="center"/>
          </w:tcPr>
          <w:p w14:paraId="749731D6"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10</w:t>
            </w:r>
          </w:p>
        </w:tc>
        <w:tc>
          <w:tcPr>
            <w:tcW w:w="8612" w:type="dxa"/>
            <w:tcBorders>
              <w:top w:val="nil"/>
              <w:bottom w:val="nil"/>
            </w:tcBorders>
            <w:vAlign w:val="center"/>
          </w:tcPr>
          <w:p w14:paraId="675FCCF6" w14:textId="750FA64C"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G</w:t>
            </w:r>
            <w:r w:rsidR="004977EA">
              <w:rPr>
                <w:noProof w:val="0"/>
                <w:color w:val="auto"/>
                <w:sz w:val="20"/>
                <w:szCs w:val="20"/>
                <w:lang w:val="en-US"/>
              </w:rPr>
              <w:t>ermany</w:t>
            </w:r>
          </w:p>
        </w:tc>
      </w:tr>
      <w:tr w:rsidR="004528C2" w:rsidRPr="00E86A3C" w14:paraId="6C0F17FC" w14:textId="77777777" w:rsidTr="002C3C39">
        <w:tc>
          <w:tcPr>
            <w:tcW w:w="739" w:type="dxa"/>
            <w:tcBorders>
              <w:top w:val="nil"/>
              <w:bottom w:val="nil"/>
            </w:tcBorders>
            <w:shd w:val="clear" w:color="auto" w:fill="auto"/>
            <w:vAlign w:val="center"/>
          </w:tcPr>
          <w:p w14:paraId="7640DCF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11</w:t>
            </w:r>
          </w:p>
        </w:tc>
        <w:tc>
          <w:tcPr>
            <w:tcW w:w="8612" w:type="dxa"/>
            <w:tcBorders>
              <w:top w:val="nil"/>
              <w:bottom w:val="nil"/>
            </w:tcBorders>
            <w:vAlign w:val="center"/>
          </w:tcPr>
          <w:p w14:paraId="316ADF8E" w14:textId="635D6133"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U</w:t>
            </w:r>
            <w:r w:rsidR="004977EA">
              <w:rPr>
                <w:noProof w:val="0"/>
                <w:color w:val="auto"/>
                <w:sz w:val="20"/>
                <w:szCs w:val="20"/>
                <w:lang w:val="en-US"/>
              </w:rPr>
              <w:t>nited</w:t>
            </w:r>
            <w:r w:rsidRPr="009D4C13">
              <w:rPr>
                <w:noProof w:val="0"/>
                <w:color w:val="auto"/>
                <w:sz w:val="20"/>
                <w:szCs w:val="20"/>
                <w:lang w:val="en-US"/>
              </w:rPr>
              <w:t xml:space="preserve"> K</w:t>
            </w:r>
            <w:r w:rsidR="004977EA">
              <w:rPr>
                <w:noProof w:val="0"/>
                <w:color w:val="auto"/>
                <w:sz w:val="20"/>
                <w:szCs w:val="20"/>
                <w:lang w:val="en-US"/>
              </w:rPr>
              <w:t>ingdom</w:t>
            </w:r>
          </w:p>
        </w:tc>
      </w:tr>
      <w:tr w:rsidR="004528C2" w:rsidRPr="00E86A3C" w14:paraId="45491812" w14:textId="77777777" w:rsidTr="002C3C39">
        <w:tc>
          <w:tcPr>
            <w:tcW w:w="739" w:type="dxa"/>
            <w:tcBorders>
              <w:top w:val="nil"/>
              <w:bottom w:val="nil"/>
            </w:tcBorders>
            <w:shd w:val="clear" w:color="auto" w:fill="auto"/>
            <w:vAlign w:val="center"/>
          </w:tcPr>
          <w:p w14:paraId="1A1810B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12</w:t>
            </w:r>
          </w:p>
        </w:tc>
        <w:tc>
          <w:tcPr>
            <w:tcW w:w="8612" w:type="dxa"/>
            <w:tcBorders>
              <w:top w:val="nil"/>
              <w:bottom w:val="nil"/>
            </w:tcBorders>
            <w:vAlign w:val="center"/>
          </w:tcPr>
          <w:p w14:paraId="2846F59C" w14:textId="1066D73E"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L</w:t>
            </w:r>
            <w:r w:rsidR="004977EA">
              <w:rPr>
                <w:noProof w:val="0"/>
                <w:color w:val="auto"/>
                <w:sz w:val="20"/>
                <w:szCs w:val="20"/>
                <w:lang w:val="en-US"/>
              </w:rPr>
              <w:t>uxembourg</w:t>
            </w:r>
          </w:p>
        </w:tc>
      </w:tr>
      <w:tr w:rsidR="004528C2" w:rsidRPr="00E86A3C" w14:paraId="00128D41" w14:textId="77777777" w:rsidTr="002C3C39">
        <w:tc>
          <w:tcPr>
            <w:tcW w:w="739" w:type="dxa"/>
            <w:tcBorders>
              <w:top w:val="nil"/>
              <w:bottom w:val="nil"/>
            </w:tcBorders>
            <w:shd w:val="clear" w:color="auto" w:fill="auto"/>
            <w:vAlign w:val="center"/>
          </w:tcPr>
          <w:p w14:paraId="202D3F6F"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13</w:t>
            </w:r>
          </w:p>
        </w:tc>
        <w:tc>
          <w:tcPr>
            <w:tcW w:w="8612" w:type="dxa"/>
            <w:tcBorders>
              <w:top w:val="nil"/>
              <w:bottom w:val="nil"/>
            </w:tcBorders>
            <w:vAlign w:val="center"/>
          </w:tcPr>
          <w:p w14:paraId="02E75773" w14:textId="545C26B6"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A</w:t>
            </w:r>
            <w:r w:rsidR="004977EA">
              <w:rPr>
                <w:noProof w:val="0"/>
                <w:color w:val="auto"/>
                <w:sz w:val="20"/>
                <w:szCs w:val="20"/>
                <w:lang w:val="en-US"/>
              </w:rPr>
              <w:t>ustralia</w:t>
            </w:r>
          </w:p>
        </w:tc>
      </w:tr>
      <w:tr w:rsidR="004528C2" w:rsidRPr="00E86A3C" w14:paraId="597E7FFB" w14:textId="77777777" w:rsidTr="002C3C39">
        <w:tc>
          <w:tcPr>
            <w:tcW w:w="739" w:type="dxa"/>
            <w:tcBorders>
              <w:top w:val="nil"/>
              <w:bottom w:val="nil"/>
            </w:tcBorders>
            <w:shd w:val="clear" w:color="auto" w:fill="auto"/>
            <w:vAlign w:val="center"/>
          </w:tcPr>
          <w:p w14:paraId="62C1AC1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14</w:t>
            </w:r>
          </w:p>
        </w:tc>
        <w:tc>
          <w:tcPr>
            <w:tcW w:w="8612" w:type="dxa"/>
            <w:tcBorders>
              <w:top w:val="nil"/>
              <w:bottom w:val="nil"/>
            </w:tcBorders>
            <w:vAlign w:val="center"/>
          </w:tcPr>
          <w:p w14:paraId="3AF4B989" w14:textId="660F0DB4"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R</w:t>
            </w:r>
            <w:r w:rsidR="004977EA">
              <w:rPr>
                <w:noProof w:val="0"/>
                <w:color w:val="auto"/>
                <w:sz w:val="20"/>
                <w:szCs w:val="20"/>
                <w:lang w:val="en-US"/>
              </w:rPr>
              <w:t>epublic</w:t>
            </w:r>
            <w:r w:rsidRPr="009D4C13">
              <w:rPr>
                <w:noProof w:val="0"/>
                <w:color w:val="auto"/>
                <w:sz w:val="20"/>
                <w:szCs w:val="20"/>
                <w:lang w:val="en-US"/>
              </w:rPr>
              <w:t xml:space="preserve"> </w:t>
            </w:r>
            <w:r w:rsidR="004977EA">
              <w:rPr>
                <w:noProof w:val="0"/>
                <w:color w:val="auto"/>
                <w:sz w:val="20"/>
                <w:szCs w:val="20"/>
                <w:lang w:val="en-US"/>
              </w:rPr>
              <w:t>of</w:t>
            </w:r>
            <w:r w:rsidRPr="009D4C13">
              <w:rPr>
                <w:noProof w:val="0"/>
                <w:color w:val="auto"/>
                <w:sz w:val="20"/>
                <w:szCs w:val="20"/>
                <w:lang w:val="en-US"/>
              </w:rPr>
              <w:t xml:space="preserve"> </w:t>
            </w:r>
            <w:r w:rsidR="004977EA">
              <w:rPr>
                <w:noProof w:val="0"/>
                <w:color w:val="auto"/>
                <w:sz w:val="20"/>
                <w:szCs w:val="20"/>
                <w:lang w:val="en-US"/>
              </w:rPr>
              <w:t>Korea</w:t>
            </w:r>
          </w:p>
        </w:tc>
      </w:tr>
      <w:tr w:rsidR="004528C2" w:rsidRPr="00E86A3C" w14:paraId="09DD6F6A" w14:textId="77777777" w:rsidTr="002C3C39">
        <w:tc>
          <w:tcPr>
            <w:tcW w:w="739" w:type="dxa"/>
            <w:tcBorders>
              <w:top w:val="nil"/>
              <w:bottom w:val="nil"/>
            </w:tcBorders>
            <w:shd w:val="clear" w:color="auto" w:fill="auto"/>
            <w:vAlign w:val="center"/>
          </w:tcPr>
          <w:p w14:paraId="65009766"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15</w:t>
            </w:r>
          </w:p>
        </w:tc>
        <w:tc>
          <w:tcPr>
            <w:tcW w:w="8612" w:type="dxa"/>
            <w:tcBorders>
              <w:top w:val="nil"/>
              <w:bottom w:val="nil"/>
            </w:tcBorders>
            <w:vAlign w:val="center"/>
          </w:tcPr>
          <w:p w14:paraId="62BD0E60" w14:textId="6A8DAC39"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J</w:t>
            </w:r>
            <w:r w:rsidR="004977EA">
              <w:rPr>
                <w:noProof w:val="0"/>
                <w:color w:val="auto"/>
                <w:sz w:val="20"/>
                <w:szCs w:val="20"/>
                <w:lang w:val="en-US"/>
              </w:rPr>
              <w:t>apan</w:t>
            </w:r>
          </w:p>
        </w:tc>
      </w:tr>
      <w:tr w:rsidR="004528C2" w:rsidRPr="00E86A3C" w14:paraId="201FCED6" w14:textId="77777777" w:rsidTr="002C3C39">
        <w:tc>
          <w:tcPr>
            <w:tcW w:w="739" w:type="dxa"/>
            <w:tcBorders>
              <w:top w:val="nil"/>
              <w:bottom w:val="nil"/>
            </w:tcBorders>
            <w:shd w:val="clear" w:color="auto" w:fill="auto"/>
            <w:vAlign w:val="center"/>
          </w:tcPr>
          <w:p w14:paraId="0F07F6A0"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16</w:t>
            </w:r>
          </w:p>
        </w:tc>
        <w:tc>
          <w:tcPr>
            <w:tcW w:w="8612" w:type="dxa"/>
            <w:tcBorders>
              <w:top w:val="nil"/>
              <w:bottom w:val="nil"/>
            </w:tcBorders>
            <w:vAlign w:val="center"/>
          </w:tcPr>
          <w:p w14:paraId="3F8D05AF" w14:textId="5814EDE2"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N</w:t>
            </w:r>
            <w:r w:rsidR="004977EA">
              <w:rPr>
                <w:noProof w:val="0"/>
                <w:color w:val="auto"/>
                <w:sz w:val="20"/>
                <w:szCs w:val="20"/>
                <w:lang w:val="en-US"/>
              </w:rPr>
              <w:t>etherlands</w:t>
            </w:r>
          </w:p>
        </w:tc>
      </w:tr>
      <w:tr w:rsidR="004528C2" w:rsidRPr="00E86A3C" w14:paraId="66C34759" w14:textId="77777777" w:rsidTr="002C3C39">
        <w:tc>
          <w:tcPr>
            <w:tcW w:w="739" w:type="dxa"/>
            <w:tcBorders>
              <w:top w:val="nil"/>
              <w:bottom w:val="nil"/>
            </w:tcBorders>
            <w:shd w:val="clear" w:color="auto" w:fill="auto"/>
            <w:vAlign w:val="center"/>
          </w:tcPr>
          <w:p w14:paraId="7F4EAD6C"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17</w:t>
            </w:r>
          </w:p>
        </w:tc>
        <w:tc>
          <w:tcPr>
            <w:tcW w:w="8612" w:type="dxa"/>
            <w:tcBorders>
              <w:top w:val="nil"/>
              <w:bottom w:val="nil"/>
            </w:tcBorders>
            <w:vAlign w:val="center"/>
          </w:tcPr>
          <w:p w14:paraId="08600598" w14:textId="35F6D583"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F</w:t>
            </w:r>
            <w:r w:rsidR="004977EA">
              <w:rPr>
                <w:noProof w:val="0"/>
                <w:color w:val="auto"/>
                <w:sz w:val="20"/>
                <w:szCs w:val="20"/>
                <w:lang w:val="en-US"/>
              </w:rPr>
              <w:t>rance</w:t>
            </w:r>
          </w:p>
        </w:tc>
      </w:tr>
      <w:tr w:rsidR="004528C2" w:rsidRPr="00E86A3C" w14:paraId="678C9A64" w14:textId="77777777" w:rsidTr="002C3C39">
        <w:tc>
          <w:tcPr>
            <w:tcW w:w="739" w:type="dxa"/>
            <w:tcBorders>
              <w:top w:val="nil"/>
              <w:bottom w:val="nil"/>
            </w:tcBorders>
            <w:shd w:val="clear" w:color="auto" w:fill="auto"/>
            <w:vAlign w:val="center"/>
          </w:tcPr>
          <w:p w14:paraId="6C9504D6"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18</w:t>
            </w:r>
          </w:p>
        </w:tc>
        <w:tc>
          <w:tcPr>
            <w:tcW w:w="8612" w:type="dxa"/>
            <w:tcBorders>
              <w:top w:val="nil"/>
              <w:bottom w:val="nil"/>
            </w:tcBorders>
            <w:vAlign w:val="center"/>
          </w:tcPr>
          <w:p w14:paraId="2BE767FA" w14:textId="5969D755"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C</w:t>
            </w:r>
            <w:r w:rsidR="004977EA">
              <w:rPr>
                <w:noProof w:val="0"/>
                <w:color w:val="auto"/>
                <w:sz w:val="20"/>
                <w:szCs w:val="20"/>
                <w:lang w:val="en-US"/>
              </w:rPr>
              <w:t>anada</w:t>
            </w:r>
          </w:p>
        </w:tc>
      </w:tr>
      <w:tr w:rsidR="004528C2" w:rsidRPr="00E86A3C" w14:paraId="2E78D3E0" w14:textId="77777777" w:rsidTr="002C3C39">
        <w:tc>
          <w:tcPr>
            <w:tcW w:w="739" w:type="dxa"/>
            <w:tcBorders>
              <w:top w:val="nil"/>
              <w:bottom w:val="nil"/>
            </w:tcBorders>
            <w:shd w:val="clear" w:color="auto" w:fill="auto"/>
            <w:vAlign w:val="center"/>
          </w:tcPr>
          <w:p w14:paraId="180BCD7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19</w:t>
            </w:r>
          </w:p>
        </w:tc>
        <w:tc>
          <w:tcPr>
            <w:tcW w:w="8612" w:type="dxa"/>
            <w:tcBorders>
              <w:top w:val="nil"/>
              <w:bottom w:val="nil"/>
            </w:tcBorders>
            <w:vAlign w:val="center"/>
          </w:tcPr>
          <w:p w14:paraId="17D7021D" w14:textId="3FD92BF6"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U</w:t>
            </w:r>
            <w:r w:rsidR="004977EA">
              <w:rPr>
                <w:noProof w:val="0"/>
                <w:color w:val="auto"/>
                <w:sz w:val="20"/>
                <w:szCs w:val="20"/>
                <w:lang w:val="en-US"/>
              </w:rPr>
              <w:t>nited</w:t>
            </w:r>
            <w:r w:rsidRPr="009D4C13">
              <w:rPr>
                <w:noProof w:val="0"/>
                <w:color w:val="auto"/>
                <w:sz w:val="20"/>
                <w:szCs w:val="20"/>
                <w:lang w:val="en-US"/>
              </w:rPr>
              <w:t xml:space="preserve"> S</w:t>
            </w:r>
            <w:r w:rsidR="004977EA">
              <w:rPr>
                <w:noProof w:val="0"/>
                <w:color w:val="auto"/>
                <w:sz w:val="20"/>
                <w:szCs w:val="20"/>
                <w:lang w:val="en-US"/>
              </w:rPr>
              <w:t>tates</w:t>
            </w:r>
          </w:p>
        </w:tc>
      </w:tr>
      <w:tr w:rsidR="004528C2" w:rsidRPr="00E86A3C" w14:paraId="53DA6752" w14:textId="77777777" w:rsidTr="002C3C39">
        <w:tc>
          <w:tcPr>
            <w:tcW w:w="739" w:type="dxa"/>
            <w:tcBorders>
              <w:top w:val="nil"/>
            </w:tcBorders>
            <w:shd w:val="clear" w:color="auto" w:fill="auto"/>
            <w:vAlign w:val="center"/>
          </w:tcPr>
          <w:p w14:paraId="6C64FAD6"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20</w:t>
            </w:r>
          </w:p>
        </w:tc>
        <w:tc>
          <w:tcPr>
            <w:tcW w:w="8612" w:type="dxa"/>
            <w:tcBorders>
              <w:top w:val="nil"/>
            </w:tcBorders>
            <w:vAlign w:val="center"/>
          </w:tcPr>
          <w:p w14:paraId="78F7C200" w14:textId="0978516B" w:rsidR="004528C2" w:rsidRPr="009D4C13" w:rsidRDefault="004528C2" w:rsidP="00E86A3C">
            <w:pPr>
              <w:autoSpaceDE w:val="0"/>
              <w:autoSpaceDN w:val="0"/>
              <w:adjustRightInd w:val="0"/>
              <w:snapToGrid w:val="0"/>
              <w:spacing w:line="240" w:lineRule="auto"/>
              <w:jc w:val="center"/>
              <w:rPr>
                <w:noProof w:val="0"/>
                <w:color w:val="auto"/>
                <w:sz w:val="20"/>
                <w:szCs w:val="20"/>
                <w:lang w:val="en-US"/>
              </w:rPr>
            </w:pPr>
            <w:r w:rsidRPr="009D4C13">
              <w:rPr>
                <w:noProof w:val="0"/>
                <w:color w:val="auto"/>
                <w:sz w:val="20"/>
                <w:szCs w:val="20"/>
                <w:lang w:val="en-US"/>
              </w:rPr>
              <w:t>I</w:t>
            </w:r>
            <w:r w:rsidR="004977EA">
              <w:rPr>
                <w:noProof w:val="0"/>
                <w:color w:val="auto"/>
                <w:sz w:val="20"/>
                <w:szCs w:val="20"/>
                <w:lang w:val="en-US"/>
              </w:rPr>
              <w:t>reland</w:t>
            </w:r>
          </w:p>
        </w:tc>
      </w:tr>
    </w:tbl>
    <w:p w14:paraId="00EDB590" w14:textId="06330880" w:rsidR="004528C2" w:rsidRPr="00976A9E" w:rsidRDefault="004528C2" w:rsidP="00E86A3C">
      <w:pPr>
        <w:pStyle w:val="MDPI21heading1"/>
      </w:pPr>
      <w:r w:rsidRPr="00976A9E">
        <w:t>Appendix B</w:t>
      </w:r>
      <w:r w:rsidR="00976A9E" w:rsidRPr="00976A9E">
        <w:t>—</w:t>
      </w:r>
      <w:r w:rsidRPr="00976A9E">
        <w:t xml:space="preserve">ND-GAIN </w:t>
      </w:r>
      <w:r w:rsidR="00112244" w:rsidRPr="00976A9E">
        <w:t>Vulnerability Indicators</w:t>
      </w:r>
    </w:p>
    <w:p w14:paraId="3A5B0E1C" w14:textId="1AE1269D" w:rsidR="004528C2" w:rsidRPr="002A59D0" w:rsidRDefault="00E86A3C" w:rsidP="00E86A3C">
      <w:pPr>
        <w:pStyle w:val="MDPI41tablecaption"/>
        <w:rPr>
          <w:rFonts w:eastAsiaTheme="minorHAnsi"/>
        </w:rPr>
      </w:pPr>
      <w:bookmarkStart w:id="15" w:name="_Hlk71913765"/>
      <w:r w:rsidRPr="002C3C39">
        <w:rPr>
          <w:rFonts w:eastAsiaTheme="minorHAnsi"/>
          <w:b/>
        </w:rPr>
        <w:t xml:space="preserve">Table </w:t>
      </w:r>
      <w:r w:rsidR="00976A9E" w:rsidRPr="00186559">
        <w:rPr>
          <w:rFonts w:eastAsiaTheme="minorHAnsi"/>
          <w:b/>
          <w:highlight w:val="yellow"/>
        </w:rPr>
        <w:t>A2</w:t>
      </w:r>
      <w:r w:rsidRPr="00E86A3C">
        <w:rPr>
          <w:rFonts w:eastAsiaTheme="minorHAnsi"/>
          <w:b/>
        </w:rPr>
        <w:t xml:space="preserve">. </w:t>
      </w:r>
      <w:r w:rsidR="004528C2" w:rsidRPr="002A59D0">
        <w:rPr>
          <w:rFonts w:eastAsiaTheme="minorHAnsi"/>
        </w:rPr>
        <w:t>ND-GAIN Vulnerability Indicators</w:t>
      </w:r>
      <w:bookmarkEnd w:id="15"/>
      <w:r>
        <w:rPr>
          <w:rFonts w:eastAsiaTheme="minorHAnsi"/>
        </w:rPr>
        <w:t>.</w:t>
      </w:r>
    </w:p>
    <w:tbl>
      <w:tblPr>
        <w:tblStyle w:val="TableGrid6"/>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563"/>
        <w:gridCol w:w="2245"/>
        <w:gridCol w:w="1787"/>
        <w:gridCol w:w="2262"/>
      </w:tblGrid>
      <w:tr w:rsidR="00E86A3C" w:rsidRPr="00E86A3C" w14:paraId="0E5BED65" w14:textId="77777777" w:rsidTr="002C3C39">
        <w:tc>
          <w:tcPr>
            <w:tcW w:w="1859" w:type="dxa"/>
            <w:tcBorders>
              <w:top w:val="single" w:sz="8" w:space="0" w:color="auto"/>
              <w:bottom w:val="single" w:sz="4" w:space="0" w:color="auto"/>
            </w:tcBorders>
            <w:shd w:val="clear" w:color="auto" w:fill="auto"/>
            <w:vAlign w:val="center"/>
          </w:tcPr>
          <w:p w14:paraId="523915DF" w14:textId="0EF38A61" w:rsidR="004528C2" w:rsidRPr="002567EA" w:rsidRDefault="00561986" w:rsidP="00E86A3C">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Sector</w:t>
            </w:r>
          </w:p>
        </w:tc>
        <w:tc>
          <w:tcPr>
            <w:tcW w:w="2672" w:type="dxa"/>
            <w:tcBorders>
              <w:top w:val="single" w:sz="8" w:space="0" w:color="auto"/>
              <w:bottom w:val="single" w:sz="4" w:space="0" w:color="auto"/>
            </w:tcBorders>
            <w:shd w:val="clear" w:color="auto" w:fill="auto"/>
            <w:vAlign w:val="center"/>
          </w:tcPr>
          <w:p w14:paraId="7308FF2C" w14:textId="58396BFF" w:rsidR="004528C2" w:rsidRPr="002567EA" w:rsidRDefault="00561986" w:rsidP="00E86A3C">
            <w:pPr>
              <w:autoSpaceDE w:val="0"/>
              <w:autoSpaceDN w:val="0"/>
              <w:adjustRightInd w:val="0"/>
              <w:snapToGrid w:val="0"/>
              <w:spacing w:line="240" w:lineRule="auto"/>
              <w:jc w:val="center"/>
              <w:rPr>
                <w:b/>
                <w:noProof w:val="0"/>
                <w:color w:val="auto"/>
                <w:sz w:val="20"/>
                <w:szCs w:val="20"/>
                <w:lang w:val="en-US"/>
              </w:rPr>
            </w:pPr>
            <w:r w:rsidRPr="002567EA">
              <w:rPr>
                <w:b/>
                <w:noProof w:val="0"/>
                <w:color w:val="auto"/>
                <w:sz w:val="20"/>
                <w:szCs w:val="20"/>
                <w:lang w:val="en-US"/>
              </w:rPr>
              <w:t xml:space="preserve">Exposure </w:t>
            </w:r>
            <w:r w:rsidR="00273DC4" w:rsidRPr="002567EA">
              <w:rPr>
                <w:b/>
                <w:noProof w:val="0"/>
                <w:color w:val="auto"/>
                <w:sz w:val="20"/>
                <w:szCs w:val="20"/>
                <w:lang w:val="en-US"/>
              </w:rPr>
              <w:br/>
            </w:r>
            <w:r w:rsidRPr="002567EA">
              <w:rPr>
                <w:b/>
                <w:noProof w:val="0"/>
                <w:color w:val="auto"/>
                <w:sz w:val="20"/>
                <w:szCs w:val="20"/>
                <w:lang w:val="en-US"/>
              </w:rPr>
              <w:t>Component</w:t>
            </w:r>
          </w:p>
        </w:tc>
        <w:tc>
          <w:tcPr>
            <w:tcW w:w="2127" w:type="dxa"/>
            <w:tcBorders>
              <w:top w:val="single" w:sz="8" w:space="0" w:color="auto"/>
              <w:bottom w:val="single" w:sz="4" w:space="0" w:color="auto"/>
            </w:tcBorders>
            <w:shd w:val="clear" w:color="auto" w:fill="auto"/>
            <w:vAlign w:val="center"/>
          </w:tcPr>
          <w:p w14:paraId="3B324228" w14:textId="442D6E94" w:rsidR="004528C2" w:rsidRPr="002567EA" w:rsidRDefault="00561986" w:rsidP="00E86A3C">
            <w:pPr>
              <w:autoSpaceDE w:val="0"/>
              <w:autoSpaceDN w:val="0"/>
              <w:adjustRightInd w:val="0"/>
              <w:snapToGrid w:val="0"/>
              <w:spacing w:line="240" w:lineRule="auto"/>
              <w:jc w:val="center"/>
              <w:rPr>
                <w:b/>
                <w:noProof w:val="0"/>
                <w:color w:val="auto"/>
                <w:sz w:val="20"/>
                <w:szCs w:val="20"/>
                <w:lang w:val="en-US"/>
              </w:rPr>
            </w:pPr>
            <w:r w:rsidRPr="002567EA">
              <w:rPr>
                <w:b/>
                <w:noProof w:val="0"/>
                <w:color w:val="auto"/>
                <w:sz w:val="20"/>
                <w:szCs w:val="20"/>
                <w:lang w:val="en-US"/>
              </w:rPr>
              <w:t>Sensitivity Component</w:t>
            </w:r>
          </w:p>
        </w:tc>
        <w:tc>
          <w:tcPr>
            <w:tcW w:w="2693" w:type="dxa"/>
            <w:tcBorders>
              <w:top w:val="single" w:sz="8" w:space="0" w:color="auto"/>
              <w:bottom w:val="single" w:sz="4" w:space="0" w:color="auto"/>
            </w:tcBorders>
            <w:shd w:val="clear" w:color="auto" w:fill="auto"/>
            <w:vAlign w:val="center"/>
          </w:tcPr>
          <w:p w14:paraId="1220C616" w14:textId="265A5A4E" w:rsidR="004528C2" w:rsidRPr="00E86A3C" w:rsidRDefault="00561986" w:rsidP="00E86A3C">
            <w:pPr>
              <w:autoSpaceDE w:val="0"/>
              <w:autoSpaceDN w:val="0"/>
              <w:adjustRightInd w:val="0"/>
              <w:snapToGrid w:val="0"/>
              <w:spacing w:line="240" w:lineRule="auto"/>
              <w:jc w:val="center"/>
              <w:rPr>
                <w:b/>
                <w:noProof w:val="0"/>
                <w:color w:val="auto"/>
                <w:sz w:val="20"/>
                <w:szCs w:val="20"/>
                <w:lang w:val="en-US"/>
              </w:rPr>
            </w:pPr>
            <w:r w:rsidRPr="00E86A3C">
              <w:rPr>
                <w:b/>
                <w:noProof w:val="0"/>
                <w:color w:val="auto"/>
                <w:sz w:val="20"/>
                <w:szCs w:val="20"/>
                <w:lang w:val="en-US"/>
              </w:rPr>
              <w:t>Adaptive Capacity Component</w:t>
            </w:r>
          </w:p>
        </w:tc>
      </w:tr>
      <w:tr w:rsidR="00E86A3C" w:rsidRPr="00E86A3C" w14:paraId="4204AA31" w14:textId="77777777" w:rsidTr="00561986">
        <w:tc>
          <w:tcPr>
            <w:tcW w:w="1859" w:type="dxa"/>
            <w:vMerge w:val="restart"/>
            <w:tcBorders>
              <w:top w:val="single" w:sz="4" w:space="0" w:color="auto"/>
            </w:tcBorders>
            <w:vAlign w:val="center"/>
          </w:tcPr>
          <w:p w14:paraId="77AF0664" w14:textId="05050254"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F</w:t>
            </w:r>
            <w:r w:rsidR="002567EA" w:rsidRPr="002C3C39">
              <w:rPr>
                <w:bCs/>
                <w:noProof w:val="0"/>
                <w:color w:val="auto"/>
              </w:rPr>
              <w:t>ood</w:t>
            </w:r>
          </w:p>
        </w:tc>
        <w:tc>
          <w:tcPr>
            <w:tcW w:w="2672" w:type="dxa"/>
            <w:tcBorders>
              <w:top w:val="single" w:sz="4" w:space="0" w:color="auto"/>
              <w:bottom w:val="nil"/>
            </w:tcBorders>
            <w:vAlign w:val="center"/>
          </w:tcPr>
          <w:p w14:paraId="10952E35"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 change of cereal yields</w:t>
            </w:r>
          </w:p>
        </w:tc>
        <w:tc>
          <w:tcPr>
            <w:tcW w:w="2127" w:type="dxa"/>
            <w:tcBorders>
              <w:top w:val="single" w:sz="4" w:space="0" w:color="auto"/>
              <w:bottom w:val="nil"/>
            </w:tcBorders>
            <w:vAlign w:val="center"/>
          </w:tcPr>
          <w:p w14:paraId="461A4EBE"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Food import dependency</w:t>
            </w:r>
          </w:p>
        </w:tc>
        <w:tc>
          <w:tcPr>
            <w:tcW w:w="2693" w:type="dxa"/>
            <w:tcBorders>
              <w:top w:val="single" w:sz="4" w:space="0" w:color="auto"/>
              <w:bottom w:val="nil"/>
            </w:tcBorders>
            <w:vAlign w:val="center"/>
          </w:tcPr>
          <w:p w14:paraId="7A4B9E4B"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Agriculture capacity (</w:t>
            </w:r>
            <w:proofErr w:type="spellStart"/>
            <w:r w:rsidRPr="00E86A3C">
              <w:rPr>
                <w:noProof w:val="0"/>
                <w:color w:val="auto"/>
                <w:sz w:val="20"/>
                <w:szCs w:val="20"/>
                <w:lang w:val="en-US"/>
              </w:rPr>
              <w:t>fertiliser</w:t>
            </w:r>
            <w:proofErr w:type="spellEnd"/>
            <w:r w:rsidRPr="00E86A3C">
              <w:rPr>
                <w:noProof w:val="0"/>
                <w:color w:val="auto"/>
                <w:sz w:val="20"/>
                <w:szCs w:val="20"/>
                <w:lang w:val="en-US"/>
              </w:rPr>
              <w:t>, irrigation, pesticide, tractor use)</w:t>
            </w:r>
          </w:p>
        </w:tc>
      </w:tr>
      <w:tr w:rsidR="00E86A3C" w:rsidRPr="00E86A3C" w14:paraId="296E1792" w14:textId="77777777" w:rsidTr="00561986">
        <w:tc>
          <w:tcPr>
            <w:tcW w:w="1859" w:type="dxa"/>
            <w:vMerge/>
            <w:tcBorders>
              <w:bottom w:val="nil"/>
            </w:tcBorders>
            <w:vAlign w:val="center"/>
          </w:tcPr>
          <w:p w14:paraId="4801F8E2"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p>
        </w:tc>
        <w:tc>
          <w:tcPr>
            <w:tcW w:w="2672" w:type="dxa"/>
            <w:tcBorders>
              <w:top w:val="nil"/>
              <w:bottom w:val="nil"/>
            </w:tcBorders>
            <w:vAlign w:val="center"/>
          </w:tcPr>
          <w:p w14:paraId="0EB5E333"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population change</w:t>
            </w:r>
          </w:p>
        </w:tc>
        <w:tc>
          <w:tcPr>
            <w:tcW w:w="2127" w:type="dxa"/>
            <w:tcBorders>
              <w:top w:val="nil"/>
              <w:bottom w:val="nil"/>
            </w:tcBorders>
            <w:vAlign w:val="center"/>
          </w:tcPr>
          <w:p w14:paraId="72D9E0FC"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Rural population</w:t>
            </w:r>
          </w:p>
        </w:tc>
        <w:tc>
          <w:tcPr>
            <w:tcW w:w="2693" w:type="dxa"/>
            <w:tcBorders>
              <w:top w:val="nil"/>
              <w:bottom w:val="nil"/>
            </w:tcBorders>
            <w:vAlign w:val="center"/>
          </w:tcPr>
          <w:p w14:paraId="2B990C00"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Child malnutrition</w:t>
            </w:r>
          </w:p>
        </w:tc>
      </w:tr>
      <w:tr w:rsidR="00E86A3C" w:rsidRPr="00E86A3C" w14:paraId="03F484BD" w14:textId="77777777" w:rsidTr="00561986">
        <w:tc>
          <w:tcPr>
            <w:tcW w:w="1859" w:type="dxa"/>
            <w:vMerge w:val="restart"/>
            <w:tcBorders>
              <w:top w:val="nil"/>
              <w:bottom w:val="nil"/>
            </w:tcBorders>
            <w:vAlign w:val="center"/>
          </w:tcPr>
          <w:p w14:paraId="7F8AFF05" w14:textId="2C3704F8"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W</w:t>
            </w:r>
            <w:r w:rsidR="002567EA" w:rsidRPr="002C3C39">
              <w:rPr>
                <w:bCs/>
                <w:noProof w:val="0"/>
                <w:color w:val="auto"/>
              </w:rPr>
              <w:t>ater</w:t>
            </w:r>
          </w:p>
        </w:tc>
        <w:tc>
          <w:tcPr>
            <w:tcW w:w="2672" w:type="dxa"/>
            <w:tcBorders>
              <w:top w:val="nil"/>
              <w:bottom w:val="nil"/>
            </w:tcBorders>
            <w:vAlign w:val="center"/>
          </w:tcPr>
          <w:p w14:paraId="126671DC"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annual runoff</w:t>
            </w:r>
          </w:p>
        </w:tc>
        <w:tc>
          <w:tcPr>
            <w:tcW w:w="2127" w:type="dxa"/>
            <w:tcBorders>
              <w:top w:val="nil"/>
              <w:bottom w:val="nil"/>
            </w:tcBorders>
            <w:vAlign w:val="center"/>
          </w:tcPr>
          <w:p w14:paraId="7F2AAEF4"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Freshwater withdrawal rate</w:t>
            </w:r>
          </w:p>
        </w:tc>
        <w:tc>
          <w:tcPr>
            <w:tcW w:w="2693" w:type="dxa"/>
            <w:tcBorders>
              <w:top w:val="nil"/>
              <w:bottom w:val="nil"/>
            </w:tcBorders>
            <w:vAlign w:val="center"/>
          </w:tcPr>
          <w:p w14:paraId="2386C306"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Access to reliable drinking water</w:t>
            </w:r>
          </w:p>
        </w:tc>
      </w:tr>
      <w:tr w:rsidR="00E86A3C" w:rsidRPr="00E86A3C" w14:paraId="0EA1AB77" w14:textId="77777777" w:rsidTr="00561986">
        <w:tc>
          <w:tcPr>
            <w:tcW w:w="1859" w:type="dxa"/>
            <w:vMerge/>
            <w:tcBorders>
              <w:top w:val="nil"/>
              <w:bottom w:val="nil"/>
            </w:tcBorders>
            <w:vAlign w:val="center"/>
          </w:tcPr>
          <w:p w14:paraId="56950C0B"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p>
        </w:tc>
        <w:tc>
          <w:tcPr>
            <w:tcW w:w="2672" w:type="dxa"/>
            <w:tcBorders>
              <w:top w:val="nil"/>
              <w:bottom w:val="nil"/>
            </w:tcBorders>
            <w:vAlign w:val="center"/>
          </w:tcPr>
          <w:p w14:paraId="2EFBE37B"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annual groundwater recharge</w:t>
            </w:r>
          </w:p>
        </w:tc>
        <w:tc>
          <w:tcPr>
            <w:tcW w:w="2127" w:type="dxa"/>
            <w:tcBorders>
              <w:top w:val="nil"/>
              <w:bottom w:val="nil"/>
            </w:tcBorders>
            <w:vAlign w:val="center"/>
          </w:tcPr>
          <w:p w14:paraId="1052A53A"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Water dependency ratio</w:t>
            </w:r>
          </w:p>
        </w:tc>
        <w:tc>
          <w:tcPr>
            <w:tcW w:w="2693" w:type="dxa"/>
            <w:tcBorders>
              <w:top w:val="nil"/>
              <w:bottom w:val="nil"/>
            </w:tcBorders>
            <w:vAlign w:val="center"/>
          </w:tcPr>
          <w:p w14:paraId="4D9956BF"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Dam capacity</w:t>
            </w:r>
          </w:p>
        </w:tc>
      </w:tr>
      <w:tr w:rsidR="00E86A3C" w:rsidRPr="00E86A3C" w14:paraId="08590543" w14:textId="77777777" w:rsidTr="00561986">
        <w:tc>
          <w:tcPr>
            <w:tcW w:w="1859" w:type="dxa"/>
            <w:vMerge w:val="restart"/>
            <w:tcBorders>
              <w:top w:val="nil"/>
              <w:bottom w:val="nil"/>
            </w:tcBorders>
            <w:vAlign w:val="center"/>
          </w:tcPr>
          <w:p w14:paraId="6B3BB20B" w14:textId="55C65743"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H</w:t>
            </w:r>
            <w:r w:rsidR="002567EA" w:rsidRPr="002C3C39">
              <w:rPr>
                <w:bCs/>
                <w:noProof w:val="0"/>
                <w:color w:val="auto"/>
              </w:rPr>
              <w:t>ealth</w:t>
            </w:r>
          </w:p>
        </w:tc>
        <w:tc>
          <w:tcPr>
            <w:tcW w:w="2672" w:type="dxa"/>
            <w:tcBorders>
              <w:top w:val="nil"/>
              <w:bottom w:val="nil"/>
            </w:tcBorders>
            <w:vAlign w:val="center"/>
          </w:tcPr>
          <w:p w14:paraId="6C2A4A94"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deaths from climate change induced diseases</w:t>
            </w:r>
          </w:p>
        </w:tc>
        <w:tc>
          <w:tcPr>
            <w:tcW w:w="2127" w:type="dxa"/>
            <w:tcBorders>
              <w:top w:val="nil"/>
              <w:bottom w:val="nil"/>
            </w:tcBorders>
            <w:vAlign w:val="center"/>
          </w:tcPr>
          <w:p w14:paraId="2D7BEFE6"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Slum population</w:t>
            </w:r>
          </w:p>
        </w:tc>
        <w:tc>
          <w:tcPr>
            <w:tcW w:w="2693" w:type="dxa"/>
            <w:tcBorders>
              <w:top w:val="nil"/>
              <w:bottom w:val="nil"/>
            </w:tcBorders>
            <w:vAlign w:val="center"/>
          </w:tcPr>
          <w:p w14:paraId="06AF2632"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 xml:space="preserve">Medical staffs (physicians, </w:t>
            </w:r>
            <w:proofErr w:type="gramStart"/>
            <w:r w:rsidRPr="00E86A3C">
              <w:rPr>
                <w:noProof w:val="0"/>
                <w:color w:val="auto"/>
                <w:sz w:val="20"/>
                <w:szCs w:val="20"/>
                <w:lang w:val="en-US"/>
              </w:rPr>
              <w:t>nurses</w:t>
            </w:r>
            <w:proofErr w:type="gramEnd"/>
            <w:r w:rsidRPr="00E86A3C">
              <w:rPr>
                <w:noProof w:val="0"/>
                <w:color w:val="auto"/>
                <w:sz w:val="20"/>
                <w:szCs w:val="20"/>
                <w:lang w:val="en-US"/>
              </w:rPr>
              <w:t xml:space="preserve"> and midwives)</w:t>
            </w:r>
          </w:p>
        </w:tc>
      </w:tr>
      <w:tr w:rsidR="00E86A3C" w:rsidRPr="00E86A3C" w14:paraId="0EEAA9D2" w14:textId="77777777" w:rsidTr="00561986">
        <w:tc>
          <w:tcPr>
            <w:tcW w:w="1859" w:type="dxa"/>
            <w:vMerge/>
            <w:tcBorders>
              <w:top w:val="nil"/>
              <w:bottom w:val="nil"/>
            </w:tcBorders>
            <w:vAlign w:val="center"/>
          </w:tcPr>
          <w:p w14:paraId="5A2B9E8D"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p>
        </w:tc>
        <w:tc>
          <w:tcPr>
            <w:tcW w:w="2672" w:type="dxa"/>
            <w:tcBorders>
              <w:top w:val="nil"/>
              <w:bottom w:val="nil"/>
            </w:tcBorders>
            <w:vAlign w:val="center"/>
          </w:tcPr>
          <w:p w14:paraId="566E5E70"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length of transmission season of vector-borne diseases</w:t>
            </w:r>
          </w:p>
        </w:tc>
        <w:tc>
          <w:tcPr>
            <w:tcW w:w="2127" w:type="dxa"/>
            <w:tcBorders>
              <w:top w:val="nil"/>
              <w:bottom w:val="nil"/>
            </w:tcBorders>
            <w:vAlign w:val="center"/>
          </w:tcPr>
          <w:p w14:paraId="6329D902"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Dependence on external resource for health services</w:t>
            </w:r>
          </w:p>
        </w:tc>
        <w:tc>
          <w:tcPr>
            <w:tcW w:w="2693" w:type="dxa"/>
            <w:tcBorders>
              <w:top w:val="nil"/>
              <w:bottom w:val="nil"/>
            </w:tcBorders>
            <w:vAlign w:val="center"/>
          </w:tcPr>
          <w:p w14:paraId="57771843"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Access to improved sanitation facilities</w:t>
            </w:r>
          </w:p>
        </w:tc>
      </w:tr>
      <w:tr w:rsidR="00E86A3C" w:rsidRPr="00E86A3C" w14:paraId="4537E490" w14:textId="77777777" w:rsidTr="00561986">
        <w:tc>
          <w:tcPr>
            <w:tcW w:w="1859" w:type="dxa"/>
            <w:vMerge w:val="restart"/>
            <w:tcBorders>
              <w:top w:val="nil"/>
              <w:bottom w:val="nil"/>
            </w:tcBorders>
            <w:vAlign w:val="center"/>
          </w:tcPr>
          <w:p w14:paraId="5B818AD8" w14:textId="0B98D233"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E</w:t>
            </w:r>
            <w:r w:rsidR="002567EA" w:rsidRPr="002C3C39">
              <w:rPr>
                <w:bCs/>
                <w:noProof w:val="0"/>
                <w:color w:val="auto"/>
              </w:rPr>
              <w:t>cosystem services</w:t>
            </w:r>
          </w:p>
        </w:tc>
        <w:tc>
          <w:tcPr>
            <w:tcW w:w="2672" w:type="dxa"/>
            <w:tcBorders>
              <w:top w:val="nil"/>
              <w:bottom w:val="nil"/>
            </w:tcBorders>
            <w:vAlign w:val="center"/>
          </w:tcPr>
          <w:p w14:paraId="13B86B18"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biome distribution</w:t>
            </w:r>
          </w:p>
        </w:tc>
        <w:tc>
          <w:tcPr>
            <w:tcW w:w="2127" w:type="dxa"/>
            <w:tcBorders>
              <w:top w:val="nil"/>
              <w:bottom w:val="nil"/>
            </w:tcBorders>
            <w:vAlign w:val="center"/>
          </w:tcPr>
          <w:p w14:paraId="24F13D67"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Dependency on natural capital</w:t>
            </w:r>
          </w:p>
        </w:tc>
        <w:tc>
          <w:tcPr>
            <w:tcW w:w="2693" w:type="dxa"/>
            <w:tcBorders>
              <w:top w:val="nil"/>
              <w:bottom w:val="nil"/>
            </w:tcBorders>
            <w:vAlign w:val="center"/>
          </w:tcPr>
          <w:p w14:paraId="55CD6F69"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Protected biomes</w:t>
            </w:r>
          </w:p>
        </w:tc>
      </w:tr>
      <w:tr w:rsidR="00E86A3C" w:rsidRPr="00E86A3C" w14:paraId="28EE4AD3" w14:textId="77777777" w:rsidTr="00561986">
        <w:tc>
          <w:tcPr>
            <w:tcW w:w="1859" w:type="dxa"/>
            <w:vMerge/>
            <w:tcBorders>
              <w:top w:val="nil"/>
              <w:bottom w:val="nil"/>
            </w:tcBorders>
            <w:vAlign w:val="center"/>
          </w:tcPr>
          <w:p w14:paraId="0C4844DA"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p>
        </w:tc>
        <w:tc>
          <w:tcPr>
            <w:tcW w:w="2672" w:type="dxa"/>
            <w:tcBorders>
              <w:top w:val="nil"/>
              <w:bottom w:val="nil"/>
            </w:tcBorders>
            <w:vAlign w:val="center"/>
          </w:tcPr>
          <w:p w14:paraId="4B861F2F"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marine biodiversity</w:t>
            </w:r>
          </w:p>
        </w:tc>
        <w:tc>
          <w:tcPr>
            <w:tcW w:w="2127" w:type="dxa"/>
            <w:tcBorders>
              <w:top w:val="nil"/>
              <w:bottom w:val="nil"/>
            </w:tcBorders>
            <w:vAlign w:val="center"/>
          </w:tcPr>
          <w:p w14:paraId="73672C8E"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Ecological footprint</w:t>
            </w:r>
          </w:p>
        </w:tc>
        <w:tc>
          <w:tcPr>
            <w:tcW w:w="2693" w:type="dxa"/>
            <w:tcBorders>
              <w:top w:val="nil"/>
              <w:bottom w:val="nil"/>
            </w:tcBorders>
            <w:vAlign w:val="center"/>
          </w:tcPr>
          <w:p w14:paraId="582545A9" w14:textId="212E8C1E"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lang w:val="en-US"/>
              </w:rPr>
              <w:t xml:space="preserve">Engagement in </w:t>
            </w:r>
            <w:r w:rsidR="00BD2F6A">
              <w:rPr>
                <w:noProof w:val="0"/>
                <w:color w:val="auto"/>
                <w:sz w:val="20"/>
                <w:lang w:val="en-US"/>
              </w:rPr>
              <w:t>i</w:t>
            </w:r>
            <w:r w:rsidRPr="00E86A3C">
              <w:rPr>
                <w:noProof w:val="0"/>
                <w:color w:val="auto"/>
                <w:sz w:val="20"/>
                <w:lang w:val="en-US"/>
              </w:rPr>
              <w:t>nternational environmental conventions</w:t>
            </w:r>
          </w:p>
        </w:tc>
      </w:tr>
      <w:tr w:rsidR="00E86A3C" w:rsidRPr="00E86A3C" w14:paraId="43838AD5" w14:textId="77777777" w:rsidTr="00561986">
        <w:tc>
          <w:tcPr>
            <w:tcW w:w="1859" w:type="dxa"/>
            <w:vMerge w:val="restart"/>
            <w:tcBorders>
              <w:top w:val="nil"/>
              <w:bottom w:val="nil"/>
            </w:tcBorders>
            <w:vAlign w:val="center"/>
          </w:tcPr>
          <w:p w14:paraId="58B93FBE" w14:textId="6B748E0F"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H</w:t>
            </w:r>
            <w:r w:rsidR="002567EA" w:rsidRPr="002C3C39">
              <w:rPr>
                <w:bCs/>
                <w:noProof w:val="0"/>
                <w:color w:val="auto"/>
              </w:rPr>
              <w:t>uman habitat</w:t>
            </w:r>
          </w:p>
        </w:tc>
        <w:tc>
          <w:tcPr>
            <w:tcW w:w="2672" w:type="dxa"/>
            <w:tcBorders>
              <w:top w:val="nil"/>
              <w:bottom w:val="nil"/>
            </w:tcBorders>
            <w:vAlign w:val="center"/>
          </w:tcPr>
          <w:p w14:paraId="55CF339D"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warm period</w:t>
            </w:r>
          </w:p>
        </w:tc>
        <w:tc>
          <w:tcPr>
            <w:tcW w:w="2127" w:type="dxa"/>
            <w:tcBorders>
              <w:top w:val="nil"/>
              <w:bottom w:val="nil"/>
            </w:tcBorders>
            <w:vAlign w:val="center"/>
          </w:tcPr>
          <w:p w14:paraId="08FBF4D7"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Urban concentration</w:t>
            </w:r>
          </w:p>
        </w:tc>
        <w:tc>
          <w:tcPr>
            <w:tcW w:w="2693" w:type="dxa"/>
            <w:tcBorders>
              <w:top w:val="nil"/>
              <w:bottom w:val="nil"/>
            </w:tcBorders>
            <w:vAlign w:val="center"/>
          </w:tcPr>
          <w:p w14:paraId="44EC97AC"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Quality of trade and transport-related infrastructure</w:t>
            </w:r>
          </w:p>
        </w:tc>
      </w:tr>
      <w:tr w:rsidR="00E86A3C" w:rsidRPr="00E86A3C" w14:paraId="5CC02E7A" w14:textId="77777777" w:rsidTr="00561986">
        <w:tc>
          <w:tcPr>
            <w:tcW w:w="1859" w:type="dxa"/>
            <w:vMerge/>
            <w:tcBorders>
              <w:top w:val="nil"/>
              <w:bottom w:val="nil"/>
            </w:tcBorders>
            <w:vAlign w:val="center"/>
          </w:tcPr>
          <w:p w14:paraId="2871F60E" w14:textId="77777777"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p>
        </w:tc>
        <w:tc>
          <w:tcPr>
            <w:tcW w:w="2672" w:type="dxa"/>
            <w:tcBorders>
              <w:top w:val="nil"/>
              <w:bottom w:val="nil"/>
            </w:tcBorders>
            <w:vAlign w:val="center"/>
          </w:tcPr>
          <w:p w14:paraId="36F94769"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flood hazard</w:t>
            </w:r>
          </w:p>
        </w:tc>
        <w:tc>
          <w:tcPr>
            <w:tcW w:w="2127" w:type="dxa"/>
            <w:tcBorders>
              <w:top w:val="nil"/>
              <w:bottom w:val="nil"/>
            </w:tcBorders>
            <w:vAlign w:val="center"/>
          </w:tcPr>
          <w:p w14:paraId="14355632"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Age dependency ratio</w:t>
            </w:r>
          </w:p>
        </w:tc>
        <w:tc>
          <w:tcPr>
            <w:tcW w:w="2693" w:type="dxa"/>
            <w:tcBorders>
              <w:top w:val="nil"/>
              <w:bottom w:val="nil"/>
            </w:tcBorders>
            <w:vAlign w:val="center"/>
          </w:tcPr>
          <w:p w14:paraId="5D3887D7"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Paved roads</w:t>
            </w:r>
          </w:p>
        </w:tc>
      </w:tr>
      <w:tr w:rsidR="00E86A3C" w:rsidRPr="00E86A3C" w14:paraId="1C6DA13A" w14:textId="77777777" w:rsidTr="00561986">
        <w:tc>
          <w:tcPr>
            <w:tcW w:w="1859" w:type="dxa"/>
            <w:vMerge w:val="restart"/>
            <w:tcBorders>
              <w:top w:val="nil"/>
            </w:tcBorders>
            <w:vAlign w:val="center"/>
          </w:tcPr>
          <w:p w14:paraId="53C3E353" w14:textId="717AB6BE" w:rsidR="004528C2" w:rsidRPr="002C3C39" w:rsidRDefault="004528C2"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I</w:t>
            </w:r>
            <w:r w:rsidR="002567EA" w:rsidRPr="002C3C39">
              <w:rPr>
                <w:bCs/>
                <w:noProof w:val="0"/>
                <w:color w:val="auto"/>
              </w:rPr>
              <w:t>nfrastructure</w:t>
            </w:r>
          </w:p>
        </w:tc>
        <w:tc>
          <w:tcPr>
            <w:tcW w:w="2672" w:type="dxa"/>
            <w:tcBorders>
              <w:top w:val="nil"/>
              <w:bottom w:val="nil"/>
            </w:tcBorders>
            <w:vAlign w:val="center"/>
          </w:tcPr>
          <w:p w14:paraId="1CF4BB4D"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Projected change of hydropower generation capacity</w:t>
            </w:r>
          </w:p>
        </w:tc>
        <w:tc>
          <w:tcPr>
            <w:tcW w:w="2127" w:type="dxa"/>
            <w:tcBorders>
              <w:top w:val="nil"/>
              <w:bottom w:val="nil"/>
            </w:tcBorders>
            <w:vAlign w:val="center"/>
          </w:tcPr>
          <w:p w14:paraId="73C22BC5"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Dependency on imported energy</w:t>
            </w:r>
          </w:p>
        </w:tc>
        <w:tc>
          <w:tcPr>
            <w:tcW w:w="2693" w:type="dxa"/>
            <w:tcBorders>
              <w:top w:val="nil"/>
              <w:bottom w:val="nil"/>
            </w:tcBorders>
            <w:vAlign w:val="center"/>
          </w:tcPr>
          <w:p w14:paraId="7B162A9C"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Electricity access</w:t>
            </w:r>
          </w:p>
        </w:tc>
      </w:tr>
      <w:tr w:rsidR="00E86A3C" w:rsidRPr="00E86A3C" w14:paraId="148F55F6" w14:textId="77777777" w:rsidTr="00561986">
        <w:tc>
          <w:tcPr>
            <w:tcW w:w="1859" w:type="dxa"/>
            <w:vMerge/>
            <w:vAlign w:val="center"/>
          </w:tcPr>
          <w:p w14:paraId="34CEFFF8"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p>
        </w:tc>
        <w:tc>
          <w:tcPr>
            <w:tcW w:w="2672" w:type="dxa"/>
            <w:tcBorders>
              <w:top w:val="nil"/>
            </w:tcBorders>
            <w:vAlign w:val="center"/>
          </w:tcPr>
          <w:p w14:paraId="043E9507"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Projection of Sea Level Rise impacts</w:t>
            </w:r>
          </w:p>
        </w:tc>
        <w:tc>
          <w:tcPr>
            <w:tcW w:w="2127" w:type="dxa"/>
            <w:tcBorders>
              <w:top w:val="nil"/>
            </w:tcBorders>
            <w:vAlign w:val="center"/>
          </w:tcPr>
          <w:p w14:paraId="6FE7EF67" w14:textId="422885ED"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Population living under 5</w:t>
            </w:r>
            <w:r w:rsidR="00BD2F6A">
              <w:rPr>
                <w:noProof w:val="0"/>
                <w:color w:val="auto"/>
                <w:sz w:val="20"/>
                <w:szCs w:val="20"/>
                <w:lang w:val="en-US"/>
              </w:rPr>
              <w:t xml:space="preserve"> </w:t>
            </w:r>
            <w:r w:rsidRPr="00E86A3C">
              <w:rPr>
                <w:noProof w:val="0"/>
                <w:color w:val="auto"/>
                <w:sz w:val="20"/>
                <w:szCs w:val="20"/>
                <w:lang w:val="en-US"/>
              </w:rPr>
              <w:t>m above sea level</w:t>
            </w:r>
          </w:p>
        </w:tc>
        <w:tc>
          <w:tcPr>
            <w:tcW w:w="2693" w:type="dxa"/>
            <w:tcBorders>
              <w:top w:val="nil"/>
            </w:tcBorders>
            <w:vAlign w:val="center"/>
          </w:tcPr>
          <w:p w14:paraId="2FD835A9" w14:textId="77777777" w:rsidR="004528C2" w:rsidRPr="00E86A3C" w:rsidRDefault="004528C2"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Disaster preparedness</w:t>
            </w:r>
          </w:p>
        </w:tc>
      </w:tr>
    </w:tbl>
    <w:p w14:paraId="064E5A11" w14:textId="34710A21" w:rsidR="004528C2" w:rsidRPr="002A59D0" w:rsidRDefault="004528C2" w:rsidP="00E86A3C">
      <w:pPr>
        <w:pStyle w:val="MDPI21heading1"/>
      </w:pPr>
      <w:r w:rsidRPr="002A59D0">
        <w:t>Appendix C</w:t>
      </w:r>
      <w:r w:rsidR="00976A9E">
        <w:t>—</w:t>
      </w:r>
      <w:r w:rsidRPr="002A59D0">
        <w:t xml:space="preserve">ND-GAIN </w:t>
      </w:r>
      <w:r w:rsidR="00112244" w:rsidRPr="002A59D0">
        <w:t>Readiness Indicators</w:t>
      </w:r>
    </w:p>
    <w:p w14:paraId="57CE8BB5" w14:textId="18FBA98C" w:rsidR="002F41A1" w:rsidRPr="002A59D0" w:rsidRDefault="00E86A3C" w:rsidP="00E86A3C">
      <w:pPr>
        <w:pStyle w:val="MDPI41tablecaption"/>
        <w:rPr>
          <w:rFonts w:eastAsiaTheme="minorHAnsi"/>
        </w:rPr>
      </w:pPr>
      <w:r w:rsidRPr="002C3C39">
        <w:rPr>
          <w:rFonts w:eastAsiaTheme="minorHAnsi"/>
          <w:b/>
        </w:rPr>
        <w:t xml:space="preserve">Table </w:t>
      </w:r>
      <w:r w:rsidR="00976A9E" w:rsidRPr="002C3C39">
        <w:rPr>
          <w:rFonts w:eastAsiaTheme="minorHAnsi"/>
          <w:b/>
        </w:rPr>
        <w:t>A3</w:t>
      </w:r>
      <w:r w:rsidRPr="00E86A3C">
        <w:rPr>
          <w:rFonts w:eastAsiaTheme="minorHAnsi"/>
          <w:b/>
        </w:rPr>
        <w:t xml:space="preserve">. </w:t>
      </w:r>
      <w:r w:rsidR="002F41A1" w:rsidRPr="002A59D0">
        <w:rPr>
          <w:rFonts w:eastAsiaTheme="minorHAnsi"/>
        </w:rPr>
        <w:t>ND-GAIN Readiness Indicators</w:t>
      </w:r>
      <w:r>
        <w:rPr>
          <w:rFonts w:eastAsiaTheme="minorHAnsi"/>
        </w:rPr>
        <w:t>.</w:t>
      </w:r>
    </w:p>
    <w:tbl>
      <w:tblPr>
        <w:tblStyle w:val="TableGrid7"/>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63"/>
        <w:gridCol w:w="1367"/>
        <w:gridCol w:w="1515"/>
        <w:gridCol w:w="1515"/>
        <w:gridCol w:w="1797"/>
      </w:tblGrid>
      <w:tr w:rsidR="00E86A3C" w:rsidRPr="00E86A3C" w14:paraId="38750B88" w14:textId="77777777" w:rsidTr="002C3C39">
        <w:tc>
          <w:tcPr>
            <w:tcW w:w="1980" w:type="dxa"/>
            <w:tcBorders>
              <w:top w:val="single" w:sz="8" w:space="0" w:color="auto"/>
              <w:bottom w:val="single" w:sz="4" w:space="0" w:color="auto"/>
            </w:tcBorders>
            <w:shd w:val="clear" w:color="auto" w:fill="auto"/>
            <w:vAlign w:val="center"/>
          </w:tcPr>
          <w:p w14:paraId="505995B1" w14:textId="77777777" w:rsidR="002F41A1" w:rsidRPr="00E86A3C" w:rsidRDefault="002F41A1" w:rsidP="00E86A3C">
            <w:pPr>
              <w:autoSpaceDE w:val="0"/>
              <w:autoSpaceDN w:val="0"/>
              <w:adjustRightInd w:val="0"/>
              <w:snapToGrid w:val="0"/>
              <w:spacing w:line="240" w:lineRule="auto"/>
              <w:jc w:val="center"/>
              <w:rPr>
                <w:b/>
                <w:noProof w:val="0"/>
                <w:color w:val="auto"/>
                <w:sz w:val="20"/>
                <w:szCs w:val="20"/>
                <w:lang w:val="en-US"/>
              </w:rPr>
            </w:pPr>
            <w:r w:rsidRPr="009E1A5C">
              <w:rPr>
                <w:b/>
                <w:noProof w:val="0"/>
                <w:color w:val="auto"/>
                <w:sz w:val="20"/>
                <w:szCs w:val="20"/>
                <w:highlight w:val="yellow"/>
                <w:lang w:val="en-US"/>
              </w:rPr>
              <w:t>C</w:t>
            </w:r>
            <w:r w:rsidRPr="002C3C39">
              <w:rPr>
                <w:b/>
                <w:noProof w:val="0"/>
                <w:color w:val="auto"/>
              </w:rPr>
              <w:t>OMPONENT</w:t>
            </w:r>
          </w:p>
        </w:tc>
        <w:tc>
          <w:tcPr>
            <w:tcW w:w="7371" w:type="dxa"/>
            <w:gridSpan w:val="4"/>
            <w:shd w:val="clear" w:color="auto" w:fill="auto"/>
            <w:vAlign w:val="center"/>
          </w:tcPr>
          <w:p w14:paraId="17D09872" w14:textId="77777777" w:rsidR="002F41A1" w:rsidRPr="00E86A3C" w:rsidRDefault="002F41A1" w:rsidP="00E86A3C">
            <w:pPr>
              <w:autoSpaceDE w:val="0"/>
              <w:autoSpaceDN w:val="0"/>
              <w:adjustRightInd w:val="0"/>
              <w:snapToGrid w:val="0"/>
              <w:spacing w:line="240" w:lineRule="auto"/>
              <w:jc w:val="center"/>
              <w:rPr>
                <w:b/>
                <w:noProof w:val="0"/>
                <w:color w:val="auto"/>
                <w:sz w:val="20"/>
                <w:szCs w:val="20"/>
                <w:lang w:val="en-US"/>
              </w:rPr>
            </w:pPr>
            <w:r w:rsidRPr="00E86A3C">
              <w:rPr>
                <w:b/>
                <w:noProof w:val="0"/>
                <w:color w:val="auto"/>
                <w:sz w:val="20"/>
                <w:szCs w:val="20"/>
                <w:lang w:val="en-US"/>
              </w:rPr>
              <w:t>INDICATORS</w:t>
            </w:r>
          </w:p>
        </w:tc>
      </w:tr>
      <w:tr w:rsidR="002F41A1" w:rsidRPr="00E86A3C" w14:paraId="1968DCEC" w14:textId="77777777" w:rsidTr="009E1A5C">
        <w:tc>
          <w:tcPr>
            <w:tcW w:w="1980" w:type="dxa"/>
            <w:tcBorders>
              <w:top w:val="single" w:sz="4" w:space="0" w:color="auto"/>
              <w:bottom w:val="nil"/>
            </w:tcBorders>
            <w:vAlign w:val="center"/>
          </w:tcPr>
          <w:p w14:paraId="7D482A22" w14:textId="061822EE" w:rsidR="002F41A1" w:rsidRPr="002C3C39" w:rsidRDefault="002567EA"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Economics readiness</w:t>
            </w:r>
          </w:p>
        </w:tc>
        <w:tc>
          <w:tcPr>
            <w:tcW w:w="7371" w:type="dxa"/>
            <w:gridSpan w:val="4"/>
            <w:tcBorders>
              <w:bottom w:val="nil"/>
            </w:tcBorders>
            <w:vAlign w:val="center"/>
          </w:tcPr>
          <w:p w14:paraId="5485505D"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Doing business</w:t>
            </w:r>
          </w:p>
        </w:tc>
      </w:tr>
      <w:tr w:rsidR="009E1A5C" w:rsidRPr="00E86A3C" w14:paraId="0F934FAC" w14:textId="77777777" w:rsidTr="009E1A5C">
        <w:tc>
          <w:tcPr>
            <w:tcW w:w="1980" w:type="dxa"/>
            <w:tcBorders>
              <w:top w:val="nil"/>
              <w:bottom w:val="nil"/>
            </w:tcBorders>
            <w:vAlign w:val="center"/>
          </w:tcPr>
          <w:p w14:paraId="66F01B1B" w14:textId="6700C785" w:rsidR="002F41A1" w:rsidRPr="002C3C39" w:rsidRDefault="002567EA"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Governance readiness</w:t>
            </w:r>
          </w:p>
        </w:tc>
        <w:tc>
          <w:tcPr>
            <w:tcW w:w="1626" w:type="dxa"/>
            <w:tcBorders>
              <w:top w:val="nil"/>
              <w:bottom w:val="nil"/>
            </w:tcBorders>
            <w:vAlign w:val="center"/>
          </w:tcPr>
          <w:p w14:paraId="244CBEB1"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Political stability and non-violence</w:t>
            </w:r>
          </w:p>
        </w:tc>
        <w:tc>
          <w:tcPr>
            <w:tcW w:w="1803" w:type="dxa"/>
            <w:tcBorders>
              <w:top w:val="nil"/>
              <w:bottom w:val="nil"/>
            </w:tcBorders>
            <w:vAlign w:val="center"/>
          </w:tcPr>
          <w:p w14:paraId="2F3C44A6"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Control of corruption</w:t>
            </w:r>
          </w:p>
        </w:tc>
        <w:tc>
          <w:tcPr>
            <w:tcW w:w="1803" w:type="dxa"/>
            <w:tcBorders>
              <w:top w:val="nil"/>
              <w:bottom w:val="nil"/>
            </w:tcBorders>
            <w:vAlign w:val="center"/>
          </w:tcPr>
          <w:p w14:paraId="36225E8F"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Rule of law</w:t>
            </w:r>
          </w:p>
        </w:tc>
        <w:tc>
          <w:tcPr>
            <w:tcW w:w="2139" w:type="dxa"/>
            <w:tcBorders>
              <w:top w:val="nil"/>
              <w:bottom w:val="nil"/>
            </w:tcBorders>
            <w:vAlign w:val="center"/>
          </w:tcPr>
          <w:p w14:paraId="5F926E03"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Regulatory quality</w:t>
            </w:r>
          </w:p>
        </w:tc>
      </w:tr>
      <w:tr w:rsidR="009E1A5C" w:rsidRPr="00E86A3C" w14:paraId="01038BC0" w14:textId="77777777" w:rsidTr="009E1A5C">
        <w:tc>
          <w:tcPr>
            <w:tcW w:w="1980" w:type="dxa"/>
            <w:tcBorders>
              <w:top w:val="nil"/>
            </w:tcBorders>
            <w:vAlign w:val="center"/>
          </w:tcPr>
          <w:p w14:paraId="21642026" w14:textId="71B57D76" w:rsidR="002F41A1" w:rsidRPr="002C3C39" w:rsidRDefault="002567EA" w:rsidP="00E86A3C">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Social readiness</w:t>
            </w:r>
          </w:p>
        </w:tc>
        <w:tc>
          <w:tcPr>
            <w:tcW w:w="1626" w:type="dxa"/>
            <w:tcBorders>
              <w:top w:val="nil"/>
            </w:tcBorders>
            <w:vAlign w:val="center"/>
          </w:tcPr>
          <w:p w14:paraId="19322128"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Social inequality</w:t>
            </w:r>
          </w:p>
        </w:tc>
        <w:tc>
          <w:tcPr>
            <w:tcW w:w="1803" w:type="dxa"/>
            <w:tcBorders>
              <w:top w:val="nil"/>
            </w:tcBorders>
            <w:vAlign w:val="center"/>
          </w:tcPr>
          <w:p w14:paraId="332EBCB8"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ICT Infrastructure</w:t>
            </w:r>
          </w:p>
        </w:tc>
        <w:tc>
          <w:tcPr>
            <w:tcW w:w="1803" w:type="dxa"/>
            <w:tcBorders>
              <w:top w:val="nil"/>
            </w:tcBorders>
            <w:vAlign w:val="center"/>
          </w:tcPr>
          <w:p w14:paraId="230AB9BC"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Education</w:t>
            </w:r>
          </w:p>
        </w:tc>
        <w:tc>
          <w:tcPr>
            <w:tcW w:w="2139" w:type="dxa"/>
            <w:tcBorders>
              <w:top w:val="nil"/>
            </w:tcBorders>
            <w:vAlign w:val="center"/>
          </w:tcPr>
          <w:p w14:paraId="6D84216F" w14:textId="77777777" w:rsidR="002F41A1" w:rsidRPr="00E86A3C" w:rsidRDefault="002F41A1" w:rsidP="00E86A3C">
            <w:pPr>
              <w:autoSpaceDE w:val="0"/>
              <w:autoSpaceDN w:val="0"/>
              <w:adjustRightInd w:val="0"/>
              <w:snapToGrid w:val="0"/>
              <w:spacing w:line="240" w:lineRule="auto"/>
              <w:jc w:val="center"/>
              <w:rPr>
                <w:noProof w:val="0"/>
                <w:color w:val="auto"/>
                <w:sz w:val="20"/>
                <w:szCs w:val="20"/>
                <w:lang w:val="en-US"/>
              </w:rPr>
            </w:pPr>
            <w:r w:rsidRPr="00E86A3C">
              <w:rPr>
                <w:noProof w:val="0"/>
                <w:color w:val="auto"/>
                <w:sz w:val="20"/>
                <w:szCs w:val="20"/>
                <w:lang w:val="en-US"/>
              </w:rPr>
              <w:t>Innovation</w:t>
            </w:r>
          </w:p>
        </w:tc>
      </w:tr>
    </w:tbl>
    <w:p w14:paraId="06E1E13F" w14:textId="76BD3974" w:rsidR="004528C2" w:rsidRPr="002A59D0" w:rsidRDefault="004528C2" w:rsidP="00404301">
      <w:pPr>
        <w:pStyle w:val="MDPI21heading1"/>
      </w:pPr>
      <w:r w:rsidRPr="002A59D0">
        <w:t>Appendix D</w:t>
      </w:r>
      <w:r w:rsidR="00976A9E">
        <w:t>—</w:t>
      </w:r>
      <w:r w:rsidRPr="002A59D0">
        <w:t xml:space="preserve">Calculation of </w:t>
      </w:r>
      <w:r w:rsidR="00112244" w:rsidRPr="002A59D0">
        <w:t xml:space="preserve">Agricultural Land </w:t>
      </w:r>
      <w:r w:rsidRPr="002A59D0">
        <w:t xml:space="preserve">per </w:t>
      </w:r>
      <w:r w:rsidR="00112244" w:rsidRPr="002A59D0">
        <w:t>Capita</w:t>
      </w:r>
    </w:p>
    <w:p w14:paraId="073D2693" w14:textId="26BFADEC" w:rsidR="002F41A1" w:rsidRPr="002A59D0" w:rsidRDefault="00404301" w:rsidP="00404301">
      <w:pPr>
        <w:pStyle w:val="MDPI41tablecaption"/>
        <w:rPr>
          <w:rFonts w:eastAsiaTheme="minorHAnsi"/>
        </w:rPr>
      </w:pPr>
      <w:r w:rsidRPr="002C3C39">
        <w:rPr>
          <w:rFonts w:eastAsiaTheme="minorHAnsi"/>
          <w:b/>
        </w:rPr>
        <w:t xml:space="preserve">Table </w:t>
      </w:r>
      <w:r w:rsidR="00976A9E" w:rsidRPr="002C3C39">
        <w:rPr>
          <w:rFonts w:eastAsiaTheme="minorHAnsi"/>
          <w:b/>
        </w:rPr>
        <w:t>A4</w:t>
      </w:r>
      <w:r w:rsidRPr="002567EA">
        <w:rPr>
          <w:rFonts w:eastAsiaTheme="minorHAnsi"/>
          <w:b/>
        </w:rPr>
        <w:t xml:space="preserve">. </w:t>
      </w:r>
      <w:r w:rsidR="002F41A1" w:rsidRPr="002567EA">
        <w:rPr>
          <w:rFonts w:eastAsiaTheme="minorHAnsi"/>
        </w:rPr>
        <w:t>Calculation</w:t>
      </w:r>
      <w:r w:rsidR="002F41A1" w:rsidRPr="002A59D0">
        <w:rPr>
          <w:rFonts w:eastAsiaTheme="minorHAnsi"/>
        </w:rPr>
        <w:t xml:space="preserve"> of Agricultural Land per Capita</w:t>
      </w:r>
      <w:r>
        <w:rPr>
          <w:rFonts w:eastAsiaTheme="minorHAnsi"/>
        </w:rPr>
        <w:t>.</w:t>
      </w:r>
    </w:p>
    <w:tbl>
      <w:tblPr>
        <w:tblStyle w:val="TableGrid8"/>
        <w:tblW w:w="7857" w:type="dxa"/>
        <w:tblInd w:w="2608" w:type="dxa"/>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92"/>
        <w:gridCol w:w="5665"/>
      </w:tblGrid>
      <w:tr w:rsidR="00404301" w:rsidRPr="00404301" w14:paraId="495144C9" w14:textId="77777777" w:rsidTr="002C3C39">
        <w:tc>
          <w:tcPr>
            <w:tcW w:w="1395" w:type="pct"/>
            <w:tcBorders>
              <w:top w:val="single" w:sz="8" w:space="0" w:color="auto"/>
              <w:bottom w:val="single" w:sz="4" w:space="0" w:color="auto"/>
            </w:tcBorders>
            <w:shd w:val="clear" w:color="auto" w:fill="auto"/>
            <w:vAlign w:val="center"/>
          </w:tcPr>
          <w:p w14:paraId="5874B14F" w14:textId="77777777" w:rsidR="002F41A1" w:rsidRPr="002567EA" w:rsidRDefault="002F41A1" w:rsidP="00404301">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COUNTRY</w:t>
            </w:r>
          </w:p>
        </w:tc>
        <w:tc>
          <w:tcPr>
            <w:tcW w:w="3605" w:type="pct"/>
            <w:tcBorders>
              <w:top w:val="single" w:sz="8" w:space="0" w:color="auto"/>
              <w:bottom w:val="single" w:sz="4" w:space="0" w:color="auto"/>
            </w:tcBorders>
            <w:shd w:val="clear" w:color="auto" w:fill="auto"/>
            <w:vAlign w:val="center"/>
          </w:tcPr>
          <w:p w14:paraId="0FC319F0" w14:textId="77777777" w:rsidR="002F41A1" w:rsidRPr="002567EA" w:rsidRDefault="002F41A1" w:rsidP="00404301">
            <w:pPr>
              <w:autoSpaceDE w:val="0"/>
              <w:autoSpaceDN w:val="0"/>
              <w:adjustRightInd w:val="0"/>
              <w:snapToGrid w:val="0"/>
              <w:spacing w:line="240" w:lineRule="auto"/>
              <w:jc w:val="center"/>
              <w:rPr>
                <w:b/>
                <w:noProof w:val="0"/>
                <w:color w:val="auto"/>
                <w:sz w:val="20"/>
                <w:szCs w:val="20"/>
                <w:lang w:val="en-US"/>
              </w:rPr>
            </w:pPr>
            <w:r w:rsidRPr="002567EA">
              <w:rPr>
                <w:b/>
                <w:noProof w:val="0"/>
                <w:color w:val="auto"/>
                <w:sz w:val="20"/>
                <w:szCs w:val="20"/>
                <w:lang w:val="en-US"/>
              </w:rPr>
              <w:t>CARRYING CAPACITY ANALYSIS</w:t>
            </w:r>
          </w:p>
          <w:p w14:paraId="4AC6D7CA" w14:textId="77777777" w:rsidR="002F41A1" w:rsidRPr="002567EA" w:rsidRDefault="002F41A1" w:rsidP="00404301">
            <w:pPr>
              <w:autoSpaceDE w:val="0"/>
              <w:autoSpaceDN w:val="0"/>
              <w:adjustRightInd w:val="0"/>
              <w:snapToGrid w:val="0"/>
              <w:spacing w:line="240" w:lineRule="auto"/>
              <w:jc w:val="center"/>
              <w:rPr>
                <w:b/>
                <w:bCs/>
                <w:noProof w:val="0"/>
                <w:color w:val="auto"/>
                <w:sz w:val="20"/>
                <w:szCs w:val="20"/>
                <w:lang w:val="en-US"/>
              </w:rPr>
            </w:pPr>
            <w:r w:rsidRPr="002567EA">
              <w:rPr>
                <w:b/>
                <w:noProof w:val="0"/>
                <w:color w:val="auto"/>
                <w:sz w:val="20"/>
                <w:szCs w:val="20"/>
                <w:lang w:val="en-US"/>
              </w:rPr>
              <w:t>(Approximate, rounded agricultural land/capita)</w:t>
            </w:r>
          </w:p>
        </w:tc>
      </w:tr>
      <w:tr w:rsidR="002F41A1" w:rsidRPr="00404301" w14:paraId="03B3C93E" w14:textId="77777777" w:rsidTr="00973DC6">
        <w:tc>
          <w:tcPr>
            <w:tcW w:w="1395" w:type="pct"/>
            <w:tcBorders>
              <w:top w:val="single" w:sz="4" w:space="0" w:color="auto"/>
              <w:bottom w:val="nil"/>
            </w:tcBorders>
            <w:vAlign w:val="center"/>
          </w:tcPr>
          <w:p w14:paraId="4DC8BC25" w14:textId="599919B0" w:rsidR="002F41A1" w:rsidRPr="002C3C39" w:rsidRDefault="002F41A1" w:rsidP="00404301">
            <w:pPr>
              <w:autoSpaceDE w:val="0"/>
              <w:autoSpaceDN w:val="0"/>
              <w:adjustRightInd w:val="0"/>
              <w:snapToGrid w:val="0"/>
              <w:spacing w:line="240" w:lineRule="auto"/>
              <w:jc w:val="center"/>
              <w:rPr>
                <w:bCs/>
                <w:noProof w:val="0"/>
                <w:color w:val="auto"/>
                <w:sz w:val="20"/>
                <w:szCs w:val="20"/>
                <w:lang w:val="en-US"/>
              </w:rPr>
            </w:pPr>
            <w:proofErr w:type="spellStart"/>
            <w:r w:rsidRPr="002C3C39">
              <w:rPr>
                <w:bCs/>
                <w:noProof w:val="0"/>
                <w:color w:val="auto"/>
              </w:rPr>
              <w:t>N</w:t>
            </w:r>
            <w:r w:rsidR="002567EA" w:rsidRPr="002C3C39">
              <w:rPr>
                <w:bCs/>
                <w:noProof w:val="0"/>
                <w:color w:val="auto"/>
              </w:rPr>
              <w:t>orway</w:t>
            </w:r>
            <w:r w:rsidRPr="002C3C39">
              <w:rPr>
                <w:bCs/>
                <w:noProof w:val="0"/>
                <w:color w:val="auto"/>
              </w:rPr>
              <w:t>ORWAY</w:t>
            </w:r>
            <w:proofErr w:type="spellEnd"/>
          </w:p>
        </w:tc>
        <w:tc>
          <w:tcPr>
            <w:tcW w:w="3605" w:type="pct"/>
            <w:tcBorders>
              <w:top w:val="single" w:sz="4" w:space="0" w:color="auto"/>
              <w:bottom w:val="nil"/>
            </w:tcBorders>
            <w:vAlign w:val="center"/>
          </w:tcPr>
          <w:p w14:paraId="28E6AB37" w14:textId="0850DACF"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5.5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3443134E" w14:textId="58C53DFD"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365,268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01183F" w:rsidRPr="002567EA">
              <w:rPr>
                <w:noProof w:val="0"/>
                <w:color w:val="auto"/>
                <w:sz w:val="20"/>
                <w:szCs w:val="20"/>
                <w:lang w:val="en-US"/>
              </w:rPr>
              <w:t>[</w:t>
            </w:r>
            <w:r w:rsidR="00A9271C">
              <w:rPr>
                <w:noProof w:val="0"/>
                <w:color w:val="auto"/>
                <w:sz w:val="20"/>
                <w:szCs w:val="20"/>
                <w:lang w:val="en-US"/>
              </w:rPr>
              <w:t>100</w:t>
            </w:r>
            <w:r w:rsidR="0001183F" w:rsidRPr="002567EA">
              <w:rPr>
                <w:noProof w:val="0"/>
                <w:color w:val="auto"/>
                <w:sz w:val="20"/>
                <w:szCs w:val="20"/>
                <w:lang w:val="en-US"/>
              </w:rPr>
              <w:t>]</w:t>
            </w:r>
          </w:p>
          <w:p w14:paraId="0C486544" w14:textId="5B359F1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0.27%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4A1ADD97" w14:textId="77777777" w:rsidR="002F41A1" w:rsidRPr="002567EA" w:rsidRDefault="002F41A1" w:rsidP="00404301">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0.002 km</w:t>
            </w:r>
            <w:r w:rsidRPr="002C3C39">
              <w:rPr>
                <w:b/>
                <w:noProof w:val="0"/>
                <w:color w:val="auto"/>
                <w:vertAlign w:val="superscript"/>
              </w:rPr>
              <w:t xml:space="preserve">2 </w:t>
            </w:r>
            <w:r w:rsidRPr="002C3C39">
              <w:rPr>
                <w:b/>
                <w:noProof w:val="0"/>
                <w:color w:val="auto"/>
              </w:rPr>
              <w:t>agricultural land/capita</w:t>
            </w:r>
          </w:p>
        </w:tc>
      </w:tr>
      <w:tr w:rsidR="002F41A1" w:rsidRPr="00404301" w14:paraId="1CE18F36" w14:textId="77777777" w:rsidTr="00973DC6">
        <w:tc>
          <w:tcPr>
            <w:tcW w:w="1395" w:type="pct"/>
            <w:tcBorders>
              <w:top w:val="nil"/>
              <w:bottom w:val="nil"/>
            </w:tcBorders>
            <w:vAlign w:val="center"/>
          </w:tcPr>
          <w:p w14:paraId="233C0BC5" w14:textId="33262076"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New Zealand</w:t>
            </w:r>
          </w:p>
        </w:tc>
        <w:tc>
          <w:tcPr>
            <w:tcW w:w="3605" w:type="pct"/>
            <w:tcBorders>
              <w:top w:val="nil"/>
              <w:bottom w:val="nil"/>
            </w:tcBorders>
            <w:vAlign w:val="center"/>
          </w:tcPr>
          <w:p w14:paraId="519C398A" w14:textId="2791EC62"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5.0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71584D14" w14:textId="674EFF3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263,310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6391F252" w14:textId="7061976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43.2%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2EDE2FEE" w14:textId="77777777" w:rsidR="002F41A1" w:rsidRPr="002567EA" w:rsidRDefault="002F41A1" w:rsidP="00404301">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0.023 km</w:t>
            </w:r>
            <w:r w:rsidRPr="002C3C39">
              <w:rPr>
                <w:b/>
                <w:noProof w:val="0"/>
                <w:color w:val="auto"/>
                <w:vertAlign w:val="superscript"/>
              </w:rPr>
              <w:t>2</w:t>
            </w:r>
            <w:r w:rsidRPr="002C3C39">
              <w:rPr>
                <w:b/>
                <w:noProof w:val="0"/>
                <w:color w:val="auto"/>
              </w:rPr>
              <w:t xml:space="preserve"> agricultural land/capita</w:t>
            </w:r>
          </w:p>
        </w:tc>
      </w:tr>
      <w:tr w:rsidR="002F41A1" w:rsidRPr="00404301" w14:paraId="270B25C5" w14:textId="77777777" w:rsidTr="00973DC6">
        <w:tc>
          <w:tcPr>
            <w:tcW w:w="1395" w:type="pct"/>
            <w:tcBorders>
              <w:top w:val="nil"/>
              <w:bottom w:val="nil"/>
            </w:tcBorders>
            <w:vAlign w:val="center"/>
          </w:tcPr>
          <w:p w14:paraId="143FC49D" w14:textId="6AFB5510"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Finland</w:t>
            </w:r>
          </w:p>
        </w:tc>
        <w:tc>
          <w:tcPr>
            <w:tcW w:w="3605" w:type="pct"/>
            <w:tcBorders>
              <w:top w:val="nil"/>
              <w:bottom w:val="nil"/>
            </w:tcBorders>
            <w:vAlign w:val="center"/>
          </w:tcPr>
          <w:p w14:paraId="6D668523" w14:textId="2F2B49D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5.6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110E8235" w14:textId="39D389C0"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303,890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D835966" w14:textId="6EC4C14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7.5%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 xml:space="preserve">] </w:t>
            </w:r>
          </w:p>
          <w:p w14:paraId="53094E3C" w14:textId="77777777" w:rsidR="002F41A1" w:rsidRPr="002567EA" w:rsidRDefault="002F41A1" w:rsidP="00404301">
            <w:pPr>
              <w:autoSpaceDE w:val="0"/>
              <w:autoSpaceDN w:val="0"/>
              <w:adjustRightInd w:val="0"/>
              <w:snapToGrid w:val="0"/>
              <w:spacing w:line="240" w:lineRule="auto"/>
              <w:jc w:val="center"/>
              <w:rPr>
                <w:b/>
                <w:noProof w:val="0"/>
                <w:color w:val="auto"/>
                <w:sz w:val="20"/>
                <w:szCs w:val="20"/>
                <w:lang w:val="en-US"/>
              </w:rPr>
            </w:pPr>
            <w:r w:rsidRPr="002C3C39">
              <w:rPr>
                <w:b/>
                <w:noProof w:val="0"/>
                <w:color w:val="auto"/>
              </w:rPr>
              <w:t>0.004 km</w:t>
            </w:r>
            <w:r w:rsidRPr="002C3C39">
              <w:rPr>
                <w:b/>
                <w:noProof w:val="0"/>
                <w:color w:val="auto"/>
                <w:vertAlign w:val="superscript"/>
              </w:rPr>
              <w:t>2</w:t>
            </w:r>
            <w:r w:rsidRPr="002C3C39">
              <w:rPr>
                <w:b/>
                <w:noProof w:val="0"/>
                <w:color w:val="auto"/>
              </w:rPr>
              <w:t xml:space="preserve"> agricultural land/capita</w:t>
            </w:r>
          </w:p>
        </w:tc>
      </w:tr>
      <w:tr w:rsidR="002F41A1" w:rsidRPr="00404301" w14:paraId="24024BDA" w14:textId="77777777" w:rsidTr="00973DC6">
        <w:tc>
          <w:tcPr>
            <w:tcW w:w="1395" w:type="pct"/>
            <w:tcBorders>
              <w:top w:val="nil"/>
              <w:bottom w:val="nil"/>
            </w:tcBorders>
            <w:vAlign w:val="center"/>
          </w:tcPr>
          <w:p w14:paraId="71B4C577" w14:textId="0D386312"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Denmark</w:t>
            </w:r>
          </w:p>
        </w:tc>
        <w:tc>
          <w:tcPr>
            <w:tcW w:w="3605" w:type="pct"/>
            <w:tcBorders>
              <w:top w:val="nil"/>
              <w:bottom w:val="nil"/>
            </w:tcBorders>
            <w:vAlign w:val="center"/>
          </w:tcPr>
          <w:p w14:paraId="3F084A56" w14:textId="164EC956"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5.9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3C18927E" w14:textId="6873CB6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42,430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5B8D008" w14:textId="3CAF250D"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63.4%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2F2B1CF2" w14:textId="77777777" w:rsidR="002F41A1" w:rsidRPr="002567EA" w:rsidRDefault="002F41A1" w:rsidP="00404301">
            <w:pPr>
              <w:autoSpaceDE w:val="0"/>
              <w:autoSpaceDN w:val="0"/>
              <w:adjustRightInd w:val="0"/>
              <w:snapToGrid w:val="0"/>
              <w:spacing w:line="240" w:lineRule="auto"/>
              <w:jc w:val="center"/>
              <w:rPr>
                <w:bCs/>
                <w:noProof w:val="0"/>
                <w:color w:val="auto"/>
                <w:sz w:val="20"/>
                <w:szCs w:val="20"/>
                <w:lang w:val="en-US"/>
              </w:rPr>
            </w:pPr>
            <w:r w:rsidRPr="002C3C39">
              <w:rPr>
                <w:b/>
                <w:noProof w:val="0"/>
                <w:color w:val="auto"/>
              </w:rPr>
              <w:t>0.005 km</w:t>
            </w:r>
            <w:r w:rsidRPr="002C3C39">
              <w:rPr>
                <w:b/>
                <w:noProof w:val="0"/>
                <w:color w:val="auto"/>
                <w:vertAlign w:val="superscript"/>
              </w:rPr>
              <w:t>2</w:t>
            </w:r>
            <w:r w:rsidRPr="002C3C39">
              <w:rPr>
                <w:b/>
                <w:noProof w:val="0"/>
                <w:color w:val="auto"/>
              </w:rPr>
              <w:t xml:space="preserve"> agricultural land/capita</w:t>
            </w:r>
          </w:p>
        </w:tc>
      </w:tr>
      <w:tr w:rsidR="002F41A1" w:rsidRPr="00404301" w14:paraId="0219B32A" w14:textId="77777777" w:rsidTr="00973DC6">
        <w:tc>
          <w:tcPr>
            <w:tcW w:w="1395" w:type="pct"/>
            <w:tcBorders>
              <w:top w:val="nil"/>
              <w:bottom w:val="nil"/>
            </w:tcBorders>
            <w:vAlign w:val="center"/>
          </w:tcPr>
          <w:p w14:paraId="0724BF2B" w14:textId="262D444F"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Sweden</w:t>
            </w:r>
          </w:p>
        </w:tc>
        <w:tc>
          <w:tcPr>
            <w:tcW w:w="3605" w:type="pct"/>
            <w:tcBorders>
              <w:top w:val="nil"/>
              <w:bottom w:val="nil"/>
            </w:tcBorders>
            <w:vAlign w:val="center"/>
          </w:tcPr>
          <w:p w14:paraId="27C68759" w14:textId="38FE6D1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10.3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06433A0D" w14:textId="4D943878"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410,340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5C16BA98" w14:textId="295E9936"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7.5%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1F83106C"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lastRenderedPageBreak/>
              <w:t>0.003 km</w:t>
            </w:r>
            <w:r w:rsidRPr="002C3C39">
              <w:rPr>
                <w:b/>
                <w:noProof w:val="0"/>
                <w:color w:val="auto"/>
                <w:vertAlign w:val="superscript"/>
              </w:rPr>
              <w:t>2</w:t>
            </w:r>
            <w:r w:rsidRPr="002C3C39">
              <w:rPr>
                <w:b/>
                <w:noProof w:val="0"/>
                <w:color w:val="auto"/>
              </w:rPr>
              <w:t xml:space="preserve"> agricultural land/capita</w:t>
            </w:r>
          </w:p>
        </w:tc>
      </w:tr>
      <w:tr w:rsidR="002F41A1" w:rsidRPr="00404301" w14:paraId="2DBEA45C" w14:textId="77777777" w:rsidTr="00973DC6">
        <w:tc>
          <w:tcPr>
            <w:tcW w:w="1395" w:type="pct"/>
            <w:tcBorders>
              <w:top w:val="nil"/>
              <w:bottom w:val="nil"/>
            </w:tcBorders>
            <w:vAlign w:val="center"/>
          </w:tcPr>
          <w:p w14:paraId="2EFB0104" w14:textId="2D28754D"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lastRenderedPageBreak/>
              <w:t>Switzerland</w:t>
            </w:r>
          </w:p>
        </w:tc>
        <w:tc>
          <w:tcPr>
            <w:tcW w:w="3605" w:type="pct"/>
            <w:tcBorders>
              <w:top w:val="nil"/>
              <w:bottom w:val="nil"/>
            </w:tcBorders>
            <w:vAlign w:val="center"/>
          </w:tcPr>
          <w:p w14:paraId="6E62B71E" w14:textId="2B38C6C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8.5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5C17E15F" w14:textId="5FC27FB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39,516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B2DF3DF" w14:textId="7F40564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38.7%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675E7515"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0.002 km</w:t>
            </w:r>
            <w:r w:rsidRPr="002C3C39">
              <w:rPr>
                <w:b/>
                <w:noProof w:val="0"/>
                <w:color w:val="auto"/>
                <w:vertAlign w:val="superscript"/>
              </w:rPr>
              <w:t>2</w:t>
            </w:r>
            <w:r w:rsidRPr="002C3C39">
              <w:rPr>
                <w:b/>
                <w:noProof w:val="0"/>
                <w:color w:val="auto"/>
              </w:rPr>
              <w:t xml:space="preserve"> agricultural land/capita</w:t>
            </w:r>
          </w:p>
        </w:tc>
      </w:tr>
      <w:tr w:rsidR="002F41A1" w:rsidRPr="00404301" w14:paraId="4DD69D9E" w14:textId="77777777" w:rsidTr="00973DC6">
        <w:tc>
          <w:tcPr>
            <w:tcW w:w="1395" w:type="pct"/>
            <w:tcBorders>
              <w:top w:val="nil"/>
              <w:bottom w:val="nil"/>
            </w:tcBorders>
            <w:vAlign w:val="center"/>
          </w:tcPr>
          <w:p w14:paraId="05B42F53" w14:textId="623BA09C"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Singapore</w:t>
            </w:r>
          </w:p>
        </w:tc>
        <w:tc>
          <w:tcPr>
            <w:tcW w:w="3605" w:type="pct"/>
            <w:tcBorders>
              <w:top w:val="nil"/>
              <w:bottom w:val="nil"/>
            </w:tcBorders>
            <w:vAlign w:val="center"/>
          </w:tcPr>
          <w:p w14:paraId="7208A2E5" w14:textId="62E96ACE" w:rsidR="008D52EA"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5.9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3DF58F12" w14:textId="0C5CF3D0"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700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07E727E" w14:textId="1F4915FF"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044107D8"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Negligible agricultural land/capita</w:t>
            </w:r>
          </w:p>
        </w:tc>
      </w:tr>
      <w:tr w:rsidR="002F41A1" w:rsidRPr="00404301" w14:paraId="5586CF90" w14:textId="77777777" w:rsidTr="00973DC6">
        <w:tc>
          <w:tcPr>
            <w:tcW w:w="1395" w:type="pct"/>
            <w:tcBorders>
              <w:top w:val="nil"/>
              <w:bottom w:val="nil"/>
            </w:tcBorders>
            <w:vAlign w:val="center"/>
          </w:tcPr>
          <w:p w14:paraId="3D69A06C" w14:textId="51DD94DA"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Austria</w:t>
            </w:r>
          </w:p>
        </w:tc>
        <w:tc>
          <w:tcPr>
            <w:tcW w:w="3605" w:type="pct"/>
            <w:tcBorders>
              <w:top w:val="nil"/>
              <w:bottom w:val="nil"/>
            </w:tcBorders>
            <w:vAlign w:val="center"/>
          </w:tcPr>
          <w:p w14:paraId="183C29E6" w14:textId="07DFF56F"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8.9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57202E27" w14:textId="20F8EA58"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82,409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08976098" w14:textId="0E17C22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38.4%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5AC1BD44"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0.004 km</w:t>
            </w:r>
            <w:r w:rsidRPr="002C3C39">
              <w:rPr>
                <w:b/>
                <w:noProof w:val="0"/>
                <w:color w:val="auto"/>
                <w:vertAlign w:val="superscript"/>
              </w:rPr>
              <w:t>2</w:t>
            </w:r>
            <w:r w:rsidRPr="002C3C39">
              <w:rPr>
                <w:b/>
                <w:noProof w:val="0"/>
                <w:color w:val="auto"/>
              </w:rPr>
              <w:t xml:space="preserve"> agricultural land/capita</w:t>
            </w:r>
          </w:p>
        </w:tc>
      </w:tr>
      <w:tr w:rsidR="002F41A1" w:rsidRPr="00404301" w14:paraId="20CB6E0D" w14:textId="77777777" w:rsidTr="00973DC6">
        <w:tc>
          <w:tcPr>
            <w:tcW w:w="1395" w:type="pct"/>
            <w:tcBorders>
              <w:top w:val="nil"/>
              <w:bottom w:val="nil"/>
            </w:tcBorders>
            <w:vAlign w:val="center"/>
          </w:tcPr>
          <w:p w14:paraId="2FD5BCCD" w14:textId="408059CA"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Iceland</w:t>
            </w:r>
          </w:p>
        </w:tc>
        <w:tc>
          <w:tcPr>
            <w:tcW w:w="3605" w:type="pct"/>
            <w:tcBorders>
              <w:top w:val="nil"/>
              <w:bottom w:val="nil"/>
            </w:tcBorders>
            <w:vAlign w:val="center"/>
          </w:tcPr>
          <w:p w14:paraId="35B8D71F" w14:textId="2C814FA4"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354,000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0F218127" w14:textId="5DCF10C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100,250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3647430" w14:textId="53AF528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18.7%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53633A96" w14:textId="77777777" w:rsidR="002F41A1" w:rsidRPr="002567EA" w:rsidRDefault="002F41A1" w:rsidP="00404301">
            <w:pPr>
              <w:autoSpaceDE w:val="0"/>
              <w:autoSpaceDN w:val="0"/>
              <w:adjustRightInd w:val="0"/>
              <w:snapToGrid w:val="0"/>
              <w:spacing w:line="240" w:lineRule="auto"/>
              <w:jc w:val="center"/>
              <w:rPr>
                <w:bCs/>
                <w:noProof w:val="0"/>
                <w:color w:val="auto"/>
                <w:sz w:val="20"/>
                <w:szCs w:val="20"/>
                <w:lang w:val="en-US"/>
              </w:rPr>
            </w:pPr>
            <w:r w:rsidRPr="002C3C39">
              <w:rPr>
                <w:b/>
                <w:noProof w:val="0"/>
                <w:color w:val="auto"/>
              </w:rPr>
              <w:t>0.053 km</w:t>
            </w:r>
            <w:r w:rsidRPr="002C3C39">
              <w:rPr>
                <w:b/>
                <w:noProof w:val="0"/>
                <w:color w:val="auto"/>
                <w:vertAlign w:val="superscript"/>
              </w:rPr>
              <w:t>2</w:t>
            </w:r>
            <w:r w:rsidRPr="002C3C39">
              <w:rPr>
                <w:b/>
                <w:noProof w:val="0"/>
                <w:color w:val="auto"/>
              </w:rPr>
              <w:t xml:space="preserve"> agricultural land/capita</w:t>
            </w:r>
          </w:p>
        </w:tc>
      </w:tr>
      <w:tr w:rsidR="002F41A1" w:rsidRPr="00404301" w14:paraId="4A026075" w14:textId="77777777" w:rsidTr="00973DC6">
        <w:tc>
          <w:tcPr>
            <w:tcW w:w="1395" w:type="pct"/>
            <w:tcBorders>
              <w:top w:val="nil"/>
              <w:bottom w:val="nil"/>
            </w:tcBorders>
            <w:vAlign w:val="center"/>
          </w:tcPr>
          <w:p w14:paraId="3749AF3B" w14:textId="07FEF385"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Germany</w:t>
            </w:r>
          </w:p>
        </w:tc>
        <w:tc>
          <w:tcPr>
            <w:tcW w:w="3605" w:type="pct"/>
            <w:tcBorders>
              <w:top w:val="nil"/>
              <w:bottom w:val="nil"/>
            </w:tcBorders>
            <w:vAlign w:val="center"/>
          </w:tcPr>
          <w:p w14:paraId="20D4415A" w14:textId="1DD28AA6"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79.9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09DBE826" w14:textId="6026398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348,560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5465B419" w14:textId="2B62A693"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48%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0E576675"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0.002 km</w:t>
            </w:r>
            <w:r w:rsidRPr="002C3C39">
              <w:rPr>
                <w:b/>
                <w:noProof w:val="0"/>
                <w:color w:val="auto"/>
                <w:vertAlign w:val="superscript"/>
              </w:rPr>
              <w:t>2</w:t>
            </w:r>
            <w:r w:rsidRPr="002C3C39">
              <w:rPr>
                <w:b/>
                <w:noProof w:val="0"/>
                <w:color w:val="auto"/>
              </w:rPr>
              <w:t xml:space="preserve"> agricultural land/capita</w:t>
            </w:r>
          </w:p>
        </w:tc>
      </w:tr>
      <w:tr w:rsidR="002F41A1" w:rsidRPr="00404301" w14:paraId="47D3648A" w14:textId="77777777" w:rsidTr="00973DC6">
        <w:tc>
          <w:tcPr>
            <w:tcW w:w="1395" w:type="pct"/>
            <w:tcBorders>
              <w:top w:val="nil"/>
              <w:bottom w:val="nil"/>
            </w:tcBorders>
            <w:vAlign w:val="center"/>
          </w:tcPr>
          <w:p w14:paraId="583B4D0E" w14:textId="029D140C"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United Kingdom</w:t>
            </w:r>
          </w:p>
        </w:tc>
        <w:tc>
          <w:tcPr>
            <w:tcW w:w="3605" w:type="pct"/>
            <w:tcBorders>
              <w:top w:val="nil"/>
              <w:bottom w:val="nil"/>
            </w:tcBorders>
            <w:vAlign w:val="center"/>
          </w:tcPr>
          <w:p w14:paraId="76080925" w14:textId="06894440"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66.1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2D53C255" w14:textId="74CAE7AA"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241,930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01531452" w14:textId="04DCBBA3"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71%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71E06018" w14:textId="77777777" w:rsidR="002F41A1" w:rsidRPr="002567EA" w:rsidRDefault="002F41A1" w:rsidP="00404301">
            <w:pPr>
              <w:autoSpaceDE w:val="0"/>
              <w:autoSpaceDN w:val="0"/>
              <w:adjustRightInd w:val="0"/>
              <w:snapToGrid w:val="0"/>
              <w:spacing w:line="240" w:lineRule="auto"/>
              <w:jc w:val="center"/>
              <w:rPr>
                <w:bCs/>
                <w:noProof w:val="0"/>
                <w:color w:val="auto"/>
                <w:sz w:val="20"/>
                <w:szCs w:val="20"/>
                <w:lang w:val="en-US"/>
              </w:rPr>
            </w:pPr>
            <w:r w:rsidRPr="002C3C39">
              <w:rPr>
                <w:b/>
                <w:noProof w:val="0"/>
                <w:color w:val="auto"/>
              </w:rPr>
              <w:t>0.003 km</w:t>
            </w:r>
            <w:r w:rsidRPr="002C3C39">
              <w:rPr>
                <w:b/>
                <w:noProof w:val="0"/>
                <w:color w:val="auto"/>
                <w:vertAlign w:val="superscript"/>
              </w:rPr>
              <w:t>2</w:t>
            </w:r>
            <w:r w:rsidRPr="002C3C39">
              <w:rPr>
                <w:b/>
                <w:noProof w:val="0"/>
                <w:color w:val="auto"/>
              </w:rPr>
              <w:t xml:space="preserve"> agricultural land/capita</w:t>
            </w:r>
          </w:p>
        </w:tc>
      </w:tr>
      <w:tr w:rsidR="002F41A1" w:rsidRPr="00404301" w14:paraId="7D06F1D5" w14:textId="77777777" w:rsidTr="00973DC6">
        <w:tc>
          <w:tcPr>
            <w:tcW w:w="1395" w:type="pct"/>
            <w:tcBorders>
              <w:top w:val="nil"/>
              <w:bottom w:val="nil"/>
            </w:tcBorders>
            <w:vAlign w:val="center"/>
          </w:tcPr>
          <w:p w14:paraId="13C4EAA9" w14:textId="2317026E"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Luxembourg</w:t>
            </w:r>
          </w:p>
        </w:tc>
        <w:tc>
          <w:tcPr>
            <w:tcW w:w="3605" w:type="pct"/>
            <w:tcBorders>
              <w:top w:val="nil"/>
              <w:bottom w:val="nil"/>
            </w:tcBorders>
            <w:vAlign w:val="center"/>
          </w:tcPr>
          <w:p w14:paraId="046B17C9" w14:textId="54E55533"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640,000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1B7C2AF3" w14:textId="5EE36CE3"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2,590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05887736" w14:textId="6F7544E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66AFB02F" w14:textId="77777777" w:rsidR="002F41A1" w:rsidRPr="002567EA" w:rsidRDefault="002F41A1" w:rsidP="00404301">
            <w:pPr>
              <w:autoSpaceDE w:val="0"/>
              <w:autoSpaceDN w:val="0"/>
              <w:adjustRightInd w:val="0"/>
              <w:snapToGrid w:val="0"/>
              <w:spacing w:line="240" w:lineRule="auto"/>
              <w:jc w:val="center"/>
              <w:rPr>
                <w:bCs/>
                <w:noProof w:val="0"/>
                <w:color w:val="auto"/>
                <w:sz w:val="20"/>
                <w:szCs w:val="20"/>
                <w:lang w:val="en-US"/>
              </w:rPr>
            </w:pPr>
            <w:r w:rsidRPr="002C3C39">
              <w:rPr>
                <w:b/>
                <w:noProof w:val="0"/>
                <w:color w:val="auto"/>
              </w:rPr>
              <w:t>0.002 km</w:t>
            </w:r>
            <w:r w:rsidRPr="002C3C39">
              <w:rPr>
                <w:b/>
                <w:noProof w:val="0"/>
                <w:color w:val="auto"/>
                <w:vertAlign w:val="superscript"/>
              </w:rPr>
              <w:t>2</w:t>
            </w:r>
            <w:r w:rsidRPr="002C3C39">
              <w:rPr>
                <w:b/>
                <w:noProof w:val="0"/>
                <w:color w:val="auto"/>
              </w:rPr>
              <w:t xml:space="preserve"> agricultural land/capita</w:t>
            </w:r>
          </w:p>
        </w:tc>
      </w:tr>
      <w:tr w:rsidR="002F41A1" w:rsidRPr="00404301" w14:paraId="53D696FE" w14:textId="77777777" w:rsidTr="00973DC6">
        <w:tc>
          <w:tcPr>
            <w:tcW w:w="1395" w:type="pct"/>
            <w:tcBorders>
              <w:top w:val="nil"/>
              <w:bottom w:val="nil"/>
            </w:tcBorders>
            <w:vAlign w:val="center"/>
          </w:tcPr>
          <w:p w14:paraId="0E7874C3" w14:textId="00E25A52"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Australia</w:t>
            </w:r>
          </w:p>
        </w:tc>
        <w:tc>
          <w:tcPr>
            <w:tcW w:w="3605" w:type="pct"/>
            <w:tcBorders>
              <w:top w:val="nil"/>
              <w:bottom w:val="nil"/>
            </w:tcBorders>
            <w:vAlign w:val="center"/>
          </w:tcPr>
          <w:p w14:paraId="3E242466" w14:textId="1E594491"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25.8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0B952271" w14:textId="0C0EBE71"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7,682,300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7357042B" w14:textId="751DC7FB"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52.9%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1957AEB8"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0.158 km</w:t>
            </w:r>
            <w:r w:rsidRPr="002C3C39">
              <w:rPr>
                <w:b/>
                <w:noProof w:val="0"/>
                <w:color w:val="auto"/>
                <w:vertAlign w:val="superscript"/>
              </w:rPr>
              <w:t>2</w:t>
            </w:r>
            <w:r w:rsidRPr="002C3C39">
              <w:rPr>
                <w:b/>
                <w:noProof w:val="0"/>
                <w:color w:val="auto"/>
              </w:rPr>
              <w:t xml:space="preserve"> agricultural land/capita</w:t>
            </w:r>
          </w:p>
        </w:tc>
      </w:tr>
      <w:tr w:rsidR="002F41A1" w:rsidRPr="00404301" w14:paraId="05FB7099" w14:textId="77777777" w:rsidTr="00973DC6">
        <w:tc>
          <w:tcPr>
            <w:tcW w:w="1395" w:type="pct"/>
            <w:tcBorders>
              <w:top w:val="nil"/>
              <w:bottom w:val="nil"/>
            </w:tcBorders>
            <w:vAlign w:val="center"/>
          </w:tcPr>
          <w:p w14:paraId="6A6B796B" w14:textId="128DE82A"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Republic of Korea</w:t>
            </w:r>
          </w:p>
        </w:tc>
        <w:tc>
          <w:tcPr>
            <w:tcW w:w="3605" w:type="pct"/>
            <w:tcBorders>
              <w:top w:val="nil"/>
              <w:bottom w:val="nil"/>
            </w:tcBorders>
            <w:vAlign w:val="center"/>
          </w:tcPr>
          <w:p w14:paraId="381DF455" w14:textId="31DADBEF"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51.7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70334162" w14:textId="50AC566A"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97,230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79604B01" w14:textId="76AFE972"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18.1%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383FE330"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Negligible agricultural land/capita</w:t>
            </w:r>
            <w:r w:rsidRPr="002567EA">
              <w:rPr>
                <w:noProof w:val="0"/>
                <w:color w:val="auto"/>
                <w:sz w:val="20"/>
                <w:szCs w:val="20"/>
                <w:lang w:val="en-US"/>
              </w:rPr>
              <w:t xml:space="preserve"> </w:t>
            </w:r>
          </w:p>
        </w:tc>
      </w:tr>
      <w:tr w:rsidR="002F41A1" w:rsidRPr="00404301" w14:paraId="44D25C74" w14:textId="77777777" w:rsidTr="00973DC6">
        <w:tc>
          <w:tcPr>
            <w:tcW w:w="1395" w:type="pct"/>
            <w:tcBorders>
              <w:top w:val="nil"/>
              <w:bottom w:val="nil"/>
            </w:tcBorders>
            <w:vAlign w:val="center"/>
          </w:tcPr>
          <w:p w14:paraId="1A1B4DFD" w14:textId="559BC3E8"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Japan</w:t>
            </w:r>
          </w:p>
        </w:tc>
        <w:tc>
          <w:tcPr>
            <w:tcW w:w="3605" w:type="pct"/>
            <w:tcBorders>
              <w:top w:val="nil"/>
              <w:bottom w:val="nil"/>
            </w:tcBorders>
            <w:vAlign w:val="center"/>
          </w:tcPr>
          <w:p w14:paraId="248BA36D" w14:textId="41E0E33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124.7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1C094F23" w14:textId="5881DDA6"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364,555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2C2DB095" w14:textId="5231F7B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12.5%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66FE4CBA"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Negligible agricultural land/capita</w:t>
            </w:r>
            <w:r w:rsidRPr="002567EA">
              <w:rPr>
                <w:noProof w:val="0"/>
                <w:color w:val="auto"/>
                <w:sz w:val="20"/>
                <w:szCs w:val="20"/>
                <w:lang w:val="en-US"/>
              </w:rPr>
              <w:t xml:space="preserve"> </w:t>
            </w:r>
          </w:p>
        </w:tc>
      </w:tr>
      <w:tr w:rsidR="002F41A1" w:rsidRPr="00404301" w14:paraId="0366B533" w14:textId="77777777" w:rsidTr="00973DC6">
        <w:tc>
          <w:tcPr>
            <w:tcW w:w="1395" w:type="pct"/>
            <w:tcBorders>
              <w:top w:val="nil"/>
              <w:bottom w:val="nil"/>
            </w:tcBorders>
            <w:vAlign w:val="center"/>
          </w:tcPr>
          <w:p w14:paraId="5531A2A9" w14:textId="61F9C0FC"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Netherlands</w:t>
            </w:r>
          </w:p>
        </w:tc>
        <w:tc>
          <w:tcPr>
            <w:tcW w:w="3605" w:type="pct"/>
            <w:tcBorders>
              <w:top w:val="nil"/>
              <w:bottom w:val="nil"/>
            </w:tcBorders>
            <w:vAlign w:val="center"/>
          </w:tcPr>
          <w:p w14:paraId="6C3A0309" w14:textId="12143493"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17.3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089361B7" w14:textId="0A8E628A"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33,720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19185D42" w14:textId="6F28D45A"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55.1%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637B11CC"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0.001 km</w:t>
            </w:r>
            <w:r w:rsidRPr="002C3C39">
              <w:rPr>
                <w:b/>
                <w:noProof w:val="0"/>
                <w:color w:val="auto"/>
                <w:vertAlign w:val="superscript"/>
              </w:rPr>
              <w:t>2</w:t>
            </w:r>
            <w:r w:rsidRPr="002C3C39">
              <w:rPr>
                <w:b/>
                <w:noProof w:val="0"/>
                <w:color w:val="auto"/>
              </w:rPr>
              <w:t xml:space="preserve"> agricultural land/capita</w:t>
            </w:r>
          </w:p>
        </w:tc>
      </w:tr>
      <w:tr w:rsidR="002F41A1" w:rsidRPr="00404301" w14:paraId="77945AC8" w14:textId="77777777" w:rsidTr="00973DC6">
        <w:tc>
          <w:tcPr>
            <w:tcW w:w="1395" w:type="pct"/>
            <w:tcBorders>
              <w:top w:val="nil"/>
              <w:bottom w:val="nil"/>
            </w:tcBorders>
            <w:vAlign w:val="center"/>
          </w:tcPr>
          <w:p w14:paraId="16422332" w14:textId="0C67786F"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France</w:t>
            </w:r>
          </w:p>
        </w:tc>
        <w:tc>
          <w:tcPr>
            <w:tcW w:w="3605" w:type="pct"/>
            <w:tcBorders>
              <w:top w:val="nil"/>
              <w:bottom w:val="nil"/>
            </w:tcBorders>
            <w:vAlign w:val="center"/>
          </w:tcPr>
          <w:p w14:paraId="024CFB73" w14:textId="79CD918E"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68.1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5E572CCA" w14:textId="1F106400"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547,557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515E1C33" w14:textId="6BAA3D5C"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52.7%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3C5DDA81"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0.004 km</w:t>
            </w:r>
            <w:r w:rsidRPr="002C3C39">
              <w:rPr>
                <w:b/>
                <w:noProof w:val="0"/>
                <w:color w:val="auto"/>
                <w:vertAlign w:val="superscript"/>
              </w:rPr>
              <w:t>2</w:t>
            </w:r>
            <w:r w:rsidRPr="002C3C39">
              <w:rPr>
                <w:b/>
                <w:noProof w:val="0"/>
                <w:color w:val="auto"/>
              </w:rPr>
              <w:t xml:space="preserve"> agricultural land/capita</w:t>
            </w:r>
          </w:p>
        </w:tc>
      </w:tr>
      <w:tr w:rsidR="002F41A1" w:rsidRPr="00404301" w14:paraId="3F838E27" w14:textId="77777777" w:rsidTr="00973DC6">
        <w:tc>
          <w:tcPr>
            <w:tcW w:w="1395" w:type="pct"/>
            <w:tcBorders>
              <w:top w:val="nil"/>
              <w:bottom w:val="nil"/>
            </w:tcBorders>
            <w:vAlign w:val="center"/>
          </w:tcPr>
          <w:p w14:paraId="116B9548" w14:textId="7D00E535"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Canada</w:t>
            </w:r>
          </w:p>
        </w:tc>
        <w:tc>
          <w:tcPr>
            <w:tcW w:w="3605" w:type="pct"/>
            <w:tcBorders>
              <w:top w:val="nil"/>
              <w:bottom w:val="nil"/>
            </w:tcBorders>
            <w:vAlign w:val="center"/>
          </w:tcPr>
          <w:p w14:paraId="674AB0EA" w14:textId="38D72225"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37.9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3771DEF8" w14:textId="7F88962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9,093,510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2683A165" w14:textId="2A4B3598"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lastRenderedPageBreak/>
              <w:t xml:space="preserve">6.8%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20A044FE"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0.016 km</w:t>
            </w:r>
            <w:r w:rsidRPr="002C3C39">
              <w:rPr>
                <w:b/>
                <w:noProof w:val="0"/>
                <w:color w:val="auto"/>
                <w:vertAlign w:val="superscript"/>
              </w:rPr>
              <w:t>2</w:t>
            </w:r>
            <w:r w:rsidRPr="002C3C39">
              <w:rPr>
                <w:b/>
                <w:noProof w:val="0"/>
                <w:color w:val="auto"/>
              </w:rPr>
              <w:t xml:space="preserve"> agricultural land/capita</w:t>
            </w:r>
          </w:p>
        </w:tc>
      </w:tr>
      <w:tr w:rsidR="002F41A1" w:rsidRPr="00404301" w14:paraId="6CFF1808" w14:textId="77777777" w:rsidTr="00973DC6">
        <w:tc>
          <w:tcPr>
            <w:tcW w:w="1395" w:type="pct"/>
            <w:tcBorders>
              <w:top w:val="nil"/>
              <w:bottom w:val="nil"/>
            </w:tcBorders>
            <w:vAlign w:val="center"/>
          </w:tcPr>
          <w:p w14:paraId="34F14BC1" w14:textId="2253CE34"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lastRenderedPageBreak/>
              <w:t>United States</w:t>
            </w:r>
          </w:p>
        </w:tc>
        <w:tc>
          <w:tcPr>
            <w:tcW w:w="3605" w:type="pct"/>
            <w:tcBorders>
              <w:top w:val="nil"/>
              <w:bottom w:val="nil"/>
            </w:tcBorders>
            <w:vAlign w:val="center"/>
          </w:tcPr>
          <w:p w14:paraId="27F3FFEF" w14:textId="04E380A1"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335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56AE3EFA" w14:textId="3BA4F529"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9,147,420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75B2DDC6" w14:textId="2B0062C8"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44.5% agricultural land </w:t>
            </w:r>
            <w:r w:rsidR="001771C7" w:rsidRPr="002C3C39">
              <w:rPr>
                <w:rFonts w:cstheme="minorHAnsi"/>
                <w:noProof w:val="0"/>
                <w:color w:val="auto"/>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C3C39">
              <w:rPr>
                <w:rFonts w:cstheme="minorHAnsi"/>
                <w:noProof w:val="0"/>
                <w:color w:val="auto"/>
              </w:rPr>
              <w:t>]</w:t>
            </w:r>
          </w:p>
          <w:p w14:paraId="28F22841"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0.012 km</w:t>
            </w:r>
            <w:r w:rsidRPr="002C3C39">
              <w:rPr>
                <w:b/>
                <w:noProof w:val="0"/>
                <w:color w:val="auto"/>
                <w:vertAlign w:val="superscript"/>
              </w:rPr>
              <w:t>2</w:t>
            </w:r>
            <w:r w:rsidRPr="002C3C39">
              <w:rPr>
                <w:b/>
                <w:noProof w:val="0"/>
                <w:color w:val="auto"/>
              </w:rPr>
              <w:t xml:space="preserve"> agricultural land/capita</w:t>
            </w:r>
          </w:p>
        </w:tc>
      </w:tr>
      <w:tr w:rsidR="002F41A1" w:rsidRPr="00404301" w14:paraId="14E8F185" w14:textId="77777777" w:rsidTr="00973DC6">
        <w:tc>
          <w:tcPr>
            <w:tcW w:w="1395" w:type="pct"/>
            <w:tcBorders>
              <w:top w:val="nil"/>
            </w:tcBorders>
            <w:vAlign w:val="center"/>
          </w:tcPr>
          <w:p w14:paraId="1149E39E" w14:textId="48DA5904" w:rsidR="002F41A1" w:rsidRPr="002C3C39" w:rsidRDefault="002567EA" w:rsidP="00404301">
            <w:pPr>
              <w:autoSpaceDE w:val="0"/>
              <w:autoSpaceDN w:val="0"/>
              <w:adjustRightInd w:val="0"/>
              <w:snapToGrid w:val="0"/>
              <w:spacing w:line="240" w:lineRule="auto"/>
              <w:jc w:val="center"/>
              <w:rPr>
                <w:bCs/>
                <w:noProof w:val="0"/>
                <w:color w:val="auto"/>
                <w:sz w:val="20"/>
                <w:szCs w:val="20"/>
                <w:lang w:val="en-US"/>
              </w:rPr>
            </w:pPr>
            <w:r w:rsidRPr="002C3C39">
              <w:rPr>
                <w:bCs/>
                <w:noProof w:val="0"/>
                <w:color w:val="auto"/>
              </w:rPr>
              <w:t>Ireland</w:t>
            </w:r>
          </w:p>
        </w:tc>
        <w:tc>
          <w:tcPr>
            <w:tcW w:w="3605" w:type="pct"/>
            <w:tcBorders>
              <w:top w:val="nil"/>
            </w:tcBorders>
            <w:vAlign w:val="center"/>
          </w:tcPr>
          <w:p w14:paraId="5AADEFDA" w14:textId="39AAF404"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5.2 million total population </w:t>
            </w:r>
            <w:r w:rsidR="001771C7" w:rsidRPr="002567EA">
              <w:rPr>
                <w:rFonts w:cstheme="minorHAnsi"/>
                <w:noProof w:val="0"/>
                <w:color w:val="auto"/>
                <w:sz w:val="20"/>
                <w:szCs w:val="20"/>
                <w:lang w:val="en-US"/>
              </w:rPr>
              <w:t>[</w:t>
            </w:r>
            <w:r w:rsidR="00A9271C">
              <w:rPr>
                <w:rFonts w:cstheme="minorHAnsi"/>
                <w:noProof w:val="0"/>
                <w:color w:val="auto"/>
                <w:sz w:val="20"/>
                <w:szCs w:val="20"/>
                <w:lang w:val="en-US"/>
              </w:rPr>
              <w:t>71</w:t>
            </w:r>
            <w:r w:rsidR="001771C7" w:rsidRPr="002567EA">
              <w:rPr>
                <w:rFonts w:cstheme="minorHAnsi"/>
                <w:noProof w:val="0"/>
                <w:color w:val="auto"/>
                <w:sz w:val="20"/>
                <w:szCs w:val="20"/>
                <w:lang w:val="en-US"/>
              </w:rPr>
              <w:t>]</w:t>
            </w:r>
          </w:p>
          <w:p w14:paraId="5DD754A9" w14:textId="78561F4F"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68,890 km</w:t>
            </w:r>
            <w:r w:rsidRPr="002567EA">
              <w:rPr>
                <w:noProof w:val="0"/>
                <w:color w:val="auto"/>
                <w:sz w:val="20"/>
                <w:szCs w:val="20"/>
                <w:vertAlign w:val="superscript"/>
                <w:lang w:val="en-US"/>
              </w:rPr>
              <w:t>2</w:t>
            </w:r>
            <w:r w:rsidRPr="002567EA">
              <w:rPr>
                <w:noProof w:val="0"/>
                <w:color w:val="auto"/>
                <w:sz w:val="20"/>
                <w:szCs w:val="20"/>
                <w:lang w:val="en-US"/>
              </w:rPr>
              <w:t xml:space="preserve"> total land area </w:t>
            </w:r>
            <w:r w:rsidR="001771C7" w:rsidRPr="002567EA">
              <w:rPr>
                <w:noProof w:val="0"/>
                <w:color w:val="auto"/>
                <w:sz w:val="20"/>
                <w:szCs w:val="20"/>
                <w:lang w:val="en-US"/>
              </w:rPr>
              <w:t>[</w:t>
            </w:r>
            <w:r w:rsidR="00A9271C">
              <w:rPr>
                <w:noProof w:val="0"/>
                <w:color w:val="auto"/>
                <w:sz w:val="20"/>
                <w:szCs w:val="20"/>
                <w:lang w:val="en-US"/>
              </w:rPr>
              <w:t>100</w:t>
            </w:r>
            <w:r w:rsidR="001771C7" w:rsidRPr="002567EA">
              <w:rPr>
                <w:noProof w:val="0"/>
                <w:color w:val="auto"/>
                <w:sz w:val="20"/>
                <w:szCs w:val="20"/>
                <w:lang w:val="en-US"/>
              </w:rPr>
              <w:t>]</w:t>
            </w:r>
          </w:p>
          <w:p w14:paraId="28D7C8C3" w14:textId="5582F8C4"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567EA">
              <w:rPr>
                <w:noProof w:val="0"/>
                <w:color w:val="auto"/>
                <w:sz w:val="20"/>
                <w:szCs w:val="20"/>
                <w:lang w:val="en-US"/>
              </w:rPr>
              <w:t xml:space="preserve">66.1% agricultural land </w:t>
            </w:r>
            <w:r w:rsidR="001771C7" w:rsidRPr="002567EA">
              <w:rPr>
                <w:rFonts w:cstheme="minorHAnsi"/>
                <w:noProof w:val="0"/>
                <w:color w:val="auto"/>
                <w:sz w:val="20"/>
                <w:szCs w:val="20"/>
                <w:lang w:val="en-US"/>
              </w:rPr>
              <w:t>[</w:t>
            </w:r>
            <w:r w:rsidR="00FD3C80">
              <w:rPr>
                <w:rFonts w:cstheme="minorHAnsi"/>
                <w:noProof w:val="0"/>
                <w:color w:val="auto"/>
                <w:sz w:val="20"/>
                <w:szCs w:val="20"/>
                <w:lang w:val="en-US"/>
              </w:rPr>
              <w:t>7</w:t>
            </w:r>
            <w:r w:rsidR="00A9271C">
              <w:rPr>
                <w:rFonts w:cstheme="minorHAnsi"/>
                <w:noProof w:val="0"/>
                <w:color w:val="auto"/>
                <w:sz w:val="20"/>
                <w:szCs w:val="20"/>
                <w:lang w:val="en-US"/>
              </w:rPr>
              <w:t>2</w:t>
            </w:r>
            <w:r w:rsidR="001771C7" w:rsidRPr="002567EA">
              <w:rPr>
                <w:rFonts w:cstheme="minorHAnsi"/>
                <w:noProof w:val="0"/>
                <w:color w:val="auto"/>
                <w:sz w:val="20"/>
                <w:szCs w:val="20"/>
                <w:lang w:val="en-US"/>
              </w:rPr>
              <w:t>]</w:t>
            </w:r>
          </w:p>
          <w:p w14:paraId="4F29E2A7" w14:textId="77777777" w:rsidR="002F41A1" w:rsidRPr="002567EA" w:rsidRDefault="002F41A1" w:rsidP="00404301">
            <w:pPr>
              <w:autoSpaceDE w:val="0"/>
              <w:autoSpaceDN w:val="0"/>
              <w:adjustRightInd w:val="0"/>
              <w:snapToGrid w:val="0"/>
              <w:spacing w:line="240" w:lineRule="auto"/>
              <w:jc w:val="center"/>
              <w:rPr>
                <w:noProof w:val="0"/>
                <w:color w:val="auto"/>
                <w:sz w:val="20"/>
                <w:szCs w:val="20"/>
                <w:lang w:val="en-US"/>
              </w:rPr>
            </w:pPr>
            <w:r w:rsidRPr="002C3C39">
              <w:rPr>
                <w:b/>
                <w:noProof w:val="0"/>
                <w:color w:val="auto"/>
              </w:rPr>
              <w:t>0.009 km</w:t>
            </w:r>
            <w:r w:rsidRPr="002C3C39">
              <w:rPr>
                <w:b/>
                <w:noProof w:val="0"/>
                <w:color w:val="auto"/>
                <w:vertAlign w:val="superscript"/>
              </w:rPr>
              <w:t>2</w:t>
            </w:r>
            <w:r w:rsidRPr="002C3C39">
              <w:rPr>
                <w:b/>
                <w:noProof w:val="0"/>
                <w:color w:val="auto"/>
              </w:rPr>
              <w:t xml:space="preserve"> agricultural land/capita</w:t>
            </w:r>
          </w:p>
        </w:tc>
      </w:tr>
    </w:tbl>
    <w:p w14:paraId="548DDDD4" w14:textId="77777777" w:rsidR="001C5D95" w:rsidRPr="004440E4" w:rsidRDefault="001C5D95" w:rsidP="001C5D95">
      <w:pPr>
        <w:pStyle w:val="MDPI21heading1"/>
        <w:ind w:left="0"/>
        <w:rPr>
          <w:highlight w:val="yellow"/>
        </w:rPr>
      </w:pPr>
      <w:r w:rsidRPr="004440E4">
        <w:rPr>
          <w:highlight w:val="yellow"/>
        </w:rPr>
        <w:t>References</w:t>
      </w:r>
    </w:p>
    <w:p w14:paraId="6183DE30" w14:textId="77777777" w:rsidR="001C5D95" w:rsidRPr="001C5D95" w:rsidRDefault="001C5D95" w:rsidP="001C5D95">
      <w:pPr>
        <w:pStyle w:val="MDPI71FootNotes"/>
        <w:numPr>
          <w:ilvl w:val="0"/>
          <w:numId w:val="0"/>
        </w:numPr>
      </w:pPr>
      <w:r w:rsidRPr="001C5D95">
        <w:t>1.</w:t>
      </w:r>
      <w:r w:rsidRPr="001C5D95">
        <w:tab/>
        <w:t xml:space="preserve">Hagens, N.J. Economics for the future—Beyond the Superorganism. </w:t>
      </w:r>
      <w:r w:rsidRPr="001C5D95">
        <w:rPr>
          <w:i/>
          <w:iCs/>
        </w:rPr>
        <w:t>Ecol. Econ.</w:t>
      </w:r>
      <w:r w:rsidRPr="001C5D95">
        <w:t xml:space="preserve"> </w:t>
      </w:r>
      <w:r w:rsidRPr="001C5D95">
        <w:rPr>
          <w:b/>
        </w:rPr>
        <w:t>2020</w:t>
      </w:r>
      <w:r w:rsidRPr="001C5D95">
        <w:t xml:space="preserve">, </w:t>
      </w:r>
      <w:r w:rsidRPr="001C5D95">
        <w:rPr>
          <w:i/>
        </w:rPr>
        <w:t>169</w:t>
      </w:r>
      <w:r w:rsidRPr="001C5D95">
        <w:t>, 106520.</w:t>
      </w:r>
    </w:p>
    <w:p w14:paraId="1AEFBEEB" w14:textId="77777777" w:rsidR="001C5D95" w:rsidRPr="001C5D95" w:rsidRDefault="001C5D95" w:rsidP="001C5D95">
      <w:pPr>
        <w:pStyle w:val="MDPI71FootNotes"/>
        <w:numPr>
          <w:ilvl w:val="0"/>
          <w:numId w:val="0"/>
        </w:numPr>
      </w:pPr>
      <w:r w:rsidRPr="001C5D95">
        <w:t>2.</w:t>
      </w:r>
      <w:r w:rsidRPr="001C5D95">
        <w:tab/>
        <w:t xml:space="preserve">Steffen, W.; Broadgate, W.; Deutsch, L.; Gaffney, O.; Ludwig, C. The trajectory of the Anthropocene: The Great Acceleration. </w:t>
      </w:r>
      <w:r w:rsidRPr="001C5D95">
        <w:rPr>
          <w:i/>
          <w:iCs/>
        </w:rPr>
        <w:t>Anthropocene Rev.</w:t>
      </w:r>
      <w:r w:rsidRPr="001C5D95">
        <w:t xml:space="preserve"> </w:t>
      </w:r>
      <w:r w:rsidRPr="001C5D95">
        <w:rPr>
          <w:b/>
        </w:rPr>
        <w:t>2015</w:t>
      </w:r>
      <w:r w:rsidRPr="001C5D95">
        <w:t xml:space="preserve">, </w:t>
      </w:r>
      <w:r w:rsidRPr="001C5D95">
        <w:rPr>
          <w:i/>
        </w:rPr>
        <w:t>2</w:t>
      </w:r>
      <w:r w:rsidRPr="001C5D95">
        <w:t>, 81–98.</w:t>
      </w:r>
    </w:p>
    <w:p w14:paraId="7A7BEAED" w14:textId="77777777" w:rsidR="001C5D95" w:rsidRPr="001C5D95" w:rsidRDefault="001C5D95" w:rsidP="001C5D95">
      <w:pPr>
        <w:pStyle w:val="MDPI71FootNotes"/>
        <w:numPr>
          <w:ilvl w:val="0"/>
          <w:numId w:val="0"/>
        </w:numPr>
      </w:pPr>
      <w:r w:rsidRPr="001C5D95">
        <w:t>3.</w:t>
      </w:r>
      <w:r w:rsidRPr="001C5D95">
        <w:tab/>
        <w:t xml:space="preserve">Steffen, W.; Rockström, J.; Richardson, K.; Lenton, T.M.; Folke, C.; Liverman, D.; Summerhayes, C.P.; Barnosky, A.D.; Cornell, S.E.; Crucifix, M.; et al. Trajectories of the Earth System in the Anthropocene. </w:t>
      </w:r>
      <w:r w:rsidRPr="001C5D95">
        <w:rPr>
          <w:i/>
          <w:iCs/>
        </w:rPr>
        <w:t>Proc. Natl. Acad. Sci. USA</w:t>
      </w:r>
      <w:r w:rsidRPr="001C5D95">
        <w:t xml:space="preserve"> </w:t>
      </w:r>
      <w:r w:rsidRPr="001C5D95">
        <w:rPr>
          <w:b/>
        </w:rPr>
        <w:t>2018</w:t>
      </w:r>
      <w:r w:rsidRPr="001C5D95">
        <w:t xml:space="preserve">, </w:t>
      </w:r>
      <w:r w:rsidRPr="001C5D95">
        <w:rPr>
          <w:i/>
        </w:rPr>
        <w:t>115</w:t>
      </w:r>
      <w:r w:rsidRPr="001C5D95">
        <w:t>, 8252–8259.</w:t>
      </w:r>
    </w:p>
    <w:p w14:paraId="7EF070B8" w14:textId="77777777" w:rsidR="001C5D95" w:rsidRPr="001C5D95" w:rsidRDefault="001C5D95" w:rsidP="001C5D95">
      <w:pPr>
        <w:pStyle w:val="MDPI71FootNotes"/>
        <w:numPr>
          <w:ilvl w:val="0"/>
          <w:numId w:val="0"/>
        </w:numPr>
      </w:pPr>
      <w:r w:rsidRPr="001C5D95">
        <w:t>4.</w:t>
      </w:r>
      <w:r w:rsidRPr="001C5D95">
        <w:tab/>
        <w:t xml:space="preserve">Schneider, E.D.; Sagan, D. </w:t>
      </w:r>
      <w:r w:rsidRPr="001C5D95">
        <w:rPr>
          <w:i/>
          <w:iCs/>
        </w:rPr>
        <w:t>Into the Cool: Energy Flow, Thermodynamics and Life</w:t>
      </w:r>
      <w:r w:rsidRPr="001C5D95">
        <w:t xml:space="preserve">; The University of Chicago Press: </w:t>
      </w:r>
      <w:r w:rsidRPr="001C5D95">
        <w:rPr>
          <w:highlight w:val="yellow"/>
        </w:rPr>
        <w:t>Chicago, IL</w:t>
      </w:r>
      <w:r w:rsidRPr="001C5D95">
        <w:t>, USA, 2005.</w:t>
      </w:r>
    </w:p>
    <w:p w14:paraId="69212EF7" w14:textId="77777777" w:rsidR="001C5D95" w:rsidRPr="001C5D95" w:rsidRDefault="001C5D95" w:rsidP="001C5D95">
      <w:pPr>
        <w:pStyle w:val="MDPI71FootNotes"/>
        <w:numPr>
          <w:ilvl w:val="0"/>
          <w:numId w:val="0"/>
        </w:numPr>
      </w:pPr>
      <w:r w:rsidRPr="001C5D95">
        <w:t>5.</w:t>
      </w:r>
      <w:r w:rsidRPr="001C5D95">
        <w:tab/>
        <w:t xml:space="preserve">Scheidler, F. The End of the Megamachine: A Brief History of a Failing Civilisation; Zero Books: </w:t>
      </w:r>
      <w:r w:rsidRPr="001C5D95">
        <w:rPr>
          <w:highlight w:val="yellow"/>
        </w:rPr>
        <w:t>Ropley</w:t>
      </w:r>
      <w:r w:rsidRPr="001C5D95">
        <w:t>, UK, 2020.</w:t>
      </w:r>
    </w:p>
    <w:p w14:paraId="391397C4" w14:textId="1C8E5C0F" w:rsidR="001C5D95" w:rsidRPr="001C5D95" w:rsidRDefault="00502CF0" w:rsidP="001C5D95">
      <w:pPr>
        <w:pStyle w:val="MDPI71FootNotes"/>
        <w:numPr>
          <w:ilvl w:val="0"/>
          <w:numId w:val="0"/>
        </w:numPr>
      </w:pPr>
      <w:r>
        <w:rPr>
          <w:highlight w:val="yellow"/>
        </w:rPr>
        <w:t>6</w:t>
      </w:r>
      <w:r w:rsidR="001C5D95" w:rsidRPr="001C5D95">
        <w:rPr>
          <w:highlight w:val="yellow"/>
        </w:rPr>
        <w:t>.</w:t>
      </w:r>
      <w:r w:rsidR="001C5D95" w:rsidRPr="001C5D95">
        <w:tab/>
        <w:t xml:space="preserve">Lovelock, J. </w:t>
      </w:r>
      <w:r w:rsidR="001C5D95" w:rsidRPr="001C5D95">
        <w:rPr>
          <w:i/>
          <w:iCs/>
        </w:rPr>
        <w:t>The Vanishing Face of Gaia—A Final Warning</w:t>
      </w:r>
      <w:r w:rsidR="001C5D95" w:rsidRPr="001C5D95">
        <w:t xml:space="preserve">; Basic Books: </w:t>
      </w:r>
      <w:r w:rsidR="001C5D95" w:rsidRPr="001C5D95">
        <w:rPr>
          <w:highlight w:val="yellow"/>
        </w:rPr>
        <w:t>New York, NY</w:t>
      </w:r>
      <w:r w:rsidR="001C5D95" w:rsidRPr="001C5D95">
        <w:t>, USA, 2009.</w:t>
      </w:r>
    </w:p>
    <w:p w14:paraId="3FB21278" w14:textId="1C6E71A9" w:rsidR="001C5D95" w:rsidRPr="001C5D95" w:rsidRDefault="00502CF0" w:rsidP="001C5D95">
      <w:pPr>
        <w:pStyle w:val="MDPI71FootNotes"/>
        <w:numPr>
          <w:ilvl w:val="0"/>
          <w:numId w:val="0"/>
        </w:numPr>
      </w:pPr>
      <w:r>
        <w:t>7</w:t>
      </w:r>
      <w:r w:rsidR="001C5D95" w:rsidRPr="001C5D95">
        <w:t>.</w:t>
      </w:r>
      <w:r w:rsidR="001C5D95" w:rsidRPr="001C5D95">
        <w:tab/>
        <w:t xml:space="preserve">Meadows, D.H. </w:t>
      </w:r>
      <w:r w:rsidR="001C5D95" w:rsidRPr="001C5D95">
        <w:rPr>
          <w:i/>
          <w:iCs/>
        </w:rPr>
        <w:t>The Limits to Growth</w:t>
      </w:r>
      <w:r w:rsidR="001C5D95" w:rsidRPr="001C5D95">
        <w:t xml:space="preserve">; Potomac Associates; Universe Books: </w:t>
      </w:r>
      <w:r w:rsidR="001C5D95" w:rsidRPr="001C5D95">
        <w:rPr>
          <w:highlight w:val="yellow"/>
        </w:rPr>
        <w:t>New York, NY</w:t>
      </w:r>
      <w:r w:rsidR="001C5D95" w:rsidRPr="001C5D95">
        <w:t>, USA, 1972.</w:t>
      </w:r>
    </w:p>
    <w:p w14:paraId="2D7B5E63" w14:textId="540B1B70" w:rsidR="001C5D95" w:rsidRPr="001C5D95" w:rsidRDefault="00502CF0" w:rsidP="001C5D95">
      <w:pPr>
        <w:pStyle w:val="MDPI71FootNotes"/>
        <w:numPr>
          <w:ilvl w:val="0"/>
          <w:numId w:val="0"/>
        </w:numPr>
      </w:pPr>
      <w:r>
        <w:t>8</w:t>
      </w:r>
      <w:r w:rsidR="001C5D95" w:rsidRPr="001C5D95">
        <w:t>.</w:t>
      </w:r>
      <w:r w:rsidR="001C5D95" w:rsidRPr="001C5D95">
        <w:tab/>
        <w:t xml:space="preserve">Meadows, D.H.; Randers, J.; Meadows, D.L. </w:t>
      </w:r>
      <w:r w:rsidR="001C5D95" w:rsidRPr="001C5D95">
        <w:rPr>
          <w:i/>
          <w:iCs/>
        </w:rPr>
        <w:t>Limits to Growth—The 30-Year Update</w:t>
      </w:r>
      <w:r w:rsidR="001C5D95" w:rsidRPr="001C5D95">
        <w:t>; Chelsea Green: White River Junction, VT, USA, 2004.</w:t>
      </w:r>
    </w:p>
    <w:p w14:paraId="70E0B8CE" w14:textId="4928769F" w:rsidR="001C5D95" w:rsidRPr="001C5D95" w:rsidRDefault="00502CF0" w:rsidP="001C5D95">
      <w:pPr>
        <w:pStyle w:val="MDPI71FootNotes"/>
        <w:numPr>
          <w:ilvl w:val="0"/>
          <w:numId w:val="0"/>
        </w:numPr>
      </w:pPr>
      <w:r>
        <w:t>9</w:t>
      </w:r>
      <w:r w:rsidR="001C5D95" w:rsidRPr="001C5D95">
        <w:t>.</w:t>
      </w:r>
      <w:r w:rsidR="001C5D95" w:rsidRPr="001C5D95">
        <w:tab/>
        <w:t xml:space="preserve">Turner, G. </w:t>
      </w:r>
      <w:r w:rsidR="001C5D95" w:rsidRPr="001C5D95">
        <w:rPr>
          <w:i/>
          <w:iCs/>
        </w:rPr>
        <w:t xml:space="preserve">Is Global Collapse Imminent? </w:t>
      </w:r>
      <w:r w:rsidR="001C5D95" w:rsidRPr="001C5D95">
        <w:rPr>
          <w:i/>
          <w:iCs/>
          <w:highlight w:val="yellow"/>
        </w:rPr>
        <w:t>An Updated Comparison of the Limits to Growth with Historical Data</w:t>
      </w:r>
      <w:r w:rsidR="001C5D95" w:rsidRPr="001C5D95">
        <w:t xml:space="preserve">; Melbourne Sustainable Society Institute Research Paper No. 4; The University of Melbourne: </w:t>
      </w:r>
      <w:r w:rsidR="001C5D95" w:rsidRPr="001C5D95">
        <w:rPr>
          <w:highlight w:val="yellow"/>
        </w:rPr>
        <w:t>Melbourne, Australia</w:t>
      </w:r>
      <w:r w:rsidR="001C5D95" w:rsidRPr="001C5D95">
        <w:t>, 2014.</w:t>
      </w:r>
    </w:p>
    <w:p w14:paraId="781EA38E" w14:textId="305B90EC" w:rsidR="001C5D95" w:rsidRPr="001C5D95" w:rsidRDefault="001C5D95" w:rsidP="001C5D95">
      <w:pPr>
        <w:pStyle w:val="MDPI71FootNotes"/>
        <w:numPr>
          <w:ilvl w:val="0"/>
          <w:numId w:val="0"/>
        </w:numPr>
      </w:pPr>
      <w:r w:rsidRPr="001C5D95">
        <w:t>1</w:t>
      </w:r>
      <w:r w:rsidR="00502CF0">
        <w:t>0</w:t>
      </w:r>
      <w:r w:rsidRPr="001C5D95">
        <w:t>.</w:t>
      </w:r>
      <w:r w:rsidRPr="001C5D95">
        <w:tab/>
        <w:t xml:space="preserve">Pasqualino, R.; Jones, A.W.; Monasterolo, I.; Phillips, A. Understanding global systems today—A calibration of the World3-03 model between 1995 and 2012. </w:t>
      </w:r>
      <w:r w:rsidRPr="001C5D95">
        <w:rPr>
          <w:i/>
          <w:iCs/>
        </w:rPr>
        <w:t>Sustainability</w:t>
      </w:r>
      <w:r w:rsidRPr="001C5D95">
        <w:t xml:space="preserve"> </w:t>
      </w:r>
      <w:r w:rsidRPr="001C5D95">
        <w:rPr>
          <w:b/>
          <w:bCs/>
        </w:rPr>
        <w:t>2015</w:t>
      </w:r>
      <w:r w:rsidRPr="001C5D95">
        <w:rPr>
          <w:bCs/>
        </w:rPr>
        <w:t xml:space="preserve">, </w:t>
      </w:r>
      <w:r w:rsidRPr="001C5D95">
        <w:rPr>
          <w:bCs/>
          <w:i/>
        </w:rPr>
        <w:t>7</w:t>
      </w:r>
      <w:r w:rsidRPr="001C5D95">
        <w:rPr>
          <w:bCs/>
        </w:rPr>
        <w:t>, 9864–9889</w:t>
      </w:r>
      <w:r w:rsidRPr="001C5D95">
        <w:t>.</w:t>
      </w:r>
    </w:p>
    <w:p w14:paraId="4A756E01" w14:textId="43D37B6F" w:rsidR="001C5D95" w:rsidRPr="001C5D95" w:rsidRDefault="001C5D95" w:rsidP="001C5D95">
      <w:pPr>
        <w:pStyle w:val="MDPI71FootNotes"/>
        <w:numPr>
          <w:ilvl w:val="0"/>
          <w:numId w:val="0"/>
        </w:numPr>
      </w:pPr>
      <w:r w:rsidRPr="001C5D95">
        <w:t>1</w:t>
      </w:r>
      <w:r w:rsidR="00502CF0">
        <w:t>1</w:t>
      </w:r>
      <w:r w:rsidRPr="001C5D95">
        <w:t>.</w:t>
      </w:r>
      <w:r w:rsidRPr="001C5D95">
        <w:tab/>
        <w:t xml:space="preserve">Bardi, U. Mind sized world models. </w:t>
      </w:r>
      <w:r w:rsidRPr="001C5D95">
        <w:rPr>
          <w:i/>
          <w:iCs/>
        </w:rPr>
        <w:t xml:space="preserve">Sustainability </w:t>
      </w:r>
      <w:r w:rsidRPr="001C5D95">
        <w:rPr>
          <w:b/>
        </w:rPr>
        <w:t>2013</w:t>
      </w:r>
      <w:r w:rsidRPr="001C5D95">
        <w:t xml:space="preserve">, </w:t>
      </w:r>
      <w:r w:rsidRPr="001C5D95">
        <w:rPr>
          <w:i/>
        </w:rPr>
        <w:t>5</w:t>
      </w:r>
      <w:r w:rsidRPr="001C5D95">
        <w:t>, 896–911.</w:t>
      </w:r>
    </w:p>
    <w:p w14:paraId="1609FA1A" w14:textId="23333907" w:rsidR="001C5D95" w:rsidRPr="001C5D95" w:rsidRDefault="001C5D95" w:rsidP="001C5D95">
      <w:pPr>
        <w:pStyle w:val="MDPI71FootNotes"/>
        <w:numPr>
          <w:ilvl w:val="0"/>
          <w:numId w:val="0"/>
        </w:numPr>
      </w:pPr>
      <w:r w:rsidRPr="001C5D95">
        <w:t>1</w:t>
      </w:r>
      <w:r w:rsidR="00502CF0">
        <w:t>2</w:t>
      </w:r>
      <w:r w:rsidRPr="001C5D95">
        <w:t>.</w:t>
      </w:r>
      <w:r w:rsidRPr="001C5D95">
        <w:tab/>
        <w:t xml:space="preserve">Bardi, U. The Seneca Effect. Why Growth Is Slow but Collapse Is Rapid; Springer Verlag: </w:t>
      </w:r>
      <w:r w:rsidRPr="001C5D95">
        <w:rPr>
          <w:highlight w:val="yellow"/>
        </w:rPr>
        <w:t>Berlin</w:t>
      </w:r>
      <w:r w:rsidRPr="001C5D95">
        <w:t>, Germany, 2017.</w:t>
      </w:r>
    </w:p>
    <w:p w14:paraId="17CC73D7" w14:textId="7F1F8400" w:rsidR="001C5D95" w:rsidRPr="001C5D95" w:rsidRDefault="001C5D95" w:rsidP="001C5D95">
      <w:pPr>
        <w:pStyle w:val="MDPI71FootNotes"/>
        <w:numPr>
          <w:ilvl w:val="0"/>
          <w:numId w:val="0"/>
        </w:numPr>
      </w:pPr>
      <w:r w:rsidRPr="001C5D95">
        <w:t>1</w:t>
      </w:r>
      <w:r w:rsidR="00502CF0">
        <w:t>3</w:t>
      </w:r>
      <w:r w:rsidRPr="001C5D95">
        <w:t>.</w:t>
      </w:r>
      <w:r w:rsidRPr="001C5D95">
        <w:tab/>
        <w:t xml:space="preserve">Bardi, U. </w:t>
      </w:r>
      <w:r w:rsidRPr="001C5D95">
        <w:rPr>
          <w:i/>
          <w:iCs/>
        </w:rPr>
        <w:t>Before the Collapse—A Guide to the Other Side of Growth</w:t>
      </w:r>
      <w:r w:rsidRPr="001C5D95">
        <w:t xml:space="preserve">; Springer International Publishing: </w:t>
      </w:r>
      <w:r w:rsidRPr="001C5D95">
        <w:rPr>
          <w:highlight w:val="yellow"/>
        </w:rPr>
        <w:t>New York, NY</w:t>
      </w:r>
      <w:r w:rsidRPr="001C5D95">
        <w:t>, USA, 2020.</w:t>
      </w:r>
    </w:p>
    <w:p w14:paraId="1984C205" w14:textId="7717F89F" w:rsidR="001C5D95" w:rsidRPr="001C5D95" w:rsidRDefault="001C5D95" w:rsidP="001C5D95">
      <w:pPr>
        <w:pStyle w:val="MDPI71FootNotes"/>
        <w:numPr>
          <w:ilvl w:val="0"/>
          <w:numId w:val="0"/>
        </w:numPr>
      </w:pPr>
      <w:r w:rsidRPr="001C5D95">
        <w:t>1</w:t>
      </w:r>
      <w:r w:rsidR="00502CF0">
        <w:t>4</w:t>
      </w:r>
      <w:r w:rsidRPr="001C5D95">
        <w:t>.</w:t>
      </w:r>
      <w:r w:rsidRPr="001C5D95">
        <w:tab/>
        <w:t xml:space="preserve">Rockström, J.; Steffen, W.; Noone, K.; Persson, Å.; Chapin, F.S., III; Lambin, E.F.; Lenton, T.M.; Scheffer, M.; Folke, C.; Schellnhuber, H.J.; et al. A safe operating space for humanity. </w:t>
      </w:r>
      <w:r w:rsidRPr="001C5D95">
        <w:rPr>
          <w:i/>
          <w:iCs/>
        </w:rPr>
        <w:t>Nature</w:t>
      </w:r>
      <w:r w:rsidRPr="001C5D95">
        <w:t xml:space="preserve"> </w:t>
      </w:r>
      <w:r w:rsidRPr="001C5D95">
        <w:rPr>
          <w:b/>
          <w:bCs/>
        </w:rPr>
        <w:t xml:space="preserve">2009, </w:t>
      </w:r>
      <w:r w:rsidRPr="001C5D95">
        <w:rPr>
          <w:i/>
        </w:rPr>
        <w:t>461</w:t>
      </w:r>
      <w:r w:rsidRPr="001C5D95">
        <w:rPr>
          <w:b/>
          <w:bCs/>
        </w:rPr>
        <w:t xml:space="preserve">, </w:t>
      </w:r>
      <w:r w:rsidRPr="001C5D95">
        <w:t>472–475.</w:t>
      </w:r>
    </w:p>
    <w:p w14:paraId="1513F52A" w14:textId="6DA9D914" w:rsidR="001C5D95" w:rsidRPr="001C5D95" w:rsidRDefault="001C5D95" w:rsidP="001C5D95">
      <w:pPr>
        <w:pStyle w:val="MDPI71FootNotes"/>
        <w:numPr>
          <w:ilvl w:val="0"/>
          <w:numId w:val="0"/>
        </w:numPr>
      </w:pPr>
      <w:r w:rsidRPr="001C5D95">
        <w:t>1</w:t>
      </w:r>
      <w:r w:rsidR="00502CF0">
        <w:t>5</w:t>
      </w:r>
      <w:r w:rsidRPr="001C5D95">
        <w:t>.</w:t>
      </w:r>
      <w:r w:rsidRPr="001C5D95">
        <w:tab/>
        <w:t xml:space="preserve">Randers, J.; Rockström, J.; Stoknes, P.E.; Goluke, U.; Collste, D.; Cornell, S.E.; Donges, J. Achieving the 17 sustainable development goals within 9 planetary boundaries. </w:t>
      </w:r>
      <w:r w:rsidRPr="001C5D95">
        <w:rPr>
          <w:i/>
        </w:rPr>
        <w:t xml:space="preserve">Glob. Sustain. </w:t>
      </w:r>
      <w:r w:rsidRPr="001C5D95">
        <w:rPr>
          <w:b/>
          <w:bCs/>
        </w:rPr>
        <w:t>2019</w:t>
      </w:r>
      <w:r w:rsidRPr="001C5D95">
        <w:rPr>
          <w:bCs/>
        </w:rPr>
        <w:t xml:space="preserve">, </w:t>
      </w:r>
      <w:r w:rsidRPr="001C5D95">
        <w:rPr>
          <w:bCs/>
          <w:i/>
        </w:rPr>
        <w:t>2</w:t>
      </w:r>
      <w:r w:rsidRPr="001C5D95">
        <w:rPr>
          <w:bCs/>
        </w:rPr>
        <w:t>, 1–11</w:t>
      </w:r>
      <w:r w:rsidRPr="001C5D95">
        <w:t>.</w:t>
      </w:r>
    </w:p>
    <w:p w14:paraId="39B0FA57" w14:textId="7A972616" w:rsidR="001C5D95" w:rsidRPr="001C5D95" w:rsidRDefault="001C5D95" w:rsidP="001C5D95">
      <w:pPr>
        <w:pStyle w:val="MDPI71FootNotes"/>
        <w:numPr>
          <w:ilvl w:val="0"/>
          <w:numId w:val="0"/>
        </w:numPr>
      </w:pPr>
      <w:r w:rsidRPr="001C5D95">
        <w:rPr>
          <w:highlight w:val="yellow"/>
        </w:rPr>
        <w:t>1</w:t>
      </w:r>
      <w:r w:rsidR="00502CF0">
        <w:t>6</w:t>
      </w:r>
      <w:r w:rsidRPr="001C5D95">
        <w:tab/>
        <w:t xml:space="preserve">Michaux, S. </w:t>
      </w:r>
      <w:r w:rsidRPr="001C5D95">
        <w:rPr>
          <w:i/>
          <w:iCs/>
        </w:rPr>
        <w:t>Oil from a Critical Raw Material Perspective</w:t>
      </w:r>
      <w:r w:rsidRPr="001C5D95">
        <w:t xml:space="preserve">; Geological Survey of Finland: </w:t>
      </w:r>
      <w:r w:rsidRPr="001C5D95">
        <w:rPr>
          <w:highlight w:val="yellow"/>
        </w:rPr>
        <w:t>Espoo, Finland</w:t>
      </w:r>
      <w:r w:rsidRPr="001C5D95">
        <w:t>, 2019.</w:t>
      </w:r>
    </w:p>
    <w:p w14:paraId="5580AA47" w14:textId="139D0D76" w:rsidR="001C5D95" w:rsidRPr="001C5D95" w:rsidRDefault="00502CF0" w:rsidP="001C5D95">
      <w:pPr>
        <w:pStyle w:val="MDPI71FootNotes"/>
        <w:numPr>
          <w:ilvl w:val="0"/>
          <w:numId w:val="0"/>
        </w:numPr>
      </w:pPr>
      <w:r>
        <w:rPr>
          <w:highlight w:val="yellow"/>
        </w:rPr>
        <w:t>17</w:t>
      </w:r>
      <w:r w:rsidR="001C5D95" w:rsidRPr="001C5D95">
        <w:rPr>
          <w:highlight w:val="yellow"/>
        </w:rPr>
        <w:t>.</w:t>
      </w:r>
      <w:r w:rsidR="001C5D95" w:rsidRPr="001C5D95">
        <w:tab/>
        <w:t xml:space="preserve">Seppelt, R.; Manceur, A.; Liu, J.; Fenichel, E. Synchronised peak-rate years of global resources use. </w:t>
      </w:r>
      <w:r w:rsidR="001C5D95" w:rsidRPr="001C5D95">
        <w:rPr>
          <w:i/>
          <w:iCs/>
        </w:rPr>
        <w:t>Ecol. Soc.</w:t>
      </w:r>
      <w:r w:rsidR="001C5D95" w:rsidRPr="001C5D95">
        <w:t xml:space="preserve"> </w:t>
      </w:r>
      <w:r w:rsidR="001C5D95" w:rsidRPr="001C5D95">
        <w:rPr>
          <w:b/>
          <w:bCs/>
        </w:rPr>
        <w:t>2014</w:t>
      </w:r>
      <w:r w:rsidR="001C5D95" w:rsidRPr="001C5D95">
        <w:rPr>
          <w:bCs/>
        </w:rPr>
        <w:t xml:space="preserve">, </w:t>
      </w:r>
      <w:r w:rsidR="001C5D95" w:rsidRPr="001C5D95">
        <w:rPr>
          <w:bCs/>
          <w:i/>
        </w:rPr>
        <w:t>19</w:t>
      </w:r>
      <w:r w:rsidR="001C5D95" w:rsidRPr="001C5D95">
        <w:rPr>
          <w:bCs/>
        </w:rPr>
        <w:t>, 50</w:t>
      </w:r>
      <w:r w:rsidR="001C5D95" w:rsidRPr="001C5D95">
        <w:t>.</w:t>
      </w:r>
    </w:p>
    <w:p w14:paraId="44115B5B" w14:textId="0B1A17E6" w:rsidR="001C5D95" w:rsidRPr="001C5D95" w:rsidRDefault="00502CF0" w:rsidP="001C5D95">
      <w:pPr>
        <w:pStyle w:val="MDPI71FootNotes"/>
        <w:numPr>
          <w:ilvl w:val="0"/>
          <w:numId w:val="0"/>
        </w:numPr>
      </w:pPr>
      <w:r>
        <w:t>18</w:t>
      </w:r>
      <w:r w:rsidR="001C5D95" w:rsidRPr="001C5D95">
        <w:t>.</w:t>
      </w:r>
      <w:r w:rsidR="001C5D95" w:rsidRPr="001C5D95">
        <w:tab/>
      </w:r>
      <w:r w:rsidR="00D01870">
        <w:t xml:space="preserve">Murphy, T.W. </w:t>
      </w:r>
      <w:r w:rsidR="001C5D95" w:rsidRPr="002C3C39">
        <w:rPr>
          <w:i/>
          <w:iCs/>
        </w:rPr>
        <w:t>Energy and Human Ambitions on a Finite Planet</w:t>
      </w:r>
      <w:r w:rsidR="001C5D95" w:rsidRPr="001C5D95">
        <w:t xml:space="preserve">. </w:t>
      </w:r>
      <w:r w:rsidR="00D01870">
        <w:t xml:space="preserve">Escholarship, University of San Diago, California, USA, </w:t>
      </w:r>
      <w:r w:rsidR="001C5D95" w:rsidRPr="001C5D95">
        <w:t>Available online: https://escholarship.org/uc/item/9js5291m (accessed on 22 March 2021).</w:t>
      </w:r>
    </w:p>
    <w:p w14:paraId="68EA8BAC" w14:textId="03139698" w:rsidR="001C5D95" w:rsidRPr="001C5D95" w:rsidRDefault="00502CF0" w:rsidP="001C5D95">
      <w:pPr>
        <w:pStyle w:val="MDPI71FootNotes"/>
        <w:numPr>
          <w:ilvl w:val="0"/>
          <w:numId w:val="0"/>
        </w:numPr>
      </w:pPr>
      <w:r>
        <w:t>19</w:t>
      </w:r>
      <w:r w:rsidR="001C5D95" w:rsidRPr="001C5D95">
        <w:t>.</w:t>
      </w:r>
      <w:r w:rsidR="001C5D95" w:rsidRPr="001C5D95">
        <w:tab/>
        <w:t xml:space="preserve">Hall, C.A.S.; Balogh, S.B.; Murphy, D.J.R. What is the minimum EROI that a sustainable society must have? </w:t>
      </w:r>
      <w:r w:rsidR="001C5D95" w:rsidRPr="001C5D95">
        <w:rPr>
          <w:i/>
          <w:iCs/>
        </w:rPr>
        <w:t>Energies</w:t>
      </w:r>
      <w:r w:rsidR="001C5D95" w:rsidRPr="001C5D95">
        <w:t xml:space="preserve"> </w:t>
      </w:r>
      <w:r w:rsidR="001C5D95" w:rsidRPr="001C5D95">
        <w:rPr>
          <w:b/>
        </w:rPr>
        <w:t>2009</w:t>
      </w:r>
      <w:r w:rsidR="001C5D95" w:rsidRPr="001C5D95">
        <w:t xml:space="preserve">, </w:t>
      </w:r>
      <w:r w:rsidR="001C5D95" w:rsidRPr="001C5D95">
        <w:rPr>
          <w:i/>
        </w:rPr>
        <w:t>2</w:t>
      </w:r>
      <w:r w:rsidR="001C5D95" w:rsidRPr="001C5D95">
        <w:t>, 25–47.</w:t>
      </w:r>
    </w:p>
    <w:p w14:paraId="08FD289E" w14:textId="2184F600" w:rsidR="001C5D95" w:rsidRPr="001C5D95" w:rsidRDefault="001C5D95" w:rsidP="001C5D95">
      <w:pPr>
        <w:pStyle w:val="MDPI71FootNotes"/>
        <w:numPr>
          <w:ilvl w:val="0"/>
          <w:numId w:val="0"/>
        </w:numPr>
      </w:pPr>
      <w:r w:rsidRPr="001C5D95">
        <w:t>2</w:t>
      </w:r>
      <w:r w:rsidR="00502CF0">
        <w:t>0</w:t>
      </w:r>
      <w:r w:rsidRPr="001C5D95">
        <w:t>.</w:t>
      </w:r>
      <w:r w:rsidRPr="001C5D95">
        <w:tab/>
        <w:t xml:space="preserve">Jarvis, A. Energy return and the long-run growth of global industrial society. </w:t>
      </w:r>
      <w:r w:rsidRPr="001C5D95">
        <w:rPr>
          <w:i/>
          <w:iCs/>
        </w:rPr>
        <w:t>Ecol. Econ.</w:t>
      </w:r>
      <w:r w:rsidRPr="001C5D95">
        <w:t xml:space="preserve"> </w:t>
      </w:r>
      <w:r w:rsidRPr="001C5D95">
        <w:rPr>
          <w:b/>
        </w:rPr>
        <w:t>2018</w:t>
      </w:r>
      <w:r w:rsidRPr="001C5D95">
        <w:t xml:space="preserve">, </w:t>
      </w:r>
      <w:r w:rsidRPr="001C5D95">
        <w:rPr>
          <w:i/>
        </w:rPr>
        <w:t>146</w:t>
      </w:r>
      <w:r w:rsidRPr="001C5D95">
        <w:t>, 722–729.</w:t>
      </w:r>
    </w:p>
    <w:p w14:paraId="730BF4C9" w14:textId="04DE1AFF" w:rsidR="001C5D95" w:rsidRPr="001C5D95" w:rsidRDefault="001C5D95" w:rsidP="001C5D95">
      <w:pPr>
        <w:pStyle w:val="MDPI71FootNotes"/>
        <w:numPr>
          <w:ilvl w:val="0"/>
          <w:numId w:val="0"/>
        </w:numPr>
      </w:pPr>
      <w:r w:rsidRPr="001C5D95">
        <w:t>2</w:t>
      </w:r>
      <w:r w:rsidR="00502CF0">
        <w:t>1</w:t>
      </w:r>
      <w:r w:rsidRPr="001C5D95">
        <w:t>.</w:t>
      </w:r>
      <w:r w:rsidRPr="001C5D95">
        <w:tab/>
        <w:t xml:space="preserve">Lambert, J.G.; Arnold, M. Energy, EROI and quality of life. </w:t>
      </w:r>
      <w:r w:rsidRPr="001C5D95">
        <w:rPr>
          <w:i/>
        </w:rPr>
        <w:t>Energy Policy</w:t>
      </w:r>
      <w:r w:rsidRPr="001C5D95">
        <w:t xml:space="preserve"> </w:t>
      </w:r>
      <w:r w:rsidRPr="001C5D95">
        <w:rPr>
          <w:b/>
        </w:rPr>
        <w:t>2014</w:t>
      </w:r>
      <w:r w:rsidRPr="001C5D95">
        <w:t xml:space="preserve">, </w:t>
      </w:r>
      <w:r w:rsidRPr="001C5D95">
        <w:rPr>
          <w:i/>
        </w:rPr>
        <w:t>64</w:t>
      </w:r>
      <w:r w:rsidRPr="001C5D95">
        <w:t>, 153–167.</w:t>
      </w:r>
    </w:p>
    <w:p w14:paraId="2CBAB67C" w14:textId="57BE6D92" w:rsidR="001C5D95" w:rsidRPr="001C5D95" w:rsidRDefault="001C5D95" w:rsidP="001C5D95">
      <w:pPr>
        <w:pStyle w:val="MDPI71FootNotes"/>
        <w:numPr>
          <w:ilvl w:val="0"/>
          <w:numId w:val="0"/>
        </w:numPr>
      </w:pPr>
      <w:r w:rsidRPr="001C5D95">
        <w:t>2</w:t>
      </w:r>
      <w:r w:rsidR="00502CF0">
        <w:t>2</w:t>
      </w:r>
      <w:r w:rsidRPr="001C5D95">
        <w:t>.</w:t>
      </w:r>
      <w:r w:rsidRPr="001C5D95">
        <w:tab/>
        <w:t xml:space="preserve">Love, T.; Isenhour, C. Energy and economy: Recognizing high-energy modernity as a historical period. </w:t>
      </w:r>
      <w:r w:rsidRPr="001C5D95">
        <w:rPr>
          <w:i/>
          <w:iCs/>
        </w:rPr>
        <w:t>Econ. Anthropol.</w:t>
      </w:r>
      <w:r w:rsidRPr="001C5D95">
        <w:t xml:space="preserve"> </w:t>
      </w:r>
      <w:r w:rsidRPr="001C5D95">
        <w:rPr>
          <w:b/>
        </w:rPr>
        <w:t>2016</w:t>
      </w:r>
      <w:r w:rsidRPr="001C5D95">
        <w:t xml:space="preserve">, </w:t>
      </w:r>
      <w:r w:rsidRPr="001C5D95">
        <w:rPr>
          <w:i/>
        </w:rPr>
        <w:t>3</w:t>
      </w:r>
      <w:r w:rsidRPr="001C5D95">
        <w:t>, 6–16.</w:t>
      </w:r>
    </w:p>
    <w:p w14:paraId="11F78971" w14:textId="3F7E5813" w:rsidR="001C5D95" w:rsidRPr="001C5D95" w:rsidRDefault="001C5D95" w:rsidP="001C5D95">
      <w:pPr>
        <w:pStyle w:val="MDPI71FootNotes"/>
        <w:numPr>
          <w:ilvl w:val="0"/>
          <w:numId w:val="0"/>
        </w:numPr>
      </w:pPr>
      <w:r w:rsidRPr="001C5D95">
        <w:t>2</w:t>
      </w:r>
      <w:r w:rsidR="00502CF0">
        <w:t>3</w:t>
      </w:r>
      <w:r w:rsidRPr="001C5D95">
        <w:t>.</w:t>
      </w:r>
      <w:r w:rsidRPr="001C5D95">
        <w:tab/>
        <w:t xml:space="preserve">Hall, C.A.S.; Lambert, J.G.; Balogh, S.B. EROI of different fuels and the implications for society. </w:t>
      </w:r>
      <w:r w:rsidRPr="001C5D95">
        <w:rPr>
          <w:i/>
          <w:iCs/>
        </w:rPr>
        <w:t>Energy Policy</w:t>
      </w:r>
      <w:r w:rsidRPr="001C5D95">
        <w:t xml:space="preserve"> </w:t>
      </w:r>
      <w:r w:rsidRPr="001C5D95">
        <w:rPr>
          <w:b/>
        </w:rPr>
        <w:t>2013</w:t>
      </w:r>
      <w:r w:rsidRPr="001C5D95">
        <w:t xml:space="preserve">, </w:t>
      </w:r>
      <w:r w:rsidRPr="001C5D95">
        <w:rPr>
          <w:i/>
        </w:rPr>
        <w:t>64</w:t>
      </w:r>
      <w:r w:rsidRPr="001C5D95">
        <w:t>, 141–152.</w:t>
      </w:r>
    </w:p>
    <w:p w14:paraId="60607816" w14:textId="6D05A92A" w:rsidR="001C5D95" w:rsidRPr="001C5D95" w:rsidRDefault="001C5D95" w:rsidP="001C5D95">
      <w:pPr>
        <w:pStyle w:val="MDPI71FootNotes"/>
        <w:numPr>
          <w:ilvl w:val="0"/>
          <w:numId w:val="0"/>
        </w:numPr>
      </w:pPr>
      <w:r w:rsidRPr="001C5D95">
        <w:t>2</w:t>
      </w:r>
      <w:r w:rsidR="00502CF0">
        <w:t>4</w:t>
      </w:r>
      <w:r w:rsidRPr="001C5D95">
        <w:t>.</w:t>
      </w:r>
      <w:r w:rsidRPr="001C5D95">
        <w:tab/>
        <w:t xml:space="preserve">Van Leeuwen, J.W.S. </w:t>
      </w:r>
      <w:r w:rsidRPr="001C5D95">
        <w:rPr>
          <w:i/>
          <w:iCs/>
        </w:rPr>
        <w:t>Climate Change and Nuclear Power—An Analysis of Nuclear Greenhouse Gas Emissions</w:t>
      </w:r>
      <w:r w:rsidRPr="001C5D95">
        <w:t xml:space="preserve">; World Information Service on Energy: </w:t>
      </w:r>
      <w:r w:rsidRPr="001C5D95">
        <w:rPr>
          <w:highlight w:val="yellow"/>
        </w:rPr>
        <w:t>Amsterdam, The Netherlands</w:t>
      </w:r>
      <w:r w:rsidRPr="001C5D95">
        <w:t>, 2017.</w:t>
      </w:r>
    </w:p>
    <w:p w14:paraId="6FEBBB22" w14:textId="0D37AF6A" w:rsidR="001C5D95" w:rsidRPr="001C5D95" w:rsidRDefault="001C5D95" w:rsidP="001C5D95">
      <w:pPr>
        <w:pStyle w:val="MDPI71FootNotes"/>
        <w:numPr>
          <w:ilvl w:val="0"/>
          <w:numId w:val="0"/>
        </w:numPr>
      </w:pPr>
      <w:r w:rsidRPr="001C5D95">
        <w:t>2</w:t>
      </w:r>
      <w:r w:rsidR="00502CF0">
        <w:t>5</w:t>
      </w:r>
      <w:r w:rsidRPr="001C5D95">
        <w:t>.</w:t>
      </w:r>
      <w:r w:rsidRPr="001C5D95">
        <w:tab/>
        <w:t xml:space="preserve">Rye, C.D.; Jackson, T. Using critical slowing down indicators to understand economic growth rate variability and secular stagnation. </w:t>
      </w:r>
      <w:r w:rsidRPr="001C5D95">
        <w:rPr>
          <w:i/>
        </w:rPr>
        <w:t xml:space="preserve">Sci. Rep. </w:t>
      </w:r>
      <w:r w:rsidRPr="001C5D95">
        <w:rPr>
          <w:b/>
          <w:bCs/>
        </w:rPr>
        <w:t>2020</w:t>
      </w:r>
      <w:r w:rsidRPr="001C5D95">
        <w:rPr>
          <w:bCs/>
        </w:rPr>
        <w:t xml:space="preserve">, </w:t>
      </w:r>
      <w:r w:rsidRPr="001C5D95">
        <w:rPr>
          <w:bCs/>
          <w:i/>
        </w:rPr>
        <w:t>10</w:t>
      </w:r>
      <w:r w:rsidRPr="001C5D95">
        <w:rPr>
          <w:bCs/>
        </w:rPr>
        <w:t>, 10481</w:t>
      </w:r>
      <w:r w:rsidRPr="001C5D95">
        <w:t>.</w:t>
      </w:r>
    </w:p>
    <w:p w14:paraId="4176EAB5" w14:textId="2C51326D" w:rsidR="001C5D95" w:rsidRPr="001C5D95" w:rsidRDefault="001C5D95" w:rsidP="001C5D95">
      <w:pPr>
        <w:pStyle w:val="MDPI71FootNotes"/>
        <w:numPr>
          <w:ilvl w:val="0"/>
          <w:numId w:val="0"/>
        </w:numPr>
      </w:pPr>
      <w:r w:rsidRPr="001C5D95">
        <w:t>2</w:t>
      </w:r>
      <w:r w:rsidR="00502CF0">
        <w:t>6</w:t>
      </w:r>
      <w:r w:rsidRPr="001C5D95">
        <w:t>.</w:t>
      </w:r>
      <w:r w:rsidRPr="001C5D95">
        <w:tab/>
        <w:t xml:space="preserve">Capellán-Pérez, I.; de Blas, I.; Nieto, J.; de Caste, C.; Miguel, L.J.; Carpintero, Ó.; Mediaville, M.; Lobejón, L.F.; Ferreras-Alonso, N.; Rodrigo, P.; et al. MEDEAS: A new modeling framework integrating global biophysical and socioeconomic constraints. </w:t>
      </w:r>
      <w:r w:rsidRPr="001C5D95">
        <w:rPr>
          <w:i/>
          <w:iCs/>
        </w:rPr>
        <w:t>Energy Environ. Sci.</w:t>
      </w:r>
      <w:r w:rsidRPr="001C5D95">
        <w:t xml:space="preserve"> </w:t>
      </w:r>
      <w:r w:rsidRPr="001C5D95">
        <w:rPr>
          <w:b/>
          <w:bCs/>
        </w:rPr>
        <w:t>2020</w:t>
      </w:r>
      <w:r w:rsidRPr="001C5D95">
        <w:rPr>
          <w:bCs/>
        </w:rPr>
        <w:t xml:space="preserve">, </w:t>
      </w:r>
      <w:r w:rsidRPr="001C5D95">
        <w:rPr>
          <w:bCs/>
          <w:i/>
        </w:rPr>
        <w:t>13</w:t>
      </w:r>
      <w:r w:rsidRPr="001C5D95">
        <w:rPr>
          <w:bCs/>
        </w:rPr>
        <w:t>, 986</w:t>
      </w:r>
      <w:r w:rsidRPr="001C5D95">
        <w:t>.</w:t>
      </w:r>
    </w:p>
    <w:p w14:paraId="0A16F634" w14:textId="42084CED" w:rsidR="001C5D95" w:rsidRDefault="00502CF0" w:rsidP="001C5D95">
      <w:pPr>
        <w:pStyle w:val="MDPI71FootNotes"/>
        <w:numPr>
          <w:ilvl w:val="0"/>
          <w:numId w:val="0"/>
        </w:numPr>
      </w:pPr>
      <w:r>
        <w:t>27</w:t>
      </w:r>
      <w:r w:rsidR="001C5D95" w:rsidRPr="001C5D95">
        <w:t>.</w:t>
      </w:r>
      <w:r w:rsidR="001C5D95" w:rsidRPr="001C5D95">
        <w:tab/>
        <w:t xml:space="preserve">Hall, C.A.S. Will EROI be the primary determinant of our economic future? the view of the natural scientist versus the economist. </w:t>
      </w:r>
      <w:r w:rsidR="001C5D95" w:rsidRPr="001C5D95">
        <w:rPr>
          <w:i/>
          <w:iCs/>
        </w:rPr>
        <w:t>Joule</w:t>
      </w:r>
      <w:r w:rsidR="001C5D95" w:rsidRPr="001C5D95">
        <w:t xml:space="preserve"> </w:t>
      </w:r>
      <w:r w:rsidR="001C5D95" w:rsidRPr="001C5D95">
        <w:rPr>
          <w:b/>
        </w:rPr>
        <w:t>2017</w:t>
      </w:r>
      <w:r w:rsidR="001C5D95" w:rsidRPr="001C5D95">
        <w:t xml:space="preserve">, </w:t>
      </w:r>
      <w:r w:rsidR="001C5D95" w:rsidRPr="001C5D95">
        <w:rPr>
          <w:i/>
        </w:rPr>
        <w:t>1</w:t>
      </w:r>
      <w:r w:rsidR="001C5D95" w:rsidRPr="001C5D95">
        <w:t>, 635–638.</w:t>
      </w:r>
    </w:p>
    <w:p w14:paraId="4A5FF1FC" w14:textId="4B309855" w:rsidR="007C333B" w:rsidRDefault="007C333B" w:rsidP="002C3C39">
      <w:pPr>
        <w:pStyle w:val="MDPI71FootNotes"/>
        <w:numPr>
          <w:ilvl w:val="0"/>
          <w:numId w:val="0"/>
        </w:numPr>
      </w:pPr>
      <w:r>
        <w:t>28.</w:t>
      </w:r>
      <w:r>
        <w:tab/>
        <w:t xml:space="preserve">Motesharrei, S., Rivas, J., Kalnay, E. Human and nature dynamics (HANDY): Modeling inequality and use of resources in the collapse of sustainability of societies. </w:t>
      </w:r>
      <w:r w:rsidRPr="002C3C39">
        <w:rPr>
          <w:i/>
          <w:iCs/>
        </w:rPr>
        <w:t>Ecological Economics</w:t>
      </w:r>
      <w:r>
        <w:t xml:space="preserve"> </w:t>
      </w:r>
      <w:r w:rsidRPr="002C3C39">
        <w:rPr>
          <w:b/>
          <w:bCs/>
        </w:rPr>
        <w:t>2014</w:t>
      </w:r>
      <w:r>
        <w:t>, 101, 90-102.</w:t>
      </w:r>
    </w:p>
    <w:p w14:paraId="1D26E05F" w14:textId="5E5CEC6F" w:rsidR="00D01870" w:rsidRPr="001C5D95" w:rsidRDefault="007C333B" w:rsidP="007C333B">
      <w:pPr>
        <w:pStyle w:val="MDPI71FootNotes"/>
        <w:numPr>
          <w:ilvl w:val="0"/>
          <w:numId w:val="0"/>
        </w:numPr>
      </w:pPr>
      <w:r>
        <w:t>29.</w:t>
      </w:r>
      <w:r>
        <w:tab/>
        <w:t xml:space="preserve">Wiedmann, T., Lenzen, M., Keysser, L. T., Steinberger, J. K. Scientists’ warning on affluence. </w:t>
      </w:r>
      <w:r w:rsidRPr="002C3C39">
        <w:rPr>
          <w:i/>
          <w:iCs/>
        </w:rPr>
        <w:t>Nature Communications</w:t>
      </w:r>
      <w:r>
        <w:t xml:space="preserve"> </w:t>
      </w:r>
      <w:r w:rsidRPr="002C3C39">
        <w:rPr>
          <w:b/>
          <w:bCs/>
        </w:rPr>
        <w:t>2020</w:t>
      </w:r>
      <w:r>
        <w:t>, 11, 3107</w:t>
      </w:r>
    </w:p>
    <w:p w14:paraId="2DEFD134" w14:textId="7834E483" w:rsidR="001C5D95" w:rsidRPr="001C5D95" w:rsidRDefault="007C333B" w:rsidP="001C5D95">
      <w:pPr>
        <w:pStyle w:val="MDPI71FootNotes"/>
        <w:numPr>
          <w:ilvl w:val="0"/>
          <w:numId w:val="0"/>
        </w:numPr>
      </w:pPr>
      <w:r>
        <w:rPr>
          <w:highlight w:val="yellow"/>
        </w:rPr>
        <w:lastRenderedPageBreak/>
        <w:t>30</w:t>
      </w:r>
      <w:r w:rsidR="001C5D95" w:rsidRPr="001C5D95">
        <w:tab/>
        <w:t xml:space="preserve">Tainter, J.A. </w:t>
      </w:r>
      <w:r w:rsidR="001C5D95" w:rsidRPr="001C5D95">
        <w:rPr>
          <w:i/>
          <w:iCs/>
        </w:rPr>
        <w:t>The Collapse of Complex Societies</w:t>
      </w:r>
      <w:r w:rsidR="001C5D95" w:rsidRPr="001C5D95">
        <w:t xml:space="preserve">; Cambridge University Press: </w:t>
      </w:r>
      <w:r w:rsidR="001C5D95" w:rsidRPr="001C5D95">
        <w:rPr>
          <w:highlight w:val="yellow"/>
        </w:rPr>
        <w:t>Cambridge</w:t>
      </w:r>
      <w:r w:rsidR="001C5D95" w:rsidRPr="001C5D95">
        <w:t>, UK, 1988.</w:t>
      </w:r>
    </w:p>
    <w:p w14:paraId="64398717" w14:textId="202F5C52" w:rsidR="001C5D95" w:rsidRPr="001C5D95" w:rsidRDefault="007C333B" w:rsidP="001C5D95">
      <w:pPr>
        <w:pStyle w:val="MDPI71FootNotes"/>
        <w:numPr>
          <w:ilvl w:val="0"/>
          <w:numId w:val="0"/>
        </w:numPr>
      </w:pPr>
      <w:r>
        <w:t>31</w:t>
      </w:r>
      <w:r w:rsidR="001C5D95" w:rsidRPr="001C5D95">
        <w:t>.</w:t>
      </w:r>
      <w:r w:rsidR="001C5D95" w:rsidRPr="001C5D95">
        <w:tab/>
        <w:t xml:space="preserve">Bardi, U.; Falsini, S.; Perissi, I. Toward a general theory of societal collapse. A biophysical examination of Tainter’s model of the diminishing returns of complexity. </w:t>
      </w:r>
      <w:r w:rsidR="001C5D95" w:rsidRPr="001C5D95">
        <w:rPr>
          <w:i/>
        </w:rPr>
        <w:t xml:space="preserve">BioPhysical Econ. Resour. Qual. </w:t>
      </w:r>
      <w:r w:rsidR="001C5D95" w:rsidRPr="001C5D95">
        <w:rPr>
          <w:b/>
          <w:bCs/>
        </w:rPr>
        <w:t>2019</w:t>
      </w:r>
      <w:r w:rsidR="001C5D95" w:rsidRPr="001C5D95">
        <w:rPr>
          <w:bCs/>
        </w:rPr>
        <w:t xml:space="preserve">, </w:t>
      </w:r>
      <w:r w:rsidR="001C5D95" w:rsidRPr="001C5D95">
        <w:rPr>
          <w:bCs/>
          <w:i/>
        </w:rPr>
        <w:t>4</w:t>
      </w:r>
      <w:r w:rsidR="001C5D95" w:rsidRPr="001C5D95">
        <w:rPr>
          <w:bCs/>
        </w:rPr>
        <w:t>, 3</w:t>
      </w:r>
      <w:r w:rsidR="001C5D95" w:rsidRPr="001C5D95">
        <w:t>.</w:t>
      </w:r>
    </w:p>
    <w:p w14:paraId="0E0056F9" w14:textId="53F56A76" w:rsidR="001C5D95" w:rsidRPr="001C5D95" w:rsidRDefault="001C5D95" w:rsidP="001C5D95">
      <w:pPr>
        <w:pStyle w:val="MDPI71FootNotes"/>
        <w:numPr>
          <w:ilvl w:val="0"/>
          <w:numId w:val="0"/>
        </w:numPr>
      </w:pPr>
      <w:r w:rsidRPr="001C5D95">
        <w:t>3</w:t>
      </w:r>
      <w:r w:rsidR="007C333B">
        <w:t>2</w:t>
      </w:r>
      <w:r w:rsidRPr="001C5D95">
        <w:t>.</w:t>
      </w:r>
      <w:r w:rsidRPr="001C5D95">
        <w:tab/>
        <w:t xml:space="preserve">King, N.; Jones, A. An assessment of civil nuclear ‘enabling’ and ‘amelioration’ factors for EROI analysis. </w:t>
      </w:r>
      <w:r w:rsidRPr="001C5D95">
        <w:rPr>
          <w:i/>
          <w:iCs/>
        </w:rPr>
        <w:t xml:space="preserve">Sustainability </w:t>
      </w:r>
      <w:r w:rsidRPr="001C5D95">
        <w:rPr>
          <w:b/>
          <w:bCs/>
        </w:rPr>
        <w:t>2020</w:t>
      </w:r>
      <w:r w:rsidRPr="001C5D95">
        <w:rPr>
          <w:bCs/>
        </w:rPr>
        <w:t xml:space="preserve">, </w:t>
      </w:r>
      <w:r w:rsidRPr="001C5D95">
        <w:rPr>
          <w:bCs/>
          <w:i/>
        </w:rPr>
        <w:t>12</w:t>
      </w:r>
      <w:r w:rsidRPr="001C5D95">
        <w:rPr>
          <w:bCs/>
        </w:rPr>
        <w:t>, 8414</w:t>
      </w:r>
      <w:r w:rsidRPr="001C5D95">
        <w:t>.</w:t>
      </w:r>
    </w:p>
    <w:p w14:paraId="3E154B39" w14:textId="0902254F" w:rsidR="001C5D95" w:rsidRPr="001C5D95" w:rsidRDefault="001C5D95" w:rsidP="001C5D95">
      <w:pPr>
        <w:pStyle w:val="MDPI71FootNotes"/>
        <w:numPr>
          <w:ilvl w:val="0"/>
          <w:numId w:val="0"/>
        </w:numPr>
      </w:pPr>
      <w:r w:rsidRPr="001C5D95">
        <w:t>3</w:t>
      </w:r>
      <w:r w:rsidR="007C333B">
        <w:t>3</w:t>
      </w:r>
      <w:r w:rsidRPr="001C5D95">
        <w:t>.</w:t>
      </w:r>
      <w:r w:rsidRPr="001C5D95">
        <w:tab/>
      </w:r>
      <w:r w:rsidR="007C333B">
        <w:t xml:space="preserve">Andersen, R., </w:t>
      </w:r>
      <w:r w:rsidRPr="001C5D95">
        <w:t xml:space="preserve">It’s Complicated—Human Ingenuity Has Created a World That the Mind Cannot Master. Have We Finally Reached Our Limits? </w:t>
      </w:r>
      <w:r w:rsidR="007C333B" w:rsidRPr="002C3C39">
        <w:rPr>
          <w:b/>
          <w:bCs/>
        </w:rPr>
        <w:t>2014</w:t>
      </w:r>
      <w:r w:rsidR="007C333B">
        <w:t xml:space="preserve">. </w:t>
      </w:r>
      <w:r w:rsidRPr="001C5D95">
        <w:t>Available online: https://aeon.co/essays/is-technology-making-the-world-indecipherable (accessed on 23 March 2021).</w:t>
      </w:r>
    </w:p>
    <w:p w14:paraId="51F3AF75" w14:textId="325E0584" w:rsidR="001C5D95" w:rsidRPr="001C5D95" w:rsidRDefault="001C5D95" w:rsidP="001C5D95">
      <w:pPr>
        <w:pStyle w:val="MDPI71FootNotes"/>
        <w:numPr>
          <w:ilvl w:val="0"/>
          <w:numId w:val="0"/>
        </w:numPr>
      </w:pPr>
      <w:r w:rsidRPr="001C5D95">
        <w:t>3</w:t>
      </w:r>
      <w:r w:rsidR="007C333B">
        <w:t>4</w:t>
      </w:r>
      <w:r w:rsidRPr="001C5D95">
        <w:t>.</w:t>
      </w:r>
      <w:r w:rsidRPr="001C5D95">
        <w:tab/>
        <w:t xml:space="preserve">Press, F.; Siever, R.; Grotzinger, J.; Jordan, T.H. </w:t>
      </w:r>
      <w:r w:rsidRPr="001C5D95">
        <w:rPr>
          <w:i/>
          <w:iCs/>
        </w:rPr>
        <w:t>Understanding Earth</w:t>
      </w:r>
      <w:r w:rsidRPr="001C5D95">
        <w:t xml:space="preserve">, 4th ed.; W. H. Freeman and Company: </w:t>
      </w:r>
      <w:r w:rsidRPr="001C5D95">
        <w:rPr>
          <w:highlight w:val="yellow"/>
        </w:rPr>
        <w:t>New York, NY</w:t>
      </w:r>
      <w:r w:rsidRPr="001C5D95">
        <w:t>, USA, 2004.</w:t>
      </w:r>
    </w:p>
    <w:p w14:paraId="0C9F0EF9" w14:textId="5C066D2C" w:rsidR="001C5D95" w:rsidRPr="001C5D95" w:rsidRDefault="001C5D95" w:rsidP="001C5D95">
      <w:pPr>
        <w:pStyle w:val="MDPI71FootNotes"/>
        <w:numPr>
          <w:ilvl w:val="0"/>
          <w:numId w:val="0"/>
        </w:numPr>
      </w:pPr>
      <w:r w:rsidRPr="001C5D95">
        <w:t>3</w:t>
      </w:r>
      <w:r w:rsidR="007C333B">
        <w:t>5</w:t>
      </w:r>
      <w:r w:rsidRPr="001C5D95">
        <w:t>.</w:t>
      </w:r>
      <w:r w:rsidRPr="001C5D95">
        <w:tab/>
        <w:t xml:space="preserve">Ceballos, G.; Ehrlich, P.R.; Dirzo, R. Biological annihilation via the ongoing sixth mass extinction signalled by vertebrate population losses and declines. </w:t>
      </w:r>
      <w:r w:rsidRPr="001C5D95">
        <w:rPr>
          <w:i/>
          <w:iCs/>
          <w:highlight w:val="yellow"/>
        </w:rPr>
        <w:t>Proc. Natl. Acad. Sci.</w:t>
      </w:r>
      <w:r w:rsidRPr="001C5D95">
        <w:rPr>
          <w:i/>
          <w:iCs/>
        </w:rPr>
        <w:t xml:space="preserve"> USA</w:t>
      </w:r>
      <w:r w:rsidRPr="001C5D95">
        <w:t xml:space="preserve"> </w:t>
      </w:r>
      <w:r w:rsidRPr="001C5D95">
        <w:rPr>
          <w:b/>
          <w:bCs/>
        </w:rPr>
        <w:t>2017</w:t>
      </w:r>
      <w:r w:rsidRPr="001C5D95">
        <w:t xml:space="preserve">, </w:t>
      </w:r>
      <w:r w:rsidRPr="001C5D95">
        <w:rPr>
          <w:i/>
          <w:iCs/>
        </w:rPr>
        <w:t>114</w:t>
      </w:r>
      <w:r w:rsidRPr="001C5D95">
        <w:t>, E6089–E6096.</w:t>
      </w:r>
    </w:p>
    <w:p w14:paraId="4D0E1669" w14:textId="7D97111D" w:rsidR="001C5D95" w:rsidRPr="001C5D95" w:rsidRDefault="001C5D95" w:rsidP="001C5D95">
      <w:pPr>
        <w:pStyle w:val="MDPI71FootNotes"/>
        <w:numPr>
          <w:ilvl w:val="0"/>
          <w:numId w:val="0"/>
        </w:numPr>
      </w:pPr>
      <w:r w:rsidRPr="001C5D95">
        <w:t>3</w:t>
      </w:r>
      <w:r w:rsidR="007C333B">
        <w:t>6</w:t>
      </w:r>
      <w:r w:rsidRPr="001C5D95">
        <w:t>.</w:t>
      </w:r>
      <w:r w:rsidRPr="001C5D95">
        <w:tab/>
        <w:t>Plumptre, A.J.; Baisero, D.; Belote, R.T.; Vázquez-Domínguez, E.; Faurby, S.; J</w:t>
      </w:r>
      <w:r w:rsidRPr="001C5D95">
        <w:rPr>
          <w:rFonts w:ascii="Cambria" w:hAnsi="Cambria" w:cs="Cambria"/>
        </w:rPr>
        <w:t>ȩ</w:t>
      </w:r>
      <w:r w:rsidRPr="001C5D95">
        <w:t xml:space="preserve">drzejewski, W.; Kiara, H.; Kühl, H.; Benítez-López, A.; Luna-Aranguré, C.; et al. Where might we find ecologically intact communities? </w:t>
      </w:r>
      <w:r w:rsidRPr="001C5D95">
        <w:rPr>
          <w:i/>
          <w:iCs/>
        </w:rPr>
        <w:t>Front. For. Glob. Change</w:t>
      </w:r>
      <w:r w:rsidRPr="001C5D95">
        <w:t xml:space="preserve"> </w:t>
      </w:r>
      <w:r w:rsidRPr="001C5D95">
        <w:rPr>
          <w:b/>
          <w:bCs/>
        </w:rPr>
        <w:t>2021</w:t>
      </w:r>
      <w:r w:rsidRPr="001C5D95">
        <w:rPr>
          <w:bCs/>
        </w:rPr>
        <w:t xml:space="preserve">, </w:t>
      </w:r>
      <w:r w:rsidRPr="001C5D95">
        <w:rPr>
          <w:bCs/>
          <w:i/>
        </w:rPr>
        <w:t>4</w:t>
      </w:r>
      <w:r w:rsidRPr="001C5D95">
        <w:rPr>
          <w:bCs/>
        </w:rPr>
        <w:t>, 626635</w:t>
      </w:r>
      <w:r w:rsidRPr="001C5D95">
        <w:t>.</w:t>
      </w:r>
    </w:p>
    <w:p w14:paraId="307E9D93" w14:textId="27788776" w:rsidR="001C5D95" w:rsidRPr="001C5D95" w:rsidRDefault="007C333B" w:rsidP="001C5D95">
      <w:pPr>
        <w:pStyle w:val="MDPI71FootNotes"/>
        <w:numPr>
          <w:ilvl w:val="0"/>
          <w:numId w:val="0"/>
        </w:numPr>
      </w:pPr>
      <w:r>
        <w:rPr>
          <w:highlight w:val="yellow"/>
        </w:rPr>
        <w:t>37</w:t>
      </w:r>
      <w:r w:rsidR="001C5D95" w:rsidRPr="001C5D95">
        <w:rPr>
          <w:highlight w:val="yellow"/>
        </w:rPr>
        <w:t>.</w:t>
      </w:r>
      <w:r w:rsidR="001C5D95" w:rsidRPr="001C5D95">
        <w:tab/>
        <w:t xml:space="preserve">Bologna, M.; Aquino, G. Deforestation and world population sustainability: A quantitative analysis. </w:t>
      </w:r>
      <w:r w:rsidR="001C5D95" w:rsidRPr="001C5D95">
        <w:rPr>
          <w:i/>
          <w:iCs/>
        </w:rPr>
        <w:t>Sci. Rep.</w:t>
      </w:r>
      <w:r w:rsidR="001C5D95" w:rsidRPr="001C5D95">
        <w:t xml:space="preserve"> </w:t>
      </w:r>
      <w:r w:rsidR="001C5D95" w:rsidRPr="001C5D95">
        <w:rPr>
          <w:b/>
          <w:bCs/>
        </w:rPr>
        <w:t>2020</w:t>
      </w:r>
      <w:r w:rsidR="001C5D95" w:rsidRPr="001C5D95">
        <w:rPr>
          <w:bCs/>
        </w:rPr>
        <w:t xml:space="preserve">, </w:t>
      </w:r>
      <w:r w:rsidR="001C5D95" w:rsidRPr="001C5D95">
        <w:rPr>
          <w:bCs/>
          <w:i/>
        </w:rPr>
        <w:t>10</w:t>
      </w:r>
      <w:r w:rsidR="001C5D95" w:rsidRPr="001C5D95">
        <w:rPr>
          <w:bCs/>
        </w:rPr>
        <w:t>, 7631</w:t>
      </w:r>
      <w:r w:rsidR="001C5D95" w:rsidRPr="001C5D95">
        <w:t>.</w:t>
      </w:r>
    </w:p>
    <w:p w14:paraId="046FEBAB" w14:textId="55F19282" w:rsidR="001C5D95" w:rsidRPr="001C5D95" w:rsidRDefault="00502CF0" w:rsidP="001C5D95">
      <w:pPr>
        <w:pStyle w:val="MDPI71FootNotes"/>
        <w:numPr>
          <w:ilvl w:val="0"/>
          <w:numId w:val="0"/>
        </w:numPr>
        <w:rPr>
          <w:noProof w:val="0"/>
          <w:szCs w:val="18"/>
        </w:rPr>
      </w:pPr>
      <w:r>
        <w:rPr>
          <w:noProof w:val="0"/>
          <w:szCs w:val="18"/>
        </w:rPr>
        <w:t>3</w:t>
      </w:r>
      <w:r w:rsidR="007C333B">
        <w:rPr>
          <w:noProof w:val="0"/>
          <w:szCs w:val="18"/>
        </w:rPr>
        <w:t>8</w:t>
      </w:r>
      <w:r w:rsidR="001C5D95" w:rsidRPr="001C5D95">
        <w:rPr>
          <w:noProof w:val="0"/>
          <w:szCs w:val="18"/>
        </w:rPr>
        <w:t>.</w:t>
      </w:r>
      <w:r w:rsidR="001C5D95" w:rsidRPr="001C5D95">
        <w:rPr>
          <w:noProof w:val="0"/>
          <w:szCs w:val="18"/>
        </w:rPr>
        <w:tab/>
      </w:r>
      <w:r w:rsidR="001C5D95" w:rsidRPr="001C5D95">
        <w:t xml:space="preserve">The Intergovernmental Science-Policy Platform on Biodiversity and Ecosystem Services. Global Assessment Report on Biodiversity and Ecosystem Services of the Intergovernmental Science-Policy Platform on Biodiversity and Ecosystem Services; </w:t>
      </w:r>
      <w:r w:rsidR="001C5D95" w:rsidRPr="001C5D95">
        <w:rPr>
          <w:lang w:val="it-IT"/>
        </w:rPr>
        <w:t xml:space="preserve">Brondizio, E.S., Settele, J., Díaz, S., Ngo, H.T., Eds.; </w:t>
      </w:r>
      <w:r w:rsidR="001C5D95" w:rsidRPr="001C5D95">
        <w:t>IPBES Secretariat: Bonn, Germany, 2019</w:t>
      </w:r>
      <w:r w:rsidR="001C5D95" w:rsidRPr="001C5D95">
        <w:rPr>
          <w:noProof w:val="0"/>
          <w:szCs w:val="18"/>
        </w:rPr>
        <w:t>.</w:t>
      </w:r>
    </w:p>
    <w:p w14:paraId="54B0BBBD" w14:textId="2F8E5A7F" w:rsidR="001C5D95" w:rsidRPr="001C5D95" w:rsidRDefault="00502CF0" w:rsidP="001C5D95">
      <w:pPr>
        <w:pStyle w:val="MDPI71FootNotes"/>
        <w:numPr>
          <w:ilvl w:val="0"/>
          <w:numId w:val="0"/>
        </w:numPr>
      </w:pPr>
      <w:r>
        <w:t>3</w:t>
      </w:r>
      <w:r w:rsidR="007C333B">
        <w:t>9</w:t>
      </w:r>
      <w:r w:rsidR="001C5D95" w:rsidRPr="001C5D95">
        <w:t>.</w:t>
      </w:r>
      <w:r w:rsidR="001C5D95" w:rsidRPr="001C5D95">
        <w:tab/>
        <w:t xml:space="preserve">Brahney, J.; Mahowald, N.; Prank, M.; Cornwell, G.; Klimont, Z.; Matsui, H.; Prather, K.A. Constraining the atmospheric limb of the plastic cycle. </w:t>
      </w:r>
      <w:r w:rsidR="001C5D95" w:rsidRPr="001C5D95">
        <w:rPr>
          <w:i/>
          <w:iCs/>
        </w:rPr>
        <w:t>Proc. Natl. Acad. Sci. USA</w:t>
      </w:r>
      <w:r w:rsidR="001C5D95" w:rsidRPr="001C5D95">
        <w:t xml:space="preserve"> </w:t>
      </w:r>
      <w:r w:rsidR="001C5D95" w:rsidRPr="001C5D95">
        <w:rPr>
          <w:b/>
          <w:bCs/>
        </w:rPr>
        <w:t>2021</w:t>
      </w:r>
      <w:r w:rsidR="001C5D95" w:rsidRPr="001C5D95">
        <w:t xml:space="preserve">, </w:t>
      </w:r>
      <w:r w:rsidR="001C5D95" w:rsidRPr="001C5D95">
        <w:rPr>
          <w:i/>
          <w:iCs/>
        </w:rPr>
        <w:t>118</w:t>
      </w:r>
      <w:r w:rsidR="001C5D95" w:rsidRPr="001C5D95">
        <w:t xml:space="preserve">, </w:t>
      </w:r>
      <w:r w:rsidR="001C5D95" w:rsidRPr="001C5D95">
        <w:rPr>
          <w:highlight w:val="yellow"/>
        </w:rPr>
        <w:t>doi:10.1073/pnas.2020719118</w:t>
      </w:r>
      <w:r w:rsidR="001C5D95" w:rsidRPr="001C5D95">
        <w:t>.</w:t>
      </w:r>
    </w:p>
    <w:p w14:paraId="1B1F197B" w14:textId="033288BE" w:rsidR="001C5D95" w:rsidRPr="001C5D95" w:rsidRDefault="007C333B" w:rsidP="001C5D95">
      <w:pPr>
        <w:pStyle w:val="MDPI71FootNotes"/>
        <w:numPr>
          <w:ilvl w:val="0"/>
          <w:numId w:val="0"/>
        </w:numPr>
      </w:pPr>
      <w:r>
        <w:t>40</w:t>
      </w:r>
      <w:r w:rsidR="001C5D95" w:rsidRPr="001C5D95">
        <w:t>.</w:t>
      </w:r>
      <w:r w:rsidR="001C5D95" w:rsidRPr="001C5D95">
        <w:tab/>
        <w:t xml:space="preserve">Morton, T. </w:t>
      </w:r>
      <w:r w:rsidR="001C5D95" w:rsidRPr="001C5D95">
        <w:rPr>
          <w:i/>
          <w:iCs/>
        </w:rPr>
        <w:t>Hyperobjects—Philosophy and Ecology after the End of the World</w:t>
      </w:r>
      <w:r w:rsidR="001C5D95" w:rsidRPr="001C5D95">
        <w:t xml:space="preserve">; University of Minnesota Press: </w:t>
      </w:r>
      <w:r w:rsidR="001C5D95" w:rsidRPr="001C5D95">
        <w:rPr>
          <w:highlight w:val="yellow"/>
        </w:rPr>
        <w:t>Minneapolis, MN</w:t>
      </w:r>
      <w:r w:rsidR="001C5D95" w:rsidRPr="001C5D95">
        <w:t>, USA, 2013.</w:t>
      </w:r>
    </w:p>
    <w:p w14:paraId="132132AB" w14:textId="44B482E4" w:rsidR="001C5D95" w:rsidRPr="001C5D95" w:rsidRDefault="007C333B" w:rsidP="001C5D95">
      <w:pPr>
        <w:pStyle w:val="MDPI71FootNotes"/>
        <w:numPr>
          <w:ilvl w:val="0"/>
          <w:numId w:val="0"/>
        </w:numPr>
      </w:pPr>
      <w:r>
        <w:t>41</w:t>
      </w:r>
      <w:r w:rsidR="001C5D95" w:rsidRPr="001C5D95">
        <w:t>.</w:t>
      </w:r>
      <w:r w:rsidR="001C5D95" w:rsidRPr="001C5D95">
        <w:tab/>
        <w:t xml:space="preserve">Lade, S.J.; Norberg, J.; Anderies, J.M.; Beer, C.; Cornell, S.E.; Donges, J.F.; Fetzer, I.; Gasser, T.; Richardson, K.; Rockström, J.; et al. Potential feedbacks between loss of biosphere integrity and climate change. </w:t>
      </w:r>
      <w:r w:rsidR="001C5D95" w:rsidRPr="001C5D95">
        <w:rPr>
          <w:i/>
        </w:rPr>
        <w:t xml:space="preserve">Glob. Sustain. </w:t>
      </w:r>
      <w:r w:rsidR="001C5D95" w:rsidRPr="001C5D95">
        <w:rPr>
          <w:b/>
          <w:bCs/>
        </w:rPr>
        <w:t>2019</w:t>
      </w:r>
      <w:r w:rsidR="001C5D95" w:rsidRPr="001C5D95">
        <w:rPr>
          <w:bCs/>
        </w:rPr>
        <w:t xml:space="preserve">, </w:t>
      </w:r>
      <w:r w:rsidR="001C5D95" w:rsidRPr="001C5D95">
        <w:rPr>
          <w:bCs/>
          <w:i/>
        </w:rPr>
        <w:t>2</w:t>
      </w:r>
      <w:r w:rsidR="001C5D95" w:rsidRPr="001C5D95">
        <w:rPr>
          <w:bCs/>
        </w:rPr>
        <w:t>, 1–15</w:t>
      </w:r>
      <w:r w:rsidR="001C5D95" w:rsidRPr="001C5D95">
        <w:t>.</w:t>
      </w:r>
    </w:p>
    <w:p w14:paraId="7BA17953" w14:textId="5C0E4290" w:rsidR="001C5D95" w:rsidRPr="001C5D95" w:rsidRDefault="00502CF0" w:rsidP="001C5D95">
      <w:pPr>
        <w:pStyle w:val="MDPI71FootNotes"/>
        <w:numPr>
          <w:ilvl w:val="0"/>
          <w:numId w:val="0"/>
        </w:numPr>
      </w:pPr>
      <w:r>
        <w:t>4</w:t>
      </w:r>
      <w:r w:rsidR="007C333B">
        <w:t>2</w:t>
      </w:r>
      <w:r w:rsidR="001C5D95" w:rsidRPr="001C5D95">
        <w:t>.</w:t>
      </w:r>
      <w:r w:rsidR="001C5D95" w:rsidRPr="001C5D95">
        <w:tab/>
        <w:t xml:space="preserve">Sawas, A.; Workman, M.; Mirumachi, N. </w:t>
      </w:r>
      <w:r w:rsidR="001C5D95" w:rsidRPr="001C5D95">
        <w:rPr>
          <w:i/>
          <w:iCs/>
        </w:rPr>
        <w:t>Climate Change, Low Carbon Transitions and Security</w:t>
      </w:r>
      <w:r w:rsidR="001C5D95" w:rsidRPr="001C5D95">
        <w:t xml:space="preserve">; Grantham Institute Briefing Paper No. 25; Imperial College London: </w:t>
      </w:r>
      <w:r w:rsidR="001C5D95" w:rsidRPr="001C5D95">
        <w:rPr>
          <w:highlight w:val="yellow"/>
        </w:rPr>
        <w:t>London</w:t>
      </w:r>
      <w:r w:rsidR="001C5D95" w:rsidRPr="001C5D95">
        <w:t>, UK, 2018.</w:t>
      </w:r>
    </w:p>
    <w:p w14:paraId="7CB84F9F" w14:textId="2A1C8813" w:rsidR="001C5D95" w:rsidRPr="001C5D95" w:rsidRDefault="001C5D95" w:rsidP="001C5D95">
      <w:pPr>
        <w:pStyle w:val="MDPI71FootNotes"/>
        <w:numPr>
          <w:ilvl w:val="0"/>
          <w:numId w:val="0"/>
        </w:numPr>
      </w:pPr>
      <w:r w:rsidRPr="001C5D95">
        <w:t>4</w:t>
      </w:r>
      <w:r w:rsidR="007C333B">
        <w:t>3</w:t>
      </w:r>
      <w:r w:rsidRPr="001C5D95">
        <w:t>.</w:t>
      </w:r>
      <w:r w:rsidRPr="001C5D95">
        <w:tab/>
        <w:t xml:space="preserve">Bendell, J. </w:t>
      </w:r>
      <w:r w:rsidRPr="001C5D95">
        <w:rPr>
          <w:i/>
          <w:iCs/>
        </w:rPr>
        <w:t>Deep Adaptation—A Map for Navigating Climate Tragedy</w:t>
      </w:r>
      <w:r w:rsidRPr="001C5D95">
        <w:t xml:space="preserve">; Institute for Leadership and Sustainability (IFLAS) Occasional Papers Volume 2; </w:t>
      </w:r>
      <w:r w:rsidRPr="001C5D95">
        <w:rPr>
          <w:highlight w:val="yellow"/>
        </w:rPr>
        <w:t>University of Cumbria: Ambleside, UK, 2018</w:t>
      </w:r>
      <w:r w:rsidRPr="001C5D95">
        <w:t>.</w:t>
      </w:r>
    </w:p>
    <w:p w14:paraId="45D38B4F" w14:textId="239CFAC0" w:rsidR="001C5D95" w:rsidRPr="001C5D95" w:rsidRDefault="001C5D95" w:rsidP="001C5D95">
      <w:pPr>
        <w:pStyle w:val="MDPI71FootNotes"/>
        <w:numPr>
          <w:ilvl w:val="0"/>
          <w:numId w:val="0"/>
        </w:numPr>
      </w:pPr>
      <w:r w:rsidRPr="001C5D95">
        <w:t>4</w:t>
      </w:r>
      <w:r w:rsidR="007C333B">
        <w:t>4</w:t>
      </w:r>
      <w:r w:rsidRPr="001C5D95">
        <w:t>.</w:t>
      </w:r>
      <w:r w:rsidRPr="001C5D95">
        <w:tab/>
        <w:t xml:space="preserve">Lenton, T.M.; Rockström, J.; Gaffney, O.; Rahmstorf, S.; Richardson, K.; Steffen, W.; Schellnhuber, H.J. Climate tipping points—too risky to bet against. </w:t>
      </w:r>
      <w:r w:rsidRPr="001C5D95">
        <w:rPr>
          <w:i/>
          <w:iCs/>
        </w:rPr>
        <w:t>Nature</w:t>
      </w:r>
      <w:r w:rsidRPr="001C5D95">
        <w:t xml:space="preserve"> </w:t>
      </w:r>
      <w:r w:rsidRPr="001C5D95">
        <w:rPr>
          <w:b/>
          <w:bCs/>
        </w:rPr>
        <w:t>2020</w:t>
      </w:r>
      <w:r w:rsidRPr="001C5D95">
        <w:rPr>
          <w:bCs/>
        </w:rPr>
        <w:t xml:space="preserve">, </w:t>
      </w:r>
      <w:r w:rsidRPr="001C5D95">
        <w:rPr>
          <w:bCs/>
          <w:i/>
        </w:rPr>
        <w:t>575</w:t>
      </w:r>
      <w:r w:rsidRPr="001C5D95">
        <w:rPr>
          <w:bCs/>
        </w:rPr>
        <w:t>, 592–595</w:t>
      </w:r>
      <w:r w:rsidRPr="001C5D95">
        <w:t>.</w:t>
      </w:r>
    </w:p>
    <w:p w14:paraId="5F943BFA" w14:textId="584C53EB" w:rsidR="001C5D95" w:rsidRPr="001C5D95" w:rsidRDefault="007C333B" w:rsidP="001C5D95">
      <w:pPr>
        <w:pStyle w:val="MDPI71FootNotes"/>
        <w:numPr>
          <w:ilvl w:val="0"/>
          <w:numId w:val="0"/>
        </w:numPr>
      </w:pPr>
      <w:r>
        <w:t>45</w:t>
      </w:r>
      <w:r w:rsidR="001C5D95" w:rsidRPr="001C5D95">
        <w:t>.</w:t>
      </w:r>
      <w:r w:rsidR="001C5D95" w:rsidRPr="001C5D95">
        <w:tab/>
        <w:t xml:space="preserve">Afelt, A.; Frutos, R.; Devaux, C. Bats, Coronaviruses, and deforestation: Toward the emergence of novel infectious diseases? </w:t>
      </w:r>
      <w:r w:rsidR="001C5D95" w:rsidRPr="001C5D95">
        <w:rPr>
          <w:i/>
          <w:iCs/>
        </w:rPr>
        <w:t>Front. Microbiol.</w:t>
      </w:r>
      <w:r w:rsidR="001C5D95" w:rsidRPr="001C5D95">
        <w:t xml:space="preserve"> </w:t>
      </w:r>
      <w:r w:rsidR="001C5D95" w:rsidRPr="001C5D95">
        <w:rPr>
          <w:b/>
          <w:bCs/>
        </w:rPr>
        <w:t>2018</w:t>
      </w:r>
      <w:r w:rsidR="001C5D95" w:rsidRPr="001C5D95">
        <w:rPr>
          <w:bCs/>
        </w:rPr>
        <w:t xml:space="preserve">, </w:t>
      </w:r>
      <w:r w:rsidR="001C5D95" w:rsidRPr="001C5D95">
        <w:rPr>
          <w:bCs/>
          <w:i/>
        </w:rPr>
        <w:t>9</w:t>
      </w:r>
      <w:r w:rsidR="001C5D95" w:rsidRPr="001C5D95">
        <w:rPr>
          <w:bCs/>
        </w:rPr>
        <w:t>, 702.</w:t>
      </w:r>
    </w:p>
    <w:p w14:paraId="54CDBD56" w14:textId="033C32BF" w:rsidR="001C5D95" w:rsidRPr="001C5D95" w:rsidRDefault="00502CF0" w:rsidP="001C5D95">
      <w:pPr>
        <w:pStyle w:val="MDPI71FootNotes"/>
        <w:numPr>
          <w:ilvl w:val="0"/>
          <w:numId w:val="0"/>
        </w:numPr>
      </w:pPr>
      <w:r>
        <w:t>4</w:t>
      </w:r>
      <w:r w:rsidR="007C333B">
        <w:t>6</w:t>
      </w:r>
      <w:r w:rsidR="001C5D95" w:rsidRPr="001C5D95">
        <w:t>.</w:t>
      </w:r>
      <w:r w:rsidR="001C5D95" w:rsidRPr="001C5D95">
        <w:tab/>
        <w:t xml:space="preserve">Rohr, J.R.; Barrett, C.B.; Civitello, D.J.; Craft, M.E.; Delius, B.; DeLeo, G.A.; Hudson, P.J.; Jouanard, N.; Nguyen, K.H.; Ostfeld, R.S.; et al. Emerging human infectious diseases and the links to global food production. </w:t>
      </w:r>
      <w:r w:rsidR="001C5D95" w:rsidRPr="001C5D95">
        <w:rPr>
          <w:i/>
        </w:rPr>
        <w:t xml:space="preserve">Nat. Sustain. </w:t>
      </w:r>
      <w:r w:rsidR="001C5D95" w:rsidRPr="001C5D95">
        <w:rPr>
          <w:b/>
          <w:bCs/>
        </w:rPr>
        <w:t>2019</w:t>
      </w:r>
      <w:r w:rsidR="001C5D95" w:rsidRPr="001C5D95">
        <w:rPr>
          <w:bCs/>
        </w:rPr>
        <w:t xml:space="preserve">, </w:t>
      </w:r>
      <w:r w:rsidR="001C5D95" w:rsidRPr="001C5D95">
        <w:rPr>
          <w:bCs/>
          <w:i/>
        </w:rPr>
        <w:t>2</w:t>
      </w:r>
      <w:r w:rsidR="001C5D95" w:rsidRPr="001C5D95">
        <w:rPr>
          <w:bCs/>
        </w:rPr>
        <w:t>, 445–456.</w:t>
      </w:r>
    </w:p>
    <w:p w14:paraId="73E56C13" w14:textId="37736ABB" w:rsidR="001C5D95" w:rsidRPr="001C5D95" w:rsidRDefault="00502CF0" w:rsidP="001C5D95">
      <w:pPr>
        <w:pStyle w:val="MDPI71FootNotes"/>
        <w:numPr>
          <w:ilvl w:val="0"/>
          <w:numId w:val="0"/>
        </w:numPr>
      </w:pPr>
      <w:r>
        <w:t>4</w:t>
      </w:r>
      <w:r w:rsidR="007C333B">
        <w:t>7</w:t>
      </w:r>
      <w:r w:rsidR="001C5D95" w:rsidRPr="001C5D95">
        <w:t>.</w:t>
      </w:r>
      <w:r w:rsidR="001C5D95" w:rsidRPr="001C5D95">
        <w:tab/>
        <w:t xml:space="preserve">Morens, D.M.; Fauci, A.S. Emerging pandemic diseases: How we got to COVID-19. </w:t>
      </w:r>
      <w:r w:rsidR="001C5D95" w:rsidRPr="001C5D95">
        <w:rPr>
          <w:i/>
          <w:iCs/>
        </w:rPr>
        <w:t>Cell</w:t>
      </w:r>
      <w:r w:rsidR="001C5D95" w:rsidRPr="001C5D95">
        <w:t xml:space="preserve"> </w:t>
      </w:r>
      <w:r w:rsidR="001C5D95" w:rsidRPr="001C5D95">
        <w:rPr>
          <w:b/>
          <w:bCs/>
        </w:rPr>
        <w:t xml:space="preserve">2020, </w:t>
      </w:r>
      <w:r w:rsidR="001C5D95" w:rsidRPr="001C5D95">
        <w:rPr>
          <w:i/>
        </w:rPr>
        <w:t>182</w:t>
      </w:r>
      <w:r w:rsidR="001C5D95" w:rsidRPr="001C5D95">
        <w:rPr>
          <w:b/>
          <w:bCs/>
        </w:rPr>
        <w:t>, 1077–1092</w:t>
      </w:r>
      <w:r w:rsidR="001C5D95" w:rsidRPr="001C5D95">
        <w:t>.</w:t>
      </w:r>
    </w:p>
    <w:p w14:paraId="436FFAF4" w14:textId="61D25B41" w:rsidR="001C5D95" w:rsidRPr="001C5D95" w:rsidRDefault="00502CF0" w:rsidP="001C5D95">
      <w:pPr>
        <w:pStyle w:val="MDPI71FootNotes"/>
        <w:numPr>
          <w:ilvl w:val="0"/>
          <w:numId w:val="0"/>
        </w:numPr>
      </w:pPr>
      <w:r>
        <w:t>4</w:t>
      </w:r>
      <w:r w:rsidR="007C333B">
        <w:t>8</w:t>
      </w:r>
      <w:r w:rsidR="001C5D95" w:rsidRPr="001C5D95">
        <w:t>.</w:t>
      </w:r>
      <w:r w:rsidR="001C5D95" w:rsidRPr="001C5D95">
        <w:tab/>
      </w:r>
      <w:r w:rsidR="007C333B">
        <w:t xml:space="preserve">United Nations. </w:t>
      </w:r>
      <w:r w:rsidR="001C5D95" w:rsidRPr="001C5D95">
        <w:t xml:space="preserve">Vaccination no Guarantee of Virus Eradication: WHO Officials. </w:t>
      </w:r>
      <w:r w:rsidR="007C333B">
        <w:t>United Nations, New York, USA</w:t>
      </w:r>
      <w:r w:rsidR="001C5D95" w:rsidRPr="001C5D95">
        <w:t xml:space="preserve"> </w:t>
      </w:r>
      <w:r w:rsidR="007C333B" w:rsidRPr="002C3C39">
        <w:rPr>
          <w:b/>
          <w:bCs/>
        </w:rPr>
        <w:t>2020</w:t>
      </w:r>
      <w:r w:rsidR="007C333B">
        <w:t xml:space="preserve">. </w:t>
      </w:r>
      <w:r w:rsidR="001C5D95" w:rsidRPr="001C5D95">
        <w:t>Available online: https://news.un.org/en/story/2020/12/1080982 (accessed on 14 April 2021).</w:t>
      </w:r>
    </w:p>
    <w:p w14:paraId="39FB4BC4" w14:textId="5E03BCDB" w:rsidR="001C5D95" w:rsidRPr="001C5D95" w:rsidRDefault="00502CF0" w:rsidP="001C5D95">
      <w:pPr>
        <w:pStyle w:val="MDPI71FootNotes"/>
        <w:numPr>
          <w:ilvl w:val="0"/>
          <w:numId w:val="0"/>
        </w:numPr>
      </w:pPr>
      <w:r>
        <w:t>4</w:t>
      </w:r>
      <w:r w:rsidR="007C333B">
        <w:t>9</w:t>
      </w:r>
      <w:r w:rsidR="001C5D95" w:rsidRPr="001C5D95">
        <w:t>.</w:t>
      </w:r>
      <w:r w:rsidR="001C5D95" w:rsidRPr="001C5D95">
        <w:tab/>
        <w:t xml:space="preserve">Goldin, I.; Mariathasan, M. </w:t>
      </w:r>
      <w:r w:rsidR="001C5D95" w:rsidRPr="001C5D95">
        <w:rPr>
          <w:i/>
          <w:iCs/>
        </w:rPr>
        <w:t>The Butterfly Defect. How Globalisation Creates Systemic Risks, and What to Do about It</w:t>
      </w:r>
      <w:r w:rsidR="001C5D95" w:rsidRPr="001C5D95">
        <w:t xml:space="preserve">; Princeton University Press: </w:t>
      </w:r>
      <w:r w:rsidR="001C5D95" w:rsidRPr="001C5D95">
        <w:rPr>
          <w:highlight w:val="yellow"/>
        </w:rPr>
        <w:t>Princeton, NJ</w:t>
      </w:r>
      <w:r w:rsidR="001C5D95" w:rsidRPr="001C5D95">
        <w:t>, USA, 2014.</w:t>
      </w:r>
    </w:p>
    <w:p w14:paraId="789671F8" w14:textId="5070FB25" w:rsidR="001C5D95" w:rsidRPr="001C5D95" w:rsidRDefault="007C333B" w:rsidP="001C5D95">
      <w:pPr>
        <w:pStyle w:val="MDPI71FootNotes"/>
        <w:numPr>
          <w:ilvl w:val="0"/>
          <w:numId w:val="0"/>
        </w:numPr>
      </w:pPr>
      <w:r>
        <w:t>50</w:t>
      </w:r>
      <w:r w:rsidR="001C5D95" w:rsidRPr="001C5D95">
        <w:t>.</w:t>
      </w:r>
      <w:r w:rsidR="001C5D95" w:rsidRPr="001C5D95">
        <w:tab/>
        <w:t xml:space="preserve">Korowicz, D.; Calantzopoulos, M. </w:t>
      </w:r>
      <w:r w:rsidR="001C5D95" w:rsidRPr="001C5D95">
        <w:rPr>
          <w:i/>
          <w:iCs/>
        </w:rPr>
        <w:t>Beyond Resilience: Global Systemic Risk, Systemic Failure and Societal Responsiveness</w:t>
      </w:r>
      <w:r w:rsidR="001C5D95" w:rsidRPr="001C5D95">
        <w:t xml:space="preserve">; Geneva Initiative White Paper; Geneva Initiative: </w:t>
      </w:r>
      <w:r w:rsidR="001C5D95" w:rsidRPr="001C5D95">
        <w:rPr>
          <w:highlight w:val="yellow"/>
        </w:rPr>
        <w:t>Geneva, Switzerland</w:t>
      </w:r>
      <w:r w:rsidR="001C5D95" w:rsidRPr="001C5D95">
        <w:t>, 2018.</w:t>
      </w:r>
    </w:p>
    <w:p w14:paraId="3E9F3A25" w14:textId="195F8F43" w:rsidR="001C5D95" w:rsidRPr="001C5D95" w:rsidRDefault="007C333B" w:rsidP="001C5D95">
      <w:pPr>
        <w:pStyle w:val="MDPI71FootNotes"/>
        <w:numPr>
          <w:ilvl w:val="0"/>
          <w:numId w:val="0"/>
        </w:numPr>
      </w:pPr>
      <w:r>
        <w:t>51</w:t>
      </w:r>
      <w:r w:rsidR="001C5D95" w:rsidRPr="001C5D95">
        <w:t>.</w:t>
      </w:r>
      <w:r w:rsidR="001C5D95" w:rsidRPr="001C5D95">
        <w:tab/>
        <w:t xml:space="preserve">Brummitt, C.D.; Barnett, G.; D’Souza, R.M. Coupled Catastrophes: Sudden shifts cascade and hop among interdependent systems. </w:t>
      </w:r>
      <w:r w:rsidR="001C5D95" w:rsidRPr="001C5D95">
        <w:rPr>
          <w:i/>
          <w:iCs/>
        </w:rPr>
        <w:t>J. R. Soc.</w:t>
      </w:r>
      <w:r w:rsidR="001C5D95" w:rsidRPr="001C5D95">
        <w:t xml:space="preserve"> </w:t>
      </w:r>
      <w:r w:rsidR="001C5D95" w:rsidRPr="001C5D95">
        <w:rPr>
          <w:i/>
        </w:rPr>
        <w:t>Interface</w:t>
      </w:r>
      <w:r w:rsidR="001C5D95" w:rsidRPr="001C5D95">
        <w:t xml:space="preserve"> </w:t>
      </w:r>
      <w:r w:rsidR="001C5D95" w:rsidRPr="001C5D95">
        <w:rPr>
          <w:b/>
          <w:bCs/>
        </w:rPr>
        <w:t>2015</w:t>
      </w:r>
      <w:r w:rsidR="001C5D95" w:rsidRPr="001C5D95">
        <w:rPr>
          <w:bCs/>
        </w:rPr>
        <w:t xml:space="preserve">, </w:t>
      </w:r>
      <w:r w:rsidR="001C5D95" w:rsidRPr="001C5D95">
        <w:rPr>
          <w:bCs/>
          <w:i/>
        </w:rPr>
        <w:t>12</w:t>
      </w:r>
      <w:r w:rsidR="001C5D95" w:rsidRPr="001C5D95">
        <w:rPr>
          <w:bCs/>
        </w:rPr>
        <w:t>, 20150712.</w:t>
      </w:r>
    </w:p>
    <w:p w14:paraId="7D866B70" w14:textId="0207C87F" w:rsidR="001C5D95" w:rsidRPr="001C5D95" w:rsidRDefault="00502CF0" w:rsidP="001C5D95">
      <w:pPr>
        <w:pStyle w:val="MDPI71FootNotes"/>
        <w:numPr>
          <w:ilvl w:val="0"/>
          <w:numId w:val="0"/>
        </w:numPr>
      </w:pPr>
      <w:r>
        <w:t>5</w:t>
      </w:r>
      <w:r w:rsidR="007C333B">
        <w:t>2</w:t>
      </w:r>
      <w:r w:rsidR="001C5D95" w:rsidRPr="001C5D95">
        <w:t>.</w:t>
      </w:r>
      <w:r w:rsidR="001C5D95" w:rsidRPr="001C5D95">
        <w:tab/>
        <w:t xml:space="preserve">Dilworth, C. </w:t>
      </w:r>
      <w:r w:rsidR="001C5D95" w:rsidRPr="001C5D95">
        <w:rPr>
          <w:i/>
          <w:iCs/>
        </w:rPr>
        <w:t>Too Smart for Our Own Good: The Ecological Predicament of Humankind</w:t>
      </w:r>
      <w:r w:rsidR="001C5D95" w:rsidRPr="001C5D95">
        <w:t xml:space="preserve">; Cambridge University Press: </w:t>
      </w:r>
      <w:r w:rsidR="001C5D95" w:rsidRPr="001C5D95">
        <w:rPr>
          <w:highlight w:val="yellow"/>
        </w:rPr>
        <w:t>Cambridge</w:t>
      </w:r>
      <w:r w:rsidR="001C5D95" w:rsidRPr="001C5D95">
        <w:t>, UK, 2010.</w:t>
      </w:r>
    </w:p>
    <w:p w14:paraId="28D4AB43" w14:textId="7FA36ABA" w:rsidR="001C5D95" w:rsidRPr="001C5D95" w:rsidRDefault="00502CF0" w:rsidP="001C5D95">
      <w:pPr>
        <w:pStyle w:val="MDPI71FootNotes"/>
        <w:numPr>
          <w:ilvl w:val="0"/>
          <w:numId w:val="0"/>
        </w:numPr>
      </w:pPr>
      <w:r>
        <w:t>5</w:t>
      </w:r>
      <w:r w:rsidR="007C333B">
        <w:t>3</w:t>
      </w:r>
      <w:r w:rsidR="001C5D95" w:rsidRPr="001C5D95">
        <w:t>.</w:t>
      </w:r>
      <w:r w:rsidR="001C5D95" w:rsidRPr="001C5D95">
        <w:tab/>
        <w:t xml:space="preserve">Bradshaw, C.J.A.; Ehrlich, P.R.; Beattie, A.; Ceballos, G.; Crist, E.; Diamond, J.; Dirzo, R.; Ehrlich, A.H.; Harte, J.; Harte, M.E.; et al. Underestimating the challenges of avoiding a ghastly future. </w:t>
      </w:r>
      <w:r w:rsidR="001C5D95" w:rsidRPr="001C5D95">
        <w:rPr>
          <w:i/>
        </w:rPr>
        <w:t xml:space="preserve">Front. Conserv. Sci. </w:t>
      </w:r>
      <w:r w:rsidR="001C5D95" w:rsidRPr="001C5D95">
        <w:rPr>
          <w:b/>
          <w:bCs/>
        </w:rPr>
        <w:t>2021</w:t>
      </w:r>
      <w:r w:rsidR="001C5D95" w:rsidRPr="001C5D95">
        <w:rPr>
          <w:bCs/>
        </w:rPr>
        <w:t xml:space="preserve">, </w:t>
      </w:r>
      <w:r w:rsidR="001C5D95" w:rsidRPr="001C5D95">
        <w:rPr>
          <w:bCs/>
          <w:i/>
        </w:rPr>
        <w:t>1</w:t>
      </w:r>
      <w:r w:rsidR="001C5D95" w:rsidRPr="001C5D95">
        <w:rPr>
          <w:bCs/>
        </w:rPr>
        <w:t>, 615419</w:t>
      </w:r>
      <w:r w:rsidR="001C5D95" w:rsidRPr="001C5D95">
        <w:t>.</w:t>
      </w:r>
    </w:p>
    <w:p w14:paraId="01274105" w14:textId="36D00C35" w:rsidR="007C333B" w:rsidRPr="001C5D95" w:rsidRDefault="007C333B" w:rsidP="007C333B">
      <w:pPr>
        <w:pStyle w:val="MDPI71FootNotes"/>
        <w:numPr>
          <w:ilvl w:val="0"/>
          <w:numId w:val="0"/>
        </w:numPr>
      </w:pPr>
      <w:r>
        <w:t>54</w:t>
      </w:r>
      <w:r w:rsidRPr="001C5D95">
        <w:t>.</w:t>
      </w:r>
      <w:r w:rsidRPr="001C5D95">
        <w:tab/>
        <w:t xml:space="preserve">Boyd, M.; Wilson, N. The prioritisation of island nations as refuges from extreme pandemics. </w:t>
      </w:r>
      <w:r w:rsidRPr="001C5D95">
        <w:rPr>
          <w:i/>
        </w:rPr>
        <w:t xml:space="preserve">Risk Anal. </w:t>
      </w:r>
      <w:r w:rsidRPr="001C5D95">
        <w:rPr>
          <w:b/>
          <w:bCs/>
        </w:rPr>
        <w:t>2019</w:t>
      </w:r>
      <w:r w:rsidRPr="001C5D95">
        <w:rPr>
          <w:bCs/>
        </w:rPr>
        <w:t xml:space="preserve">, </w:t>
      </w:r>
      <w:r w:rsidRPr="001C5D95">
        <w:rPr>
          <w:bCs/>
          <w:i/>
        </w:rPr>
        <w:t>40</w:t>
      </w:r>
      <w:r w:rsidRPr="001C5D95">
        <w:rPr>
          <w:bCs/>
        </w:rPr>
        <w:t>, 227–239</w:t>
      </w:r>
      <w:r w:rsidRPr="001C5D95">
        <w:t>.</w:t>
      </w:r>
    </w:p>
    <w:p w14:paraId="01BB01AF" w14:textId="3B42636D" w:rsidR="001C5D95" w:rsidRPr="001C5D95" w:rsidRDefault="001C5D95" w:rsidP="001C5D95">
      <w:pPr>
        <w:pStyle w:val="MDPI71FootNotes"/>
        <w:numPr>
          <w:ilvl w:val="0"/>
          <w:numId w:val="0"/>
        </w:numPr>
      </w:pPr>
      <w:r w:rsidRPr="001C5D95">
        <w:t>5</w:t>
      </w:r>
      <w:r w:rsidR="007C333B">
        <w:t>5</w:t>
      </w:r>
      <w:r w:rsidRPr="001C5D95">
        <w:t>.</w:t>
      </w:r>
      <w:r w:rsidRPr="001C5D95">
        <w:tab/>
        <w:t xml:space="preserve">Breierova, L. </w:t>
      </w:r>
      <w:r w:rsidRPr="001C5D95">
        <w:rPr>
          <w:i/>
          <w:iCs/>
        </w:rPr>
        <w:t>Generic Structures: Overshoot and Collapse</w:t>
      </w:r>
      <w:r w:rsidRPr="001C5D95">
        <w:t xml:space="preserve">; System Dynamics in Education Project, Massachusetts Institute of Technology: </w:t>
      </w:r>
      <w:r w:rsidRPr="001C5D95">
        <w:rPr>
          <w:highlight w:val="yellow"/>
        </w:rPr>
        <w:t>Cambridge, MA, USA</w:t>
      </w:r>
      <w:r w:rsidRPr="001C5D95">
        <w:t>, 1997.</w:t>
      </w:r>
    </w:p>
    <w:p w14:paraId="7E3C4FF7" w14:textId="7CED0EC2" w:rsidR="001C5D95" w:rsidRPr="001C5D95" w:rsidRDefault="00502CF0" w:rsidP="001C5D95">
      <w:pPr>
        <w:pStyle w:val="MDPI71FootNotes"/>
        <w:numPr>
          <w:ilvl w:val="0"/>
          <w:numId w:val="0"/>
        </w:numPr>
      </w:pPr>
      <w:r>
        <w:t>5</w:t>
      </w:r>
      <w:r w:rsidR="007C333B">
        <w:t>6</w:t>
      </w:r>
      <w:r w:rsidR="001C5D95" w:rsidRPr="001C5D95">
        <w:t>.</w:t>
      </w:r>
      <w:r w:rsidR="001C5D95" w:rsidRPr="001C5D95">
        <w:tab/>
        <w:t xml:space="preserve">Heinberg, R. </w:t>
      </w:r>
      <w:r w:rsidR="001C5D95" w:rsidRPr="001C5D95">
        <w:rPr>
          <w:i/>
          <w:iCs/>
        </w:rPr>
        <w:t>Powerdown: Options and Actions for a Post-Carbon Society</w:t>
      </w:r>
      <w:r w:rsidR="001C5D95" w:rsidRPr="001C5D95">
        <w:t xml:space="preserve">, 2nd ed.; Clairview Books: </w:t>
      </w:r>
      <w:r w:rsidR="001C5D95" w:rsidRPr="001C5D95">
        <w:rPr>
          <w:highlight w:val="yellow"/>
        </w:rPr>
        <w:t>Sandy Lane</w:t>
      </w:r>
      <w:r w:rsidR="001C5D95" w:rsidRPr="001C5D95">
        <w:t>, UK, 2007.</w:t>
      </w:r>
    </w:p>
    <w:p w14:paraId="6AD4BC2E" w14:textId="2D5C113A" w:rsidR="001C5D95" w:rsidRPr="001C5D95" w:rsidRDefault="00502CF0" w:rsidP="001C5D95">
      <w:pPr>
        <w:pStyle w:val="MDPI71FootNotes"/>
        <w:numPr>
          <w:ilvl w:val="0"/>
          <w:numId w:val="0"/>
        </w:numPr>
      </w:pPr>
      <w:r>
        <w:t>5</w:t>
      </w:r>
      <w:r w:rsidR="007C333B">
        <w:t>7</w:t>
      </w:r>
      <w:r w:rsidR="001C5D95" w:rsidRPr="001C5D95">
        <w:t>.</w:t>
      </w:r>
      <w:r w:rsidR="001C5D95" w:rsidRPr="001C5D95">
        <w:tab/>
        <w:t xml:space="preserve">Sun, M. Imagining globalization in Paolo Bacigalupi’s The windup girl and Chen Qiufan’s The waste tide. </w:t>
      </w:r>
      <w:r w:rsidR="001C5D95" w:rsidRPr="001C5D95">
        <w:rPr>
          <w:i/>
          <w:iCs/>
        </w:rPr>
        <w:t>Sci. Fict. Stud.</w:t>
      </w:r>
      <w:r w:rsidR="001C5D95" w:rsidRPr="001C5D95">
        <w:t xml:space="preserve"> </w:t>
      </w:r>
      <w:r w:rsidR="001C5D95" w:rsidRPr="001C5D95">
        <w:rPr>
          <w:b/>
          <w:bCs/>
        </w:rPr>
        <w:t>2019</w:t>
      </w:r>
      <w:r w:rsidR="001C5D95" w:rsidRPr="001C5D95">
        <w:rPr>
          <w:bCs/>
        </w:rPr>
        <w:t xml:space="preserve">, </w:t>
      </w:r>
      <w:r w:rsidR="001C5D95" w:rsidRPr="001C5D95">
        <w:rPr>
          <w:bCs/>
          <w:i/>
        </w:rPr>
        <w:t>46</w:t>
      </w:r>
      <w:r w:rsidR="001C5D95" w:rsidRPr="001C5D95">
        <w:rPr>
          <w:bCs/>
        </w:rPr>
        <w:t>, 289–306</w:t>
      </w:r>
      <w:r w:rsidR="001C5D95" w:rsidRPr="001C5D95">
        <w:t>.</w:t>
      </w:r>
    </w:p>
    <w:p w14:paraId="7E440E71" w14:textId="400DB583" w:rsidR="001C5D95" w:rsidRPr="001C5D95" w:rsidRDefault="00502CF0" w:rsidP="001C5D95">
      <w:pPr>
        <w:pStyle w:val="MDPI71FootNotes"/>
        <w:numPr>
          <w:ilvl w:val="0"/>
          <w:numId w:val="0"/>
        </w:numPr>
      </w:pPr>
      <w:r>
        <w:t>5</w:t>
      </w:r>
      <w:r w:rsidR="007C333B">
        <w:t>8</w:t>
      </w:r>
      <w:r w:rsidR="001C5D95" w:rsidRPr="001C5D95">
        <w:t>.</w:t>
      </w:r>
      <w:r w:rsidR="001C5D95" w:rsidRPr="001C5D95">
        <w:tab/>
        <w:t xml:space="preserve">Maher, T.J.; Baum, S.D. Adaption to and recovery from global catastrophe. </w:t>
      </w:r>
      <w:r w:rsidR="001C5D95" w:rsidRPr="001C5D95">
        <w:rPr>
          <w:i/>
          <w:iCs/>
        </w:rPr>
        <w:t xml:space="preserve">Sustainability </w:t>
      </w:r>
      <w:r w:rsidR="001C5D95" w:rsidRPr="001C5D95">
        <w:rPr>
          <w:b/>
        </w:rPr>
        <w:t>2013</w:t>
      </w:r>
      <w:r w:rsidR="001C5D95" w:rsidRPr="001C5D95">
        <w:t xml:space="preserve">, </w:t>
      </w:r>
      <w:r w:rsidR="001C5D95" w:rsidRPr="001C5D95">
        <w:rPr>
          <w:i/>
        </w:rPr>
        <w:t>5</w:t>
      </w:r>
      <w:r w:rsidR="001C5D95" w:rsidRPr="001C5D95">
        <w:t>, 1461–1479.</w:t>
      </w:r>
    </w:p>
    <w:p w14:paraId="5DC02CA8" w14:textId="30EF4981" w:rsidR="001C5D95" w:rsidRPr="001C5D95" w:rsidRDefault="00502CF0" w:rsidP="001C5D95">
      <w:pPr>
        <w:pStyle w:val="MDPI71FootNotes"/>
        <w:numPr>
          <w:ilvl w:val="0"/>
          <w:numId w:val="0"/>
        </w:numPr>
      </w:pPr>
      <w:r>
        <w:t>5</w:t>
      </w:r>
      <w:r w:rsidR="007C333B">
        <w:t>9</w:t>
      </w:r>
      <w:r w:rsidR="001C5D95" w:rsidRPr="001C5D95">
        <w:t>.</w:t>
      </w:r>
      <w:r w:rsidR="001C5D95" w:rsidRPr="001C5D95">
        <w:tab/>
        <w:t xml:space="preserve">Lynas, M. </w:t>
      </w:r>
      <w:r w:rsidR="001C5D95" w:rsidRPr="001C5D95">
        <w:rPr>
          <w:i/>
          <w:iCs/>
        </w:rPr>
        <w:t>Six Degrees—Our Future on a Hotter Planet</w:t>
      </w:r>
      <w:r w:rsidR="001C5D95" w:rsidRPr="001C5D95">
        <w:t xml:space="preserve">; Harper Perennial: </w:t>
      </w:r>
      <w:r w:rsidR="001C5D95" w:rsidRPr="001C5D95">
        <w:rPr>
          <w:highlight w:val="yellow"/>
        </w:rPr>
        <w:t>New York, NY</w:t>
      </w:r>
      <w:r w:rsidR="001C5D95" w:rsidRPr="001C5D95">
        <w:t>, USA, 2008.</w:t>
      </w:r>
    </w:p>
    <w:p w14:paraId="307E2018" w14:textId="66E3B20D" w:rsidR="001C5D95" w:rsidRPr="001C5D95" w:rsidRDefault="007C333B" w:rsidP="001C5D95">
      <w:pPr>
        <w:pStyle w:val="MDPI71FootNotes"/>
        <w:numPr>
          <w:ilvl w:val="0"/>
          <w:numId w:val="0"/>
        </w:numPr>
      </w:pPr>
      <w:r>
        <w:t>60</w:t>
      </w:r>
      <w:r w:rsidR="001C5D95" w:rsidRPr="001C5D95">
        <w:t>.</w:t>
      </w:r>
      <w:r w:rsidR="001C5D95" w:rsidRPr="001C5D95">
        <w:tab/>
      </w:r>
      <w:r>
        <w:t xml:space="preserve">Vince, G., </w:t>
      </w:r>
      <w:r w:rsidR="001C5D95" w:rsidRPr="001C5D95">
        <w:t xml:space="preserve">How to Survive the Coming Century. </w:t>
      </w:r>
      <w:r>
        <w:t xml:space="preserve">New Scientist. </w:t>
      </w:r>
      <w:r w:rsidRPr="002C3C39">
        <w:rPr>
          <w:b/>
          <w:bCs/>
        </w:rPr>
        <w:t>2009</w:t>
      </w:r>
      <w:r>
        <w:t xml:space="preserve">. </w:t>
      </w:r>
      <w:r w:rsidR="001C5D95" w:rsidRPr="001C5D95">
        <w:t>Available online: https://www.newscientist.com/article/mg20126971-700-how-to-survive-the-coming-century/ (accessed on 21 May 2020).</w:t>
      </w:r>
    </w:p>
    <w:p w14:paraId="108430C2" w14:textId="5374432D" w:rsidR="007C333B" w:rsidRPr="001C5D95" w:rsidRDefault="007C333B" w:rsidP="007C333B">
      <w:pPr>
        <w:pStyle w:val="MDPI71FootNotes"/>
        <w:numPr>
          <w:ilvl w:val="0"/>
          <w:numId w:val="0"/>
        </w:numPr>
      </w:pPr>
      <w:r>
        <w:t>61</w:t>
      </w:r>
      <w:r w:rsidRPr="001C5D95">
        <w:t>.</w:t>
      </w:r>
      <w:r w:rsidRPr="001C5D95">
        <w:tab/>
        <w:t xml:space="preserve">Robinson, J. </w:t>
      </w:r>
      <w:r w:rsidRPr="001C5D95">
        <w:rPr>
          <w:i/>
          <w:iCs/>
        </w:rPr>
        <w:t>New Zealand 2030—The World’s Lifeboat</w:t>
      </w:r>
      <w:r w:rsidRPr="001C5D95">
        <w:t xml:space="preserve">; Island Bay World Service: </w:t>
      </w:r>
      <w:r w:rsidRPr="001C5D95">
        <w:rPr>
          <w:highlight w:val="yellow"/>
        </w:rPr>
        <w:t>Wellington</w:t>
      </w:r>
      <w:r w:rsidRPr="001C5D95">
        <w:t>, New Zealand, 2009.</w:t>
      </w:r>
    </w:p>
    <w:p w14:paraId="5D973EDE" w14:textId="6433AB39" w:rsidR="00A95FE9" w:rsidRPr="001C5D95" w:rsidRDefault="00A95FE9" w:rsidP="00A95FE9">
      <w:pPr>
        <w:pStyle w:val="MDPI71FootNotes"/>
        <w:numPr>
          <w:ilvl w:val="0"/>
          <w:numId w:val="0"/>
        </w:numPr>
      </w:pPr>
      <w:r>
        <w:t>62.</w:t>
      </w:r>
      <w:r w:rsidRPr="001C5D95">
        <w:tab/>
        <w:t xml:space="preserve">Holmgren, D. Future Scenarios: How Communities Can Adapt to Peak Oil and Climate Change; Chelsea Green Publishing: </w:t>
      </w:r>
      <w:r w:rsidRPr="001C5D95">
        <w:rPr>
          <w:highlight w:val="yellow"/>
        </w:rPr>
        <w:t>Hartford, VT</w:t>
      </w:r>
      <w:r w:rsidRPr="001C5D95">
        <w:t>, USA, 2009.</w:t>
      </w:r>
    </w:p>
    <w:p w14:paraId="71A2043E" w14:textId="5C34EE88" w:rsidR="001C5D95" w:rsidRPr="001C5D95" w:rsidRDefault="00502CF0" w:rsidP="001C5D95">
      <w:pPr>
        <w:pStyle w:val="MDPI71FootNotes"/>
        <w:numPr>
          <w:ilvl w:val="0"/>
          <w:numId w:val="0"/>
        </w:numPr>
      </w:pPr>
      <w:r>
        <w:rPr>
          <w:highlight w:val="yellow"/>
        </w:rPr>
        <w:t>6</w:t>
      </w:r>
      <w:r w:rsidR="007C333B">
        <w:rPr>
          <w:highlight w:val="yellow"/>
        </w:rPr>
        <w:t>3</w:t>
      </w:r>
      <w:r w:rsidR="00A95FE9">
        <w:rPr>
          <w:highlight w:val="yellow"/>
        </w:rPr>
        <w:t>.</w:t>
      </w:r>
      <w:r w:rsidR="001C5D95" w:rsidRPr="001C5D95">
        <w:tab/>
        <w:t xml:space="preserve">Greer, J.M. </w:t>
      </w:r>
      <w:r w:rsidR="001C5D95" w:rsidRPr="001C5D95">
        <w:rPr>
          <w:i/>
          <w:iCs/>
        </w:rPr>
        <w:t>Long Descent: A User’s Guide to the End of the Industrial Age</w:t>
      </w:r>
      <w:r w:rsidR="001C5D95" w:rsidRPr="001C5D95">
        <w:t xml:space="preserve">; New Society Publishers: </w:t>
      </w:r>
      <w:r w:rsidR="001C5D95" w:rsidRPr="001C5D95">
        <w:rPr>
          <w:highlight w:val="yellow"/>
        </w:rPr>
        <w:t>Gabriola, BC, Canada</w:t>
      </w:r>
      <w:r w:rsidR="001C5D95" w:rsidRPr="001C5D95">
        <w:t>, 2008.</w:t>
      </w:r>
    </w:p>
    <w:p w14:paraId="6F89C252" w14:textId="75AFC2B4" w:rsidR="001C5D95" w:rsidRPr="001C5D95" w:rsidRDefault="00502CF0" w:rsidP="001C5D95">
      <w:pPr>
        <w:pStyle w:val="MDPI71FootNotes"/>
        <w:numPr>
          <w:ilvl w:val="0"/>
          <w:numId w:val="0"/>
        </w:numPr>
      </w:pPr>
      <w:r>
        <w:lastRenderedPageBreak/>
        <w:t>6</w:t>
      </w:r>
      <w:r w:rsidR="007C333B">
        <w:t>4</w:t>
      </w:r>
      <w:r w:rsidR="001C5D95" w:rsidRPr="001C5D95">
        <w:t>.</w:t>
      </w:r>
      <w:r w:rsidR="001C5D95" w:rsidRPr="001C5D95">
        <w:tab/>
        <w:t xml:space="preserve">Baum, S.D.; Armstrong, S.; Ekenstedt, T.; Häggström, O.; Hanson, R.; Kuhlemann, K.; Maas, M.M.; Miller, J.D.; Salmela, M.; Sandberg, A.; et al. Long-term trajectories of human civilisation. </w:t>
      </w:r>
      <w:r w:rsidR="001C5D95" w:rsidRPr="001C5D95">
        <w:rPr>
          <w:i/>
          <w:iCs/>
        </w:rPr>
        <w:t>Foresight</w:t>
      </w:r>
      <w:r w:rsidR="001C5D95" w:rsidRPr="001C5D95">
        <w:t xml:space="preserve"> </w:t>
      </w:r>
      <w:r w:rsidR="001C5D95" w:rsidRPr="001C5D95">
        <w:rPr>
          <w:b/>
          <w:bCs/>
        </w:rPr>
        <w:t>2019</w:t>
      </w:r>
      <w:r w:rsidR="001C5D95" w:rsidRPr="001C5D95">
        <w:rPr>
          <w:bCs/>
        </w:rPr>
        <w:t xml:space="preserve">, </w:t>
      </w:r>
      <w:r w:rsidR="001C5D95" w:rsidRPr="001C5D95">
        <w:rPr>
          <w:bCs/>
          <w:i/>
        </w:rPr>
        <w:t>21</w:t>
      </w:r>
      <w:r w:rsidR="001C5D95" w:rsidRPr="001C5D95">
        <w:rPr>
          <w:bCs/>
        </w:rPr>
        <w:t>, 53–83</w:t>
      </w:r>
      <w:r w:rsidR="001C5D95" w:rsidRPr="001C5D95">
        <w:t>.</w:t>
      </w:r>
    </w:p>
    <w:p w14:paraId="12F0B11D" w14:textId="72CD686D" w:rsidR="001C5D95" w:rsidRPr="001C5D95" w:rsidRDefault="00502CF0" w:rsidP="001C5D95">
      <w:pPr>
        <w:pStyle w:val="MDPI71FootNotes"/>
        <w:numPr>
          <w:ilvl w:val="0"/>
          <w:numId w:val="0"/>
        </w:numPr>
      </w:pPr>
      <w:r>
        <w:t>6</w:t>
      </w:r>
      <w:r w:rsidR="007C333B">
        <w:t>5</w:t>
      </w:r>
      <w:r w:rsidR="001C5D95" w:rsidRPr="001C5D95">
        <w:t>.</w:t>
      </w:r>
      <w:r w:rsidR="001C5D95" w:rsidRPr="001C5D95">
        <w:tab/>
        <w:t>The Design Pathway for Regenerating Earth. Available online: https://media2-production.mightynetworks.com/asset/13821804/The_Design_Pathway_for_Regenerating_Earth_full_manuscript.pdf (accessed on 7 May 2021).</w:t>
      </w:r>
    </w:p>
    <w:p w14:paraId="36C7599C" w14:textId="4D2C134F" w:rsidR="001C5D95" w:rsidRPr="001C5D95" w:rsidRDefault="00502CF0" w:rsidP="001C5D95">
      <w:pPr>
        <w:pStyle w:val="MDPI71FootNotes"/>
        <w:numPr>
          <w:ilvl w:val="0"/>
          <w:numId w:val="0"/>
        </w:numPr>
      </w:pPr>
      <w:r>
        <w:t>6</w:t>
      </w:r>
      <w:r w:rsidR="007C333B">
        <w:t>6</w:t>
      </w:r>
      <w:r w:rsidR="001C5D95" w:rsidRPr="001C5D95">
        <w:t>.</w:t>
      </w:r>
      <w:r w:rsidR="001C5D95" w:rsidRPr="001C5D95">
        <w:tab/>
        <w:t xml:space="preserve">Chen, C.; Noble, I.; Hellmann, J.; Coffee, J.; Murillo, M.; Chawla, N. </w:t>
      </w:r>
      <w:r w:rsidR="001C5D95" w:rsidRPr="001C5D95">
        <w:rPr>
          <w:i/>
          <w:iCs/>
        </w:rPr>
        <w:t>University of Notre Dame Global Adaptation Index—Country Index Technical Report</w:t>
      </w:r>
      <w:r w:rsidR="001C5D95" w:rsidRPr="001C5D95">
        <w:t xml:space="preserve">; </w:t>
      </w:r>
      <w:r w:rsidR="001C5D95" w:rsidRPr="001C5D95">
        <w:rPr>
          <w:highlight w:val="yellow"/>
        </w:rPr>
        <w:t>University of Notre Dame: Notre Dame, IN, USA</w:t>
      </w:r>
      <w:r w:rsidR="001C5D95" w:rsidRPr="001C5D95">
        <w:t>, 2015.</w:t>
      </w:r>
    </w:p>
    <w:p w14:paraId="18C598BB" w14:textId="2EEDA554" w:rsidR="001C5D95" w:rsidRPr="001C5D95" w:rsidRDefault="00502CF0" w:rsidP="001C5D95">
      <w:pPr>
        <w:pStyle w:val="MDPI71FootNotes"/>
        <w:numPr>
          <w:ilvl w:val="0"/>
          <w:numId w:val="0"/>
        </w:numPr>
      </w:pPr>
      <w:r>
        <w:t>6</w:t>
      </w:r>
      <w:r w:rsidR="007C333B">
        <w:t>7</w:t>
      </w:r>
      <w:r w:rsidR="001C5D95" w:rsidRPr="001C5D95">
        <w:t>.</w:t>
      </w:r>
      <w:r w:rsidR="001C5D95" w:rsidRPr="001C5D95">
        <w:tab/>
        <w:t xml:space="preserve">Del Monte-Luna, P.; Brook, B.W.; Zetina-Rejón, M.J.; Cruz-Escalona, V.H. The carrying capacity of ecosystems. </w:t>
      </w:r>
      <w:r w:rsidR="001C5D95" w:rsidRPr="001C5D95">
        <w:rPr>
          <w:i/>
          <w:iCs/>
        </w:rPr>
        <w:t>Glob. Ecol. Biogeogr.</w:t>
      </w:r>
      <w:r w:rsidR="001C5D95" w:rsidRPr="001C5D95">
        <w:t xml:space="preserve"> </w:t>
      </w:r>
      <w:r w:rsidR="001C5D95" w:rsidRPr="001C5D95">
        <w:rPr>
          <w:b/>
        </w:rPr>
        <w:t>2004</w:t>
      </w:r>
      <w:r w:rsidR="001C5D95" w:rsidRPr="001C5D95">
        <w:t xml:space="preserve">, </w:t>
      </w:r>
      <w:r w:rsidR="001C5D95" w:rsidRPr="001C5D95">
        <w:rPr>
          <w:i/>
        </w:rPr>
        <w:t>13</w:t>
      </w:r>
      <w:r w:rsidR="001C5D95" w:rsidRPr="001C5D95">
        <w:t>, 485–495.</w:t>
      </w:r>
    </w:p>
    <w:p w14:paraId="6F80F65A" w14:textId="6DEC4302" w:rsidR="001C5D95" w:rsidRPr="001C5D95" w:rsidRDefault="00502CF0" w:rsidP="001C5D95">
      <w:pPr>
        <w:pStyle w:val="MDPI71FootNotes"/>
        <w:numPr>
          <w:ilvl w:val="0"/>
          <w:numId w:val="0"/>
        </w:numPr>
      </w:pPr>
      <w:r>
        <w:t>6</w:t>
      </w:r>
      <w:r w:rsidR="007C333B">
        <w:t>8</w:t>
      </w:r>
      <w:r w:rsidR="001C5D95" w:rsidRPr="001C5D95">
        <w:t>.</w:t>
      </w:r>
      <w:r w:rsidR="001C5D95" w:rsidRPr="001C5D95">
        <w:tab/>
        <w:t>The Ecological Footprint: Tracking Human Demand on Nature. Available online: https://www.footprintnetwork.org/content/documents/Ecological_Footprint.pdf (accessed on 24 March 2021).</w:t>
      </w:r>
    </w:p>
    <w:p w14:paraId="4177D248" w14:textId="1BD3861C" w:rsidR="001C5D95" w:rsidRPr="001C5D95" w:rsidRDefault="00502CF0" w:rsidP="001C5D95">
      <w:pPr>
        <w:pStyle w:val="MDPI71FootNotes"/>
        <w:numPr>
          <w:ilvl w:val="0"/>
          <w:numId w:val="0"/>
        </w:numPr>
      </w:pPr>
      <w:r>
        <w:t>6</w:t>
      </w:r>
      <w:r w:rsidR="007C333B">
        <w:t>9</w:t>
      </w:r>
      <w:r w:rsidR="001C5D95" w:rsidRPr="001C5D95">
        <w:t>.</w:t>
      </w:r>
      <w:r w:rsidR="001C5D95" w:rsidRPr="001C5D95">
        <w:tab/>
        <w:t xml:space="preserve">Coleman, E. </w:t>
      </w:r>
      <w:r w:rsidR="001C5D95" w:rsidRPr="001C5D95">
        <w:rPr>
          <w:i/>
          <w:iCs/>
        </w:rPr>
        <w:t>The New Organic Grower</w:t>
      </w:r>
      <w:r w:rsidR="001C5D95" w:rsidRPr="001C5D95">
        <w:t xml:space="preserve">; Chelsea Green Publishing Company: </w:t>
      </w:r>
      <w:r w:rsidR="001C5D95" w:rsidRPr="001C5D95">
        <w:rPr>
          <w:highlight w:val="yellow"/>
        </w:rPr>
        <w:t>Hartford, VT</w:t>
      </w:r>
      <w:r w:rsidR="001C5D95" w:rsidRPr="001C5D95">
        <w:t>, USA, 1989.</w:t>
      </w:r>
    </w:p>
    <w:p w14:paraId="2CCAEA1A" w14:textId="1CCCA6AF" w:rsidR="001C5D95" w:rsidRPr="001C5D95" w:rsidRDefault="007C333B" w:rsidP="001C5D95">
      <w:pPr>
        <w:pStyle w:val="MDPI71FootNotes"/>
        <w:numPr>
          <w:ilvl w:val="0"/>
          <w:numId w:val="0"/>
        </w:numPr>
      </w:pPr>
      <w:r>
        <w:t>70</w:t>
      </w:r>
      <w:r w:rsidR="001C5D95" w:rsidRPr="001C5D95">
        <w:t>.</w:t>
      </w:r>
      <w:r w:rsidR="001C5D95" w:rsidRPr="001C5D95">
        <w:tab/>
        <w:t>How Much Land Does It Take to Feed One Person—Online Calculator. Available online: https://permaculturism.com/how-much-land-does-it-take-to-feed-one-person/ (accessed on 24 March 2021).</w:t>
      </w:r>
    </w:p>
    <w:p w14:paraId="7F83A808" w14:textId="72233820" w:rsidR="001C5D95" w:rsidRPr="001C5D95" w:rsidRDefault="007C333B" w:rsidP="001C5D95">
      <w:pPr>
        <w:pStyle w:val="MDPI71FootNotes"/>
        <w:numPr>
          <w:ilvl w:val="0"/>
          <w:numId w:val="0"/>
        </w:numPr>
      </w:pPr>
      <w:r>
        <w:t>71</w:t>
      </w:r>
      <w:r w:rsidR="001C5D95" w:rsidRPr="001C5D95">
        <w:t>.</w:t>
      </w:r>
      <w:r w:rsidR="001C5D95" w:rsidRPr="001C5D95">
        <w:tab/>
        <w:t>The World Factbook—Population. Available online: https://www.cia.gov/the-world-factbook/field/population/ (accessed on 19 March 2021).</w:t>
      </w:r>
    </w:p>
    <w:p w14:paraId="443CE809" w14:textId="5B5D1AEA" w:rsidR="007C333B" w:rsidRDefault="007C333B" w:rsidP="001C5D95">
      <w:pPr>
        <w:pStyle w:val="MDPI71FootNotes"/>
        <w:numPr>
          <w:ilvl w:val="0"/>
          <w:numId w:val="0"/>
        </w:numPr>
      </w:pPr>
      <w:r>
        <w:t>72</w:t>
      </w:r>
      <w:r w:rsidRPr="001C5D95">
        <w:t>.</w:t>
      </w:r>
      <w:r w:rsidRPr="001C5D95">
        <w:tab/>
        <w:t>The World Factbook—</w:t>
      </w:r>
      <w:r>
        <w:t>Land Use</w:t>
      </w:r>
      <w:r w:rsidRPr="001C5D95">
        <w:t>. Available online: https://www.cia.gov/the-world-factbook/field/</w:t>
      </w:r>
      <w:r>
        <w:t>land-use</w:t>
      </w:r>
      <w:r w:rsidRPr="001C5D95">
        <w:t>/ (accessed on 19 March 2021).</w:t>
      </w:r>
    </w:p>
    <w:p w14:paraId="78D22AC5" w14:textId="4C2D1870" w:rsidR="001C5D95" w:rsidRPr="001C5D95" w:rsidRDefault="007C333B" w:rsidP="001C5D95">
      <w:pPr>
        <w:pStyle w:val="MDPI71FootNotes"/>
        <w:numPr>
          <w:ilvl w:val="0"/>
          <w:numId w:val="0"/>
        </w:numPr>
      </w:pPr>
      <w:r>
        <w:t>73</w:t>
      </w:r>
      <w:r w:rsidR="001C5D95" w:rsidRPr="001C5D95">
        <w:t>.</w:t>
      </w:r>
      <w:r w:rsidR="001C5D95" w:rsidRPr="001C5D95">
        <w:tab/>
        <w:t xml:space="preserve">Mora, C.; Spirandelli, D.; Franklin, E.C.; Lynham, J.; Kantar, M.B.; Miles, W.; Smith, C.Z.; Freel, K.; Moy, J.; Louis, L.V.; et al. Broad threat to humanity from cumulative climate hazards intensified by greenhouse gas emissions. </w:t>
      </w:r>
      <w:r w:rsidR="001C5D95" w:rsidRPr="001C5D95">
        <w:rPr>
          <w:i/>
          <w:iCs/>
        </w:rPr>
        <w:t>Nat. Clim. Change</w:t>
      </w:r>
      <w:r w:rsidR="001C5D95" w:rsidRPr="001C5D95">
        <w:t xml:space="preserve"> </w:t>
      </w:r>
      <w:r w:rsidR="001C5D95" w:rsidRPr="001C5D95">
        <w:rPr>
          <w:b/>
        </w:rPr>
        <w:t>2018</w:t>
      </w:r>
      <w:r w:rsidR="001C5D95" w:rsidRPr="001C5D95">
        <w:t xml:space="preserve">, </w:t>
      </w:r>
      <w:r w:rsidR="001C5D95" w:rsidRPr="001C5D95">
        <w:rPr>
          <w:i/>
        </w:rPr>
        <w:t>8</w:t>
      </w:r>
      <w:r w:rsidR="001C5D95" w:rsidRPr="001C5D95">
        <w:t>, 1062–1071.</w:t>
      </w:r>
    </w:p>
    <w:p w14:paraId="31BFCF1D" w14:textId="790F616B" w:rsidR="001C5D95" w:rsidRPr="001C5D95" w:rsidRDefault="00502CF0" w:rsidP="001C5D95">
      <w:pPr>
        <w:pStyle w:val="MDPI71FootNotes"/>
        <w:numPr>
          <w:ilvl w:val="0"/>
          <w:numId w:val="0"/>
        </w:numPr>
      </w:pPr>
      <w:r>
        <w:t>7</w:t>
      </w:r>
      <w:r w:rsidR="00A95FE9">
        <w:t>4</w:t>
      </w:r>
      <w:r w:rsidR="001C5D95" w:rsidRPr="001C5D95">
        <w:t>.</w:t>
      </w:r>
      <w:r w:rsidR="001C5D95" w:rsidRPr="001C5D95">
        <w:tab/>
        <w:t xml:space="preserve">Mora, C.; Frazier, A.G.; Longman, R.J.; Dacks, R.S.; Walton, M.M.; Tong, E.J.; Sanchez, J.J.; Kaiser, L.R.; Stender, Y.O.; Anderson, J.M.; et al. The projected timing of climate departure from recent variability. </w:t>
      </w:r>
      <w:r w:rsidR="001C5D95" w:rsidRPr="001C5D95">
        <w:rPr>
          <w:i/>
          <w:iCs/>
        </w:rPr>
        <w:t>Nature</w:t>
      </w:r>
      <w:r w:rsidR="001C5D95" w:rsidRPr="001C5D95">
        <w:t xml:space="preserve"> </w:t>
      </w:r>
      <w:r w:rsidR="001C5D95" w:rsidRPr="001C5D95">
        <w:rPr>
          <w:b/>
        </w:rPr>
        <w:t>2013</w:t>
      </w:r>
      <w:r w:rsidR="001C5D95" w:rsidRPr="001C5D95">
        <w:t xml:space="preserve">, </w:t>
      </w:r>
      <w:r w:rsidR="001C5D95" w:rsidRPr="001C5D95">
        <w:rPr>
          <w:i/>
        </w:rPr>
        <w:t>502</w:t>
      </w:r>
      <w:r w:rsidR="001C5D95" w:rsidRPr="001C5D95">
        <w:t>, 183–187.</w:t>
      </w:r>
    </w:p>
    <w:p w14:paraId="267955A4" w14:textId="07BF59F7" w:rsidR="001C5D95" w:rsidRPr="001C5D95" w:rsidRDefault="00502CF0" w:rsidP="001C5D95">
      <w:pPr>
        <w:pStyle w:val="MDPI71FootNotes"/>
        <w:numPr>
          <w:ilvl w:val="0"/>
          <w:numId w:val="0"/>
        </w:numPr>
      </w:pPr>
      <w:r>
        <w:t>7</w:t>
      </w:r>
      <w:r w:rsidR="00A95FE9">
        <w:t>5</w:t>
      </w:r>
      <w:r w:rsidR="001C5D95" w:rsidRPr="001C5D95">
        <w:t>.</w:t>
      </w:r>
      <w:r w:rsidR="001C5D95" w:rsidRPr="001C5D95">
        <w:tab/>
        <w:t xml:space="preserve">Intergovernmental Panel on Climate Change. Climate Change and Land—An IPCC Special Report on Climate Change, Desertification, Land Degradation, Sustainable Land Management, Food Security, and Greenhouse Gas Fluxes in Terrestrial Ecosystems; Summary for Policymakers Approval Draft; Intergovernmental Panel on Climate Change: </w:t>
      </w:r>
      <w:r w:rsidR="001C5D95" w:rsidRPr="001C5D95">
        <w:rPr>
          <w:highlight w:val="yellow"/>
        </w:rPr>
        <w:t>Geneva, Switzerland</w:t>
      </w:r>
      <w:r w:rsidR="001C5D95" w:rsidRPr="001C5D95">
        <w:t>, 2019.</w:t>
      </w:r>
    </w:p>
    <w:p w14:paraId="17D740B5" w14:textId="52EB0AA2" w:rsidR="001C5D95" w:rsidRPr="001C5D95" w:rsidRDefault="00502CF0" w:rsidP="001C5D95">
      <w:pPr>
        <w:pStyle w:val="MDPI71FootNotes"/>
        <w:numPr>
          <w:ilvl w:val="0"/>
          <w:numId w:val="0"/>
        </w:numPr>
      </w:pPr>
      <w:r>
        <w:t>7</w:t>
      </w:r>
      <w:r w:rsidR="00A95FE9">
        <w:t>6</w:t>
      </w:r>
      <w:r w:rsidR="001C5D95" w:rsidRPr="001C5D95">
        <w:t>.</w:t>
      </w:r>
      <w:r w:rsidR="001C5D95" w:rsidRPr="001C5D95">
        <w:tab/>
        <w:t xml:space="preserve">Duncan, R.C. World energy production, population growth, and the road to the Olduvai Gorge. </w:t>
      </w:r>
      <w:r w:rsidR="001C5D95" w:rsidRPr="001C5D95">
        <w:rPr>
          <w:i/>
        </w:rPr>
        <w:t xml:space="preserve">Popul. </w:t>
      </w:r>
      <w:r w:rsidR="001C5D95" w:rsidRPr="001C5D95">
        <w:rPr>
          <w:i/>
          <w:iCs/>
        </w:rPr>
        <w:t>Environ.</w:t>
      </w:r>
      <w:r w:rsidR="001C5D95" w:rsidRPr="001C5D95">
        <w:t xml:space="preserve"> </w:t>
      </w:r>
      <w:r w:rsidR="001C5D95" w:rsidRPr="001C5D95">
        <w:rPr>
          <w:b/>
        </w:rPr>
        <w:t>2001</w:t>
      </w:r>
      <w:r w:rsidR="001C5D95" w:rsidRPr="001C5D95">
        <w:t xml:space="preserve">, </w:t>
      </w:r>
      <w:r w:rsidR="001C5D95" w:rsidRPr="001C5D95">
        <w:rPr>
          <w:i/>
        </w:rPr>
        <w:t>22</w:t>
      </w:r>
      <w:r w:rsidR="001C5D95" w:rsidRPr="001C5D95">
        <w:t>, 503–522.</w:t>
      </w:r>
    </w:p>
    <w:p w14:paraId="37DA2836" w14:textId="112893C9" w:rsidR="001C5D95" w:rsidRPr="001C5D95" w:rsidRDefault="00502CF0" w:rsidP="001C5D95">
      <w:pPr>
        <w:pStyle w:val="MDPI71FootNotes"/>
        <w:numPr>
          <w:ilvl w:val="0"/>
          <w:numId w:val="0"/>
        </w:numPr>
      </w:pPr>
      <w:r>
        <w:t>7</w:t>
      </w:r>
      <w:r w:rsidR="00A95FE9">
        <w:t>7</w:t>
      </w:r>
      <w:r w:rsidR="001C5D95" w:rsidRPr="001C5D95">
        <w:t>.</w:t>
      </w:r>
      <w:r w:rsidR="001C5D95" w:rsidRPr="001C5D95">
        <w:tab/>
        <w:t xml:space="preserve">Logadóttir, H.H. Iceland’s sustainable energy story: A model for the world? </w:t>
      </w:r>
      <w:r w:rsidR="001C5D95" w:rsidRPr="001C5D95">
        <w:rPr>
          <w:i/>
          <w:iCs/>
        </w:rPr>
        <w:t>UN Chronicle</w:t>
      </w:r>
      <w:r w:rsidR="001C5D95" w:rsidRPr="001C5D95">
        <w:t xml:space="preserve">, </w:t>
      </w:r>
      <w:r w:rsidR="001C5D95" w:rsidRPr="002C3C39">
        <w:rPr>
          <w:b/>
          <w:bCs/>
          <w:highlight w:val="yellow"/>
        </w:rPr>
        <w:t>2015</w:t>
      </w:r>
      <w:r w:rsidR="001C5D95" w:rsidRPr="001C5D95">
        <w:t xml:space="preserve">, </w:t>
      </w:r>
      <w:r w:rsidR="004C39F8">
        <w:t xml:space="preserve">LII (3), </w:t>
      </w:r>
      <w:r w:rsidR="001C5D95" w:rsidRPr="001C5D95">
        <w:t>p. 52.</w:t>
      </w:r>
    </w:p>
    <w:p w14:paraId="47456BE5" w14:textId="5CBA4C60" w:rsidR="001C5D95" w:rsidRPr="001C5D95" w:rsidRDefault="00502CF0" w:rsidP="001C5D95">
      <w:pPr>
        <w:pStyle w:val="MDPI71FootNotes"/>
        <w:numPr>
          <w:ilvl w:val="0"/>
          <w:numId w:val="0"/>
        </w:numPr>
      </w:pPr>
      <w:r>
        <w:t>7</w:t>
      </w:r>
      <w:r w:rsidR="00A95FE9">
        <w:t>8</w:t>
      </w:r>
      <w:r w:rsidR="001C5D95" w:rsidRPr="001C5D95">
        <w:t>.</w:t>
      </w:r>
      <w:r w:rsidR="001C5D95" w:rsidRPr="001C5D95">
        <w:tab/>
        <w:t xml:space="preserve">Rosa, R.N. The role of synthetic fuels for a carbon neutral economy. </w:t>
      </w:r>
      <w:r w:rsidR="001C5D95" w:rsidRPr="001C5D95">
        <w:rPr>
          <w:i/>
          <w:iCs/>
        </w:rPr>
        <w:t>C</w:t>
      </w:r>
      <w:r w:rsidR="001C5D95" w:rsidRPr="001C5D95">
        <w:t xml:space="preserve"> </w:t>
      </w:r>
      <w:r w:rsidR="001C5D95" w:rsidRPr="001C5D95">
        <w:rPr>
          <w:b/>
          <w:bCs/>
        </w:rPr>
        <w:t>2017</w:t>
      </w:r>
      <w:r w:rsidR="001C5D95" w:rsidRPr="001C5D95">
        <w:rPr>
          <w:bCs/>
        </w:rPr>
        <w:t xml:space="preserve">, </w:t>
      </w:r>
      <w:r w:rsidR="001C5D95" w:rsidRPr="001C5D95">
        <w:rPr>
          <w:bCs/>
          <w:i/>
        </w:rPr>
        <w:t>3</w:t>
      </w:r>
      <w:r w:rsidR="001C5D95" w:rsidRPr="001C5D95">
        <w:rPr>
          <w:bCs/>
        </w:rPr>
        <w:t>, 11</w:t>
      </w:r>
      <w:r w:rsidR="001C5D95" w:rsidRPr="001C5D95">
        <w:t>.</w:t>
      </w:r>
    </w:p>
    <w:p w14:paraId="4D490695" w14:textId="7210EE37" w:rsidR="001C5D95" w:rsidRPr="001C5D95" w:rsidRDefault="00502CF0" w:rsidP="001C5D95">
      <w:pPr>
        <w:pStyle w:val="MDPI71FootNotes"/>
        <w:numPr>
          <w:ilvl w:val="0"/>
          <w:numId w:val="0"/>
        </w:numPr>
      </w:pPr>
      <w:r>
        <w:t>7</w:t>
      </w:r>
      <w:r w:rsidR="00A95FE9">
        <w:t>9</w:t>
      </w:r>
      <w:r w:rsidR="001C5D95" w:rsidRPr="001C5D95">
        <w:t>.</w:t>
      </w:r>
      <w:r w:rsidR="001C5D95" w:rsidRPr="001C5D95">
        <w:tab/>
        <w:t>Taupo Volcanic Zone Deep Geothermal Drilling Project. Available online: file:///C:/Users/CEX/Downloads/2-3_HADES_May2011_Bignall_GNS-Science.pdf (accessed on 29 March 2021).</w:t>
      </w:r>
    </w:p>
    <w:p w14:paraId="058E6C88" w14:textId="0E8FB10A" w:rsidR="001C5D95" w:rsidRPr="001C5D95" w:rsidRDefault="00A95FE9" w:rsidP="001C5D95">
      <w:pPr>
        <w:pStyle w:val="MDPI71FootNotes"/>
        <w:numPr>
          <w:ilvl w:val="0"/>
          <w:numId w:val="0"/>
        </w:numPr>
      </w:pPr>
      <w:r>
        <w:t>80</w:t>
      </w:r>
      <w:r w:rsidR="001C5D95" w:rsidRPr="001C5D95">
        <w:t>.</w:t>
      </w:r>
      <w:r w:rsidR="001C5D95" w:rsidRPr="001C5D95">
        <w:tab/>
        <w:t xml:space="preserve">Sutherland, R.; Townend, J.; Toy, V.; </w:t>
      </w:r>
      <w:r w:rsidR="001C5D95" w:rsidRPr="001C5D95">
        <w:rPr>
          <w:highlight w:val="yellow"/>
        </w:rPr>
        <w:t>Coussens, J.; Allen, M.; Baratin, L.M.; Barth, N.; Becroft, L.; Boese, C.; Boles, A.</w:t>
      </w:r>
      <w:r w:rsidR="001C5D95" w:rsidRPr="001C5D95">
        <w:t xml:space="preserve"> Extreme hydrothermal conditions at an active plate-bounding fault. </w:t>
      </w:r>
      <w:r w:rsidR="001C5D95" w:rsidRPr="001C5D95">
        <w:rPr>
          <w:i/>
          <w:iCs/>
        </w:rPr>
        <w:t>Nature</w:t>
      </w:r>
      <w:r w:rsidR="001C5D95" w:rsidRPr="001C5D95">
        <w:t xml:space="preserve"> </w:t>
      </w:r>
      <w:r w:rsidR="001C5D95" w:rsidRPr="001C5D95">
        <w:rPr>
          <w:b/>
        </w:rPr>
        <w:t>2017</w:t>
      </w:r>
      <w:r w:rsidR="001C5D95" w:rsidRPr="001C5D95">
        <w:t xml:space="preserve">, </w:t>
      </w:r>
      <w:r w:rsidR="001C5D95" w:rsidRPr="001C5D95">
        <w:rPr>
          <w:i/>
        </w:rPr>
        <w:t>546</w:t>
      </w:r>
      <w:r w:rsidR="001C5D95" w:rsidRPr="001C5D95">
        <w:t>, 137–140.</w:t>
      </w:r>
    </w:p>
    <w:p w14:paraId="43E64E2F" w14:textId="39878641" w:rsidR="001C5D95" w:rsidRPr="001C5D95" w:rsidRDefault="00A95FE9" w:rsidP="001C5D95">
      <w:pPr>
        <w:pStyle w:val="MDPI71FootNotes"/>
        <w:numPr>
          <w:ilvl w:val="0"/>
          <w:numId w:val="0"/>
        </w:numPr>
      </w:pPr>
      <w:r>
        <w:t>81</w:t>
      </w:r>
      <w:r w:rsidR="001C5D95" w:rsidRPr="001C5D95">
        <w:t>.</w:t>
      </w:r>
      <w:r w:rsidR="001C5D95" w:rsidRPr="001C5D95">
        <w:tab/>
        <w:t>Fox, A.P. The Power Game</w:t>
      </w:r>
      <w:r w:rsidR="001C5D95" w:rsidRPr="001C5D95">
        <w:rPr>
          <w:rFonts w:ascii="Times New Roman" w:hAnsi="Times New Roman"/>
        </w:rPr>
        <w:t>:</w:t>
      </w:r>
      <w:r w:rsidR="001C5D95" w:rsidRPr="001C5D95">
        <w:t xml:space="preserve"> The Development of the Manapouri-Tiwai Point Electro-Industrial Complex, 1904–1969. Ph.D. Thesis, University of Otago, </w:t>
      </w:r>
      <w:r w:rsidR="001C5D95" w:rsidRPr="001C5D95">
        <w:rPr>
          <w:highlight w:val="yellow"/>
        </w:rPr>
        <w:t>Dunedin</w:t>
      </w:r>
      <w:r w:rsidR="001C5D95" w:rsidRPr="001C5D95">
        <w:t>, New Zealand, 2001.</w:t>
      </w:r>
    </w:p>
    <w:p w14:paraId="7552446D" w14:textId="1F36393E" w:rsidR="001C5D95" w:rsidRPr="001C5D95" w:rsidRDefault="00A95FE9" w:rsidP="001C5D95">
      <w:pPr>
        <w:pStyle w:val="MDPI71FootNotes"/>
        <w:numPr>
          <w:ilvl w:val="0"/>
          <w:numId w:val="0"/>
        </w:numPr>
      </w:pPr>
      <w:r>
        <w:t>82</w:t>
      </w:r>
      <w:r w:rsidR="001C5D95" w:rsidRPr="001C5D95">
        <w:t>.</w:t>
      </w:r>
      <w:r w:rsidR="001C5D95" w:rsidRPr="001C5D95">
        <w:tab/>
        <w:t>Tiwai Point closure—Expert Reaction. Available online: https://www.sciencemediacentre.co.nz/2020/07/09/tiwai-point-closure-expert-reaction/ (accessed on 29 March 2021).</w:t>
      </w:r>
    </w:p>
    <w:p w14:paraId="70180441" w14:textId="7E3EB9E4" w:rsidR="001C5D95" w:rsidRPr="001C5D95" w:rsidRDefault="00A95FE9" w:rsidP="001C5D95">
      <w:pPr>
        <w:pStyle w:val="MDPI71FootNotes"/>
        <w:numPr>
          <w:ilvl w:val="0"/>
          <w:numId w:val="0"/>
        </w:numPr>
      </w:pPr>
      <w:r>
        <w:t>83</w:t>
      </w:r>
      <w:r w:rsidR="001C5D95" w:rsidRPr="001C5D95">
        <w:t>.</w:t>
      </w:r>
      <w:r w:rsidR="001C5D95" w:rsidRPr="001C5D95">
        <w:tab/>
        <w:t>Climates of the World. Available online: https://www.climate-zone.com/ (accessed on 6 April 2021).</w:t>
      </w:r>
    </w:p>
    <w:p w14:paraId="646818CA" w14:textId="476E4CC6" w:rsidR="001C5D95" w:rsidRPr="001C5D95" w:rsidRDefault="00502CF0" w:rsidP="001C5D95">
      <w:pPr>
        <w:pStyle w:val="MDPI71FootNotes"/>
        <w:numPr>
          <w:ilvl w:val="0"/>
          <w:numId w:val="0"/>
        </w:numPr>
      </w:pPr>
      <w:r>
        <w:t>8</w:t>
      </w:r>
      <w:r w:rsidR="00A95FE9">
        <w:t>4</w:t>
      </w:r>
      <w:r w:rsidR="001C5D95" w:rsidRPr="001C5D95">
        <w:t>.</w:t>
      </w:r>
      <w:r w:rsidR="001C5D95" w:rsidRPr="001C5D95">
        <w:tab/>
        <w:t>Water Management in New Zealand—A Road Map for Understanding Water Value. Available online: https://nzier.org.nz/static/media/filer_public/d2/ce/d2cef6fa-3b58-4f11-bb0b-7b2a684ac181/nzier_public_discussion_paper_2014-01_-_water_management_in_nz.pdf (accessed on 29 March 2021).</w:t>
      </w:r>
    </w:p>
    <w:p w14:paraId="088BDBDF" w14:textId="6D8425F6" w:rsidR="001C5D95" w:rsidRPr="001C5D95" w:rsidRDefault="00502CF0" w:rsidP="001C5D95">
      <w:pPr>
        <w:pStyle w:val="MDPI71FootNotes"/>
        <w:numPr>
          <w:ilvl w:val="0"/>
          <w:numId w:val="0"/>
        </w:numPr>
      </w:pPr>
      <w:r>
        <w:t>8</w:t>
      </w:r>
      <w:r w:rsidR="00A95FE9">
        <w:t>5</w:t>
      </w:r>
      <w:r w:rsidR="001C5D95" w:rsidRPr="001C5D95">
        <w:t>.</w:t>
      </w:r>
      <w:r w:rsidR="001C5D95" w:rsidRPr="001C5D95">
        <w:tab/>
        <w:t xml:space="preserve">Overland, I.; Bazilian, M.; Uulu, T.I.; Vakulchuk, R.; Westphal, K. The GeGaLo index: Geopolitical gains and losses after energy transition. </w:t>
      </w:r>
      <w:r w:rsidR="001C5D95" w:rsidRPr="001C5D95">
        <w:rPr>
          <w:i/>
          <w:iCs/>
        </w:rPr>
        <w:t>Energy Strateg. Rev.</w:t>
      </w:r>
      <w:r w:rsidR="001C5D95" w:rsidRPr="001C5D95">
        <w:t xml:space="preserve"> </w:t>
      </w:r>
      <w:r w:rsidR="001C5D95" w:rsidRPr="001C5D95">
        <w:rPr>
          <w:b/>
          <w:bCs/>
        </w:rPr>
        <w:t>2019</w:t>
      </w:r>
      <w:r w:rsidR="001C5D95" w:rsidRPr="001C5D95">
        <w:rPr>
          <w:bCs/>
        </w:rPr>
        <w:t xml:space="preserve">, </w:t>
      </w:r>
      <w:r w:rsidR="001C5D95" w:rsidRPr="001C5D95">
        <w:rPr>
          <w:bCs/>
          <w:i/>
        </w:rPr>
        <w:t>26</w:t>
      </w:r>
      <w:r w:rsidR="001C5D95" w:rsidRPr="001C5D95">
        <w:rPr>
          <w:bCs/>
        </w:rPr>
        <w:t>, 100406</w:t>
      </w:r>
      <w:r w:rsidR="001C5D95" w:rsidRPr="001C5D95">
        <w:t>.</w:t>
      </w:r>
    </w:p>
    <w:p w14:paraId="787EAF5C" w14:textId="01B14D00" w:rsidR="001C5D95" w:rsidRPr="001C5D95" w:rsidRDefault="00502CF0" w:rsidP="001C5D95">
      <w:pPr>
        <w:pStyle w:val="MDPI71FootNotes"/>
        <w:numPr>
          <w:ilvl w:val="0"/>
          <w:numId w:val="0"/>
        </w:numPr>
      </w:pPr>
      <w:r>
        <w:t>8</w:t>
      </w:r>
      <w:r w:rsidR="00A95FE9">
        <w:t>6</w:t>
      </w:r>
      <w:r w:rsidR="001C5D95" w:rsidRPr="001C5D95">
        <w:t>.</w:t>
      </w:r>
      <w:r w:rsidR="001C5D95" w:rsidRPr="001C5D95">
        <w:tab/>
        <w:t>Kárahnjúkar Hydropower Project. Available online: https://static1.squarespace.com/static/5c1978d3ee1759dc44fbd8ba/t/5d722677d8766100019cf37f/1567762050941/Karahnjukar+Assessment+Report.pdf (accessed on 31 March 2021).</w:t>
      </w:r>
    </w:p>
    <w:p w14:paraId="1D83645D" w14:textId="22CB43FD" w:rsidR="001C5D95" w:rsidRPr="001C5D95" w:rsidRDefault="00502CF0" w:rsidP="001C5D95">
      <w:pPr>
        <w:pStyle w:val="MDPI71FootNotes"/>
        <w:numPr>
          <w:ilvl w:val="0"/>
          <w:numId w:val="0"/>
        </w:numPr>
      </w:pPr>
      <w:r>
        <w:t>8</w:t>
      </w:r>
      <w:r w:rsidR="00A95FE9">
        <w:t>7</w:t>
      </w:r>
      <w:r w:rsidR="001C5D95" w:rsidRPr="001C5D95">
        <w:t>.</w:t>
      </w:r>
      <w:r w:rsidR="001C5D95" w:rsidRPr="001C5D95">
        <w:tab/>
        <w:t>Food Security in Iceland. Available online: https://ecpr.eu/filestore/paperproposal/0d9be52b-e783-4442-8fa5-54cf5d68257b.pdf (accessed on 6 April 2021).</w:t>
      </w:r>
    </w:p>
    <w:p w14:paraId="54ADFBFB" w14:textId="6AFBF6DB" w:rsidR="001C5D95" w:rsidRPr="001C5D95" w:rsidRDefault="00502CF0" w:rsidP="001C5D95">
      <w:pPr>
        <w:pStyle w:val="MDPI71FootNotes"/>
        <w:numPr>
          <w:ilvl w:val="0"/>
          <w:numId w:val="0"/>
        </w:numPr>
      </w:pPr>
      <w:r>
        <w:t>8</w:t>
      </w:r>
      <w:r w:rsidR="00A95FE9">
        <w:t>8</w:t>
      </w:r>
      <w:r w:rsidR="001C5D95" w:rsidRPr="001C5D95">
        <w:t>.</w:t>
      </w:r>
      <w:r w:rsidR="001C5D95" w:rsidRPr="001C5D95">
        <w:tab/>
        <w:t>Energy Trends UK—October to December 2020. Available online: https://assets.publishing.service.gov.uk/government/uploads/system/uploads/attachment_data/file/972790/Energy_Trends_March_2021.pdf (accessed on 8 April 2021).</w:t>
      </w:r>
    </w:p>
    <w:p w14:paraId="31A8AEDE" w14:textId="5F3A275E" w:rsidR="001C5D95" w:rsidRPr="001C5D95" w:rsidRDefault="00502CF0" w:rsidP="001C5D95">
      <w:pPr>
        <w:pStyle w:val="MDPI71FootNotes"/>
        <w:numPr>
          <w:ilvl w:val="0"/>
          <w:numId w:val="0"/>
        </w:numPr>
      </w:pPr>
      <w:r>
        <w:t>8</w:t>
      </w:r>
      <w:r w:rsidR="00A95FE9">
        <w:t>9</w:t>
      </w:r>
      <w:r w:rsidR="001C5D95" w:rsidRPr="001C5D95">
        <w:t>.</w:t>
      </w:r>
      <w:r w:rsidR="001C5D95" w:rsidRPr="001C5D95">
        <w:tab/>
        <w:t xml:space="preserve">Zhao, Y.; Li, J.; Wu, B. An exploitation plan of tidal power in the Severn Estuary. </w:t>
      </w:r>
      <w:r w:rsidR="001C5D95" w:rsidRPr="001C5D95">
        <w:rPr>
          <w:highlight w:val="yellow"/>
        </w:rPr>
        <w:t>In Proceedings of the 2018 International Symposium on Water System Operations (ISWSO 2018), Beijing, China, 16–18 October</w:t>
      </w:r>
      <w:r w:rsidR="001C5D95" w:rsidRPr="001C5D95">
        <w:t xml:space="preserve"> 2018; Volume 246.</w:t>
      </w:r>
    </w:p>
    <w:p w14:paraId="2F493698" w14:textId="55052C12" w:rsidR="001C5D95" w:rsidRPr="001C5D95" w:rsidRDefault="00A95FE9" w:rsidP="001C5D95">
      <w:pPr>
        <w:pStyle w:val="MDPI71FootNotes"/>
        <w:numPr>
          <w:ilvl w:val="0"/>
          <w:numId w:val="0"/>
        </w:numPr>
      </w:pPr>
      <w:r>
        <w:t>90</w:t>
      </w:r>
      <w:r w:rsidR="001C5D95" w:rsidRPr="001C5D95">
        <w:t>.</w:t>
      </w:r>
      <w:r w:rsidR="001C5D95" w:rsidRPr="001C5D95">
        <w:tab/>
        <w:t>Agriculture in the United Kingdom 2019. Available online: https://assets.publishing.service.gov.uk/government/uploads/system/uploads/attachment_data/file/950618/AUK-2019-07jan21.pdf (accessed on 8 April 2021).</w:t>
      </w:r>
    </w:p>
    <w:p w14:paraId="26C024AF" w14:textId="42789019" w:rsidR="001C5D95" w:rsidRPr="001C5D95" w:rsidRDefault="00A95FE9" w:rsidP="001C5D95">
      <w:pPr>
        <w:pStyle w:val="MDPI71FootNotes"/>
        <w:numPr>
          <w:ilvl w:val="0"/>
          <w:numId w:val="0"/>
        </w:numPr>
      </w:pPr>
      <w:r>
        <w:t>91</w:t>
      </w:r>
      <w:r w:rsidR="001C5D95" w:rsidRPr="001C5D95">
        <w:t>.</w:t>
      </w:r>
      <w:r w:rsidR="001C5D95" w:rsidRPr="001C5D95">
        <w:tab/>
        <w:t xml:space="preserve">MacKay, D.C.J. </w:t>
      </w:r>
      <w:r w:rsidR="001C5D95" w:rsidRPr="001C5D95">
        <w:rPr>
          <w:i/>
          <w:iCs/>
        </w:rPr>
        <w:t>Sustainable Energy—Without the Hot Air</w:t>
      </w:r>
      <w:r w:rsidR="001C5D95" w:rsidRPr="001C5D95">
        <w:t>; UIT Cambridge Ltd.: Cambridge, UK, 2008.</w:t>
      </w:r>
    </w:p>
    <w:p w14:paraId="344C21A5" w14:textId="263CD597" w:rsidR="001C5D95" w:rsidRPr="001C5D95" w:rsidRDefault="00A95FE9" w:rsidP="001C5D95">
      <w:pPr>
        <w:pStyle w:val="MDPI71FootNotes"/>
        <w:numPr>
          <w:ilvl w:val="0"/>
          <w:numId w:val="0"/>
        </w:numPr>
      </w:pPr>
      <w:r>
        <w:t>92</w:t>
      </w:r>
      <w:r w:rsidR="001C5D95" w:rsidRPr="001C5D95">
        <w:t>.</w:t>
      </w:r>
      <w:r w:rsidR="001C5D95" w:rsidRPr="001C5D95">
        <w:tab/>
        <w:t>Energy in Tasmania Report 2018–19. Available online: https://www.economicregulator.tas.gov.au/Documents/Energy%20in%20Tasmania%20Report%202018-19%2020%20210.pdf (accessed on 7 April 2021).</w:t>
      </w:r>
    </w:p>
    <w:p w14:paraId="67B38923" w14:textId="06DAD8C7" w:rsidR="001C5D95" w:rsidRPr="001C5D95" w:rsidRDefault="00502CF0" w:rsidP="001C5D95">
      <w:pPr>
        <w:pStyle w:val="MDPI71FootNotes"/>
        <w:numPr>
          <w:ilvl w:val="0"/>
          <w:numId w:val="0"/>
        </w:numPr>
      </w:pPr>
      <w:r>
        <w:lastRenderedPageBreak/>
        <w:t>9</w:t>
      </w:r>
      <w:r w:rsidR="00A95FE9">
        <w:t>3</w:t>
      </w:r>
      <w:r w:rsidR="001C5D95" w:rsidRPr="001C5D95">
        <w:t>.</w:t>
      </w:r>
      <w:r w:rsidR="001C5D95" w:rsidRPr="001C5D95">
        <w:tab/>
        <w:t>Agriculture. Available online: https://tasmania.com/things-to-do/agriculture/#:~:text=Everybody%20knows%20Tasmania%20as%20the,many%20farmers%20go%20beyond%20organic (accessed on 7 April 2021).</w:t>
      </w:r>
    </w:p>
    <w:p w14:paraId="6DA0E784" w14:textId="62F153E5" w:rsidR="001C5D95" w:rsidRPr="001C5D95" w:rsidRDefault="00502CF0" w:rsidP="001C5D95">
      <w:pPr>
        <w:pStyle w:val="MDPI71FootNotes"/>
        <w:numPr>
          <w:ilvl w:val="0"/>
          <w:numId w:val="0"/>
        </w:numPr>
      </w:pPr>
      <w:r>
        <w:t>9</w:t>
      </w:r>
      <w:r w:rsidR="00A95FE9">
        <w:t>4</w:t>
      </w:r>
      <w:r w:rsidR="001C5D95" w:rsidRPr="001C5D95">
        <w:t>.</w:t>
      </w:r>
      <w:r w:rsidR="001C5D95" w:rsidRPr="001C5D95">
        <w:tab/>
        <w:t xml:space="preserve">Head, L.; Adams, M.; McGregor, H.V.; Toole, S. Climate change and Australia. </w:t>
      </w:r>
      <w:r w:rsidR="001C5D95" w:rsidRPr="001C5D95">
        <w:rPr>
          <w:i/>
          <w:iCs/>
        </w:rPr>
        <w:t>Wiley Interdiscip. Rev. Clim. Change</w:t>
      </w:r>
      <w:r w:rsidR="001C5D95" w:rsidRPr="001C5D95">
        <w:t xml:space="preserve"> </w:t>
      </w:r>
      <w:r w:rsidR="001C5D95" w:rsidRPr="001C5D95">
        <w:rPr>
          <w:b/>
          <w:bCs/>
        </w:rPr>
        <w:t>2014</w:t>
      </w:r>
      <w:r w:rsidR="001C5D95" w:rsidRPr="001C5D95">
        <w:rPr>
          <w:bCs/>
        </w:rPr>
        <w:t xml:space="preserve">, </w:t>
      </w:r>
      <w:r w:rsidR="001C5D95" w:rsidRPr="001C5D95">
        <w:rPr>
          <w:bCs/>
          <w:i/>
        </w:rPr>
        <w:t>5</w:t>
      </w:r>
      <w:r w:rsidR="001C5D95" w:rsidRPr="001C5D95">
        <w:rPr>
          <w:bCs/>
        </w:rPr>
        <w:t>, 175–197</w:t>
      </w:r>
      <w:r w:rsidR="001C5D95" w:rsidRPr="001C5D95">
        <w:t>.</w:t>
      </w:r>
    </w:p>
    <w:p w14:paraId="50DEB10F" w14:textId="5F2C5E2B" w:rsidR="001C5D95" w:rsidRPr="001C5D95" w:rsidRDefault="00502CF0" w:rsidP="001C5D95">
      <w:pPr>
        <w:pStyle w:val="MDPI71FootNotes"/>
        <w:numPr>
          <w:ilvl w:val="0"/>
          <w:numId w:val="0"/>
        </w:numPr>
      </w:pPr>
      <w:r>
        <w:t>9</w:t>
      </w:r>
      <w:r w:rsidR="00A95FE9">
        <w:t>5</w:t>
      </w:r>
      <w:r w:rsidR="001C5D95" w:rsidRPr="001C5D95">
        <w:t>.</w:t>
      </w:r>
      <w:r w:rsidR="001C5D95" w:rsidRPr="001C5D95">
        <w:tab/>
        <w:t xml:space="preserve">Grose, M.R.; Barnes-Keoghan, I.; Corney, S.P.; White, C.J.; Holz, G.K.; Bennett, J.B.; Gaynor, S.M.; Bindoff, N.L. </w:t>
      </w:r>
      <w:r w:rsidR="001C5D95" w:rsidRPr="001C5D95">
        <w:rPr>
          <w:i/>
          <w:iCs/>
        </w:rPr>
        <w:t>Climate Futures for Tasmania</w:t>
      </w:r>
      <w:r w:rsidR="001C5D95" w:rsidRPr="001C5D95">
        <w:t>; General Climate Impacts Technical Report; Antarctic Climate and Ecosystems Co-Operative Research Centre: Hobart, Australia, 2010.</w:t>
      </w:r>
    </w:p>
    <w:p w14:paraId="0A3B5AE7" w14:textId="442579A1" w:rsidR="001C5D95" w:rsidRPr="001C5D95" w:rsidRDefault="00502CF0" w:rsidP="001C5D95">
      <w:pPr>
        <w:pStyle w:val="MDPI71FootNotes"/>
        <w:numPr>
          <w:ilvl w:val="0"/>
          <w:numId w:val="0"/>
        </w:numPr>
      </w:pPr>
      <w:r>
        <w:t>9</w:t>
      </w:r>
      <w:r w:rsidR="00A95FE9">
        <w:t>6</w:t>
      </w:r>
      <w:r w:rsidR="001C5D95" w:rsidRPr="001C5D95">
        <w:t>.</w:t>
      </w:r>
      <w:r w:rsidR="001C5D95" w:rsidRPr="001C5D95">
        <w:tab/>
        <w:t>Energy in Ireland—2020 Report. Available online: https://www.seai.ie/publications/Energy-in-Ireland-2020.pdf (accessed on 12 April 2021).</w:t>
      </w:r>
    </w:p>
    <w:p w14:paraId="221B0A37" w14:textId="6CB7DF71" w:rsidR="001C5D95" w:rsidRPr="001C5D95" w:rsidRDefault="00502CF0" w:rsidP="001C5D95">
      <w:pPr>
        <w:pStyle w:val="MDPI71FootNotes"/>
        <w:numPr>
          <w:ilvl w:val="0"/>
          <w:numId w:val="0"/>
        </w:numPr>
      </w:pPr>
      <w:r>
        <w:t>9</w:t>
      </w:r>
      <w:r w:rsidR="00A95FE9">
        <w:t>7</w:t>
      </w:r>
      <w:r w:rsidR="001C5D95" w:rsidRPr="001C5D95">
        <w:t>.</w:t>
      </w:r>
      <w:r w:rsidR="001C5D95" w:rsidRPr="001C5D95">
        <w:tab/>
        <w:t xml:space="preserve">Department of Agriculture, Food and the Marine. </w:t>
      </w:r>
      <w:r w:rsidR="001C5D95" w:rsidRPr="001C5D95">
        <w:rPr>
          <w:i/>
          <w:iCs/>
        </w:rPr>
        <w:t>Annual Review and Outlook for Agriculture, Food and the Marine 2020</w:t>
      </w:r>
      <w:r w:rsidR="001C5D95" w:rsidRPr="001C5D95">
        <w:t xml:space="preserve">; Economics and Planning Division, Irish Government: </w:t>
      </w:r>
      <w:r w:rsidR="001C5D95" w:rsidRPr="001C5D95">
        <w:rPr>
          <w:highlight w:val="yellow"/>
        </w:rPr>
        <w:t>Dublin, Ireland</w:t>
      </w:r>
      <w:r w:rsidR="001C5D95" w:rsidRPr="001C5D95">
        <w:t>, 2020.</w:t>
      </w:r>
    </w:p>
    <w:p w14:paraId="42EE6C3A" w14:textId="29165B6C" w:rsidR="001C5D95" w:rsidRPr="001C5D95" w:rsidRDefault="00502CF0" w:rsidP="001C5D95">
      <w:pPr>
        <w:pStyle w:val="MDPI71FootNotes"/>
        <w:numPr>
          <w:ilvl w:val="0"/>
          <w:numId w:val="0"/>
        </w:numPr>
      </w:pPr>
      <w:r>
        <w:t>9</w:t>
      </w:r>
      <w:r w:rsidR="00A95FE9">
        <w:t>8</w:t>
      </w:r>
      <w:r w:rsidR="001C5D95" w:rsidRPr="001C5D95">
        <w:t>.</w:t>
      </w:r>
      <w:r w:rsidR="001C5D95" w:rsidRPr="001C5D95">
        <w:tab/>
        <w:t xml:space="preserve">Parks, R.; McLaren, M.; Toumi, R.; Rivett, U. </w:t>
      </w:r>
      <w:r w:rsidR="001C5D95" w:rsidRPr="001C5D95">
        <w:rPr>
          <w:i/>
          <w:iCs/>
        </w:rPr>
        <w:t>Experiences and Lessons in Managing Water from Cape Town</w:t>
      </w:r>
      <w:r w:rsidR="001C5D95" w:rsidRPr="001C5D95">
        <w:t xml:space="preserve">; Grantham Institute Briefing Paper No 29; </w:t>
      </w:r>
      <w:r w:rsidR="001C5D95" w:rsidRPr="001C5D95">
        <w:rPr>
          <w:highlight w:val="yellow"/>
        </w:rPr>
        <w:t>Grantham Institute: London, UK</w:t>
      </w:r>
      <w:r w:rsidR="001C5D95" w:rsidRPr="001C5D95">
        <w:t>, 2019.</w:t>
      </w:r>
    </w:p>
    <w:p w14:paraId="4FBAB707" w14:textId="59BE15C0" w:rsidR="001C5D95" w:rsidRPr="001C5D95" w:rsidRDefault="00A95FE9" w:rsidP="001C5D95">
      <w:pPr>
        <w:pStyle w:val="MDPI71FootNotes"/>
        <w:numPr>
          <w:ilvl w:val="0"/>
          <w:numId w:val="0"/>
        </w:numPr>
      </w:pPr>
      <w:r>
        <w:t>99</w:t>
      </w:r>
      <w:r w:rsidR="001C5D95" w:rsidRPr="001C5D95">
        <w:t>.</w:t>
      </w:r>
      <w:r w:rsidR="001C5D95" w:rsidRPr="001C5D95">
        <w:tab/>
        <w:t xml:space="preserve">Frank, A.; Carroll-Nellenback, J.; Alberti, M.; Kleidon, A. The anthropocene generalized: Evolution of exo-civilizations and their planetary feedback. </w:t>
      </w:r>
      <w:r w:rsidR="001C5D95" w:rsidRPr="001C5D95">
        <w:rPr>
          <w:i/>
          <w:iCs/>
        </w:rPr>
        <w:t>Astrobiology</w:t>
      </w:r>
      <w:r w:rsidR="001C5D95" w:rsidRPr="001C5D95">
        <w:t xml:space="preserve"> </w:t>
      </w:r>
      <w:r w:rsidR="001C5D95" w:rsidRPr="001C5D95">
        <w:rPr>
          <w:b/>
          <w:bCs/>
        </w:rPr>
        <w:t>2018</w:t>
      </w:r>
      <w:r w:rsidR="001C5D95" w:rsidRPr="001C5D95">
        <w:t xml:space="preserve">, </w:t>
      </w:r>
      <w:r w:rsidR="001C5D95" w:rsidRPr="001C5D95">
        <w:rPr>
          <w:i/>
        </w:rPr>
        <w:t>18</w:t>
      </w:r>
      <w:r w:rsidR="001C5D95" w:rsidRPr="001C5D95">
        <w:t xml:space="preserve">, </w:t>
      </w:r>
      <w:r w:rsidR="001C5D95" w:rsidRPr="001C5D95">
        <w:rPr>
          <w:highlight w:val="yellow"/>
        </w:rPr>
        <w:t>503–518</w:t>
      </w:r>
      <w:r w:rsidR="001C5D95" w:rsidRPr="001C5D95">
        <w:t>.</w:t>
      </w:r>
    </w:p>
    <w:p w14:paraId="490C5CBC" w14:textId="6C554695" w:rsidR="001C5D95" w:rsidRPr="001C5D95" w:rsidRDefault="00A95FE9" w:rsidP="001C5D95">
      <w:pPr>
        <w:pStyle w:val="MDPI71FootNotes"/>
        <w:numPr>
          <w:ilvl w:val="0"/>
          <w:numId w:val="0"/>
        </w:numPr>
      </w:pPr>
      <w:r>
        <w:t>100</w:t>
      </w:r>
      <w:r w:rsidR="001C5D95" w:rsidRPr="001C5D95">
        <w:t>.</w:t>
      </w:r>
      <w:r w:rsidR="001C5D95" w:rsidRPr="001C5D95">
        <w:tab/>
        <w:t>List of Countries and Dependencies by Area. Available online: https://www.worldometers.info/geography/largest-countries-in-the-world/ (accessed on 22 March 2021).</w:t>
      </w:r>
    </w:p>
    <w:p w14:paraId="7A4E864A" w14:textId="77777777" w:rsidR="001C5D95" w:rsidRPr="001C5D95" w:rsidRDefault="001C5D95" w:rsidP="001C5D95">
      <w:pPr>
        <w:pStyle w:val="MDPI71FootNotes"/>
        <w:numPr>
          <w:ilvl w:val="0"/>
          <w:numId w:val="0"/>
        </w:numPr>
        <w:rPr>
          <w:b/>
        </w:rPr>
      </w:pPr>
    </w:p>
    <w:p w14:paraId="7478D8DE" w14:textId="77777777" w:rsidR="001C5D95" w:rsidRPr="001C5D95" w:rsidRDefault="001C5D95" w:rsidP="001C5D95">
      <w:pPr>
        <w:pStyle w:val="MDPI71FootNotes"/>
        <w:numPr>
          <w:ilvl w:val="0"/>
          <w:numId w:val="0"/>
        </w:numPr>
      </w:pPr>
    </w:p>
    <w:sectPr w:rsidR="001C5D95" w:rsidRPr="001C5D95" w:rsidSect="001C5D95">
      <w:headerReference w:type="default" r:id="rId24"/>
      <w:endnotePr>
        <w:numFmt w:val="decimal"/>
      </w:endnotePr>
      <w:pgSz w:w="11906" w:h="16838" w:code="9"/>
      <w:pgMar w:top="1417" w:right="720" w:bottom="1077" w:left="720" w:header="1020" w:footer="340" w:gutter="0"/>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11BD4" w14:textId="77777777" w:rsidR="00F56044" w:rsidRDefault="00F56044">
      <w:pPr>
        <w:spacing w:line="240" w:lineRule="auto"/>
      </w:pPr>
      <w:r>
        <w:separator/>
      </w:r>
    </w:p>
  </w:endnote>
  <w:endnote w:type="continuationSeparator" w:id="0">
    <w:p w14:paraId="10DC8093" w14:textId="77777777" w:rsidR="00F56044" w:rsidRDefault="00F56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F8E75" w14:textId="77777777" w:rsidR="001C5D95" w:rsidRDefault="001C5D95" w:rsidP="004F0E02">
    <w:pPr>
      <w:pStyle w:val="MDPIfooterfirstpage"/>
      <w:pBdr>
        <w:top w:val="single" w:sz="4" w:space="0" w:color="000000"/>
      </w:pBdr>
      <w:adjustRightInd w:val="0"/>
      <w:snapToGrid w:val="0"/>
      <w:spacing w:before="480" w:line="100" w:lineRule="exact"/>
      <w:rPr>
        <w:i/>
        <w:iCs/>
        <w:szCs w:val="16"/>
      </w:rPr>
    </w:pPr>
  </w:p>
  <w:p w14:paraId="6FB8EF6D" w14:textId="3E73FE3B" w:rsidR="001C5D95" w:rsidRPr="006C3B0D" w:rsidRDefault="001C5D95" w:rsidP="00BA570C">
    <w:pPr>
      <w:pStyle w:val="MDPIfooterfirstpage"/>
      <w:tabs>
        <w:tab w:val="clear" w:pos="8845"/>
        <w:tab w:val="right" w:pos="10466"/>
      </w:tabs>
      <w:spacing w:line="240" w:lineRule="auto"/>
      <w:jc w:val="both"/>
      <w:rPr>
        <w:lang w:val="en-GB"/>
      </w:rPr>
    </w:pPr>
    <w:r w:rsidRPr="00C30F79">
      <w:rPr>
        <w:i/>
        <w:iCs/>
        <w:szCs w:val="16"/>
      </w:rPr>
      <w:t>Sustainability</w:t>
    </w:r>
    <w:r w:rsidRPr="00C30F79">
      <w:rPr>
        <w:szCs w:val="16"/>
      </w:rPr>
      <w:t xml:space="preserve"> </w:t>
    </w:r>
    <w:r w:rsidRPr="003337EA">
      <w:rPr>
        <w:b/>
        <w:bCs/>
        <w:iCs/>
        <w:szCs w:val="16"/>
      </w:rPr>
      <w:t>2021</w:t>
    </w:r>
    <w:r w:rsidRPr="00632077">
      <w:rPr>
        <w:bCs/>
        <w:iCs/>
        <w:szCs w:val="16"/>
      </w:rPr>
      <w:t xml:space="preserve">, </w:t>
    </w:r>
    <w:r w:rsidRPr="003337EA">
      <w:rPr>
        <w:bCs/>
        <w:i/>
        <w:iCs/>
        <w:szCs w:val="16"/>
      </w:rPr>
      <w:t>13</w:t>
    </w:r>
    <w:r w:rsidRPr="00632077">
      <w:rPr>
        <w:bCs/>
        <w:iCs/>
        <w:szCs w:val="16"/>
      </w:rPr>
      <w:t xml:space="preserve">, </w:t>
    </w:r>
    <w:r>
      <w:rPr>
        <w:bCs/>
        <w:iCs/>
        <w:szCs w:val="16"/>
      </w:rPr>
      <w:t>x. https://doi.org/10.3390/xxxxx</w:t>
    </w:r>
    <w:r>
      <w:rPr>
        <w:lang w:val="en-GB"/>
      </w:rPr>
      <w:ptab w:relativeTo="margin" w:alignment="right" w:leader="none"/>
    </w:r>
    <w:r w:rsidRPr="006C3B0D">
      <w:rPr>
        <w:lang w:val="en-GB"/>
      </w:rPr>
      <w:t>www.mdpi.com/journal/</w:t>
    </w:r>
    <w:r w:rsidRPr="003915ED">
      <w:t>sustainability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90361" w14:textId="77777777" w:rsidR="001C5D95" w:rsidRDefault="001C5D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ADDB8" w14:textId="77777777" w:rsidR="001C5D95" w:rsidRDefault="001C5D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B2C8A" w14:textId="77777777" w:rsidR="001C5D95" w:rsidRDefault="001C5D95" w:rsidP="004F0E02">
    <w:pPr>
      <w:pStyle w:val="MDPIfooterfirstpage"/>
      <w:pBdr>
        <w:top w:val="single" w:sz="4" w:space="0" w:color="000000"/>
      </w:pBdr>
      <w:adjustRightInd w:val="0"/>
      <w:snapToGrid w:val="0"/>
      <w:spacing w:before="480" w:line="100" w:lineRule="exact"/>
      <w:rPr>
        <w:i/>
        <w:iCs/>
        <w:szCs w:val="16"/>
      </w:rPr>
    </w:pPr>
  </w:p>
  <w:p w14:paraId="18286D92" w14:textId="77777777" w:rsidR="001C5D95" w:rsidRPr="006C3B0D" w:rsidRDefault="001C5D95" w:rsidP="00BA570C">
    <w:pPr>
      <w:pStyle w:val="MDPIfooterfirstpage"/>
      <w:tabs>
        <w:tab w:val="clear" w:pos="8845"/>
        <w:tab w:val="right" w:pos="10466"/>
      </w:tabs>
      <w:spacing w:line="240" w:lineRule="auto"/>
      <w:jc w:val="both"/>
      <w:rPr>
        <w:lang w:val="en-GB"/>
      </w:rPr>
    </w:pPr>
    <w:r w:rsidRPr="00C30F79">
      <w:rPr>
        <w:i/>
        <w:iCs/>
        <w:szCs w:val="16"/>
      </w:rPr>
      <w:t>Sustainability</w:t>
    </w:r>
    <w:r w:rsidRPr="00C30F79">
      <w:rPr>
        <w:szCs w:val="16"/>
      </w:rPr>
      <w:t xml:space="preserve"> </w:t>
    </w:r>
    <w:r w:rsidRPr="003337EA">
      <w:rPr>
        <w:b/>
        <w:bCs/>
        <w:iCs/>
        <w:szCs w:val="16"/>
      </w:rPr>
      <w:t>2021</w:t>
    </w:r>
    <w:r w:rsidRPr="00632077">
      <w:rPr>
        <w:bCs/>
        <w:iCs/>
        <w:szCs w:val="16"/>
      </w:rPr>
      <w:t xml:space="preserve">, </w:t>
    </w:r>
    <w:r w:rsidRPr="003337EA">
      <w:rPr>
        <w:bCs/>
        <w:i/>
        <w:iCs/>
        <w:szCs w:val="16"/>
      </w:rPr>
      <w:t>13</w:t>
    </w:r>
    <w:r w:rsidRPr="00632077">
      <w:rPr>
        <w:bCs/>
        <w:iCs/>
        <w:szCs w:val="16"/>
      </w:rPr>
      <w:t xml:space="preserve">, </w:t>
    </w:r>
    <w:r>
      <w:rPr>
        <w:bCs/>
        <w:iCs/>
        <w:szCs w:val="16"/>
      </w:rPr>
      <w:t>x. https://doi.org/10.3390/xxxxx</w:t>
    </w:r>
    <w:r w:rsidRPr="006C3B0D">
      <w:rPr>
        <w:lang w:val="en-GB"/>
      </w:rPr>
      <w:tab/>
      <w:t>www.mdpi.com/journal/</w:t>
    </w:r>
    <w:r w:rsidRPr="003915ED">
      <w:t>sustainability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0D352" w14:textId="77777777" w:rsidR="00F56044" w:rsidRDefault="00F56044">
      <w:pPr>
        <w:spacing w:line="240" w:lineRule="auto"/>
      </w:pPr>
      <w:r>
        <w:separator/>
      </w:r>
    </w:p>
  </w:footnote>
  <w:footnote w:type="continuationSeparator" w:id="0">
    <w:p w14:paraId="71ACFF43" w14:textId="77777777" w:rsidR="00F56044" w:rsidRDefault="00F56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A397C" w14:textId="77777777" w:rsidR="001C5D95" w:rsidRDefault="001C5D95" w:rsidP="00C45F1E">
    <w:pPr>
      <w:pStyle w:val="Header"/>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FE108" w14:textId="77777777" w:rsidR="001C5D95" w:rsidRDefault="001C5D95" w:rsidP="00B93C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4513D3">
      <w:rPr>
        <w:sz w:val="16"/>
      </w:rPr>
      <w:t>19</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1CEDFC88" w14:textId="3D1F2D53" w:rsidR="001C5D95" w:rsidRPr="0050778E" w:rsidRDefault="001C5D95" w:rsidP="009D7EE8">
    <w:pPr>
      <w:tabs>
        <w:tab w:val="right" w:pos="10466"/>
      </w:tabs>
      <w:adjustRightInd w:val="0"/>
      <w:snapToGrid w:val="0"/>
      <w:spacing w:line="240" w:lineRule="auto"/>
      <w:rPr>
        <w:sz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95A87" w14:textId="77777777" w:rsidR="001C5D95" w:rsidRDefault="001C5D95" w:rsidP="00B93C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4513D3">
      <w:rPr>
        <w:sz w:val="16"/>
      </w:rPr>
      <w:t>21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7522A5C3" w14:textId="77777777" w:rsidR="001C5D95" w:rsidRPr="0050778E" w:rsidRDefault="001C5D95" w:rsidP="009D7EE8">
    <w:pPr>
      <w:tabs>
        <w:tab w:val="right" w:pos="10466"/>
      </w:tabs>
      <w:adjustRightInd w:val="0"/>
      <w:snapToGrid w:val="0"/>
      <w:spacing w:line="240" w:lineRule="auto"/>
      <w:rPr>
        <w:sz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CCF0" w14:textId="77777777" w:rsidR="001C5D95" w:rsidRDefault="001C5D95" w:rsidP="00B93C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4513D3">
      <w:rPr>
        <w:sz w:val="16"/>
      </w:rPr>
      <w:t>32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131C4A37" w14:textId="77777777" w:rsidR="001C5D95" w:rsidRPr="0050778E" w:rsidRDefault="001C5D95" w:rsidP="009D7EE8">
    <w:pPr>
      <w:tabs>
        <w:tab w:val="right" w:pos="10466"/>
      </w:tabs>
      <w:adjustRightInd w:val="0"/>
      <w:snapToGrid w:val="0"/>
      <w:spacing w:line="240" w:lineRule="aut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9461" w14:textId="00B69F12" w:rsidR="001C5D95" w:rsidRDefault="001C5D95" w:rsidP="00BA57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4513D3">
      <w:rPr>
        <w:sz w:val="16"/>
      </w:rPr>
      <w:t>7</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79612739" w14:textId="77777777" w:rsidR="001C5D95" w:rsidRPr="0050778E" w:rsidRDefault="001C5D95" w:rsidP="004F0E02">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1C5D95" w:rsidRPr="00BA570C" w14:paraId="5A55E264" w14:textId="77777777" w:rsidTr="00BA570C">
      <w:trPr>
        <w:trHeight w:val="686"/>
      </w:trPr>
      <w:tc>
        <w:tcPr>
          <w:tcW w:w="3679" w:type="dxa"/>
          <w:shd w:val="clear" w:color="auto" w:fill="auto"/>
          <w:vAlign w:val="center"/>
        </w:tcPr>
        <w:p w14:paraId="299D9982" w14:textId="77777777" w:rsidR="001C5D95" w:rsidRPr="00401235" w:rsidRDefault="001C5D95" w:rsidP="00BA570C">
          <w:pPr>
            <w:pStyle w:val="Header"/>
            <w:pBdr>
              <w:bottom w:val="none" w:sz="0" w:space="0" w:color="auto"/>
            </w:pBdr>
            <w:jc w:val="left"/>
            <w:rPr>
              <w:rFonts w:eastAsia="DengXian"/>
              <w:b/>
              <w:bCs/>
            </w:rPr>
          </w:pPr>
          <w:r w:rsidRPr="00401235">
            <w:rPr>
              <w:rFonts w:eastAsia="DengXian"/>
              <w:b/>
              <w:bCs/>
              <w:lang w:eastAsia="en-US"/>
            </w:rPr>
            <w:drawing>
              <wp:inline distT="0" distB="0" distL="0" distR="0" wp14:anchorId="5C55490D" wp14:editId="4EE06D0F">
                <wp:extent cx="1683385" cy="429260"/>
                <wp:effectExtent l="0" t="0" r="0" b="0"/>
                <wp:docPr id="6" name="Picture 5" descr="C:\Users\home\AppData\Local\Temp\HZ$D.082.3379\sustainabil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AppData\Local\Temp\HZ$D.082.3379\sustainability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1E16E7E5" w14:textId="77777777" w:rsidR="001C5D95" w:rsidRPr="00401235" w:rsidRDefault="001C5D95" w:rsidP="00BA570C">
          <w:pPr>
            <w:pStyle w:val="Header"/>
            <w:pBdr>
              <w:bottom w:val="none" w:sz="0" w:space="0" w:color="auto"/>
            </w:pBdr>
            <w:rPr>
              <w:rFonts w:eastAsia="DengXian"/>
              <w:b/>
              <w:bCs/>
            </w:rPr>
          </w:pPr>
        </w:p>
      </w:tc>
      <w:tc>
        <w:tcPr>
          <w:tcW w:w="2273" w:type="dxa"/>
          <w:shd w:val="clear" w:color="auto" w:fill="auto"/>
          <w:vAlign w:val="center"/>
        </w:tcPr>
        <w:p w14:paraId="6FCB0398" w14:textId="77777777" w:rsidR="001C5D95" w:rsidRPr="00401235" w:rsidRDefault="001C5D95" w:rsidP="00BA570C">
          <w:pPr>
            <w:pStyle w:val="Header"/>
            <w:pBdr>
              <w:bottom w:val="none" w:sz="0" w:space="0" w:color="auto"/>
            </w:pBdr>
            <w:jc w:val="right"/>
            <w:rPr>
              <w:rFonts w:eastAsia="DengXian"/>
              <w:b/>
              <w:bCs/>
            </w:rPr>
          </w:pPr>
          <w:r w:rsidRPr="00401235">
            <w:rPr>
              <w:rFonts w:eastAsia="DengXian"/>
              <w:b/>
              <w:bCs/>
              <w:lang w:eastAsia="en-US"/>
            </w:rPr>
            <w:drawing>
              <wp:inline distT="0" distB="0" distL="0" distR="0" wp14:anchorId="12C4C386" wp14:editId="218DB4D0">
                <wp:extent cx="540385" cy="3530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2BDB000E" w14:textId="77777777" w:rsidR="001C5D95" w:rsidRPr="00281E5B" w:rsidRDefault="001C5D95" w:rsidP="004F0E02">
    <w:pPr>
      <w:pBdr>
        <w:bottom w:val="single" w:sz="4" w:space="1" w:color="000000"/>
      </w:pBdr>
      <w:adjustRightInd w:val="0"/>
      <w:snapToGrid w:val="0"/>
      <w:spacing w:line="100" w:lineRule="exact"/>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AD7DF" w14:textId="77777777" w:rsidR="001C5D95" w:rsidRDefault="001C5D95" w:rsidP="00C45F1E">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8EA07" w14:textId="77777777" w:rsidR="001C5D95" w:rsidRDefault="001C5D95" w:rsidP="00BA570C">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4513D3">
      <w:rPr>
        <w:sz w:val="16"/>
      </w:rPr>
      <w:t>11</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1EF6E8AF" w14:textId="77777777" w:rsidR="001C5D95" w:rsidRPr="0050778E" w:rsidRDefault="001C5D95" w:rsidP="004F0E02">
    <w:pPr>
      <w:pBdr>
        <w:bottom w:val="single" w:sz="4" w:space="1" w:color="000000"/>
      </w:pBdr>
      <w:tabs>
        <w:tab w:val="right" w:pos="8844"/>
      </w:tabs>
      <w:adjustRightInd w:val="0"/>
      <w:snapToGrid w:val="0"/>
      <w:spacing w:after="480" w:line="100" w:lineRule="exact"/>
      <w:jc w:val="left"/>
      <w:rPr>
        <w:sz w:val="16"/>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1C5D95" w:rsidRPr="00BA570C" w14:paraId="1B516E06" w14:textId="77777777" w:rsidTr="00BA570C">
      <w:trPr>
        <w:trHeight w:val="686"/>
      </w:trPr>
      <w:tc>
        <w:tcPr>
          <w:tcW w:w="3679" w:type="dxa"/>
          <w:shd w:val="clear" w:color="auto" w:fill="auto"/>
          <w:vAlign w:val="center"/>
        </w:tcPr>
        <w:p w14:paraId="64580D98" w14:textId="77777777" w:rsidR="001C5D95" w:rsidRPr="00401235" w:rsidRDefault="001C5D95" w:rsidP="00BA570C">
          <w:pPr>
            <w:pStyle w:val="Header"/>
            <w:pBdr>
              <w:bottom w:val="none" w:sz="0" w:space="0" w:color="auto"/>
            </w:pBdr>
            <w:jc w:val="left"/>
            <w:rPr>
              <w:rFonts w:eastAsia="DengXian"/>
              <w:b/>
              <w:bCs/>
            </w:rPr>
          </w:pPr>
          <w:r w:rsidRPr="00401235">
            <w:rPr>
              <w:rFonts w:eastAsia="DengXian"/>
              <w:b/>
              <w:bCs/>
              <w:lang w:eastAsia="en-US"/>
            </w:rPr>
            <w:drawing>
              <wp:inline distT="0" distB="0" distL="0" distR="0" wp14:anchorId="0E2BAAD7" wp14:editId="3C45B0A7">
                <wp:extent cx="1683385" cy="429260"/>
                <wp:effectExtent l="0" t="0" r="0" b="0"/>
                <wp:docPr id="1" name="Picture 5" descr="C:\Users\home\AppData\Local\Temp\HZ$D.082.3379\sustainabil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AppData\Local\Temp\HZ$D.082.3379\sustainability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210E6E5E" w14:textId="77777777" w:rsidR="001C5D95" w:rsidRPr="00401235" w:rsidRDefault="001C5D95" w:rsidP="00BA570C">
          <w:pPr>
            <w:pStyle w:val="Header"/>
            <w:pBdr>
              <w:bottom w:val="none" w:sz="0" w:space="0" w:color="auto"/>
            </w:pBdr>
            <w:rPr>
              <w:rFonts w:eastAsia="DengXian"/>
              <w:b/>
              <w:bCs/>
            </w:rPr>
          </w:pPr>
        </w:p>
      </w:tc>
      <w:tc>
        <w:tcPr>
          <w:tcW w:w="2273" w:type="dxa"/>
          <w:shd w:val="clear" w:color="auto" w:fill="auto"/>
          <w:vAlign w:val="center"/>
        </w:tcPr>
        <w:p w14:paraId="41ACC013" w14:textId="77777777" w:rsidR="001C5D95" w:rsidRPr="00401235" w:rsidRDefault="001C5D95" w:rsidP="00BA570C">
          <w:pPr>
            <w:pStyle w:val="Header"/>
            <w:pBdr>
              <w:bottom w:val="none" w:sz="0" w:space="0" w:color="auto"/>
            </w:pBdr>
            <w:jc w:val="right"/>
            <w:rPr>
              <w:rFonts w:eastAsia="DengXian"/>
              <w:b/>
              <w:bCs/>
            </w:rPr>
          </w:pPr>
          <w:r w:rsidRPr="00401235">
            <w:rPr>
              <w:rFonts w:eastAsia="DengXian"/>
              <w:b/>
              <w:bCs/>
              <w:lang w:eastAsia="en-US"/>
            </w:rPr>
            <w:drawing>
              <wp:inline distT="0" distB="0" distL="0" distR="0" wp14:anchorId="5896D97F" wp14:editId="2E22CD61">
                <wp:extent cx="540385" cy="3530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060"/>
                        </a:xfrm>
                        <a:prstGeom prst="rect">
                          <a:avLst/>
                        </a:prstGeom>
                        <a:noFill/>
                        <a:ln>
                          <a:noFill/>
                        </a:ln>
                      </pic:spPr>
                    </pic:pic>
                  </a:graphicData>
                </a:graphic>
              </wp:inline>
            </w:drawing>
          </w:r>
        </w:p>
      </w:tc>
    </w:tr>
  </w:tbl>
  <w:p w14:paraId="1DF69CD8" w14:textId="77777777" w:rsidR="001C5D95" w:rsidRPr="00281E5B" w:rsidRDefault="001C5D95" w:rsidP="004F0E02">
    <w:pPr>
      <w:pBdr>
        <w:bottom w:val="single" w:sz="4" w:space="1" w:color="000000"/>
      </w:pBdr>
      <w:adjustRightInd w:val="0"/>
      <w:snapToGrid w:val="0"/>
      <w:spacing w:line="100" w:lineRule="exact"/>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93A4" w14:textId="19F809E7" w:rsidR="001C5D95" w:rsidRDefault="001C5D95" w:rsidP="009D7EE8">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4513D3">
      <w:rPr>
        <w:sz w:val="16"/>
      </w:rPr>
      <w:t>12</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2DD9F244" w14:textId="7DEE6A72" w:rsidR="001C5D95" w:rsidRPr="0050778E" w:rsidRDefault="001C5D95" w:rsidP="009D7EE8">
    <w:pPr>
      <w:tabs>
        <w:tab w:val="right" w:pos="10466"/>
      </w:tabs>
      <w:adjustRightInd w:val="0"/>
      <w:snapToGrid w:val="0"/>
      <w:spacing w:line="240" w:lineRule="auto"/>
      <w:rPr>
        <w:sz w:val="16"/>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794A" w14:textId="77777777" w:rsidR="001C5D95" w:rsidRDefault="001C5D95" w:rsidP="005349CA">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sidR="004513D3">
      <w:rPr>
        <w:sz w:val="16"/>
      </w:rPr>
      <w:t>13</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06A6C137" w14:textId="09D5AF9B" w:rsidR="001C5D95" w:rsidRPr="0050778E" w:rsidRDefault="001C5D95" w:rsidP="009D7EE8">
    <w:pPr>
      <w:tabs>
        <w:tab w:val="right" w:pos="10466"/>
      </w:tabs>
      <w:adjustRightInd w:val="0"/>
      <w:snapToGrid w:val="0"/>
      <w:spacing w:line="240" w:lineRule="auto"/>
      <w:rPr>
        <w:sz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DE360" w14:textId="77777777" w:rsidR="001C5D95" w:rsidRDefault="001C5D95" w:rsidP="005D7FF3">
    <w:pPr>
      <w:tabs>
        <w:tab w:val="right" w:pos="10466"/>
      </w:tabs>
      <w:adjustRightInd w:val="0"/>
      <w:snapToGrid w:val="0"/>
      <w:spacing w:line="240" w:lineRule="auto"/>
      <w:rPr>
        <w:sz w:val="16"/>
      </w:rPr>
    </w:pPr>
    <w:r>
      <w:rPr>
        <w:i/>
        <w:sz w:val="16"/>
      </w:rPr>
      <w:t xml:space="preserve">Sustainability </w:t>
    </w:r>
    <w:r w:rsidRPr="005028E5">
      <w:rPr>
        <w:b/>
        <w:sz w:val="16"/>
      </w:rPr>
      <w:t>2021</w:t>
    </w:r>
    <w:r w:rsidRPr="00632077">
      <w:rPr>
        <w:sz w:val="16"/>
      </w:rPr>
      <w:t xml:space="preserve">, </w:t>
    </w:r>
    <w:r w:rsidRPr="005028E5">
      <w:rPr>
        <w:i/>
        <w:sz w:val="16"/>
      </w:rPr>
      <w:t>13</w:t>
    </w:r>
    <w:r>
      <w:rPr>
        <w:sz w:val="16"/>
      </w:rPr>
      <w:t>, x FOR PEER REVIEW</w:t>
    </w:r>
    <w:r>
      <w:rPr>
        <w:sz w:val="16"/>
      </w:rPr>
      <w:tab/>
    </w:r>
    <w:r>
      <w:rPr>
        <w:sz w:val="16"/>
      </w:rPr>
      <w:ptab w:relativeTo="margin" w:alignment="right" w:leader="none"/>
    </w:r>
    <w:r>
      <w:rPr>
        <w:sz w:val="16"/>
      </w:rPr>
      <w:fldChar w:fldCharType="begin"/>
    </w:r>
    <w:r>
      <w:rPr>
        <w:sz w:val="16"/>
      </w:rPr>
      <w:instrText xml:space="preserve"> PAGE   \* MERGEFORMAT </w:instrText>
    </w:r>
    <w:r>
      <w:rPr>
        <w:sz w:val="16"/>
      </w:rPr>
      <w:fldChar w:fldCharType="separate"/>
    </w:r>
    <w:r w:rsidR="004513D3">
      <w:rPr>
        <w:sz w:val="16"/>
      </w:rPr>
      <w:t>17</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sidR="004513D3">
      <w:rPr>
        <w:sz w:val="16"/>
      </w:rPr>
      <w:t>35</w:t>
    </w:r>
    <w:r>
      <w:rPr>
        <w:sz w:val="16"/>
      </w:rPr>
      <w:fldChar w:fldCharType="end"/>
    </w:r>
  </w:p>
  <w:p w14:paraId="70F322E5" w14:textId="1D7881E4" w:rsidR="001C5D95" w:rsidRPr="0050778E" w:rsidRDefault="001C5D95" w:rsidP="009D7EE8">
    <w:pPr>
      <w:tabs>
        <w:tab w:val="right" w:pos="10466"/>
      </w:tabs>
      <w:adjustRightInd w:val="0"/>
      <w:snapToGrid w:val="0"/>
      <w:spacing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7792"/>
    <w:multiLevelType w:val="hybridMultilevel"/>
    <w:tmpl w:val="C9D0CCF6"/>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B4928"/>
    <w:multiLevelType w:val="hybridMultilevel"/>
    <w:tmpl w:val="8104E9EE"/>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373D33"/>
    <w:multiLevelType w:val="hybridMultilevel"/>
    <w:tmpl w:val="00CA86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5D0047"/>
    <w:multiLevelType w:val="hybridMultilevel"/>
    <w:tmpl w:val="ACD04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3A14D9"/>
    <w:multiLevelType w:val="hybridMultilevel"/>
    <w:tmpl w:val="F608385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7" w15:restartNumberingAfterBreak="0">
    <w:nsid w:val="32483206"/>
    <w:multiLevelType w:val="hybridMultilevel"/>
    <w:tmpl w:val="D5B069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1871A9"/>
    <w:multiLevelType w:val="hybridMultilevel"/>
    <w:tmpl w:val="C9F2E34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2F3C5F"/>
    <w:multiLevelType w:val="hybridMultilevel"/>
    <w:tmpl w:val="723843D0"/>
    <w:lvl w:ilvl="0" w:tplc="08090001">
      <w:start w:val="1"/>
      <w:numFmt w:val="bullet"/>
      <w:lvlText w:val=""/>
      <w:lvlJc w:val="left"/>
      <w:pPr>
        <w:ind w:left="360" w:hanging="360"/>
      </w:pPr>
      <w:rPr>
        <w:rFonts w:ascii="Symbol" w:hAnsi="Symbol"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2610EB"/>
    <w:multiLevelType w:val="singleLevel"/>
    <w:tmpl w:val="B1E07608"/>
    <w:lvl w:ilvl="0">
      <w:start w:val="1"/>
      <w:numFmt w:val="decimal"/>
      <w:lvlText w:val="%1."/>
      <w:lvlJc w:val="left"/>
      <w:pPr>
        <w:ind w:left="288" w:firstLine="72"/>
      </w:pPr>
      <w:rPr>
        <w:vertAlign w:val="superscript"/>
      </w:rPr>
    </w:lvl>
  </w:abstractNum>
  <w:abstractNum w:abstractNumId="11" w15:restartNumberingAfterBreak="0">
    <w:nsid w:val="425A2EF8"/>
    <w:multiLevelType w:val="hybridMultilevel"/>
    <w:tmpl w:val="55BC89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5570C7"/>
    <w:multiLevelType w:val="hybridMultilevel"/>
    <w:tmpl w:val="9C260E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EF70D6"/>
    <w:multiLevelType w:val="hybridMultilevel"/>
    <w:tmpl w:val="43081F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453E6A"/>
    <w:multiLevelType w:val="hybridMultilevel"/>
    <w:tmpl w:val="64F0E54E"/>
    <w:lvl w:ilvl="0" w:tplc="CDCEE7DA">
      <w:start w:val="1"/>
      <w:numFmt w:val="decimal"/>
      <w:lvlText w:val="%1."/>
      <w:lvlJc w:val="left"/>
      <w:pPr>
        <w:ind w:left="3328" w:hanging="360"/>
      </w:p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5" w15:restartNumberingAfterBreak="0">
    <w:nsid w:val="52E2771B"/>
    <w:multiLevelType w:val="hybridMultilevel"/>
    <w:tmpl w:val="A2A06AAC"/>
    <w:lvl w:ilvl="0" w:tplc="C788203A">
      <w:start w:val="1"/>
      <w:numFmt w:val="decimal"/>
      <w:lvlRestart w:val="0"/>
      <w:pStyle w:val="MDPI71FootNotes"/>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062799"/>
    <w:multiLevelType w:val="hybridMultilevel"/>
    <w:tmpl w:val="FFB8CCE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8" w15:restartNumberingAfterBreak="0">
    <w:nsid w:val="5AE848B2"/>
    <w:multiLevelType w:val="hybridMultilevel"/>
    <w:tmpl w:val="AF746C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B02708"/>
    <w:multiLevelType w:val="hybridMultilevel"/>
    <w:tmpl w:val="0ACA5F7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6B1BF5"/>
    <w:multiLevelType w:val="hybridMultilevel"/>
    <w:tmpl w:val="5B5C446C"/>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4846DAF"/>
    <w:multiLevelType w:val="hybridMultilevel"/>
    <w:tmpl w:val="F606DC68"/>
    <w:lvl w:ilvl="0" w:tplc="08090001">
      <w:start w:val="1"/>
      <w:numFmt w:val="bullet"/>
      <w:lvlText w:val=""/>
      <w:lvlJc w:val="left"/>
      <w:pPr>
        <w:ind w:left="360" w:hanging="360"/>
      </w:pPr>
      <w:rPr>
        <w:rFonts w:ascii="Symbol" w:hAnsi="Symbol"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8D4D29"/>
    <w:multiLevelType w:val="hybridMultilevel"/>
    <w:tmpl w:val="617A166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D447EC"/>
    <w:multiLevelType w:val="hybridMultilevel"/>
    <w:tmpl w:val="E3DE47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7AD1EEC"/>
    <w:multiLevelType w:val="hybridMultilevel"/>
    <w:tmpl w:val="DBACD5E0"/>
    <w:lvl w:ilvl="0" w:tplc="08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916D16"/>
    <w:multiLevelType w:val="hybridMultilevel"/>
    <w:tmpl w:val="6A72316E"/>
    <w:lvl w:ilvl="0" w:tplc="08090001">
      <w:start w:val="1"/>
      <w:numFmt w:val="bullet"/>
      <w:lvlText w:val=""/>
      <w:lvlJc w:val="left"/>
      <w:pPr>
        <w:ind w:left="360" w:hanging="360"/>
      </w:pPr>
      <w:rPr>
        <w:rFonts w:ascii="Symbol" w:hAnsi="Symbol"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605272"/>
    <w:multiLevelType w:val="hybridMultilevel"/>
    <w:tmpl w:val="500680C6"/>
    <w:lvl w:ilvl="0" w:tplc="08090001">
      <w:start w:val="1"/>
      <w:numFmt w:val="bullet"/>
      <w:lvlText w:val=""/>
      <w:lvlJc w:val="left"/>
      <w:pPr>
        <w:ind w:left="36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E5265EA"/>
    <w:multiLevelType w:val="hybridMultilevel"/>
    <w:tmpl w:val="380A5E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1"/>
  </w:num>
  <w:num w:numId="3">
    <w:abstractNumId w:val="18"/>
  </w:num>
  <w:num w:numId="4">
    <w:abstractNumId w:val="27"/>
  </w:num>
  <w:num w:numId="5">
    <w:abstractNumId w:val="17"/>
  </w:num>
  <w:num w:numId="6">
    <w:abstractNumId w:val="6"/>
  </w:num>
  <w:num w:numId="7">
    <w:abstractNumId w:val="4"/>
  </w:num>
  <w:num w:numId="8">
    <w:abstractNumId w:val="15"/>
  </w:num>
  <w:num w:numId="9">
    <w:abstractNumId w:val="0"/>
  </w:num>
  <w:num w:numId="10">
    <w:abstractNumId w:val="20"/>
  </w:num>
  <w:num w:numId="11">
    <w:abstractNumId w:val="21"/>
  </w:num>
  <w:num w:numId="12">
    <w:abstractNumId w:val="16"/>
  </w:num>
  <w:num w:numId="13">
    <w:abstractNumId w:val="22"/>
  </w:num>
  <w:num w:numId="14">
    <w:abstractNumId w:val="2"/>
  </w:num>
  <w:num w:numId="15">
    <w:abstractNumId w:val="24"/>
  </w:num>
  <w:num w:numId="16">
    <w:abstractNumId w:val="8"/>
  </w:num>
  <w:num w:numId="17">
    <w:abstractNumId w:val="1"/>
  </w:num>
  <w:num w:numId="18">
    <w:abstractNumId w:val="7"/>
  </w:num>
  <w:num w:numId="19">
    <w:abstractNumId w:val="23"/>
  </w:num>
  <w:num w:numId="20">
    <w:abstractNumId w:val="14"/>
  </w:num>
  <w:num w:numId="21">
    <w:abstractNumId w:val="10"/>
  </w:num>
  <w:num w:numId="22">
    <w:abstractNumId w:val="26"/>
  </w:num>
  <w:num w:numId="23">
    <w:abstractNumId w:val="25"/>
  </w:num>
  <w:num w:numId="24">
    <w:abstractNumId w:val="9"/>
  </w:num>
  <w:num w:numId="25">
    <w:abstractNumId w:val="19"/>
  </w:num>
  <w:num w:numId="26">
    <w:abstractNumId w:val="12"/>
  </w:num>
  <w:num w:numId="27">
    <w:abstractNumId w:val="13"/>
  </w:num>
  <w:num w:numId="2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311"/>
    <w:rsid w:val="00005407"/>
    <w:rsid w:val="0001183F"/>
    <w:rsid w:val="00012B6B"/>
    <w:rsid w:val="000142CA"/>
    <w:rsid w:val="000153EA"/>
    <w:rsid w:val="00020CE2"/>
    <w:rsid w:val="000213B8"/>
    <w:rsid w:val="000261B6"/>
    <w:rsid w:val="0002693A"/>
    <w:rsid w:val="0002756B"/>
    <w:rsid w:val="00037AE6"/>
    <w:rsid w:val="00040629"/>
    <w:rsid w:val="00051876"/>
    <w:rsid w:val="000543E8"/>
    <w:rsid w:val="0005712C"/>
    <w:rsid w:val="00060435"/>
    <w:rsid w:val="00060BAD"/>
    <w:rsid w:val="00064493"/>
    <w:rsid w:val="00064772"/>
    <w:rsid w:val="000658CB"/>
    <w:rsid w:val="00065F87"/>
    <w:rsid w:val="00071218"/>
    <w:rsid w:val="00077EC8"/>
    <w:rsid w:val="00080EFC"/>
    <w:rsid w:val="000855EA"/>
    <w:rsid w:val="00086989"/>
    <w:rsid w:val="000878B9"/>
    <w:rsid w:val="000925CA"/>
    <w:rsid w:val="00093E7F"/>
    <w:rsid w:val="000A5012"/>
    <w:rsid w:val="000A6E6B"/>
    <w:rsid w:val="000A742C"/>
    <w:rsid w:val="000B49CA"/>
    <w:rsid w:val="000C2077"/>
    <w:rsid w:val="000C63D3"/>
    <w:rsid w:val="000D493C"/>
    <w:rsid w:val="000D65E1"/>
    <w:rsid w:val="000E50ED"/>
    <w:rsid w:val="000F1C7F"/>
    <w:rsid w:val="000F2B89"/>
    <w:rsid w:val="000F5483"/>
    <w:rsid w:val="00100918"/>
    <w:rsid w:val="00103F23"/>
    <w:rsid w:val="00104D24"/>
    <w:rsid w:val="00111F85"/>
    <w:rsid w:val="00112244"/>
    <w:rsid w:val="00114170"/>
    <w:rsid w:val="00115233"/>
    <w:rsid w:val="00122D91"/>
    <w:rsid w:val="00127E28"/>
    <w:rsid w:val="0013004D"/>
    <w:rsid w:val="001300A9"/>
    <w:rsid w:val="00130C3F"/>
    <w:rsid w:val="00132323"/>
    <w:rsid w:val="0014459E"/>
    <w:rsid w:val="0014750B"/>
    <w:rsid w:val="00151AA3"/>
    <w:rsid w:val="001534F0"/>
    <w:rsid w:val="00165B0C"/>
    <w:rsid w:val="0017606E"/>
    <w:rsid w:val="001771C7"/>
    <w:rsid w:val="00184C62"/>
    <w:rsid w:val="00185980"/>
    <w:rsid w:val="00186559"/>
    <w:rsid w:val="001A0971"/>
    <w:rsid w:val="001A1BB3"/>
    <w:rsid w:val="001A27B2"/>
    <w:rsid w:val="001A57BF"/>
    <w:rsid w:val="001B38D4"/>
    <w:rsid w:val="001C02BC"/>
    <w:rsid w:val="001C5D95"/>
    <w:rsid w:val="001C635C"/>
    <w:rsid w:val="001D057B"/>
    <w:rsid w:val="001D2394"/>
    <w:rsid w:val="001D3908"/>
    <w:rsid w:val="001D4AC6"/>
    <w:rsid w:val="001E2AEB"/>
    <w:rsid w:val="001E45D1"/>
    <w:rsid w:val="001F1227"/>
    <w:rsid w:val="00204327"/>
    <w:rsid w:val="00212BCC"/>
    <w:rsid w:val="002141CF"/>
    <w:rsid w:val="002222AE"/>
    <w:rsid w:val="002240C9"/>
    <w:rsid w:val="0022638C"/>
    <w:rsid w:val="002266AA"/>
    <w:rsid w:val="002316BB"/>
    <w:rsid w:val="00234B3D"/>
    <w:rsid w:val="00241F50"/>
    <w:rsid w:val="00245039"/>
    <w:rsid w:val="00253CA3"/>
    <w:rsid w:val="00254F04"/>
    <w:rsid w:val="00255062"/>
    <w:rsid w:val="002567EA"/>
    <w:rsid w:val="00256E65"/>
    <w:rsid w:val="00273DC4"/>
    <w:rsid w:val="00273EA0"/>
    <w:rsid w:val="00277E87"/>
    <w:rsid w:val="00281559"/>
    <w:rsid w:val="00281E5B"/>
    <w:rsid w:val="0028538E"/>
    <w:rsid w:val="0028539D"/>
    <w:rsid w:val="00291082"/>
    <w:rsid w:val="0029352F"/>
    <w:rsid w:val="0029420B"/>
    <w:rsid w:val="002A013C"/>
    <w:rsid w:val="002A0971"/>
    <w:rsid w:val="002A0FD7"/>
    <w:rsid w:val="002A59D0"/>
    <w:rsid w:val="002B4771"/>
    <w:rsid w:val="002C2696"/>
    <w:rsid w:val="002C3717"/>
    <w:rsid w:val="002C3C39"/>
    <w:rsid w:val="002D4049"/>
    <w:rsid w:val="002D650D"/>
    <w:rsid w:val="002E57DB"/>
    <w:rsid w:val="002E5B86"/>
    <w:rsid w:val="002F1BFE"/>
    <w:rsid w:val="002F41A1"/>
    <w:rsid w:val="00316C89"/>
    <w:rsid w:val="00320694"/>
    <w:rsid w:val="00326141"/>
    <w:rsid w:val="00330A75"/>
    <w:rsid w:val="0033301A"/>
    <w:rsid w:val="003333DE"/>
    <w:rsid w:val="003337EA"/>
    <w:rsid w:val="00337833"/>
    <w:rsid w:val="003378DA"/>
    <w:rsid w:val="00354184"/>
    <w:rsid w:val="00354A5A"/>
    <w:rsid w:val="003670B1"/>
    <w:rsid w:val="0037460F"/>
    <w:rsid w:val="00382278"/>
    <w:rsid w:val="0039368C"/>
    <w:rsid w:val="00393C51"/>
    <w:rsid w:val="003A0AAC"/>
    <w:rsid w:val="003A55C1"/>
    <w:rsid w:val="003A6461"/>
    <w:rsid w:val="003B4D97"/>
    <w:rsid w:val="003B6816"/>
    <w:rsid w:val="003D0890"/>
    <w:rsid w:val="003D1D40"/>
    <w:rsid w:val="003D2B42"/>
    <w:rsid w:val="003D60EE"/>
    <w:rsid w:val="003E5A9A"/>
    <w:rsid w:val="003E6CA0"/>
    <w:rsid w:val="003E7640"/>
    <w:rsid w:val="003F4EFE"/>
    <w:rsid w:val="003F6C3A"/>
    <w:rsid w:val="00401235"/>
    <w:rsid w:val="00401D30"/>
    <w:rsid w:val="00404301"/>
    <w:rsid w:val="00416576"/>
    <w:rsid w:val="00421B2B"/>
    <w:rsid w:val="00425371"/>
    <w:rsid w:val="00425FFF"/>
    <w:rsid w:val="00431D81"/>
    <w:rsid w:val="004440E4"/>
    <w:rsid w:val="004446AD"/>
    <w:rsid w:val="004513D3"/>
    <w:rsid w:val="004528C2"/>
    <w:rsid w:val="00452ACD"/>
    <w:rsid w:val="0045562D"/>
    <w:rsid w:val="00455721"/>
    <w:rsid w:val="0047538F"/>
    <w:rsid w:val="004802F7"/>
    <w:rsid w:val="0048108F"/>
    <w:rsid w:val="004870B5"/>
    <w:rsid w:val="00490656"/>
    <w:rsid w:val="004907ED"/>
    <w:rsid w:val="004915A7"/>
    <w:rsid w:val="004977EA"/>
    <w:rsid w:val="004A6B48"/>
    <w:rsid w:val="004B0B17"/>
    <w:rsid w:val="004B4287"/>
    <w:rsid w:val="004B5191"/>
    <w:rsid w:val="004C0213"/>
    <w:rsid w:val="004C39F8"/>
    <w:rsid w:val="004C3F57"/>
    <w:rsid w:val="004C46B1"/>
    <w:rsid w:val="004D08FD"/>
    <w:rsid w:val="004D121A"/>
    <w:rsid w:val="004D1C06"/>
    <w:rsid w:val="004E0EB0"/>
    <w:rsid w:val="004E0F98"/>
    <w:rsid w:val="004E1728"/>
    <w:rsid w:val="004E21A1"/>
    <w:rsid w:val="004F0E02"/>
    <w:rsid w:val="004F1E80"/>
    <w:rsid w:val="004F5851"/>
    <w:rsid w:val="004F7C70"/>
    <w:rsid w:val="005028D1"/>
    <w:rsid w:val="005028E5"/>
    <w:rsid w:val="00502CF0"/>
    <w:rsid w:val="00502EEE"/>
    <w:rsid w:val="005035AE"/>
    <w:rsid w:val="00511E44"/>
    <w:rsid w:val="005313DE"/>
    <w:rsid w:val="005327C9"/>
    <w:rsid w:val="005349CA"/>
    <w:rsid w:val="00543196"/>
    <w:rsid w:val="005447E0"/>
    <w:rsid w:val="0055269D"/>
    <w:rsid w:val="00561986"/>
    <w:rsid w:val="005660F6"/>
    <w:rsid w:val="005664D0"/>
    <w:rsid w:val="0057114D"/>
    <w:rsid w:val="00576387"/>
    <w:rsid w:val="00584E97"/>
    <w:rsid w:val="00585BA8"/>
    <w:rsid w:val="005904C5"/>
    <w:rsid w:val="00592452"/>
    <w:rsid w:val="005966CD"/>
    <w:rsid w:val="005A3AF8"/>
    <w:rsid w:val="005B0489"/>
    <w:rsid w:val="005C22D0"/>
    <w:rsid w:val="005C2563"/>
    <w:rsid w:val="005D100A"/>
    <w:rsid w:val="005D13A9"/>
    <w:rsid w:val="005D3E06"/>
    <w:rsid w:val="005D7FF3"/>
    <w:rsid w:val="005E0240"/>
    <w:rsid w:val="005E14E8"/>
    <w:rsid w:val="005E2893"/>
    <w:rsid w:val="005E7371"/>
    <w:rsid w:val="005F06CB"/>
    <w:rsid w:val="005F2217"/>
    <w:rsid w:val="006008CD"/>
    <w:rsid w:val="00604EDE"/>
    <w:rsid w:val="00607F24"/>
    <w:rsid w:val="00617B6F"/>
    <w:rsid w:val="006204BC"/>
    <w:rsid w:val="006208D2"/>
    <w:rsid w:val="00620B43"/>
    <w:rsid w:val="00627732"/>
    <w:rsid w:val="0062780A"/>
    <w:rsid w:val="00632077"/>
    <w:rsid w:val="00640C9B"/>
    <w:rsid w:val="006412FE"/>
    <w:rsid w:val="006429BB"/>
    <w:rsid w:val="006539F4"/>
    <w:rsid w:val="006557F7"/>
    <w:rsid w:val="00657B72"/>
    <w:rsid w:val="0066425E"/>
    <w:rsid w:val="00675189"/>
    <w:rsid w:val="00675DEE"/>
    <w:rsid w:val="00692393"/>
    <w:rsid w:val="006A130C"/>
    <w:rsid w:val="006A132F"/>
    <w:rsid w:val="006A7FF4"/>
    <w:rsid w:val="006B3222"/>
    <w:rsid w:val="006B5DE2"/>
    <w:rsid w:val="006B7EDF"/>
    <w:rsid w:val="006C0A78"/>
    <w:rsid w:val="006C0ABB"/>
    <w:rsid w:val="006C3B0D"/>
    <w:rsid w:val="006D73B2"/>
    <w:rsid w:val="006D76D5"/>
    <w:rsid w:val="006E142A"/>
    <w:rsid w:val="006E4981"/>
    <w:rsid w:val="006E531D"/>
    <w:rsid w:val="006E6686"/>
    <w:rsid w:val="006F3555"/>
    <w:rsid w:val="00712F53"/>
    <w:rsid w:val="00714D75"/>
    <w:rsid w:val="00721413"/>
    <w:rsid w:val="00722179"/>
    <w:rsid w:val="00723E9C"/>
    <w:rsid w:val="0072549B"/>
    <w:rsid w:val="0072561C"/>
    <w:rsid w:val="0073684E"/>
    <w:rsid w:val="00740B6F"/>
    <w:rsid w:val="00742634"/>
    <w:rsid w:val="00747861"/>
    <w:rsid w:val="007562C2"/>
    <w:rsid w:val="0075794E"/>
    <w:rsid w:val="007628E6"/>
    <w:rsid w:val="00765756"/>
    <w:rsid w:val="0076686D"/>
    <w:rsid w:val="00767157"/>
    <w:rsid w:val="007674BF"/>
    <w:rsid w:val="00770948"/>
    <w:rsid w:val="007733C2"/>
    <w:rsid w:val="0077402B"/>
    <w:rsid w:val="00793740"/>
    <w:rsid w:val="00797966"/>
    <w:rsid w:val="007979EE"/>
    <w:rsid w:val="007A108C"/>
    <w:rsid w:val="007A283C"/>
    <w:rsid w:val="007B3942"/>
    <w:rsid w:val="007B4504"/>
    <w:rsid w:val="007B6491"/>
    <w:rsid w:val="007B773A"/>
    <w:rsid w:val="007C333B"/>
    <w:rsid w:val="007C36B8"/>
    <w:rsid w:val="007C6542"/>
    <w:rsid w:val="007C799C"/>
    <w:rsid w:val="007D2775"/>
    <w:rsid w:val="007D3E94"/>
    <w:rsid w:val="007E08A5"/>
    <w:rsid w:val="007E1AD0"/>
    <w:rsid w:val="007E270A"/>
    <w:rsid w:val="007E5740"/>
    <w:rsid w:val="007F2232"/>
    <w:rsid w:val="0080009C"/>
    <w:rsid w:val="008007A1"/>
    <w:rsid w:val="008009F7"/>
    <w:rsid w:val="00801FE8"/>
    <w:rsid w:val="00805003"/>
    <w:rsid w:val="008153F3"/>
    <w:rsid w:val="008226B5"/>
    <w:rsid w:val="00822B3D"/>
    <w:rsid w:val="00832857"/>
    <w:rsid w:val="00835F42"/>
    <w:rsid w:val="00840934"/>
    <w:rsid w:val="00841933"/>
    <w:rsid w:val="0084272D"/>
    <w:rsid w:val="00845819"/>
    <w:rsid w:val="00850AE9"/>
    <w:rsid w:val="008523BB"/>
    <w:rsid w:val="0087268F"/>
    <w:rsid w:val="008838CF"/>
    <w:rsid w:val="00886311"/>
    <w:rsid w:val="008A1EB9"/>
    <w:rsid w:val="008A6B2D"/>
    <w:rsid w:val="008B3319"/>
    <w:rsid w:val="008B3D1A"/>
    <w:rsid w:val="008B5125"/>
    <w:rsid w:val="008C1D6E"/>
    <w:rsid w:val="008D0613"/>
    <w:rsid w:val="008D52EA"/>
    <w:rsid w:val="008E17D4"/>
    <w:rsid w:val="008E28F0"/>
    <w:rsid w:val="008E76C8"/>
    <w:rsid w:val="008F446B"/>
    <w:rsid w:val="008F5A6F"/>
    <w:rsid w:val="008F6090"/>
    <w:rsid w:val="008F630C"/>
    <w:rsid w:val="008F73AA"/>
    <w:rsid w:val="008F7883"/>
    <w:rsid w:val="0090035C"/>
    <w:rsid w:val="0091040F"/>
    <w:rsid w:val="00917FD5"/>
    <w:rsid w:val="00933E2C"/>
    <w:rsid w:val="0093434C"/>
    <w:rsid w:val="009410AD"/>
    <w:rsid w:val="00956613"/>
    <w:rsid w:val="00956F38"/>
    <w:rsid w:val="0096006D"/>
    <w:rsid w:val="00961CDD"/>
    <w:rsid w:val="00962004"/>
    <w:rsid w:val="00964A28"/>
    <w:rsid w:val="00973DC6"/>
    <w:rsid w:val="00976A9E"/>
    <w:rsid w:val="00976F21"/>
    <w:rsid w:val="009937AD"/>
    <w:rsid w:val="00993A21"/>
    <w:rsid w:val="009B2818"/>
    <w:rsid w:val="009B4544"/>
    <w:rsid w:val="009B5232"/>
    <w:rsid w:val="009B5828"/>
    <w:rsid w:val="009C032B"/>
    <w:rsid w:val="009C0E15"/>
    <w:rsid w:val="009D0DA8"/>
    <w:rsid w:val="009D4C13"/>
    <w:rsid w:val="009D5560"/>
    <w:rsid w:val="009D7EE8"/>
    <w:rsid w:val="009E0C0B"/>
    <w:rsid w:val="009E1A5C"/>
    <w:rsid w:val="009E7E90"/>
    <w:rsid w:val="009F0FEF"/>
    <w:rsid w:val="009F2295"/>
    <w:rsid w:val="009F70E6"/>
    <w:rsid w:val="00A047DA"/>
    <w:rsid w:val="00A04E67"/>
    <w:rsid w:val="00A04FD6"/>
    <w:rsid w:val="00A0751C"/>
    <w:rsid w:val="00A1067A"/>
    <w:rsid w:val="00A240E4"/>
    <w:rsid w:val="00A26403"/>
    <w:rsid w:val="00A31A32"/>
    <w:rsid w:val="00A36565"/>
    <w:rsid w:val="00A40141"/>
    <w:rsid w:val="00A46C45"/>
    <w:rsid w:val="00A52806"/>
    <w:rsid w:val="00A614AE"/>
    <w:rsid w:val="00A65307"/>
    <w:rsid w:val="00A70B08"/>
    <w:rsid w:val="00A73136"/>
    <w:rsid w:val="00A82B23"/>
    <w:rsid w:val="00A86E9F"/>
    <w:rsid w:val="00A87863"/>
    <w:rsid w:val="00A901C8"/>
    <w:rsid w:val="00A9271C"/>
    <w:rsid w:val="00A95FE9"/>
    <w:rsid w:val="00A97A03"/>
    <w:rsid w:val="00AA206F"/>
    <w:rsid w:val="00AA684A"/>
    <w:rsid w:val="00AA698B"/>
    <w:rsid w:val="00AB6069"/>
    <w:rsid w:val="00AC7938"/>
    <w:rsid w:val="00AD29AC"/>
    <w:rsid w:val="00AE21C4"/>
    <w:rsid w:val="00AF0644"/>
    <w:rsid w:val="00AF1768"/>
    <w:rsid w:val="00AF2446"/>
    <w:rsid w:val="00AF4AA4"/>
    <w:rsid w:val="00AF5A91"/>
    <w:rsid w:val="00B00AFB"/>
    <w:rsid w:val="00B10125"/>
    <w:rsid w:val="00B16C22"/>
    <w:rsid w:val="00B21347"/>
    <w:rsid w:val="00B21E98"/>
    <w:rsid w:val="00B238F8"/>
    <w:rsid w:val="00B24130"/>
    <w:rsid w:val="00B41E22"/>
    <w:rsid w:val="00B4734C"/>
    <w:rsid w:val="00B53142"/>
    <w:rsid w:val="00B55EC2"/>
    <w:rsid w:val="00B66EF5"/>
    <w:rsid w:val="00B740BE"/>
    <w:rsid w:val="00B84CBC"/>
    <w:rsid w:val="00B84F5A"/>
    <w:rsid w:val="00B8513C"/>
    <w:rsid w:val="00B90736"/>
    <w:rsid w:val="00B93C0C"/>
    <w:rsid w:val="00BA570C"/>
    <w:rsid w:val="00BB5981"/>
    <w:rsid w:val="00BC0461"/>
    <w:rsid w:val="00BC24B3"/>
    <w:rsid w:val="00BC54BF"/>
    <w:rsid w:val="00BC5D36"/>
    <w:rsid w:val="00BD1E29"/>
    <w:rsid w:val="00BD2405"/>
    <w:rsid w:val="00BD2F6A"/>
    <w:rsid w:val="00BD5735"/>
    <w:rsid w:val="00BD5E7A"/>
    <w:rsid w:val="00BE0791"/>
    <w:rsid w:val="00BE6F07"/>
    <w:rsid w:val="00BF02E9"/>
    <w:rsid w:val="00BF63F1"/>
    <w:rsid w:val="00C02A07"/>
    <w:rsid w:val="00C036E8"/>
    <w:rsid w:val="00C04BD9"/>
    <w:rsid w:val="00C076CB"/>
    <w:rsid w:val="00C07D16"/>
    <w:rsid w:val="00C127D3"/>
    <w:rsid w:val="00C14FEF"/>
    <w:rsid w:val="00C179FF"/>
    <w:rsid w:val="00C2342A"/>
    <w:rsid w:val="00C2657E"/>
    <w:rsid w:val="00C371ED"/>
    <w:rsid w:val="00C37D25"/>
    <w:rsid w:val="00C43255"/>
    <w:rsid w:val="00C448F2"/>
    <w:rsid w:val="00C45F1E"/>
    <w:rsid w:val="00C56D2F"/>
    <w:rsid w:val="00C612A5"/>
    <w:rsid w:val="00C7491B"/>
    <w:rsid w:val="00C76D0D"/>
    <w:rsid w:val="00C81AED"/>
    <w:rsid w:val="00C8316E"/>
    <w:rsid w:val="00C84B23"/>
    <w:rsid w:val="00C90EAB"/>
    <w:rsid w:val="00C90F92"/>
    <w:rsid w:val="00C91FFA"/>
    <w:rsid w:val="00C9601A"/>
    <w:rsid w:val="00CA3A0B"/>
    <w:rsid w:val="00CA4269"/>
    <w:rsid w:val="00CA6896"/>
    <w:rsid w:val="00CD10CE"/>
    <w:rsid w:val="00CD1ED9"/>
    <w:rsid w:val="00CD3203"/>
    <w:rsid w:val="00CD399B"/>
    <w:rsid w:val="00CD6BFC"/>
    <w:rsid w:val="00CE1DF8"/>
    <w:rsid w:val="00CE2697"/>
    <w:rsid w:val="00CE7302"/>
    <w:rsid w:val="00CF300F"/>
    <w:rsid w:val="00CF3497"/>
    <w:rsid w:val="00CF3823"/>
    <w:rsid w:val="00CF487C"/>
    <w:rsid w:val="00D00D93"/>
    <w:rsid w:val="00D01870"/>
    <w:rsid w:val="00D07230"/>
    <w:rsid w:val="00D12ED2"/>
    <w:rsid w:val="00D15FF1"/>
    <w:rsid w:val="00D1729D"/>
    <w:rsid w:val="00D17B71"/>
    <w:rsid w:val="00D223A8"/>
    <w:rsid w:val="00D22D00"/>
    <w:rsid w:val="00D23D30"/>
    <w:rsid w:val="00D24597"/>
    <w:rsid w:val="00D2684C"/>
    <w:rsid w:val="00D3011B"/>
    <w:rsid w:val="00D30864"/>
    <w:rsid w:val="00D32E9B"/>
    <w:rsid w:val="00D33556"/>
    <w:rsid w:val="00D3510A"/>
    <w:rsid w:val="00D3563C"/>
    <w:rsid w:val="00D402AD"/>
    <w:rsid w:val="00D60304"/>
    <w:rsid w:val="00D60C38"/>
    <w:rsid w:val="00D662C0"/>
    <w:rsid w:val="00D71395"/>
    <w:rsid w:val="00D71C51"/>
    <w:rsid w:val="00D8594E"/>
    <w:rsid w:val="00D864B9"/>
    <w:rsid w:val="00D86C75"/>
    <w:rsid w:val="00D92691"/>
    <w:rsid w:val="00D932FC"/>
    <w:rsid w:val="00D94F8A"/>
    <w:rsid w:val="00DB04E8"/>
    <w:rsid w:val="00DB2BC9"/>
    <w:rsid w:val="00DB572D"/>
    <w:rsid w:val="00DB5C3A"/>
    <w:rsid w:val="00DC15F4"/>
    <w:rsid w:val="00DC426C"/>
    <w:rsid w:val="00DC5535"/>
    <w:rsid w:val="00DD7500"/>
    <w:rsid w:val="00DE52EE"/>
    <w:rsid w:val="00DF47A3"/>
    <w:rsid w:val="00E034CE"/>
    <w:rsid w:val="00E05BEA"/>
    <w:rsid w:val="00E11356"/>
    <w:rsid w:val="00E12804"/>
    <w:rsid w:val="00E17615"/>
    <w:rsid w:val="00E208AE"/>
    <w:rsid w:val="00E22432"/>
    <w:rsid w:val="00E22508"/>
    <w:rsid w:val="00E24C13"/>
    <w:rsid w:val="00E25929"/>
    <w:rsid w:val="00E25B24"/>
    <w:rsid w:val="00E30E54"/>
    <w:rsid w:val="00E41230"/>
    <w:rsid w:val="00E41913"/>
    <w:rsid w:val="00E46E56"/>
    <w:rsid w:val="00E546B3"/>
    <w:rsid w:val="00E54CCA"/>
    <w:rsid w:val="00E56A4F"/>
    <w:rsid w:val="00E6047C"/>
    <w:rsid w:val="00E62D3F"/>
    <w:rsid w:val="00E70428"/>
    <w:rsid w:val="00E749C6"/>
    <w:rsid w:val="00E7571E"/>
    <w:rsid w:val="00E7790C"/>
    <w:rsid w:val="00E83A9A"/>
    <w:rsid w:val="00E86A3C"/>
    <w:rsid w:val="00E923C6"/>
    <w:rsid w:val="00E943BD"/>
    <w:rsid w:val="00E94AAD"/>
    <w:rsid w:val="00E970C6"/>
    <w:rsid w:val="00EA77BB"/>
    <w:rsid w:val="00EB5C67"/>
    <w:rsid w:val="00EB6D17"/>
    <w:rsid w:val="00EC06CB"/>
    <w:rsid w:val="00EC092E"/>
    <w:rsid w:val="00EC18F8"/>
    <w:rsid w:val="00EC1EE2"/>
    <w:rsid w:val="00EC502D"/>
    <w:rsid w:val="00ED0A44"/>
    <w:rsid w:val="00ED2C5E"/>
    <w:rsid w:val="00ED3E84"/>
    <w:rsid w:val="00EE0508"/>
    <w:rsid w:val="00EF4DEA"/>
    <w:rsid w:val="00EF6C59"/>
    <w:rsid w:val="00EF7C2A"/>
    <w:rsid w:val="00EF7FAD"/>
    <w:rsid w:val="00F013AA"/>
    <w:rsid w:val="00F01CC9"/>
    <w:rsid w:val="00F07ED7"/>
    <w:rsid w:val="00F11F17"/>
    <w:rsid w:val="00F12413"/>
    <w:rsid w:val="00F21CCF"/>
    <w:rsid w:val="00F25D88"/>
    <w:rsid w:val="00F30CEE"/>
    <w:rsid w:val="00F36A94"/>
    <w:rsid w:val="00F36AB0"/>
    <w:rsid w:val="00F4082B"/>
    <w:rsid w:val="00F50CE9"/>
    <w:rsid w:val="00F528DD"/>
    <w:rsid w:val="00F56044"/>
    <w:rsid w:val="00F57906"/>
    <w:rsid w:val="00F6158B"/>
    <w:rsid w:val="00F61BE4"/>
    <w:rsid w:val="00F62872"/>
    <w:rsid w:val="00F658F9"/>
    <w:rsid w:val="00F70EB1"/>
    <w:rsid w:val="00F7402C"/>
    <w:rsid w:val="00F80768"/>
    <w:rsid w:val="00F911F5"/>
    <w:rsid w:val="00FB1972"/>
    <w:rsid w:val="00FB5ADE"/>
    <w:rsid w:val="00FC5D22"/>
    <w:rsid w:val="00FD05F8"/>
    <w:rsid w:val="00FD0DFA"/>
    <w:rsid w:val="00FD3C80"/>
    <w:rsid w:val="00FD5B1E"/>
    <w:rsid w:val="00FE3A2E"/>
    <w:rsid w:val="00FE3EB2"/>
    <w:rsid w:val="00FE5733"/>
    <w:rsid w:val="00FE6213"/>
    <w:rsid w:val="00FF00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07678"/>
  <w15:chartTrackingRefBased/>
  <w15:docId w15:val="{88305B82-899E-4233-943D-B27C632D0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E9F"/>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2A59D0"/>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2A59D0"/>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2A59D0"/>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2A59D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2A59D0"/>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2A59D0"/>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2A59D0"/>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2A59D0"/>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A86E9F"/>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86E9F"/>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A86E9F"/>
    <w:rPr>
      <w:rFonts w:ascii="Palatino Linotype" w:hAnsi="Palatino Linotype"/>
      <w:noProof/>
      <w:color w:val="000000"/>
      <w:szCs w:val="18"/>
    </w:rPr>
  </w:style>
  <w:style w:type="paragraph" w:customStyle="1" w:styleId="MDPIheaderjournallogo">
    <w:name w:val="MDPI_header_journal_logo"/>
    <w:qFormat/>
    <w:rsid w:val="002A59D0"/>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A59D0"/>
    <w:pPr>
      <w:ind w:firstLine="0"/>
    </w:pPr>
  </w:style>
  <w:style w:type="paragraph" w:customStyle="1" w:styleId="MDPI31text">
    <w:name w:val="MDPI_3.1_text"/>
    <w:qFormat/>
    <w:rsid w:val="002A59D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2A59D0"/>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2A59D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2A59D0"/>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2A59D0"/>
    <w:pPr>
      <w:numPr>
        <w:numId w:val="5"/>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2A59D0"/>
    <w:pPr>
      <w:numPr>
        <w:numId w:val="6"/>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2A59D0"/>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2A59D0"/>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2A59D0"/>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2A59D0"/>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2A59D0"/>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2A59D0"/>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2A59D0"/>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footerfirstpage">
    <w:name w:val="MDPI_footer_firstpage"/>
    <w:qFormat/>
    <w:rsid w:val="002A59D0"/>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2A59D0"/>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2A59D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2A59D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2A59D0"/>
    <w:pPr>
      <w:numPr>
        <w:numId w:val="7"/>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A86E9F"/>
    <w:rPr>
      <w:rFonts w:cs="Tahoma"/>
      <w:szCs w:val="18"/>
    </w:rPr>
  </w:style>
  <w:style w:type="character" w:customStyle="1" w:styleId="BalloonTextChar">
    <w:name w:val="Balloon Text Char"/>
    <w:link w:val="BalloonText"/>
    <w:uiPriority w:val="99"/>
    <w:rsid w:val="00A86E9F"/>
    <w:rPr>
      <w:rFonts w:ascii="Palatino Linotype" w:hAnsi="Palatino Linotype" w:cs="Tahoma"/>
      <w:noProof/>
      <w:color w:val="000000"/>
      <w:szCs w:val="18"/>
    </w:rPr>
  </w:style>
  <w:style w:type="character" w:styleId="LineNumber">
    <w:name w:val="line number"/>
    <w:uiPriority w:val="99"/>
    <w:rsid w:val="002A59D0"/>
    <w:rPr>
      <w:rFonts w:ascii="Palatino Linotype" w:hAnsi="Palatino Linotype"/>
      <w:sz w:val="16"/>
    </w:rPr>
  </w:style>
  <w:style w:type="table" w:customStyle="1" w:styleId="MDPI41threelinetable">
    <w:name w:val="MDPI_4.1_three_line_table"/>
    <w:basedOn w:val="TableNormal"/>
    <w:uiPriority w:val="99"/>
    <w:rsid w:val="002A59D0"/>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A86E9F"/>
    <w:rPr>
      <w:color w:val="0000FF"/>
      <w:u w:val="single"/>
    </w:rPr>
  </w:style>
  <w:style w:type="character" w:customStyle="1" w:styleId="UnresolvedMention1">
    <w:name w:val="Unresolved Mention1"/>
    <w:uiPriority w:val="99"/>
    <w:semiHidden/>
    <w:unhideWhenUsed/>
    <w:rsid w:val="004C46B1"/>
    <w:rPr>
      <w:color w:val="605E5C"/>
      <w:shd w:val="clear" w:color="auto" w:fill="E1DFDD"/>
    </w:rPr>
  </w:style>
  <w:style w:type="paragraph" w:styleId="Footer">
    <w:name w:val="footer"/>
    <w:basedOn w:val="Normal"/>
    <w:link w:val="FooterChar"/>
    <w:uiPriority w:val="99"/>
    <w:rsid w:val="00A86E9F"/>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A86E9F"/>
    <w:rPr>
      <w:rFonts w:ascii="Palatino Linotype" w:hAnsi="Palatino Linotype"/>
      <w:noProof/>
      <w:color w:val="000000"/>
      <w:szCs w:val="18"/>
    </w:rPr>
  </w:style>
  <w:style w:type="table" w:styleId="PlainTable4">
    <w:name w:val="Plain Table 4"/>
    <w:basedOn w:val="TableNormal"/>
    <w:uiPriority w:val="44"/>
    <w:rsid w:val="006320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2A59D0"/>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81theorem">
    <w:name w:val="MDPI_8.1_theorem"/>
    <w:qFormat/>
    <w:rsid w:val="002A59D0"/>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2A59D0"/>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61Citation">
    <w:name w:val="MDPI_6.1_Citation"/>
    <w:qFormat/>
    <w:rsid w:val="002A59D0"/>
    <w:pPr>
      <w:adjustRightInd w:val="0"/>
      <w:snapToGrid w:val="0"/>
      <w:spacing w:line="240" w:lineRule="atLeast"/>
      <w:ind w:right="113"/>
    </w:pPr>
    <w:rPr>
      <w:rFonts w:ascii="Palatino Linotype" w:eastAsiaTheme="minorEastAsia" w:hAnsi="Palatino Linotype" w:cstheme="minorBidi"/>
      <w:sz w:val="14"/>
      <w:szCs w:val="22"/>
    </w:rPr>
  </w:style>
  <w:style w:type="paragraph" w:customStyle="1" w:styleId="MDPI62BackMatter">
    <w:name w:val="MDPI_6.2_BackMatter"/>
    <w:qFormat/>
    <w:rsid w:val="002A59D0"/>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2A59D0"/>
    <w:pPr>
      <w:adjustRightInd w:val="0"/>
      <w:snapToGrid w:val="0"/>
      <w:spacing w:after="120" w:line="240" w:lineRule="atLeast"/>
      <w:ind w:right="113"/>
    </w:pPr>
    <w:rPr>
      <w:rFonts w:ascii="Palatino Linotype" w:hAnsi="Palatino Linotype"/>
      <w:snapToGrid w:val="0"/>
      <w:color w:val="000000" w:themeColor="text1"/>
      <w:sz w:val="14"/>
      <w:lang w:eastAsia="en-US" w:bidi="en-US"/>
    </w:rPr>
  </w:style>
  <w:style w:type="paragraph" w:customStyle="1" w:styleId="MDPI15academiceditor">
    <w:name w:val="MDPI_1.5_academic_editor"/>
    <w:qFormat/>
    <w:rsid w:val="002A59D0"/>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2A59D0"/>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2A59D0"/>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2A59D0"/>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2A59D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2A59D0"/>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2A59D0"/>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2A59D0"/>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2A59D0"/>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2A59D0"/>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2A59D0"/>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2A59D0"/>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2A59D0"/>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2A59D0"/>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A86E9F"/>
  </w:style>
  <w:style w:type="paragraph" w:styleId="Bibliography">
    <w:name w:val="Bibliography"/>
    <w:basedOn w:val="Normal"/>
    <w:next w:val="Normal"/>
    <w:uiPriority w:val="37"/>
    <w:semiHidden/>
    <w:unhideWhenUsed/>
    <w:rsid w:val="00A86E9F"/>
  </w:style>
  <w:style w:type="paragraph" w:styleId="BodyText">
    <w:name w:val="Body Text"/>
    <w:link w:val="BodyTextChar"/>
    <w:rsid w:val="00A86E9F"/>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A86E9F"/>
    <w:rPr>
      <w:rFonts w:ascii="Palatino Linotype" w:hAnsi="Palatino Linotype"/>
      <w:color w:val="000000"/>
      <w:sz w:val="24"/>
      <w:lang w:eastAsia="de-DE"/>
    </w:rPr>
  </w:style>
  <w:style w:type="character" w:styleId="CommentReference">
    <w:name w:val="annotation reference"/>
    <w:rsid w:val="00A86E9F"/>
    <w:rPr>
      <w:sz w:val="21"/>
      <w:szCs w:val="21"/>
    </w:rPr>
  </w:style>
  <w:style w:type="paragraph" w:styleId="CommentText">
    <w:name w:val="annotation text"/>
    <w:basedOn w:val="Normal"/>
    <w:link w:val="CommentTextChar"/>
    <w:rsid w:val="00A86E9F"/>
  </w:style>
  <w:style w:type="character" w:customStyle="1" w:styleId="CommentTextChar">
    <w:name w:val="Comment Text Char"/>
    <w:link w:val="CommentText"/>
    <w:rsid w:val="00A86E9F"/>
    <w:rPr>
      <w:rFonts w:ascii="Palatino Linotype" w:hAnsi="Palatino Linotype"/>
      <w:noProof/>
      <w:color w:val="000000"/>
    </w:rPr>
  </w:style>
  <w:style w:type="paragraph" w:styleId="CommentSubject">
    <w:name w:val="annotation subject"/>
    <w:basedOn w:val="CommentText"/>
    <w:next w:val="CommentText"/>
    <w:link w:val="CommentSubjectChar"/>
    <w:rsid w:val="00A86E9F"/>
    <w:rPr>
      <w:b/>
      <w:bCs/>
    </w:rPr>
  </w:style>
  <w:style w:type="character" w:customStyle="1" w:styleId="CommentSubjectChar">
    <w:name w:val="Comment Subject Char"/>
    <w:link w:val="CommentSubject"/>
    <w:rsid w:val="00A86E9F"/>
    <w:rPr>
      <w:rFonts w:ascii="Palatino Linotype" w:hAnsi="Palatino Linotype"/>
      <w:b/>
      <w:bCs/>
      <w:noProof/>
      <w:color w:val="000000"/>
    </w:rPr>
  </w:style>
  <w:style w:type="character" w:styleId="EndnoteReference">
    <w:name w:val="endnote reference"/>
    <w:rsid w:val="00A86E9F"/>
    <w:rPr>
      <w:vertAlign w:val="superscript"/>
    </w:rPr>
  </w:style>
  <w:style w:type="paragraph" w:styleId="EndnoteText">
    <w:name w:val="endnote text"/>
    <w:basedOn w:val="Normal"/>
    <w:link w:val="EndnoteTextChar"/>
    <w:semiHidden/>
    <w:unhideWhenUsed/>
    <w:rsid w:val="00A86E9F"/>
    <w:pPr>
      <w:spacing w:line="240" w:lineRule="auto"/>
    </w:pPr>
  </w:style>
  <w:style w:type="character" w:customStyle="1" w:styleId="EndnoteTextChar">
    <w:name w:val="Endnote Text Char"/>
    <w:link w:val="EndnoteText"/>
    <w:semiHidden/>
    <w:rsid w:val="00A86E9F"/>
    <w:rPr>
      <w:rFonts w:ascii="Palatino Linotype" w:hAnsi="Palatino Linotype"/>
      <w:noProof/>
      <w:color w:val="000000"/>
    </w:rPr>
  </w:style>
  <w:style w:type="character" w:styleId="FollowedHyperlink">
    <w:name w:val="FollowedHyperlink"/>
    <w:rsid w:val="00A86E9F"/>
    <w:rPr>
      <w:color w:val="954F72"/>
      <w:u w:val="single"/>
    </w:rPr>
  </w:style>
  <w:style w:type="paragraph" w:styleId="FootnoteText">
    <w:name w:val="footnote text"/>
    <w:basedOn w:val="Normal"/>
    <w:link w:val="FootnoteTextChar"/>
    <w:unhideWhenUsed/>
    <w:rsid w:val="00A86E9F"/>
    <w:pPr>
      <w:spacing w:line="240" w:lineRule="auto"/>
    </w:pPr>
  </w:style>
  <w:style w:type="character" w:customStyle="1" w:styleId="FootnoteTextChar">
    <w:name w:val="Footnote Text Char"/>
    <w:link w:val="FootnoteText"/>
    <w:rsid w:val="00A86E9F"/>
    <w:rPr>
      <w:rFonts w:ascii="Palatino Linotype" w:hAnsi="Palatino Linotype"/>
      <w:noProof/>
      <w:color w:val="000000"/>
    </w:rPr>
  </w:style>
  <w:style w:type="paragraph" w:styleId="NormalWeb">
    <w:name w:val="Normal (Web)"/>
    <w:basedOn w:val="Normal"/>
    <w:uiPriority w:val="99"/>
    <w:rsid w:val="00A86E9F"/>
    <w:rPr>
      <w:szCs w:val="24"/>
    </w:rPr>
  </w:style>
  <w:style w:type="paragraph" w:customStyle="1" w:styleId="MsoFootnoteText0">
    <w:name w:val="MsoFootnoteText"/>
    <w:basedOn w:val="NormalWeb"/>
    <w:qFormat/>
    <w:rsid w:val="00A86E9F"/>
    <w:rPr>
      <w:rFonts w:ascii="Times New Roman" w:hAnsi="Times New Roman"/>
    </w:rPr>
  </w:style>
  <w:style w:type="character" w:styleId="PageNumber">
    <w:name w:val="page number"/>
    <w:rsid w:val="00A86E9F"/>
  </w:style>
  <w:style w:type="character" w:styleId="PlaceholderText">
    <w:name w:val="Placeholder Text"/>
    <w:uiPriority w:val="99"/>
    <w:semiHidden/>
    <w:rsid w:val="00A86E9F"/>
    <w:rPr>
      <w:color w:val="808080"/>
    </w:rPr>
  </w:style>
  <w:style w:type="paragraph" w:customStyle="1" w:styleId="MDPI71FootNotes">
    <w:name w:val="MDPI_7.1_FootNotes"/>
    <w:qFormat/>
    <w:rsid w:val="000213B8"/>
    <w:pPr>
      <w:numPr>
        <w:numId w:val="8"/>
      </w:numPr>
      <w:adjustRightInd w:val="0"/>
      <w:snapToGrid w:val="0"/>
      <w:spacing w:line="228" w:lineRule="auto"/>
      <w:jc w:val="both"/>
    </w:pPr>
    <w:rPr>
      <w:rFonts w:ascii="Palatino Linotype" w:eastAsiaTheme="minorEastAsia" w:hAnsi="Palatino Linotype"/>
      <w:noProof/>
      <w:color w:val="000000"/>
      <w:sz w:val="18"/>
    </w:rPr>
  </w:style>
  <w:style w:type="paragraph" w:styleId="ListParagraph">
    <w:name w:val="List Paragraph"/>
    <w:basedOn w:val="Normal"/>
    <w:uiPriority w:val="34"/>
    <w:qFormat/>
    <w:rsid w:val="00886311"/>
    <w:pPr>
      <w:spacing w:after="160" w:line="259" w:lineRule="auto"/>
      <w:ind w:left="720"/>
      <w:contextualSpacing/>
      <w:jc w:val="left"/>
    </w:pPr>
    <w:rPr>
      <w:rFonts w:asciiTheme="minorHAnsi" w:eastAsiaTheme="minorHAnsi" w:hAnsiTheme="minorHAnsi" w:cstheme="minorBidi"/>
      <w:noProof w:val="0"/>
      <w:color w:val="auto"/>
      <w:sz w:val="22"/>
      <w:szCs w:val="22"/>
      <w:lang w:val="en-GB" w:eastAsia="en-US"/>
    </w:rPr>
  </w:style>
  <w:style w:type="character" w:styleId="FootnoteReference">
    <w:name w:val="footnote reference"/>
    <w:basedOn w:val="DefaultParagraphFont"/>
    <w:uiPriority w:val="99"/>
    <w:semiHidden/>
    <w:unhideWhenUsed/>
    <w:rsid w:val="00886311"/>
    <w:rPr>
      <w:vertAlign w:val="superscript"/>
    </w:rPr>
  </w:style>
  <w:style w:type="table" w:customStyle="1" w:styleId="TableGrid1">
    <w:name w:val="Table Grid1"/>
    <w:basedOn w:val="TableNormal"/>
    <w:next w:val="TableGrid"/>
    <w:uiPriority w:val="39"/>
    <w:rsid w:val="00EF7FAD"/>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528C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528C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528C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528C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528C2"/>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2F41A1"/>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2F41A1"/>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4CCA"/>
    <w:rPr>
      <w:rFonts w:ascii="Palatino Linotype" w:hAnsi="Palatino Linotype"/>
      <w:noProo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615298">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X\Desktop\GSI\DE-COMPLEXIFICATION%20AND%20NODES%20OF%20COMPLEXITY\Version%20for%20Submission\sustainability-template_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5B0D5-4CA3-419A-8924-0B223AEA5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sustainability-template_xxxx</Template>
  <TotalTime>132</TotalTime>
  <Pages>1</Pages>
  <Words>17194</Words>
  <Characters>98012</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A</vt:lpstr>
    </vt:vector>
  </TitlesOfParts>
  <Company/>
  <LinksUpToDate>false</LinksUpToDate>
  <CharactersWithSpaces>114977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MDPI</dc:creator>
  <cp:keywords/>
  <dc:description/>
  <cp:lastModifiedBy>Jones, Aled</cp:lastModifiedBy>
  <cp:revision>40</cp:revision>
  <cp:lastPrinted>2021-07-20T03:00:00Z</cp:lastPrinted>
  <dcterms:created xsi:type="dcterms:W3CDTF">2021-07-20T11:32:00Z</dcterms:created>
  <dcterms:modified xsi:type="dcterms:W3CDTF">2021-07-20T14:58:00Z</dcterms:modified>
</cp:coreProperties>
</file>