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525A42" w14:textId="372705F4" w:rsidR="00A5594E" w:rsidRDefault="00A5594E" w:rsidP="00A5594E">
      <w:pPr>
        <w:spacing w:line="480" w:lineRule="auto"/>
        <w:ind w:left="426" w:hanging="426"/>
      </w:pPr>
      <w:r>
        <w:t xml:space="preserve">Running head: </w:t>
      </w:r>
      <w:r w:rsidR="0064420A">
        <w:t>Implicit interoception and body image</w:t>
      </w:r>
    </w:p>
    <w:p w14:paraId="3ED124E7" w14:textId="77777777" w:rsidR="00BD7CBD" w:rsidRDefault="00BD7CBD" w:rsidP="00BD7CBD">
      <w:pPr>
        <w:spacing w:line="480" w:lineRule="auto"/>
      </w:pPr>
    </w:p>
    <w:p w14:paraId="7768A91A" w14:textId="674FECA8" w:rsidR="00A5594E" w:rsidRPr="00366C1C" w:rsidRDefault="000D362E" w:rsidP="00366C1C">
      <w:pPr>
        <w:pStyle w:val="Title"/>
      </w:pPr>
      <w:r w:rsidRPr="00366C1C">
        <w:t>Weaker implicit interoception is associated with more negative</w:t>
      </w:r>
      <w:r w:rsidR="005E5676" w:rsidRPr="00366C1C">
        <w:t xml:space="preserve"> body image: Evidence </w:t>
      </w:r>
      <w:r w:rsidR="00BD7CBD" w:rsidRPr="00366C1C">
        <w:t>from gastric-alpha phase amplitude coupling and the heartbeat evoked potential</w:t>
      </w:r>
    </w:p>
    <w:p w14:paraId="0D612944" w14:textId="77777777" w:rsidR="00A5594E" w:rsidRDefault="00A5594E" w:rsidP="00A5594E">
      <w:pPr>
        <w:spacing w:line="480" w:lineRule="auto"/>
        <w:jc w:val="center"/>
        <w:rPr>
          <w:b/>
          <w:bCs/>
        </w:rPr>
      </w:pPr>
    </w:p>
    <w:p w14:paraId="03A13DE8" w14:textId="2DDE7374" w:rsidR="00A5594E" w:rsidRPr="00227A3D" w:rsidRDefault="00A5594E" w:rsidP="00A5594E">
      <w:pPr>
        <w:spacing w:line="480" w:lineRule="auto"/>
        <w:jc w:val="center"/>
        <w:rPr>
          <w:vertAlign w:val="superscript"/>
          <w:lang w:val="it-IT"/>
        </w:rPr>
      </w:pPr>
      <w:r w:rsidRPr="00227A3D">
        <w:rPr>
          <w:lang w:val="it-IT"/>
        </w:rPr>
        <w:t>Jennifer Todd</w:t>
      </w:r>
      <w:r w:rsidRPr="00227A3D">
        <w:rPr>
          <w:vertAlign w:val="superscript"/>
          <w:lang w:val="it-IT"/>
        </w:rPr>
        <w:t>1</w:t>
      </w:r>
      <w:r w:rsidR="00227A3D">
        <w:rPr>
          <w:vertAlign w:val="superscript"/>
          <w:lang w:val="it-IT"/>
        </w:rPr>
        <w:t>,2</w:t>
      </w:r>
      <w:r w:rsidRPr="00227A3D">
        <w:rPr>
          <w:lang w:val="it-IT"/>
        </w:rPr>
        <w:t xml:space="preserve">, </w:t>
      </w:r>
      <w:bookmarkStart w:id="0" w:name="_Hlk70003064"/>
      <w:r w:rsidRPr="00227A3D">
        <w:rPr>
          <w:lang w:val="it-IT"/>
        </w:rPr>
        <w:t>Pasquale Cardellicchio</w:t>
      </w:r>
      <w:r w:rsidR="00227A3D">
        <w:rPr>
          <w:vertAlign w:val="superscript"/>
          <w:lang w:val="it-IT"/>
        </w:rPr>
        <w:t>3</w:t>
      </w:r>
      <w:r w:rsidRPr="00227A3D">
        <w:rPr>
          <w:lang w:val="it-IT"/>
        </w:rPr>
        <w:t xml:space="preserve">, </w:t>
      </w:r>
      <w:r w:rsidR="00306819" w:rsidRPr="00227A3D">
        <w:rPr>
          <w:lang w:val="it-IT"/>
        </w:rPr>
        <w:t>Viren Swami</w:t>
      </w:r>
      <w:r w:rsidR="00306819" w:rsidRPr="00227A3D">
        <w:rPr>
          <w:vertAlign w:val="superscript"/>
          <w:lang w:val="it-IT"/>
        </w:rPr>
        <w:t>1,</w:t>
      </w:r>
      <w:r w:rsidR="00227A3D">
        <w:rPr>
          <w:vertAlign w:val="superscript"/>
          <w:lang w:val="it-IT"/>
        </w:rPr>
        <w:t>2</w:t>
      </w:r>
      <w:r w:rsidR="00306819" w:rsidRPr="00227A3D">
        <w:rPr>
          <w:lang w:val="it-IT"/>
        </w:rPr>
        <w:t xml:space="preserve">, </w:t>
      </w:r>
      <w:r w:rsidRPr="00227A3D">
        <w:rPr>
          <w:lang w:val="it-IT"/>
        </w:rPr>
        <w:t>Flavia Cardini</w:t>
      </w:r>
      <w:r w:rsidRPr="00227A3D">
        <w:rPr>
          <w:vertAlign w:val="superscript"/>
          <w:lang w:val="it-IT"/>
        </w:rPr>
        <w:t>1</w:t>
      </w:r>
      <w:r w:rsidRPr="00227A3D">
        <w:rPr>
          <w:lang w:val="it-IT"/>
        </w:rPr>
        <w:t>, &amp; Jane E. Aspell</w:t>
      </w:r>
      <w:r w:rsidRPr="00227A3D">
        <w:rPr>
          <w:vertAlign w:val="superscript"/>
          <w:lang w:val="it-IT"/>
        </w:rPr>
        <w:t>1</w:t>
      </w:r>
      <w:bookmarkEnd w:id="0"/>
    </w:p>
    <w:p w14:paraId="6FD90B72" w14:textId="77777777" w:rsidR="00A5594E" w:rsidRPr="00227A3D" w:rsidRDefault="00A5594E" w:rsidP="00A5594E">
      <w:pPr>
        <w:spacing w:line="480" w:lineRule="auto"/>
        <w:jc w:val="center"/>
        <w:rPr>
          <w:vertAlign w:val="superscript"/>
          <w:lang w:val="it-IT"/>
        </w:rPr>
      </w:pPr>
    </w:p>
    <w:p w14:paraId="1DBA0B9C" w14:textId="60D149DC" w:rsidR="00A5594E" w:rsidRPr="00A5594E" w:rsidRDefault="00A5594E" w:rsidP="00A5594E">
      <w:pPr>
        <w:spacing w:line="480" w:lineRule="auto"/>
        <w:jc w:val="center"/>
      </w:pPr>
      <w:r>
        <w:rPr>
          <w:vertAlign w:val="superscript"/>
        </w:rPr>
        <w:t>1</w:t>
      </w:r>
      <w:r>
        <w:t>School of Psychology and Sport Science, Anglia Ruskin University, Cambridge, U</w:t>
      </w:r>
      <w:r w:rsidR="00C81824">
        <w:t>nited Kingdom</w:t>
      </w:r>
    </w:p>
    <w:p w14:paraId="23E37D60" w14:textId="67B7836A" w:rsidR="00A5594E" w:rsidRPr="00227A3D" w:rsidRDefault="00227A3D" w:rsidP="000B5D75">
      <w:pPr>
        <w:spacing w:line="480" w:lineRule="auto"/>
        <w:jc w:val="center"/>
        <w:rPr>
          <w:bCs/>
          <w:lang w:val="it-IT"/>
        </w:rPr>
      </w:pPr>
      <w:r>
        <w:rPr>
          <w:vertAlign w:val="superscript"/>
          <w:lang w:val="it-IT"/>
        </w:rPr>
        <w:t>2</w:t>
      </w:r>
      <w:r w:rsidR="00A5594E" w:rsidRPr="00227A3D">
        <w:rPr>
          <w:bCs/>
          <w:lang w:val="it-IT"/>
        </w:rPr>
        <w:t xml:space="preserve">Centre for Psychological Medicine, Perdana University, </w:t>
      </w:r>
      <w:r w:rsidR="00C81824" w:rsidRPr="00227A3D">
        <w:rPr>
          <w:bCs/>
          <w:lang w:val="it-IT"/>
        </w:rPr>
        <w:t>Kuala Lumpur</w:t>
      </w:r>
      <w:r w:rsidR="00A5594E" w:rsidRPr="00227A3D">
        <w:rPr>
          <w:bCs/>
          <w:lang w:val="it-IT"/>
        </w:rPr>
        <w:t>, Malaysia</w:t>
      </w:r>
    </w:p>
    <w:p w14:paraId="1F3025C9" w14:textId="77777777" w:rsidR="00227A3D" w:rsidRDefault="00227A3D" w:rsidP="00227A3D">
      <w:pPr>
        <w:spacing w:line="480" w:lineRule="auto"/>
        <w:jc w:val="center"/>
        <w:rPr>
          <w:lang w:val="it-IT"/>
        </w:rPr>
      </w:pPr>
      <w:r>
        <w:rPr>
          <w:vertAlign w:val="superscript"/>
          <w:lang w:val="it-IT"/>
        </w:rPr>
        <w:t>3</w:t>
      </w:r>
      <w:r w:rsidRPr="000B5D75">
        <w:rPr>
          <w:lang w:val="it-IT"/>
        </w:rPr>
        <w:t>IIT@UniFe Center for Translational Neurophysiology, Istituto Italiano di Tecnologia, Ferrara, Italy</w:t>
      </w:r>
    </w:p>
    <w:p w14:paraId="586FAB15" w14:textId="77777777" w:rsidR="00A5594E" w:rsidRPr="00227A3D" w:rsidRDefault="00A5594E" w:rsidP="00A5594E">
      <w:pPr>
        <w:spacing w:line="480" w:lineRule="auto"/>
        <w:jc w:val="center"/>
        <w:rPr>
          <w:b/>
          <w:bCs/>
          <w:lang w:val="it-IT"/>
        </w:rPr>
      </w:pPr>
    </w:p>
    <w:p w14:paraId="1FC6BE38" w14:textId="23EB0C35" w:rsidR="00A5594E" w:rsidRPr="00A5594E" w:rsidRDefault="00A5594E" w:rsidP="00A5594E">
      <w:pPr>
        <w:spacing w:line="480" w:lineRule="auto"/>
        <w:jc w:val="center"/>
      </w:pPr>
      <w:r w:rsidRPr="00A5594E">
        <w:t>Abstract word count:</w:t>
      </w:r>
      <w:r w:rsidR="00D13EEA">
        <w:t xml:space="preserve"> </w:t>
      </w:r>
      <w:r w:rsidR="00A75FF6">
        <w:t>1</w:t>
      </w:r>
      <w:r w:rsidR="0006706A">
        <w:t>81</w:t>
      </w:r>
      <w:r w:rsidRPr="00A5594E">
        <w:br/>
        <w:t>Manuscript word count:</w:t>
      </w:r>
      <w:r w:rsidR="00A5129C">
        <w:t xml:space="preserve"> 6</w:t>
      </w:r>
      <w:r w:rsidR="00D94107">
        <w:t>931</w:t>
      </w:r>
    </w:p>
    <w:p w14:paraId="32CD07B3" w14:textId="1FB8AE16" w:rsidR="00A5594E" w:rsidRPr="00A5594E" w:rsidRDefault="00A5594E" w:rsidP="00A5594E">
      <w:pPr>
        <w:spacing w:line="480" w:lineRule="auto"/>
        <w:jc w:val="center"/>
      </w:pPr>
      <w:r w:rsidRPr="00A5594E">
        <w:t>Tables and figures:</w:t>
      </w:r>
      <w:r w:rsidR="00A5129C">
        <w:t xml:space="preserve"> </w:t>
      </w:r>
      <w:r w:rsidR="00D94107">
        <w:t>3</w:t>
      </w:r>
    </w:p>
    <w:p w14:paraId="564DB0EE" w14:textId="7B8ACE26" w:rsidR="00A5594E" w:rsidRPr="00197BB4" w:rsidRDefault="00A5594E" w:rsidP="00A5594E">
      <w:pPr>
        <w:jc w:val="center"/>
      </w:pPr>
    </w:p>
    <w:p w14:paraId="7A222CEF" w14:textId="77777777" w:rsidR="00A5594E" w:rsidRDefault="00A5594E" w:rsidP="00A5594E">
      <w:pPr>
        <w:jc w:val="center"/>
        <w:rPr>
          <w:b/>
          <w:bCs/>
        </w:rPr>
      </w:pPr>
    </w:p>
    <w:p w14:paraId="58FE4E08" w14:textId="77777777" w:rsidR="00A5594E" w:rsidRDefault="00A5594E" w:rsidP="00A5594E">
      <w:pPr>
        <w:pStyle w:val="BodyA"/>
        <w:spacing w:line="480" w:lineRule="auto"/>
        <w:ind w:right="68"/>
        <w:rPr>
          <w:rFonts w:ascii="Times New Roman" w:hAnsi="Times New Roman" w:cs="Times New Roman"/>
          <w:sz w:val="24"/>
          <w:szCs w:val="24"/>
        </w:rPr>
      </w:pPr>
    </w:p>
    <w:p w14:paraId="5A241ED4" w14:textId="77777777" w:rsidR="00A5594E" w:rsidRDefault="00A5594E" w:rsidP="00A5594E">
      <w:pPr>
        <w:pStyle w:val="BodyA"/>
        <w:spacing w:line="480" w:lineRule="auto"/>
        <w:ind w:right="68"/>
        <w:rPr>
          <w:rFonts w:ascii="Times New Roman" w:hAnsi="Times New Roman" w:cs="Times New Roman"/>
          <w:sz w:val="24"/>
          <w:szCs w:val="24"/>
        </w:rPr>
      </w:pPr>
    </w:p>
    <w:p w14:paraId="6DC886AD" w14:textId="77777777" w:rsidR="00A5594E" w:rsidRDefault="00A5594E" w:rsidP="00A5594E">
      <w:pPr>
        <w:pStyle w:val="BodyA"/>
        <w:spacing w:line="480" w:lineRule="auto"/>
        <w:ind w:right="68"/>
        <w:rPr>
          <w:rFonts w:ascii="Times New Roman" w:hAnsi="Times New Roman" w:cs="Times New Roman"/>
          <w:sz w:val="24"/>
          <w:szCs w:val="24"/>
        </w:rPr>
      </w:pPr>
    </w:p>
    <w:p w14:paraId="7029C16E" w14:textId="77777777" w:rsidR="00A5594E" w:rsidRDefault="00A5594E" w:rsidP="00A5594E">
      <w:pPr>
        <w:pStyle w:val="BodyA"/>
        <w:spacing w:line="480" w:lineRule="auto"/>
        <w:ind w:right="68"/>
        <w:rPr>
          <w:rFonts w:ascii="Times New Roman" w:hAnsi="Times New Roman" w:cs="Times New Roman"/>
          <w:sz w:val="24"/>
          <w:szCs w:val="24"/>
        </w:rPr>
      </w:pPr>
    </w:p>
    <w:p w14:paraId="0C22CE74" w14:textId="52A24950" w:rsidR="00A5594E" w:rsidRDefault="00A5594E" w:rsidP="00A5594E">
      <w:pPr>
        <w:pStyle w:val="BodyA"/>
        <w:spacing w:line="480" w:lineRule="auto"/>
        <w:ind w:right="68"/>
        <w:rPr>
          <w:rFonts w:ascii="Times New Roman" w:hAnsi="Times New Roman" w:cs="Times New Roman"/>
          <w:bCs/>
          <w:sz w:val="24"/>
          <w:szCs w:val="24"/>
        </w:rPr>
      </w:pPr>
      <w:r>
        <w:rPr>
          <w:rFonts w:ascii="Times New Roman" w:hAnsi="Times New Roman" w:cs="Times New Roman"/>
          <w:sz w:val="24"/>
          <w:szCs w:val="24"/>
        </w:rPr>
        <w:t xml:space="preserve">Address correspondence to: </w:t>
      </w:r>
      <w:r w:rsidR="001D75AF">
        <w:rPr>
          <w:rFonts w:ascii="Times New Roman" w:hAnsi="Times New Roman" w:cs="Times New Roman"/>
          <w:sz w:val="24"/>
          <w:szCs w:val="24"/>
        </w:rPr>
        <w:t xml:space="preserve">Dr </w:t>
      </w:r>
      <w:r>
        <w:rPr>
          <w:rFonts w:ascii="Times New Roman" w:hAnsi="Times New Roman" w:cs="Times New Roman"/>
          <w:sz w:val="24"/>
          <w:szCs w:val="24"/>
        </w:rPr>
        <w:t xml:space="preserve">Jennifer Todd, </w:t>
      </w:r>
      <w:r>
        <w:rPr>
          <w:rFonts w:ascii="Times New Roman" w:hAnsi="Times New Roman" w:cs="Times New Roman"/>
          <w:bCs/>
          <w:sz w:val="24"/>
          <w:szCs w:val="24"/>
        </w:rPr>
        <w:t>School of Psychology and Sport Science, Anglia Ruskin University, East Road, Cambridge, Cambridgeshire, UK, CB1 1PT. Email: j</w:t>
      </w:r>
      <w:r w:rsidR="003079D1">
        <w:rPr>
          <w:rFonts w:ascii="Times New Roman" w:hAnsi="Times New Roman" w:cs="Times New Roman"/>
          <w:bCs/>
          <w:sz w:val="24"/>
          <w:szCs w:val="24"/>
        </w:rPr>
        <w:t>ennifer.todd</w:t>
      </w:r>
      <w:r>
        <w:rPr>
          <w:rFonts w:ascii="Times New Roman" w:hAnsi="Times New Roman" w:cs="Times New Roman"/>
          <w:bCs/>
          <w:sz w:val="24"/>
          <w:szCs w:val="24"/>
        </w:rPr>
        <w:t>@a</w:t>
      </w:r>
      <w:r w:rsidR="00306819">
        <w:rPr>
          <w:rFonts w:ascii="Times New Roman" w:hAnsi="Times New Roman" w:cs="Times New Roman"/>
          <w:bCs/>
          <w:sz w:val="24"/>
          <w:szCs w:val="24"/>
        </w:rPr>
        <w:t>ru</w:t>
      </w:r>
      <w:r>
        <w:rPr>
          <w:rFonts w:ascii="Times New Roman" w:hAnsi="Times New Roman" w:cs="Times New Roman"/>
          <w:bCs/>
          <w:sz w:val="24"/>
          <w:szCs w:val="24"/>
        </w:rPr>
        <w:t>.ac.uk</w:t>
      </w:r>
    </w:p>
    <w:p w14:paraId="2364B61D" w14:textId="2116936B" w:rsidR="00A5594E" w:rsidRDefault="00A5594E" w:rsidP="00A5594E">
      <w:pPr>
        <w:jc w:val="center"/>
        <w:rPr>
          <w:b/>
          <w:bCs/>
        </w:rPr>
      </w:pPr>
      <w:r>
        <w:rPr>
          <w:b/>
          <w:bCs/>
        </w:rPr>
        <w:br w:type="page"/>
      </w:r>
    </w:p>
    <w:p w14:paraId="6C9F7965" w14:textId="77777777" w:rsidR="00306819" w:rsidRPr="00366C1C" w:rsidRDefault="00306819" w:rsidP="00366C1C">
      <w:pPr>
        <w:pStyle w:val="Heading1"/>
      </w:pPr>
      <w:r w:rsidRPr="00366C1C">
        <w:lastRenderedPageBreak/>
        <w:t>Abstract</w:t>
      </w:r>
    </w:p>
    <w:p w14:paraId="7E0C2AF2" w14:textId="0D6849B6" w:rsidR="00745474" w:rsidRDefault="008F2839" w:rsidP="00227A3D">
      <w:pPr>
        <w:spacing w:line="480" w:lineRule="auto"/>
      </w:pPr>
      <w:r w:rsidRPr="00227A3D">
        <w:t>Interoception</w:t>
      </w:r>
      <w:r w:rsidRPr="008F2839">
        <w:rPr>
          <w:i/>
          <w:iCs/>
        </w:rPr>
        <w:t xml:space="preserve"> </w:t>
      </w:r>
      <w:r w:rsidRPr="008F2839">
        <w:t xml:space="preserve">refers to the processing of internal bodily stimuli, while </w:t>
      </w:r>
      <w:r w:rsidRPr="00227A3D">
        <w:t>body image</w:t>
      </w:r>
      <w:r w:rsidRPr="008F2839">
        <w:t xml:space="preserve"> refers to appearance-related perceptions, affect, and cognitions.</w:t>
      </w:r>
      <w:r>
        <w:t xml:space="preserve"> Previous</w:t>
      </w:r>
      <w:r w:rsidR="00745474">
        <w:t xml:space="preserve"> research has </w:t>
      </w:r>
      <w:r>
        <w:t>found that body image</w:t>
      </w:r>
      <w:r w:rsidR="004424E1">
        <w:t xml:space="preserve"> is associated with self-reported and behavioural </w:t>
      </w:r>
      <w:r w:rsidR="00C81824">
        <w:t xml:space="preserve">indices </w:t>
      </w:r>
      <w:r w:rsidR="00043014">
        <w:t xml:space="preserve">of </w:t>
      </w:r>
      <w:r w:rsidR="004424E1">
        <w:t>interocepti</w:t>
      </w:r>
      <w:r w:rsidR="00043014">
        <w:t xml:space="preserve">on. </w:t>
      </w:r>
      <w:r w:rsidR="00C81824">
        <w:t>Here, w</w:t>
      </w:r>
      <w:r>
        <w:t xml:space="preserve">e </w:t>
      </w:r>
      <w:r w:rsidR="00A75FF6">
        <w:t>extend</w:t>
      </w:r>
      <w:r w:rsidR="00C81824">
        <w:t>ed</w:t>
      </w:r>
      <w:r w:rsidR="00A75FF6">
        <w:t xml:space="preserve"> this research by </w:t>
      </w:r>
      <w:r>
        <w:t>examin</w:t>
      </w:r>
      <w:r w:rsidR="00A75FF6">
        <w:t>ing</w:t>
      </w:r>
      <w:r>
        <w:t xml:space="preserve"> associations between </w:t>
      </w:r>
      <w:r w:rsidR="003A37E2">
        <w:t>measures of positive</w:t>
      </w:r>
      <w:r w:rsidR="00880C9F">
        <w:t xml:space="preserve"> (i.e., body appreciation, functionality appreciation)</w:t>
      </w:r>
      <w:r w:rsidR="003A37E2">
        <w:t xml:space="preserve"> and negative body image</w:t>
      </w:r>
      <w:r w:rsidR="00880C9F">
        <w:t xml:space="preserve"> (i.e., </w:t>
      </w:r>
      <w:r w:rsidR="003A37E2">
        <w:t>body shame, weight preoccupation)</w:t>
      </w:r>
      <w:r>
        <w:t xml:space="preserve"> and t</w:t>
      </w:r>
      <w:r w:rsidR="003A37E2">
        <w:t>wo electrophysiological indices of interoceptive processing</w:t>
      </w:r>
      <w:r w:rsidR="00C81824">
        <w:t>, namely</w:t>
      </w:r>
      <w:r w:rsidR="003A37E2">
        <w:t xml:space="preserve"> the heartbeat evoked potential (HEP) and gastric-alpha phase-amplitude coupling (PAC)</w:t>
      </w:r>
      <w:r>
        <w:t xml:space="preserve">, in a sample of 36 adults. </w:t>
      </w:r>
      <w:r w:rsidR="0064420A">
        <w:t xml:space="preserve">Significant negative associations were identified between the indices of negative body image and the interoception variables. </w:t>
      </w:r>
      <w:r w:rsidR="00745474">
        <w:t>Specifically,</w:t>
      </w:r>
      <w:r w:rsidR="0064420A">
        <w:t xml:space="preserve"> more negative HEP amplitude and </w:t>
      </w:r>
      <w:r w:rsidR="00C175EC">
        <w:t xml:space="preserve">lower </w:t>
      </w:r>
      <w:r w:rsidR="0064420A">
        <w:t xml:space="preserve">gastric-alpha PAC were both associated with greater body shame and weight preoccupation. </w:t>
      </w:r>
      <w:r w:rsidR="00A75FF6">
        <w:t>However, n</w:t>
      </w:r>
      <w:r w:rsidR="0064420A">
        <w:t>o significant associations were identified for the indices of positive body image.</w:t>
      </w:r>
      <w:r>
        <w:t xml:space="preserve"> </w:t>
      </w:r>
      <w:r w:rsidR="0043196D">
        <w:t xml:space="preserve">These findings extend previous work by demonstrating that there are </w:t>
      </w:r>
      <w:r w:rsidR="003368F2" w:rsidRPr="15005BB5">
        <w:t>significant associations</w:t>
      </w:r>
      <w:r w:rsidR="00C41AE7">
        <w:t xml:space="preserve"> between</w:t>
      </w:r>
      <w:r w:rsidR="003368F2" w:rsidRPr="15005BB5">
        <w:t xml:space="preserve"> </w:t>
      </w:r>
      <w:r w:rsidR="0043196D">
        <w:t xml:space="preserve">negative body image and previously unexplored </w:t>
      </w:r>
      <w:r w:rsidR="003368F2">
        <w:t xml:space="preserve">components of cardiac and gastric </w:t>
      </w:r>
      <w:r w:rsidR="003368F2" w:rsidRPr="004865C8">
        <w:rPr>
          <w:color w:val="000000" w:themeColor="text1"/>
        </w:rPr>
        <w:t>interoception</w:t>
      </w:r>
      <w:r w:rsidR="0043196D" w:rsidRPr="004865C8">
        <w:rPr>
          <w:color w:val="000000" w:themeColor="text1"/>
        </w:rPr>
        <w:t>.</w:t>
      </w:r>
      <w:r w:rsidR="004865C8" w:rsidRPr="004865C8">
        <w:rPr>
          <w:color w:val="000000" w:themeColor="text1"/>
        </w:rPr>
        <w:t xml:space="preserve"> </w:t>
      </w:r>
      <w:r w:rsidR="004865C8">
        <w:t>This, in turn, could have important clinical applications</w:t>
      </w:r>
      <w:r w:rsidR="00C81824">
        <w:t xml:space="preserve">, such as </w:t>
      </w:r>
      <w:r w:rsidR="004865C8">
        <w:t>the HEP and gastric-alpha PAC both serv</w:t>
      </w:r>
      <w:r w:rsidR="00C81824">
        <w:t>ing</w:t>
      </w:r>
      <w:r w:rsidR="004865C8">
        <w:t xml:space="preserve"> as biomarkers of negative body image.</w:t>
      </w:r>
    </w:p>
    <w:p w14:paraId="1F39706D" w14:textId="6DC3B175" w:rsidR="000320D4" w:rsidRDefault="00306819" w:rsidP="00306819">
      <w:pPr>
        <w:spacing w:line="480" w:lineRule="auto"/>
        <w:ind w:firstLine="720"/>
      </w:pPr>
      <w:r w:rsidRPr="00934890">
        <w:rPr>
          <w:b/>
          <w:iCs/>
        </w:rPr>
        <w:t>Keywords:</w:t>
      </w:r>
      <w:r w:rsidRPr="00934890">
        <w:rPr>
          <w:i/>
          <w:iCs/>
        </w:rPr>
        <w:t xml:space="preserve"> </w:t>
      </w:r>
      <w:r w:rsidRPr="00934890">
        <w:t>Interoception</w:t>
      </w:r>
      <w:r>
        <w:t>;</w:t>
      </w:r>
      <w:r w:rsidRPr="00934890">
        <w:t xml:space="preserve"> </w:t>
      </w:r>
      <w:r>
        <w:t>Heartbeat Evoked Potential; Gastric; Phase-amplitude coupling;</w:t>
      </w:r>
      <w:r w:rsidRPr="00934890">
        <w:t xml:space="preserve"> </w:t>
      </w:r>
      <w:r>
        <w:t>Body Image; Negative Body Image</w:t>
      </w:r>
    </w:p>
    <w:p w14:paraId="077BD915" w14:textId="77777777" w:rsidR="000320D4" w:rsidRDefault="000320D4">
      <w:r>
        <w:br w:type="page"/>
      </w:r>
    </w:p>
    <w:p w14:paraId="381A8DEE" w14:textId="51D13889" w:rsidR="00306819" w:rsidRDefault="000320D4" w:rsidP="00366C1C">
      <w:pPr>
        <w:pStyle w:val="Heading1"/>
      </w:pPr>
      <w:r>
        <w:lastRenderedPageBreak/>
        <w:t>Highlights</w:t>
      </w:r>
    </w:p>
    <w:p w14:paraId="0675306C" w14:textId="4FCF6C49" w:rsidR="000320D4" w:rsidRDefault="00C447A2" w:rsidP="00C447A2">
      <w:pPr>
        <w:pStyle w:val="ListParagraph"/>
        <w:numPr>
          <w:ilvl w:val="0"/>
          <w:numId w:val="1"/>
        </w:numPr>
        <w:spacing w:line="480" w:lineRule="auto"/>
      </w:pPr>
      <w:r>
        <w:t xml:space="preserve">Heartbeat evoked potential amplitude is </w:t>
      </w:r>
      <w:r w:rsidR="00C41AE7">
        <w:t xml:space="preserve">negatively </w:t>
      </w:r>
      <w:r>
        <w:t>associated with negative body image</w:t>
      </w:r>
    </w:p>
    <w:p w14:paraId="1ACABBDC" w14:textId="658DA662" w:rsidR="00C447A2" w:rsidRDefault="00C447A2" w:rsidP="00C447A2">
      <w:pPr>
        <w:pStyle w:val="ListParagraph"/>
        <w:numPr>
          <w:ilvl w:val="0"/>
          <w:numId w:val="1"/>
        </w:numPr>
        <w:spacing w:line="480" w:lineRule="auto"/>
      </w:pPr>
      <w:r>
        <w:t xml:space="preserve">Gastric-alpha phase-amplitude coupling is </w:t>
      </w:r>
      <w:r w:rsidR="00C41AE7">
        <w:t xml:space="preserve">negatively </w:t>
      </w:r>
      <w:r>
        <w:t>associated with negative body image</w:t>
      </w:r>
    </w:p>
    <w:p w14:paraId="2E3DE6AD" w14:textId="0FAF2991" w:rsidR="00C447A2" w:rsidRPr="000320D4" w:rsidRDefault="00C447A2" w:rsidP="00C447A2">
      <w:pPr>
        <w:pStyle w:val="ListParagraph"/>
        <w:numPr>
          <w:ilvl w:val="0"/>
          <w:numId w:val="1"/>
        </w:numPr>
        <w:spacing w:line="480" w:lineRule="auto"/>
      </w:pPr>
      <w:r>
        <w:t>Neither of the electrophysiological indices were associated with positive body image</w:t>
      </w:r>
    </w:p>
    <w:p w14:paraId="5690D38D" w14:textId="3D0101B7" w:rsidR="00306819" w:rsidRDefault="00306819" w:rsidP="00306819">
      <w:pPr>
        <w:jc w:val="center"/>
        <w:rPr>
          <w:b/>
          <w:bCs/>
        </w:rPr>
      </w:pPr>
      <w:r>
        <w:rPr>
          <w:b/>
          <w:bCs/>
        </w:rPr>
        <w:br w:type="page"/>
      </w:r>
    </w:p>
    <w:p w14:paraId="372A4167" w14:textId="7E611332" w:rsidR="00D774B2" w:rsidRPr="00C632A8" w:rsidRDefault="00306819" w:rsidP="00366C1C">
      <w:pPr>
        <w:pStyle w:val="Heading1"/>
      </w:pPr>
      <w:r>
        <w:lastRenderedPageBreak/>
        <w:t>1</w:t>
      </w:r>
      <w:r w:rsidR="00A5594E">
        <w:t>. Introduction</w:t>
      </w:r>
    </w:p>
    <w:p w14:paraId="6B1BCBF4" w14:textId="6C8E3A50" w:rsidR="00D774B2" w:rsidRPr="00C632A8" w:rsidRDefault="0134E754" w:rsidP="00D336CF">
      <w:pPr>
        <w:spacing w:line="480" w:lineRule="auto"/>
        <w:ind w:firstLine="720"/>
      </w:pPr>
      <w:r>
        <w:t xml:space="preserve">The processing of bodily signals can be divided across the internal and external domains of </w:t>
      </w:r>
      <w:r w:rsidRPr="0134E754">
        <w:rPr>
          <w:color w:val="000000" w:themeColor="text1"/>
        </w:rPr>
        <w:t xml:space="preserve">the body. The brain’s processing of internal (physiological) signals from the body is termed </w:t>
      </w:r>
      <w:r w:rsidRPr="0134E754">
        <w:rPr>
          <w:i/>
          <w:iCs/>
          <w:color w:val="000000" w:themeColor="text1"/>
        </w:rPr>
        <w:t xml:space="preserve">interoception </w:t>
      </w:r>
      <w:r w:rsidRPr="0134E754">
        <w:rPr>
          <w:color w:val="000000" w:themeColor="text1"/>
        </w:rPr>
        <w:t xml:space="preserve">(Craig, 2003; Khalsa et al., 2018). Internal organs and bodily systems produce signals that continuously convey their present condition to the brain. This signalling occurs across both conscious and unconscious levels (Cameron, 2002). The nervous system then detects, interprets, and integrates this information to generate continuously updated representations of the body’s internal states (Craig, 2003). Interoceptive processing is multidimensional and </w:t>
      </w:r>
      <w:bookmarkStart w:id="1" w:name="bbib0155"/>
      <w:r w:rsidRPr="0134E754">
        <w:rPr>
          <w:color w:val="000000" w:themeColor="text1"/>
        </w:rPr>
        <w:t xml:space="preserve">several conceptualisations exist, including models comprised of three (Garfinkel et al., 2015) and eight (Khalsa et al., 2018) interoceptive facets. According to </w:t>
      </w:r>
      <w:bookmarkEnd w:id="1"/>
      <w:r w:rsidRPr="0134E754">
        <w:rPr>
          <w:color w:val="000000" w:themeColor="text1"/>
        </w:rPr>
        <w:t xml:space="preserve">both models, </w:t>
      </w:r>
      <w:r w:rsidRPr="0134E754">
        <w:rPr>
          <w:i/>
          <w:iCs/>
          <w:color w:val="000000" w:themeColor="text1"/>
        </w:rPr>
        <w:t>interoceptive sensibility</w:t>
      </w:r>
      <w:r w:rsidRPr="00763193">
        <w:rPr>
          <w:color w:val="000000" w:themeColor="text1"/>
          <w:vertAlign w:val="superscript"/>
        </w:rPr>
        <w:t>1</w:t>
      </w:r>
      <w:r w:rsidRPr="0134E754">
        <w:rPr>
          <w:color w:val="000000" w:themeColor="text1"/>
        </w:rPr>
        <w:t> refers to the self-perceived tendency to attend to interoceptive stimuli in everyday situations, while </w:t>
      </w:r>
      <w:r w:rsidRPr="0134E754">
        <w:rPr>
          <w:i/>
          <w:iCs/>
          <w:color w:val="000000" w:themeColor="text1"/>
        </w:rPr>
        <w:t>interoceptive accuracy</w:t>
      </w:r>
      <w:r w:rsidRPr="0134E754">
        <w:rPr>
          <w:color w:val="000000" w:themeColor="text1"/>
        </w:rPr>
        <w:t> refers to the objective ability to precisely monitor one’s internal bodily state. Both interoceptive sensibility and interoceptive accuracy can be considered</w:t>
      </w:r>
      <w:r w:rsidR="00977F2A">
        <w:rPr>
          <w:color w:val="000000" w:themeColor="text1"/>
        </w:rPr>
        <w:t xml:space="preserve"> </w:t>
      </w:r>
      <w:r w:rsidRPr="0134E754">
        <w:rPr>
          <w:i/>
          <w:iCs/>
          <w:color w:val="000000" w:themeColor="text1"/>
        </w:rPr>
        <w:t>explicit</w:t>
      </w:r>
      <w:r w:rsidRPr="0134E754">
        <w:rPr>
          <w:color w:val="000000" w:themeColor="text1"/>
        </w:rPr>
        <w:t xml:space="preserve"> </w:t>
      </w:r>
      <w:r w:rsidR="00977F2A">
        <w:rPr>
          <w:color w:val="000000" w:themeColor="text1"/>
        </w:rPr>
        <w:t xml:space="preserve">measures </w:t>
      </w:r>
      <w:r w:rsidRPr="0134E754">
        <w:rPr>
          <w:color w:val="000000" w:themeColor="text1"/>
        </w:rPr>
        <w:t>(i.e., they largely assume a level of conscious processing).</w:t>
      </w:r>
      <w:r w:rsidRPr="0134E754">
        <w:rPr>
          <w:color w:val="000000" w:themeColor="text1"/>
          <w:sz w:val="27"/>
          <w:szCs w:val="27"/>
        </w:rPr>
        <w:t xml:space="preserve"> </w:t>
      </w:r>
      <w:r w:rsidRPr="0134E754">
        <w:rPr>
          <w:color w:val="000000" w:themeColor="text1"/>
        </w:rPr>
        <w:t>However,</w:t>
      </w:r>
      <w:r>
        <w:t xml:space="preserve"> at its core, interoception is a physiological process of signal transmission between viscera and the central nervous system (Vaitl, 1996). Accordingly, psychophysiological measures of visceral-afferent signal transmission should also be considered a central component of interoception as a construct (Forkmann et al., 2016). Such indicators can be considered </w:t>
      </w:r>
      <w:r w:rsidRPr="0134E754">
        <w:rPr>
          <w:i/>
          <w:iCs/>
        </w:rPr>
        <w:t>implicit</w:t>
      </w:r>
      <w:r>
        <w:t xml:space="preserve"> measures of interoception, as they do not necessarily require conscious perception of internal bodily sensations. Examples of such indices include the </w:t>
      </w:r>
      <w:r w:rsidRPr="0134E754">
        <w:rPr>
          <w:i/>
          <w:iCs/>
        </w:rPr>
        <w:t>heartbeat evoked potential</w:t>
      </w:r>
      <w:r>
        <w:t xml:space="preserve"> (HEP; an event-related potential component that reflects the cortical response to cardiac signals; Park &amp; Blanke, 2019; Schandry et al., 1986) and </w:t>
      </w:r>
      <w:r w:rsidRPr="0134E754">
        <w:rPr>
          <w:i/>
          <w:iCs/>
        </w:rPr>
        <w:t>gastric-alpha phase-amplitude coupling</w:t>
      </w:r>
      <w:r>
        <w:t xml:space="preserve"> (PAC; coupling between the phase of the gastric slow wave and the amplitude of the cortical alpha rhythm; Richter et al., 2017). </w:t>
      </w:r>
    </w:p>
    <w:p w14:paraId="6A6DE125" w14:textId="7F30AE46" w:rsidR="00D774B2" w:rsidRPr="00B15FF8" w:rsidRDefault="00D774B2" w:rsidP="00D336CF">
      <w:pPr>
        <w:spacing w:line="480" w:lineRule="auto"/>
        <w:ind w:firstLine="720"/>
      </w:pPr>
      <w:r>
        <w:lastRenderedPageBreak/>
        <w:t xml:space="preserve">Regarding the external bodily domain, </w:t>
      </w:r>
      <w:r>
        <w:rPr>
          <w:i/>
          <w:iCs/>
        </w:rPr>
        <w:t>b</w:t>
      </w:r>
      <w:r w:rsidRPr="0048142A">
        <w:rPr>
          <w:i/>
          <w:iCs/>
        </w:rPr>
        <w:t>ody image</w:t>
      </w:r>
      <w:r w:rsidRPr="0048142A">
        <w:t xml:space="preserve"> refers to purely consciously experienced appearance-related perceptions, affect, and cognitions (Cash, 2004; Cash &amp; Smolak, 2012). Research indicates that negative and positive body image are independent and distinct constructs, rather than opposite ends of the same spectrum (Tylka, 2018; Tylka &amp; Piran, 2019; Tylka &amp; Wood-Barcalow, 2015</w:t>
      </w:r>
      <w:r w:rsidR="00EE74CC">
        <w:t>b</w:t>
      </w:r>
      <w:r w:rsidRPr="0048142A">
        <w:t xml:space="preserve">). </w:t>
      </w:r>
      <w:r w:rsidRPr="0048142A">
        <w:rPr>
          <w:i/>
          <w:iCs/>
          <w:lang w:val="en-US"/>
        </w:rPr>
        <w:t xml:space="preserve">Negative body image </w:t>
      </w:r>
      <w:r w:rsidRPr="0048142A">
        <w:rPr>
          <w:lang w:val="en-US"/>
        </w:rPr>
        <w:t>refers to the negative thoughts</w:t>
      </w:r>
      <w:r w:rsidR="00880C9F">
        <w:rPr>
          <w:lang w:val="en-US"/>
        </w:rPr>
        <w:t>, perceptions,</w:t>
      </w:r>
      <w:r w:rsidRPr="0048142A">
        <w:rPr>
          <w:lang w:val="en-US"/>
        </w:rPr>
        <w:t xml:space="preserve"> and feelings a person has about their body (</w:t>
      </w:r>
      <w:r w:rsidR="00880C9F">
        <w:rPr>
          <w:lang w:val="en-US"/>
        </w:rPr>
        <w:t>Cash &amp; Pruzinsky, 2002</w:t>
      </w:r>
      <w:r w:rsidRPr="0048142A">
        <w:rPr>
          <w:lang w:val="en-US"/>
        </w:rPr>
        <w:t xml:space="preserve">). </w:t>
      </w:r>
      <w:r>
        <w:rPr>
          <w:iCs/>
        </w:rPr>
        <w:t xml:space="preserve">It </w:t>
      </w:r>
      <w:r w:rsidRPr="0048142A">
        <w:t>comprises many f</w:t>
      </w:r>
      <w:r w:rsidR="00880C9F">
        <w:t>acets</w:t>
      </w:r>
      <w:r w:rsidRPr="0048142A">
        <w:t>, including appearance dissatisfaction, body surveillance, body shame, and weight preoccupation (</w:t>
      </w:r>
      <w:r w:rsidR="00880C9F">
        <w:t>Cash, 2004; Cash &amp; Pruzinsky, 2002</w:t>
      </w:r>
      <w:r w:rsidRPr="0048142A">
        <w:t xml:space="preserve">). </w:t>
      </w:r>
      <w:r w:rsidRPr="0048142A">
        <w:rPr>
          <w:i/>
          <w:iCs/>
        </w:rPr>
        <w:t>P</w:t>
      </w:r>
      <w:r w:rsidRPr="0048142A">
        <w:rPr>
          <w:i/>
          <w:iCs/>
          <w:color w:val="000000" w:themeColor="text1"/>
          <w:lang w:val="en-US"/>
        </w:rPr>
        <w:t>ositive body image</w:t>
      </w:r>
      <w:r w:rsidRPr="0048142A">
        <w:rPr>
          <w:color w:val="000000" w:themeColor="text1"/>
          <w:lang w:val="en-US"/>
        </w:rPr>
        <w:t xml:space="preserve"> refers to an “overarching love and respect for the body”</w:t>
      </w:r>
      <w:r w:rsidR="00880C9F">
        <w:rPr>
          <w:color w:val="000000" w:themeColor="text1"/>
          <w:lang w:val="en-US"/>
        </w:rPr>
        <w:t>,</w:t>
      </w:r>
      <w:r w:rsidR="00880C9F">
        <w:rPr>
          <w:i/>
          <w:color w:val="000000" w:themeColor="text1"/>
        </w:rPr>
        <w:t xml:space="preserve"> </w:t>
      </w:r>
      <w:r w:rsidRPr="0048142A">
        <w:rPr>
          <w:iCs/>
          <w:color w:val="000000" w:themeColor="text1"/>
        </w:rPr>
        <w:t xml:space="preserve">which </w:t>
      </w:r>
      <w:r w:rsidRPr="0048142A">
        <w:rPr>
          <w:color w:val="000000" w:themeColor="text1"/>
        </w:rPr>
        <w:t xml:space="preserve">is characterised by an active </w:t>
      </w:r>
      <w:r w:rsidR="00D202FF">
        <w:rPr>
          <w:color w:val="000000" w:themeColor="text1"/>
        </w:rPr>
        <w:t xml:space="preserve">appreciation </w:t>
      </w:r>
      <w:r w:rsidRPr="0048142A">
        <w:rPr>
          <w:color w:val="000000" w:themeColor="text1"/>
        </w:rPr>
        <w:t>for the body</w:t>
      </w:r>
      <w:r w:rsidR="00D202FF">
        <w:rPr>
          <w:color w:val="000000" w:themeColor="text1"/>
        </w:rPr>
        <w:t xml:space="preserve"> (</w:t>
      </w:r>
      <w:r w:rsidR="00880C9F" w:rsidRPr="0048142A">
        <w:rPr>
          <w:color w:val="000000" w:themeColor="text1"/>
          <w:lang w:val="en-US"/>
        </w:rPr>
        <w:t>Tylka, 2018, p. 9)</w:t>
      </w:r>
      <w:r w:rsidRPr="0048142A">
        <w:rPr>
          <w:color w:val="000000" w:themeColor="text1"/>
        </w:rPr>
        <w:t>. In</w:t>
      </w:r>
      <w:r w:rsidR="00D202FF">
        <w:rPr>
          <w:color w:val="000000" w:themeColor="text1"/>
        </w:rPr>
        <w:t>deed,</w:t>
      </w:r>
      <w:r w:rsidRPr="0048142A">
        <w:rPr>
          <w:color w:val="000000" w:themeColor="text1"/>
        </w:rPr>
        <w:t xml:space="preserve"> </w:t>
      </w:r>
      <w:r w:rsidR="00880C9F">
        <w:rPr>
          <w:color w:val="000000" w:themeColor="text1"/>
        </w:rPr>
        <w:t xml:space="preserve">in </w:t>
      </w:r>
      <w:r w:rsidRPr="0048142A">
        <w:rPr>
          <w:color w:val="000000" w:themeColor="text1"/>
        </w:rPr>
        <w:t xml:space="preserve">a recent assessment of the commonality and distinguishability of several core measures of positive body image, Swami and colleagues (2020) found </w:t>
      </w:r>
      <w:r w:rsidRPr="0048142A">
        <w:rPr>
          <w:i/>
          <w:iCs/>
          <w:color w:val="000000" w:themeColor="text1"/>
        </w:rPr>
        <w:t>body appreciation</w:t>
      </w:r>
      <w:r w:rsidRPr="0048142A">
        <w:rPr>
          <w:color w:val="000000" w:themeColor="text1"/>
        </w:rPr>
        <w:t xml:space="preserve"> </w:t>
      </w:r>
      <w:r>
        <w:rPr>
          <w:color w:val="000000" w:themeColor="text1"/>
        </w:rPr>
        <w:t xml:space="preserve">(i.e., </w:t>
      </w:r>
      <w:r w:rsidRPr="00920248">
        <w:rPr>
          <w:color w:val="000000" w:themeColor="text1"/>
        </w:rPr>
        <w:t>respect and appreciation for the body</w:t>
      </w:r>
      <w:r>
        <w:rPr>
          <w:color w:val="000000" w:themeColor="text1"/>
        </w:rPr>
        <w:t xml:space="preserve">) </w:t>
      </w:r>
      <w:r w:rsidRPr="0048142A">
        <w:rPr>
          <w:color w:val="000000" w:themeColor="text1"/>
        </w:rPr>
        <w:t xml:space="preserve">to be the core and central component of positive body image, with </w:t>
      </w:r>
      <w:r w:rsidRPr="0048142A">
        <w:rPr>
          <w:i/>
          <w:iCs/>
          <w:color w:val="000000" w:themeColor="text1"/>
        </w:rPr>
        <w:t>functionality appreciation</w:t>
      </w:r>
      <w:r w:rsidRPr="0048142A">
        <w:rPr>
          <w:color w:val="000000" w:themeColor="text1"/>
        </w:rPr>
        <w:t xml:space="preserve"> (i.e., </w:t>
      </w:r>
      <w:r w:rsidRPr="008C0F3A">
        <w:rPr>
          <w:color w:val="000000" w:themeColor="text1"/>
        </w:rPr>
        <w:t>appreciati</w:t>
      </w:r>
      <w:r>
        <w:rPr>
          <w:color w:val="000000" w:themeColor="text1"/>
        </w:rPr>
        <w:t>on</w:t>
      </w:r>
      <w:r w:rsidRPr="008C0F3A">
        <w:rPr>
          <w:color w:val="000000" w:themeColor="text1"/>
        </w:rPr>
        <w:t xml:space="preserve"> of the body for the functions it can perform or is capable of performing</w:t>
      </w:r>
      <w:r w:rsidRPr="0048142A">
        <w:rPr>
          <w:color w:val="000000" w:themeColor="text1"/>
        </w:rPr>
        <w:t>) found to be a slightly more distal, but nevertheless central, component.</w:t>
      </w:r>
    </w:p>
    <w:p w14:paraId="14633398" w14:textId="04DEA1CE" w:rsidR="00D774B2" w:rsidRPr="00366C1C" w:rsidRDefault="00D774B2" w:rsidP="00366C1C">
      <w:pPr>
        <w:pStyle w:val="Heading2"/>
      </w:pPr>
      <w:r w:rsidRPr="00366C1C">
        <w:t xml:space="preserve">1.1. Interoception and </w:t>
      </w:r>
      <w:r w:rsidR="00880C9F" w:rsidRPr="00366C1C">
        <w:t>B</w:t>
      </w:r>
      <w:r w:rsidRPr="00366C1C">
        <w:t xml:space="preserve">ody </w:t>
      </w:r>
      <w:r w:rsidR="00880C9F" w:rsidRPr="00366C1C">
        <w:t>I</w:t>
      </w:r>
      <w:r w:rsidRPr="00366C1C">
        <w:t xml:space="preserve">mage: Previous </w:t>
      </w:r>
      <w:r w:rsidR="00880C9F" w:rsidRPr="00366C1C">
        <w:t>R</w:t>
      </w:r>
      <w:r w:rsidRPr="00366C1C">
        <w:t>esearch</w:t>
      </w:r>
    </w:p>
    <w:p w14:paraId="3CBEF7F4" w14:textId="6BF2106F" w:rsidR="00D774B2" w:rsidRPr="00B15FF8" w:rsidRDefault="0134E754" w:rsidP="00D336CF">
      <w:pPr>
        <w:spacing w:line="480" w:lineRule="auto"/>
        <w:ind w:firstLine="720"/>
        <w:rPr>
          <w:color w:val="000000" w:themeColor="text1"/>
        </w:rPr>
      </w:pPr>
      <w:r w:rsidRPr="0134E754">
        <w:rPr>
          <w:color w:val="000000" w:themeColor="text1"/>
        </w:rPr>
        <w:t>Recent theorising suggests that less accurate interoception could result in exteroceptive (</w:t>
      </w:r>
      <w:r w:rsidR="00B232C9">
        <w:rPr>
          <w:color w:val="000000" w:themeColor="text1"/>
        </w:rPr>
        <w:t>e.g.</w:t>
      </w:r>
      <w:r w:rsidRPr="0134E754">
        <w:rPr>
          <w:color w:val="000000" w:themeColor="text1"/>
        </w:rPr>
        <w:t>, visual</w:t>
      </w:r>
      <w:r w:rsidR="00B232C9">
        <w:rPr>
          <w:color w:val="000000" w:themeColor="text1"/>
        </w:rPr>
        <w:t>, tactile and proprioceptive</w:t>
      </w:r>
      <w:r w:rsidRPr="0134E754">
        <w:rPr>
          <w:color w:val="000000" w:themeColor="text1"/>
        </w:rPr>
        <w:t xml:space="preserve">) cues contributing relatively more strongly to bodily awareness (Tajadura-Jiménez &amp; Tsakiris, 2014; Tsakiris et al., 2011), which could, in turn, result in an excessive focus on the outward, aesthetic characteristics of the body (Ainley &amp; Tsakiris, 2013; Badoud &amp; Tsakiris, 2017) and foster negative body image (Frederickson &amp; Roberts, 1997). </w:t>
      </w:r>
      <w:r w:rsidR="00B232C9" w:rsidRPr="00B232C9">
        <w:rPr>
          <w:color w:val="000000" w:themeColor="text1"/>
        </w:rPr>
        <w:t>Indeed, participants with body image disturbances and eating</w:t>
      </w:r>
      <w:r w:rsidR="00880C9F">
        <w:rPr>
          <w:color w:val="000000" w:themeColor="text1"/>
        </w:rPr>
        <w:t xml:space="preserve"> disorder</w:t>
      </w:r>
      <w:r w:rsidR="00B232C9" w:rsidRPr="00B232C9">
        <w:rPr>
          <w:color w:val="000000" w:themeColor="text1"/>
        </w:rPr>
        <w:t xml:space="preserve"> symptomology have been found to prioritise exteroceptive cues over interoceptive cues </w:t>
      </w:r>
      <w:r w:rsidR="0031277C">
        <w:rPr>
          <w:color w:val="000000" w:themeColor="text1"/>
        </w:rPr>
        <w:t>in manipulations of body ownership</w:t>
      </w:r>
      <w:r w:rsidR="00880C9F">
        <w:rPr>
          <w:color w:val="000000" w:themeColor="text1"/>
        </w:rPr>
        <w:t>,</w:t>
      </w:r>
      <w:r w:rsidR="0031277C">
        <w:rPr>
          <w:color w:val="000000" w:themeColor="text1"/>
        </w:rPr>
        <w:t xml:space="preserve"> such as the rubber</w:t>
      </w:r>
      <w:r w:rsidR="00363384">
        <w:rPr>
          <w:color w:val="000000" w:themeColor="text1"/>
        </w:rPr>
        <w:t xml:space="preserve"> </w:t>
      </w:r>
      <w:r w:rsidR="0031277C">
        <w:rPr>
          <w:color w:val="000000" w:themeColor="text1"/>
        </w:rPr>
        <w:t xml:space="preserve">hand illusion </w:t>
      </w:r>
      <w:r w:rsidR="00B232C9" w:rsidRPr="00B232C9">
        <w:rPr>
          <w:color w:val="000000" w:themeColor="text1"/>
        </w:rPr>
        <w:t>(Eshkevari</w:t>
      </w:r>
      <w:r w:rsidR="00B232C9">
        <w:rPr>
          <w:color w:val="000000" w:themeColor="text1"/>
        </w:rPr>
        <w:t xml:space="preserve"> et al.</w:t>
      </w:r>
      <w:r w:rsidR="00B232C9" w:rsidRPr="00B232C9">
        <w:rPr>
          <w:color w:val="000000" w:themeColor="text1"/>
        </w:rPr>
        <w:t>, 2012, 2014</w:t>
      </w:r>
      <w:r w:rsidR="0031277C">
        <w:rPr>
          <w:color w:val="000000" w:themeColor="text1"/>
        </w:rPr>
        <w:t>; see also Mussap &amp; Salton, 2006</w:t>
      </w:r>
      <w:r w:rsidR="00B232C9" w:rsidRPr="00B232C9">
        <w:rPr>
          <w:color w:val="000000" w:themeColor="text1"/>
        </w:rPr>
        <w:t>)</w:t>
      </w:r>
      <w:r w:rsidR="00D202FF">
        <w:rPr>
          <w:color w:val="000000" w:themeColor="text1"/>
        </w:rPr>
        <w:t>,</w:t>
      </w:r>
      <w:r w:rsidR="00B232C9" w:rsidRPr="00B232C9">
        <w:rPr>
          <w:color w:val="000000" w:themeColor="text1"/>
        </w:rPr>
        <w:t xml:space="preserve"> and feeling </w:t>
      </w:r>
      <w:r w:rsidR="00B232C9">
        <w:rPr>
          <w:color w:val="000000" w:themeColor="text1"/>
        </w:rPr>
        <w:t>detached from</w:t>
      </w:r>
      <w:r w:rsidR="00B232C9" w:rsidRPr="00B232C9">
        <w:rPr>
          <w:color w:val="000000" w:themeColor="text1"/>
        </w:rPr>
        <w:t xml:space="preserve"> </w:t>
      </w:r>
      <w:r w:rsidR="00B232C9" w:rsidRPr="00B232C9">
        <w:rPr>
          <w:color w:val="000000" w:themeColor="text1"/>
        </w:rPr>
        <w:lastRenderedPageBreak/>
        <w:t>one’s own body appears to be a key experience that distinguishes clinical participants from non-clinical participants (Stanghellini</w:t>
      </w:r>
      <w:r w:rsidR="00B232C9">
        <w:rPr>
          <w:color w:val="000000" w:themeColor="text1"/>
        </w:rPr>
        <w:t xml:space="preserve"> et al., </w:t>
      </w:r>
      <w:r w:rsidR="00B232C9" w:rsidRPr="00B232C9">
        <w:rPr>
          <w:color w:val="000000" w:themeColor="text1"/>
        </w:rPr>
        <w:t>2012, 2015).</w:t>
      </w:r>
      <w:r w:rsidR="00B232C9">
        <w:rPr>
          <w:color w:val="000000" w:themeColor="text1"/>
        </w:rPr>
        <w:t xml:space="preserve"> </w:t>
      </w:r>
      <w:r w:rsidRPr="0134E754">
        <w:rPr>
          <w:color w:val="000000" w:themeColor="text1"/>
        </w:rPr>
        <w:t>A growing number of studies support this theory (for a review, see Badoud &amp; Tsakiris, 2017).</w:t>
      </w:r>
      <w:r w:rsidR="00D202FF">
        <w:rPr>
          <w:color w:val="000000" w:themeColor="text1"/>
        </w:rPr>
        <w:t xml:space="preserve"> The majority of </w:t>
      </w:r>
      <w:r>
        <w:t>this research has reported that lower interoceptive sensibility is associated with less positive body image</w:t>
      </w:r>
      <w:r w:rsidR="004F3022">
        <w:t xml:space="preserve">, </w:t>
      </w:r>
      <w:r>
        <w:t>more negative body image</w:t>
      </w:r>
      <w:r w:rsidR="004F3022">
        <w:t xml:space="preserve">, and </w:t>
      </w:r>
      <w:r w:rsidR="00880C9F">
        <w:t xml:space="preserve">greater </w:t>
      </w:r>
      <w:r w:rsidR="004F3022">
        <w:t>body image disturbances</w:t>
      </w:r>
      <w:r>
        <w:t xml:space="preserve"> (e.g., Brown et al., 2017; Cascino et al., 2019; Daubenmier, 2005; Jenkinson et al., 2018; Myers &amp; Crowther, 2008; Todd et al., 2019a, 2019b). </w:t>
      </w:r>
    </w:p>
    <w:p w14:paraId="053B2C27" w14:textId="371E2509" w:rsidR="00D774B2" w:rsidRPr="00B15FF8" w:rsidRDefault="00D774B2" w:rsidP="00D336CF">
      <w:pPr>
        <w:spacing w:line="480" w:lineRule="auto"/>
        <w:ind w:firstLine="720"/>
      </w:pPr>
      <w:r w:rsidRPr="00B15FF8">
        <w:t xml:space="preserve">Associations between body image and interoceptive accuracy have also been identified. </w:t>
      </w:r>
      <w:r w:rsidRPr="00B15FF8">
        <w:rPr>
          <w:color w:val="000000"/>
        </w:rPr>
        <w:t xml:space="preserve">Specifically, research has indicated that lower cardiac interoceptive accuracy (assessed using the heartbeat tracking task; e.g., Schandry, 1981) is significantly associated with indices of negative body image, including higher body dissatisfaction (e.g., Emanuelsen et al., 2014; cf. Drew et al., 2020), self-objectification (Ainley &amp; Tsakiris, 2013), and body image disturbances (e.g., </w:t>
      </w:r>
      <w:r w:rsidR="00AF44E1" w:rsidRPr="00B15FF8">
        <w:rPr>
          <w:color w:val="000000"/>
        </w:rPr>
        <w:t>Klabunde et al., 2013</w:t>
      </w:r>
      <w:r w:rsidR="00AF44E1">
        <w:rPr>
          <w:color w:val="000000"/>
        </w:rPr>
        <w:t xml:space="preserve">; </w:t>
      </w:r>
      <w:r w:rsidRPr="00B15FF8">
        <w:rPr>
          <w:color w:val="000000"/>
        </w:rPr>
        <w:t>Pollatos et al., 2008, 2016). Conversely, higher cardiac interoceptive accuracy has been associated with greater body satisfaction (Duschek et al., 2015). The same trends have also been identified using assessments of gastric sensitivity (i.e., a two-stage water load task; van Dyck et al., 2016), where a lower sensitivity to satiation signals has been associated with more negative body image</w:t>
      </w:r>
      <w:r w:rsidR="00D0798C">
        <w:rPr>
          <w:color w:val="000000"/>
        </w:rPr>
        <w:t xml:space="preserve"> and symptoms of body image disturbances</w:t>
      </w:r>
      <w:r w:rsidRPr="00B15FF8">
        <w:rPr>
          <w:color w:val="000000"/>
        </w:rPr>
        <w:t xml:space="preserve"> (van Dyck et al., 2016) and a greater sensitivity to satiation signals has been associated with more positive body image (Todd et al., 2020).</w:t>
      </w:r>
    </w:p>
    <w:p w14:paraId="503099B7" w14:textId="3A5C1C5A" w:rsidR="00D774B2" w:rsidRDefault="00D774B2" w:rsidP="00D336CF">
      <w:pPr>
        <w:spacing w:line="480" w:lineRule="auto"/>
        <w:ind w:firstLine="720"/>
      </w:pPr>
      <w:r w:rsidRPr="00B15FF8">
        <w:t xml:space="preserve">From this brief summary of the extant literature, it is clear that associations between body image and </w:t>
      </w:r>
      <w:r w:rsidRPr="00881B2D">
        <w:t>explicit</w:t>
      </w:r>
      <w:r w:rsidRPr="00B15FF8">
        <w:rPr>
          <w:i/>
          <w:iCs/>
        </w:rPr>
        <w:t xml:space="preserve"> </w:t>
      </w:r>
      <w:r w:rsidRPr="00B15FF8">
        <w:t xml:space="preserve">facets of interoception are well-documented (for a further review, see Badoud &amp; Tsakiris, 2017). However, to our knowledge, no previous study has examined direct associations between implicit components of interoception and body image. The closest body of related literature concerns studies that have examined neural components of interoception in groups with presumed body image disturbances, such as samples of </w:t>
      </w:r>
      <w:r w:rsidRPr="00B15FF8">
        <w:lastRenderedPageBreak/>
        <w:t>individuals with disordered eating. For example, Lutz and colleagues (2019) found the amplitude of the HEP to be significantly larger in participants with anorexia nervosa in comparison to a group of healthy control participants (</w:t>
      </w:r>
      <w:r w:rsidRPr="00B15FF8">
        <w:rPr>
          <w:i/>
          <w:iCs/>
        </w:rPr>
        <w:t>d</w:t>
      </w:r>
      <w:r w:rsidRPr="00B15FF8">
        <w:t> = 1.06), who were matched for age, education, and socioeconomic status, and did not significantly differ in resting heart rate. However, other research has indicated that HEPs increase in amplitude after short-term food deprivation (Schulz</w:t>
      </w:r>
      <w:r w:rsidR="006509CD">
        <w:t xml:space="preserve"> </w:t>
      </w:r>
      <w:r w:rsidRPr="00B15FF8">
        <w:t xml:space="preserve">et al., 2015), which may mean that the findings of Lutz and colleagues (2019) are attributable to long-term fasting in anorexia nervosa. </w:t>
      </w:r>
    </w:p>
    <w:p w14:paraId="7385F10C" w14:textId="09023533" w:rsidR="00D774B2" w:rsidRDefault="00D774B2" w:rsidP="00366C1C">
      <w:pPr>
        <w:pStyle w:val="Heading2"/>
      </w:pPr>
      <w:r>
        <w:t xml:space="preserve">1.2. The </w:t>
      </w:r>
      <w:r w:rsidR="00880C9F">
        <w:t>P</w:t>
      </w:r>
      <w:r>
        <w:t xml:space="preserve">resent </w:t>
      </w:r>
      <w:r w:rsidR="00880C9F">
        <w:t>S</w:t>
      </w:r>
      <w:r>
        <w:t xml:space="preserve">tudy </w:t>
      </w:r>
    </w:p>
    <w:p w14:paraId="0EC46AF9" w14:textId="34BFA1FF" w:rsidR="00DE1C8D" w:rsidRDefault="00D774B2" w:rsidP="00D336CF">
      <w:pPr>
        <w:spacing w:line="480" w:lineRule="auto"/>
        <w:ind w:firstLine="720"/>
      </w:pPr>
      <w:r w:rsidRPr="00881B2D">
        <w:t>T</w:t>
      </w:r>
      <w:r>
        <w:t xml:space="preserve">o summarise, </w:t>
      </w:r>
      <w:r w:rsidR="001F4C6E">
        <w:t xml:space="preserve">extant literature largely supports the existence of relationships between body image and explicit components of interoception in both clinical and community samples. However, associations between body image and implicit components of interoception have not been fully explored to date. Such research could have important applications: a more comprehensive understanding of the relationship between interoception and body image could lead to the development of novel interventions that reduce </w:t>
      </w:r>
      <w:r w:rsidR="00880C9F">
        <w:t xml:space="preserve">negative </w:t>
      </w:r>
      <w:r w:rsidR="001F4C6E">
        <w:t xml:space="preserve">body image and/or promote positive body image by improving bodily awareness. Therefore, </w:t>
      </w:r>
      <w:r>
        <w:t>t</w:t>
      </w:r>
      <w:r w:rsidRPr="00881B2D">
        <w:t xml:space="preserve">he aim of the present study was to examine whether there are associations between indices of positive </w:t>
      </w:r>
      <w:r>
        <w:t xml:space="preserve">and negative </w:t>
      </w:r>
      <w:r w:rsidRPr="00881B2D">
        <w:t>body image, and signals originating in the cardiac and gastric organ systems: the HEP and gastric-alpha phase-amplitude coupling (PAC).</w:t>
      </w:r>
      <w:r>
        <w:t xml:space="preserve"> </w:t>
      </w:r>
    </w:p>
    <w:p w14:paraId="747D44F4" w14:textId="0A3AD9DB" w:rsidR="00D774B2" w:rsidRPr="00881B2D" w:rsidRDefault="00D774B2" w:rsidP="00D336CF">
      <w:pPr>
        <w:spacing w:line="480" w:lineRule="auto"/>
        <w:ind w:firstLine="720"/>
        <w:rPr>
          <w:b/>
          <w:bCs/>
        </w:rPr>
      </w:pPr>
      <w:r>
        <w:t xml:space="preserve">We elected to </w:t>
      </w:r>
      <w:r w:rsidRPr="0086233D">
        <w:t xml:space="preserve">focus on </w:t>
      </w:r>
      <w:r>
        <w:t xml:space="preserve">implicit interoceptive markers in the cardiac and gastric systems because of the </w:t>
      </w:r>
      <w:r w:rsidRPr="0086233D">
        <w:t>aforementioned body of literature documenting direct associations between facets of body image and explicit behavioural indices of cardiac and gastric interoception (e.g., Ainley &amp; Tsakiris, 2013; Duschek et al., 2015; Emanuelsen et al., 2014; Todd et al., 2020; van Dyck et al., 2016).</w:t>
      </w:r>
      <w:r>
        <w:t xml:space="preserve"> While a range of</w:t>
      </w:r>
      <w:r w:rsidR="004F3022">
        <w:t xml:space="preserve"> positive</w:t>
      </w:r>
      <w:r>
        <w:t xml:space="preserve"> body image variables exist, b</w:t>
      </w:r>
      <w:r w:rsidRPr="000B5D3F">
        <w:t xml:space="preserve">ody appreciation and functionality appreciation were selected to provide coverage of positive body image because recent evidence suggests that they are core facets of the </w:t>
      </w:r>
      <w:r w:rsidRPr="000B5D3F">
        <w:lastRenderedPageBreak/>
        <w:t>construct (Swami, et al., 2020)</w:t>
      </w:r>
      <w:r>
        <w:t>, and</w:t>
      </w:r>
      <w:r w:rsidRPr="000B5D3F">
        <w:t xml:space="preserve"> </w:t>
      </w:r>
      <w:r>
        <w:t xml:space="preserve">they </w:t>
      </w:r>
      <w:r w:rsidRPr="000B5D3F">
        <w:t>have been significantly associated with explicit components of interoception. Likewise, body shame and weight preoccupation were selected to provide coverage of negative body image because they have been previously associated with explicit components of interoception in the extant literature (e.g., Todd et al., 2019a, 2019b).</w:t>
      </w:r>
    </w:p>
    <w:p w14:paraId="53E2D0DA" w14:textId="65BA8996" w:rsidR="005B0392" w:rsidRDefault="005B0392" w:rsidP="005B0392">
      <w:pPr>
        <w:pStyle w:val="NormalWeb"/>
        <w:spacing w:before="0" w:beforeAutospacing="0" w:after="0" w:afterAutospacing="0" w:line="480" w:lineRule="auto"/>
        <w:ind w:firstLine="720"/>
      </w:pPr>
      <w:r>
        <w:t>To formulate hypotheses for the HEP, we considered evidence of previously identified associations between body image indices and cardiac perceptual accuracy (e.g., Ainley &amp; Tsakiris, 2013; Duschek et al., 2015; Emanuelsen et al., 2014), and moderate associations between the HEP and cardiac perceptual accuracy (</w:t>
      </w:r>
      <w:r>
        <w:rPr>
          <w:i/>
          <w:iCs/>
        </w:rPr>
        <w:t xml:space="preserve">g </w:t>
      </w:r>
      <w:r>
        <w:t xml:space="preserve">= 0.39; Coll et al., 2020). Considering these findings in tandem, </w:t>
      </w:r>
      <w:r w:rsidRPr="005B0392">
        <w:t xml:space="preserve">we extrapolated that if there are associations between implicit and explicit components of interoception, then the relationships between body image and explicit components of interoception might also be observed for implicit components of interoception. </w:t>
      </w:r>
      <w:r w:rsidR="00553F3B">
        <w:t>Accordingly, w</w:t>
      </w:r>
      <w:r>
        <w:t>e</w:t>
      </w:r>
      <w:r w:rsidRPr="00D70CE4">
        <w:t xml:space="preserve"> </w:t>
      </w:r>
      <w:r>
        <w:t>expected t</w:t>
      </w:r>
      <w:r w:rsidRPr="00141C86">
        <w:t>hat there would be a negative association between the HEP and the negative body image variables, w</w:t>
      </w:r>
      <w:r>
        <w:t>ith</w:t>
      </w:r>
      <w:r w:rsidRPr="00141C86">
        <w:t xml:space="preserve"> a lower HEP amplitude associated with more negative body image</w:t>
      </w:r>
      <w:r>
        <w:t>. Relatedly, we</w:t>
      </w:r>
      <w:r w:rsidRPr="00D1413D">
        <w:t xml:space="preserve"> expected </w:t>
      </w:r>
      <w:r>
        <w:t>t</w:t>
      </w:r>
      <w:r w:rsidRPr="009B06C7">
        <w:t>here w</w:t>
      </w:r>
      <w:r>
        <w:t>ou</w:t>
      </w:r>
      <w:r w:rsidRPr="009B06C7">
        <w:t>l</w:t>
      </w:r>
      <w:r>
        <w:t>d</w:t>
      </w:r>
      <w:r w:rsidRPr="009B06C7">
        <w:t xml:space="preserve"> be a positive association between the HEP and positive body image</w:t>
      </w:r>
      <w:r>
        <w:t xml:space="preserve">, </w:t>
      </w:r>
      <w:r w:rsidRPr="009B06C7">
        <w:t>where a higher HEP amplitude is associated with more positive body image</w:t>
      </w:r>
      <w:r>
        <w:t xml:space="preserve">. </w:t>
      </w:r>
    </w:p>
    <w:p w14:paraId="04CB3E8E" w14:textId="01F2E1E9" w:rsidR="00D774B2" w:rsidRDefault="00553F3B" w:rsidP="00D336CF">
      <w:pPr>
        <w:spacing w:line="480" w:lineRule="auto"/>
        <w:ind w:firstLine="720"/>
      </w:pPr>
      <w:r>
        <w:t xml:space="preserve">To generate </w:t>
      </w:r>
      <w:r w:rsidR="00D774B2" w:rsidRPr="004A250E">
        <w:t>hypotheses</w:t>
      </w:r>
      <w:r w:rsidR="005B0392">
        <w:t xml:space="preserve"> for gastric-alpha PAC</w:t>
      </w:r>
      <w:r>
        <w:t xml:space="preserve">, we </w:t>
      </w:r>
      <w:r w:rsidR="005B0392">
        <w:t xml:space="preserve">drew on </w:t>
      </w:r>
      <w:r w:rsidR="00D774B2" w:rsidRPr="004A250E">
        <w:t>the findings of associations between body image and interoceptive accuracy in the gastric domain (van Dyck et al., 2016; Todd et al., 2020)</w:t>
      </w:r>
      <w:r>
        <w:t>. Building on these studies</w:t>
      </w:r>
      <w:r w:rsidR="005B0392">
        <w:t>, w</w:t>
      </w:r>
      <w:r w:rsidR="00D774B2" w:rsidRPr="004A250E">
        <w:t xml:space="preserve">e expected to identify a negative association between gastric-alpha PAC and negative body image, with a lower </w:t>
      </w:r>
      <w:r w:rsidR="00E7102F">
        <w:t>modulation index (</w:t>
      </w:r>
      <w:r w:rsidR="00D774B2" w:rsidRPr="004A250E">
        <w:t>MI</w:t>
      </w:r>
      <w:r w:rsidR="00E7102F">
        <w:t>)</w:t>
      </w:r>
      <w:r w:rsidR="00D774B2" w:rsidRPr="004A250E">
        <w:t xml:space="preserve"> associated with more negative body image (i.e., higher scores on the weight preoccupation and body shame measures). Moreover, a positive association between the gastric-alpha PAC and the positive body image indices was predicted, with a higher MI </w:t>
      </w:r>
      <w:r w:rsidR="00D774B2" w:rsidRPr="004A250E">
        <w:lastRenderedPageBreak/>
        <w:t>associated with more positive body image (i.e., higher scores on the body appreciation and functionality appreciation measures; after Todd et al., 2020).</w:t>
      </w:r>
    </w:p>
    <w:p w14:paraId="45ECDFEF" w14:textId="77777777" w:rsidR="00D774B2" w:rsidRPr="00D336CF" w:rsidRDefault="00D774B2" w:rsidP="00D336CF">
      <w:pPr>
        <w:pStyle w:val="NormalWeb"/>
        <w:spacing w:before="0" w:beforeAutospacing="0" w:after="0" w:afterAutospacing="0"/>
        <w:ind w:firstLine="720"/>
      </w:pPr>
    </w:p>
    <w:p w14:paraId="7B550099" w14:textId="7D045C0A" w:rsidR="00A5594E" w:rsidRDefault="00A5594E" w:rsidP="00366C1C">
      <w:pPr>
        <w:pStyle w:val="Heading1"/>
      </w:pPr>
      <w:r>
        <w:t>2. Method</w:t>
      </w:r>
    </w:p>
    <w:p w14:paraId="0704D835" w14:textId="1BBA15DF" w:rsidR="00A5594E" w:rsidRDefault="00A5594E" w:rsidP="00366C1C">
      <w:pPr>
        <w:pStyle w:val="Heading2"/>
      </w:pPr>
      <w:r>
        <w:t>2.1. Participants</w:t>
      </w:r>
    </w:p>
    <w:p w14:paraId="5FE72F03" w14:textId="1113E0F8" w:rsidR="00A5594E" w:rsidRDefault="00A5594E" w:rsidP="00A5594E">
      <w:pPr>
        <w:spacing w:line="480" w:lineRule="auto"/>
      </w:pPr>
      <w:r>
        <w:tab/>
        <w:t>The participants of this study were 36 right-handed citizens of the U</w:t>
      </w:r>
      <w:r w:rsidR="00343F9C">
        <w:t>nited Kingdom</w:t>
      </w:r>
      <w:r>
        <w:t xml:space="preserve"> enrolled at Anglia Ruskin University (men </w:t>
      </w:r>
      <w:r>
        <w:rPr>
          <w:i/>
          <w:iCs/>
        </w:rPr>
        <w:t xml:space="preserve">n </w:t>
      </w:r>
      <w:r>
        <w:t xml:space="preserve">= 15, women, </w:t>
      </w:r>
      <w:r>
        <w:rPr>
          <w:i/>
          <w:iCs/>
        </w:rPr>
        <w:t xml:space="preserve">n </w:t>
      </w:r>
      <w:r w:rsidRPr="00862B6C">
        <w:t>= 21)</w:t>
      </w:r>
      <w:r>
        <w:rPr>
          <w:i/>
          <w:iCs/>
        </w:rPr>
        <w:t xml:space="preserve">. </w:t>
      </w:r>
      <w:r w:rsidR="00343F9C">
        <w:t>P</w:t>
      </w:r>
      <w:r>
        <w:t xml:space="preserve">articipants ranged in age from 19 </w:t>
      </w:r>
      <w:r w:rsidR="00143D48">
        <w:t xml:space="preserve">to </w:t>
      </w:r>
      <w:r>
        <w:t>40 years (</w:t>
      </w:r>
      <w:r>
        <w:rPr>
          <w:i/>
          <w:iCs/>
        </w:rPr>
        <w:t xml:space="preserve">M </w:t>
      </w:r>
      <w:r>
        <w:t xml:space="preserve">= 23.78, </w:t>
      </w:r>
      <w:r>
        <w:rPr>
          <w:i/>
          <w:iCs/>
        </w:rPr>
        <w:t xml:space="preserve">SD </w:t>
      </w:r>
      <w:r>
        <w:t xml:space="preserve">= </w:t>
      </w:r>
      <w:r w:rsidR="00B51395">
        <w:t xml:space="preserve">± </w:t>
      </w:r>
      <w:r>
        <w:t>5.71) and in</w:t>
      </w:r>
      <w:r w:rsidR="00343F9C">
        <w:t xml:space="preserve"> body mass index (BMI)</w:t>
      </w:r>
      <w:r>
        <w:t xml:space="preserve"> from 19.69 to 30.45kg/m</w:t>
      </w:r>
      <w:r w:rsidRPr="002F1337">
        <w:rPr>
          <w:vertAlign w:val="superscript"/>
        </w:rPr>
        <w:t>2</w:t>
      </w:r>
      <w:r>
        <w:t xml:space="preserve"> (</w:t>
      </w:r>
      <w:r>
        <w:rPr>
          <w:i/>
          <w:iCs/>
        </w:rPr>
        <w:t xml:space="preserve">M </w:t>
      </w:r>
      <w:r>
        <w:t xml:space="preserve">= 24.67, </w:t>
      </w:r>
      <w:r>
        <w:rPr>
          <w:i/>
          <w:iCs/>
        </w:rPr>
        <w:t xml:space="preserve">SD </w:t>
      </w:r>
      <w:r>
        <w:t xml:space="preserve">= </w:t>
      </w:r>
      <w:r w:rsidR="00B51395">
        <w:t xml:space="preserve">± </w:t>
      </w:r>
      <w:r>
        <w:t xml:space="preserve">2.94). </w:t>
      </w:r>
      <w:r w:rsidR="00D555AC">
        <w:t>Most</w:t>
      </w:r>
      <w:r>
        <w:t xml:space="preserve"> participants self-reported their ethnicity as British White (80.6%; mixed = 11.1%; British Asian = 8.3%). None of the participants reported any previous history of </w:t>
      </w:r>
      <w:r w:rsidRPr="007E1C03">
        <w:rPr>
          <w:color w:val="000000"/>
        </w:rPr>
        <w:t>neurological or psychiatric condition</w:t>
      </w:r>
      <w:r>
        <w:rPr>
          <w:color w:val="000000"/>
        </w:rPr>
        <w:t xml:space="preserve">s in a screening questionnaire prior to the study (see </w:t>
      </w:r>
      <w:r w:rsidR="00343F9C">
        <w:rPr>
          <w:color w:val="000000"/>
        </w:rPr>
        <w:t>Section 2.4</w:t>
      </w:r>
      <w:r>
        <w:rPr>
          <w:color w:val="000000"/>
        </w:rPr>
        <w:t xml:space="preserve">). </w:t>
      </w:r>
    </w:p>
    <w:p w14:paraId="4303640D" w14:textId="6410388F" w:rsidR="00A5594E" w:rsidRDefault="00A5594E" w:rsidP="00366C1C">
      <w:pPr>
        <w:pStyle w:val="Heading2"/>
      </w:pPr>
      <w:r>
        <w:t>2.2.</w:t>
      </w:r>
      <w:r w:rsidR="000915D7">
        <w:t xml:space="preserve"> Body Image</w:t>
      </w:r>
      <w:r>
        <w:t xml:space="preserve"> Measures</w:t>
      </w:r>
    </w:p>
    <w:p w14:paraId="74221804" w14:textId="7C6DC440" w:rsidR="00A5594E" w:rsidRPr="00C408E4" w:rsidRDefault="00A5594E" w:rsidP="00A5594E">
      <w:pPr>
        <w:spacing w:line="480" w:lineRule="auto"/>
        <w:ind w:firstLine="720"/>
      </w:pPr>
      <w:r w:rsidRPr="00C408E4">
        <w:rPr>
          <w:b/>
          <w:bCs/>
        </w:rPr>
        <w:t>Body appreciation.</w:t>
      </w:r>
      <w:r>
        <w:t xml:space="preserve"> </w:t>
      </w:r>
      <w:r w:rsidR="00080386">
        <w:t>To assess a facet of positive body image, p</w:t>
      </w:r>
      <w:r w:rsidRPr="00C408E4">
        <w:t>articipants were asked to complete the 10-item Body Appreciation Scale-2 (BAS-2; Tylka &amp; Wood-Barcalow, 2015</w:t>
      </w:r>
      <w:r w:rsidR="0024767F">
        <w:t>a</w:t>
      </w:r>
      <w:r>
        <w:t>)</w:t>
      </w:r>
      <w:r w:rsidR="00080386">
        <w:t xml:space="preserve">. </w:t>
      </w:r>
      <w:r w:rsidR="00080386" w:rsidRPr="00A63875">
        <w:rPr>
          <w:lang w:val="en-US"/>
        </w:rPr>
        <w:t xml:space="preserve">The BAS-2 comprises 10 items that assess body-related positive opinions and acceptance (regardless of actual physical appearance), respect for the body by engaging in healthy behaviors, and </w:t>
      </w:r>
      <w:r w:rsidR="00080386" w:rsidRPr="00A63875">
        <w:t xml:space="preserve">protection of body image </w:t>
      </w:r>
      <w:r w:rsidR="00080386">
        <w:t>in relation</w:t>
      </w:r>
      <w:r w:rsidR="00080386" w:rsidRPr="00A63875">
        <w:t xml:space="preserve"> to </w:t>
      </w:r>
      <w:r w:rsidR="00080386">
        <w:t xml:space="preserve">sociocultural </w:t>
      </w:r>
      <w:r w:rsidR="00080386" w:rsidRPr="00A63875">
        <w:t>appearance</w:t>
      </w:r>
      <w:r w:rsidR="00080386">
        <w:t xml:space="preserve"> ideals. </w:t>
      </w:r>
      <w:r w:rsidR="00080386" w:rsidRPr="00A63875">
        <w:rPr>
          <w:lang w:val="en-US"/>
        </w:rPr>
        <w:t>All items were rated on a 5-point scale, ranging from 1 (</w:t>
      </w:r>
      <w:r w:rsidR="00080386" w:rsidRPr="00A63875">
        <w:rPr>
          <w:i/>
          <w:iCs/>
          <w:lang w:val="en-US"/>
        </w:rPr>
        <w:t>never</w:t>
      </w:r>
      <w:r w:rsidR="00080386" w:rsidRPr="00A63875">
        <w:rPr>
          <w:lang w:val="en-US"/>
        </w:rPr>
        <w:t>) to 5 (</w:t>
      </w:r>
      <w:r w:rsidR="00080386" w:rsidRPr="00A63875">
        <w:rPr>
          <w:i/>
          <w:iCs/>
          <w:lang w:val="en-US"/>
        </w:rPr>
        <w:t>always</w:t>
      </w:r>
      <w:r w:rsidR="00080386" w:rsidRPr="00A63875">
        <w:rPr>
          <w:lang w:val="en-US"/>
        </w:rPr>
        <w:t xml:space="preserve">), and an overall score was computed as the mean of all items. Higher scores on this scale reflect greater body appreciation. Scores on the BAS-2 </w:t>
      </w:r>
      <w:r w:rsidR="00880C9F">
        <w:rPr>
          <w:lang w:val="en-US"/>
        </w:rPr>
        <w:t>are uni</w:t>
      </w:r>
      <w:r w:rsidR="00080386" w:rsidRPr="00A63875">
        <w:rPr>
          <w:lang w:val="en-US"/>
        </w:rPr>
        <w:t xml:space="preserve">dimensional </w:t>
      </w:r>
      <w:r w:rsidR="00880C9F">
        <w:rPr>
          <w:lang w:val="en-US"/>
        </w:rPr>
        <w:t>and</w:t>
      </w:r>
      <w:r w:rsidR="00080386" w:rsidRPr="00A63875">
        <w:rPr>
          <w:lang w:val="en-US"/>
        </w:rPr>
        <w:t xml:space="preserve"> invariant across </w:t>
      </w:r>
      <w:r w:rsidR="00080386">
        <w:rPr>
          <w:lang w:val="en-US"/>
        </w:rPr>
        <w:t>gender</w:t>
      </w:r>
      <w:r w:rsidR="00080386" w:rsidRPr="00A63875">
        <w:rPr>
          <w:lang w:val="en-US"/>
        </w:rPr>
        <w:t xml:space="preserve">, have adequate internal consistency and test-retest reliability over a 3-week period, </w:t>
      </w:r>
      <w:r w:rsidR="00880C9F">
        <w:rPr>
          <w:lang w:val="en-US"/>
        </w:rPr>
        <w:t>and evidence good</w:t>
      </w:r>
      <w:r w:rsidR="00080386" w:rsidRPr="00A63875">
        <w:rPr>
          <w:lang w:val="en-US"/>
        </w:rPr>
        <w:t xml:space="preserve"> patterns of convergent, incremental, and discriminant validity (for review</w:t>
      </w:r>
      <w:r w:rsidR="00080386">
        <w:rPr>
          <w:lang w:val="en-US"/>
        </w:rPr>
        <w:t>s</w:t>
      </w:r>
      <w:r w:rsidR="00080386" w:rsidRPr="00A63875">
        <w:rPr>
          <w:lang w:val="en-US"/>
        </w:rPr>
        <w:t xml:space="preserve">, see Swami, 2018; Tylka &amp; Wood-Barcalow, 2015b). </w:t>
      </w:r>
      <w:r w:rsidRPr="00C408E4">
        <w:t>In the present study,</w:t>
      </w:r>
      <w:r w:rsidR="00343F9C">
        <w:t xml:space="preserve"> McDonald’s</w:t>
      </w:r>
      <w:r w:rsidRPr="00C408E4">
        <w:t xml:space="preserve"> </w:t>
      </w:r>
      <m:oMath>
        <m:r>
          <m:rPr>
            <m:sty m:val="p"/>
          </m:rPr>
          <w:rPr>
            <w:rFonts w:ascii="Cambria Math" w:hAnsi="Cambria Math"/>
          </w:rPr>
          <m:t>ω</m:t>
        </m:r>
      </m:oMath>
      <w:r>
        <w:rPr>
          <w:rFonts w:eastAsiaTheme="minorEastAsia"/>
        </w:rPr>
        <w:t xml:space="preserve"> </w:t>
      </w:r>
      <w:r w:rsidRPr="00C408E4">
        <w:t>for body appreciation scores was .</w:t>
      </w:r>
      <w:r>
        <w:t>86</w:t>
      </w:r>
      <w:r w:rsidRPr="00C408E4">
        <w:t xml:space="preserve"> (95% CI = .</w:t>
      </w:r>
      <w:r>
        <w:t>77</w:t>
      </w:r>
      <w:r w:rsidRPr="00C408E4">
        <w:t>, .</w:t>
      </w:r>
      <w:r>
        <w:t>91</w:t>
      </w:r>
      <w:r w:rsidRPr="00C408E4">
        <w:t>).</w:t>
      </w:r>
    </w:p>
    <w:p w14:paraId="5B0054BA" w14:textId="41F6B19D" w:rsidR="00A5594E" w:rsidRPr="00C408E4" w:rsidRDefault="00A5594E" w:rsidP="00A5594E">
      <w:pPr>
        <w:spacing w:line="480" w:lineRule="auto"/>
        <w:ind w:firstLine="720"/>
      </w:pPr>
      <w:r w:rsidRPr="00BA70F7">
        <w:rPr>
          <w:b/>
          <w:bCs/>
        </w:rPr>
        <w:lastRenderedPageBreak/>
        <w:t>Functionality appreciation.</w:t>
      </w:r>
      <w:r w:rsidRPr="00C408E4">
        <w:t xml:space="preserve"> To assess a second facet of positive body image, participants were asked to complete the 7-item Functionality Appreciation scale (FAS; Alleva et al., 2017)</w:t>
      </w:r>
      <w:r w:rsidR="00080386">
        <w:t xml:space="preserve">. </w:t>
      </w:r>
      <w:r w:rsidR="00080386" w:rsidRPr="00A63875">
        <w:t xml:space="preserve">The FAS is a 7-item scale that assesses the extent to which an individual appreciates and respects the body for the functions it </w:t>
      </w:r>
      <w:r w:rsidR="00D555AC" w:rsidRPr="00A63875">
        <w:t>can perform</w:t>
      </w:r>
      <w:r w:rsidR="00080386">
        <w:t>.</w:t>
      </w:r>
      <w:r w:rsidR="00080386" w:rsidRPr="00A63875">
        <w:t xml:space="preserve"> Items were rated on a 5-point scale ranging from 1 (</w:t>
      </w:r>
      <w:r w:rsidR="00080386" w:rsidRPr="00A63875">
        <w:rPr>
          <w:i/>
        </w:rPr>
        <w:t>strongly disagree</w:t>
      </w:r>
      <w:r w:rsidR="00080386" w:rsidRPr="00A63875">
        <w:t>) to 5 (</w:t>
      </w:r>
      <w:r w:rsidR="00080386" w:rsidRPr="00A63875">
        <w:rPr>
          <w:i/>
        </w:rPr>
        <w:t>strongly agree</w:t>
      </w:r>
      <w:r w:rsidR="00080386" w:rsidRPr="00A63875">
        <w:t xml:space="preserve">) and an overall score was computed as the mean of all items, with higher scores reflecting greater functionality appreciation. Scores on the FAS have a </w:t>
      </w:r>
      <w:r w:rsidR="00880C9F">
        <w:t>uni</w:t>
      </w:r>
      <w:r w:rsidR="00080386" w:rsidRPr="00A63875">
        <w:t xml:space="preserve">dimensional structure, are invariant across </w:t>
      </w:r>
      <w:r w:rsidR="00080386">
        <w:t>gender</w:t>
      </w:r>
      <w:r w:rsidR="00080386" w:rsidRPr="00A63875">
        <w:t>, have adequate internal consistency and test-retest reliability over a 3-week period, and good convergent, discriminant, and incremental validity (Alleva et al</w:t>
      </w:r>
      <w:r w:rsidR="00080386" w:rsidRPr="00A63875">
        <w:rPr>
          <w:i/>
        </w:rPr>
        <w:t>.</w:t>
      </w:r>
      <w:r w:rsidR="00080386" w:rsidRPr="00A63875">
        <w:t xml:space="preserve">, 2017). </w:t>
      </w:r>
      <w:r w:rsidRPr="00C408E4">
        <w:t>In the present study,</w:t>
      </w:r>
      <w:r w:rsidR="00343F9C">
        <w:t xml:space="preserve"> McDonald’s</w:t>
      </w:r>
      <w:r w:rsidRPr="00C408E4">
        <w:t xml:space="preserve"> </w:t>
      </w:r>
      <m:oMath>
        <m:r>
          <m:rPr>
            <m:sty m:val="p"/>
          </m:rPr>
          <w:rPr>
            <w:rFonts w:ascii="Cambria Math" w:hAnsi="Cambria Math"/>
          </w:rPr>
          <m:t>ω</m:t>
        </m:r>
      </m:oMath>
      <w:r w:rsidRPr="00C408E4">
        <w:t xml:space="preserve"> for functionality appreciation scores was .</w:t>
      </w:r>
      <w:r>
        <w:t>85</w:t>
      </w:r>
      <w:r w:rsidRPr="00C408E4">
        <w:t xml:space="preserve"> (95% CI = .</w:t>
      </w:r>
      <w:r>
        <w:t>73</w:t>
      </w:r>
      <w:r w:rsidRPr="00C408E4">
        <w:t>, .</w:t>
      </w:r>
      <w:r>
        <w:t>91</w:t>
      </w:r>
      <w:r w:rsidRPr="00C408E4">
        <w:t>).</w:t>
      </w:r>
    </w:p>
    <w:p w14:paraId="36BF4667" w14:textId="267831DC" w:rsidR="00A5594E" w:rsidRPr="00B228BD" w:rsidRDefault="00A5594E" w:rsidP="00A5594E">
      <w:pPr>
        <w:spacing w:line="480" w:lineRule="auto"/>
        <w:ind w:firstLine="720"/>
      </w:pPr>
      <w:r w:rsidRPr="00B228BD">
        <w:rPr>
          <w:b/>
          <w:bCs/>
        </w:rPr>
        <w:t>Body shame.</w:t>
      </w:r>
      <w:r w:rsidRPr="00B228BD">
        <w:t xml:space="preserve"> To measure a facet of negative body image, participants were asked to complete the 8-item Body Shame subscale from the Objectified Body Consciousness Scale (McKinley &amp; Hyde, 1996)</w:t>
      </w:r>
      <w:r>
        <w:t>,</w:t>
      </w:r>
      <w:r w:rsidR="00080386">
        <w:t xml:space="preserve"> which </w:t>
      </w:r>
      <w:r w:rsidR="00080386" w:rsidRPr="00604E24">
        <w:rPr>
          <w:color w:val="000000" w:themeColor="text1"/>
        </w:rPr>
        <w:t>assesses the degree to which individual</w:t>
      </w:r>
      <w:r w:rsidR="00080386">
        <w:rPr>
          <w:color w:val="000000" w:themeColor="text1"/>
        </w:rPr>
        <w:t>s</w:t>
      </w:r>
      <w:r w:rsidR="00080386" w:rsidRPr="00604E24">
        <w:rPr>
          <w:color w:val="000000" w:themeColor="text1"/>
        </w:rPr>
        <w:t xml:space="preserve"> feel shame when their body does not conform to cultural ideals</w:t>
      </w:r>
      <w:r>
        <w:t xml:space="preserve">. </w:t>
      </w:r>
      <w:r w:rsidR="00F13C5B">
        <w:t xml:space="preserve">In the original measure, </w:t>
      </w:r>
      <w:r w:rsidR="00F13C5B">
        <w:rPr>
          <w:color w:val="000000" w:themeColor="text1"/>
        </w:rPr>
        <w:t>p</w:t>
      </w:r>
      <w:r w:rsidR="00080386" w:rsidRPr="00604E24">
        <w:rPr>
          <w:color w:val="000000" w:themeColor="text1"/>
        </w:rPr>
        <w:t>articipants rate their agreement with each item on a 7-point scale, ranging from 1 (</w:t>
      </w:r>
      <w:r w:rsidR="00080386" w:rsidRPr="00604E24">
        <w:rPr>
          <w:i/>
          <w:color w:val="000000" w:themeColor="text1"/>
        </w:rPr>
        <w:t>strongly disagree</w:t>
      </w:r>
      <w:r w:rsidR="00080386" w:rsidRPr="00604E24">
        <w:rPr>
          <w:color w:val="000000" w:themeColor="text1"/>
        </w:rPr>
        <w:t>) to 7 (</w:t>
      </w:r>
      <w:r w:rsidR="00080386" w:rsidRPr="00604E24">
        <w:rPr>
          <w:i/>
          <w:color w:val="000000" w:themeColor="text1"/>
        </w:rPr>
        <w:t>strongly agree</w:t>
      </w:r>
      <w:r w:rsidR="00080386" w:rsidRPr="00604E24">
        <w:rPr>
          <w:color w:val="000000" w:themeColor="text1"/>
        </w:rPr>
        <w:t>) or indicate</w:t>
      </w:r>
      <w:r w:rsidR="00F13C5B">
        <w:rPr>
          <w:color w:val="000000" w:themeColor="text1"/>
        </w:rPr>
        <w:t xml:space="preserve"> </w:t>
      </w:r>
      <w:r w:rsidR="00080386" w:rsidRPr="00604E24">
        <w:rPr>
          <w:color w:val="000000" w:themeColor="text1"/>
        </w:rPr>
        <w:t>that the item d</w:t>
      </w:r>
      <w:r w:rsidR="00F13C5B">
        <w:rPr>
          <w:color w:val="000000" w:themeColor="text1"/>
        </w:rPr>
        <w:t>oes</w:t>
      </w:r>
      <w:r w:rsidR="00080386" w:rsidRPr="00604E24">
        <w:rPr>
          <w:color w:val="000000" w:themeColor="text1"/>
        </w:rPr>
        <w:t xml:space="preserve"> not apply to them. </w:t>
      </w:r>
      <w:r w:rsidR="00CF349C">
        <w:rPr>
          <w:color w:val="000000" w:themeColor="text1"/>
        </w:rPr>
        <w:t>However, due to an administrative</w:t>
      </w:r>
      <w:r w:rsidR="00885769">
        <w:rPr>
          <w:color w:val="000000" w:themeColor="text1"/>
        </w:rPr>
        <w:t xml:space="preserve"> error, items were rated on a 5-point scale, ranging from</w:t>
      </w:r>
      <w:r w:rsidR="00A45304">
        <w:rPr>
          <w:color w:val="000000" w:themeColor="text1"/>
        </w:rPr>
        <w:t xml:space="preserve"> </w:t>
      </w:r>
      <w:r w:rsidR="00A45304" w:rsidRPr="00604E24">
        <w:rPr>
          <w:color w:val="000000" w:themeColor="text1"/>
        </w:rPr>
        <w:t>1 (</w:t>
      </w:r>
      <w:r w:rsidR="00A45304" w:rsidRPr="00604E24">
        <w:rPr>
          <w:i/>
          <w:color w:val="000000" w:themeColor="text1"/>
        </w:rPr>
        <w:t>strongly disagree</w:t>
      </w:r>
      <w:r w:rsidR="00A45304" w:rsidRPr="00604E24">
        <w:rPr>
          <w:color w:val="000000" w:themeColor="text1"/>
        </w:rPr>
        <w:t xml:space="preserve">) to </w:t>
      </w:r>
      <w:r w:rsidR="00A45304">
        <w:rPr>
          <w:color w:val="000000" w:themeColor="text1"/>
        </w:rPr>
        <w:t>5</w:t>
      </w:r>
      <w:r w:rsidR="00A45304" w:rsidRPr="00604E24">
        <w:rPr>
          <w:color w:val="000000" w:themeColor="text1"/>
        </w:rPr>
        <w:t xml:space="preserve"> (</w:t>
      </w:r>
      <w:r w:rsidR="00A45304" w:rsidRPr="00604E24">
        <w:rPr>
          <w:i/>
          <w:color w:val="000000" w:themeColor="text1"/>
        </w:rPr>
        <w:t>strongly agree</w:t>
      </w:r>
      <w:r w:rsidR="00A45304" w:rsidRPr="00604E24">
        <w:rPr>
          <w:color w:val="000000" w:themeColor="text1"/>
        </w:rPr>
        <w:t>)</w:t>
      </w:r>
      <w:r w:rsidR="00A45304">
        <w:rPr>
          <w:color w:val="000000" w:themeColor="text1"/>
        </w:rPr>
        <w:t>.</w:t>
      </w:r>
      <w:r w:rsidR="00CF349C">
        <w:rPr>
          <w:color w:val="000000" w:themeColor="text1"/>
        </w:rPr>
        <w:t xml:space="preserve"> </w:t>
      </w:r>
      <w:r w:rsidR="00A45304">
        <w:rPr>
          <w:color w:val="000000" w:themeColor="text1"/>
        </w:rPr>
        <w:t>Scores were calculated as the mean of all items, with h</w:t>
      </w:r>
      <w:r w:rsidR="00080386" w:rsidRPr="00604E24">
        <w:rPr>
          <w:color w:val="000000" w:themeColor="text1"/>
        </w:rPr>
        <w:t>igher scores indicat</w:t>
      </w:r>
      <w:r w:rsidR="00A45304">
        <w:rPr>
          <w:color w:val="000000" w:themeColor="text1"/>
        </w:rPr>
        <w:t>ing</w:t>
      </w:r>
      <w:r w:rsidR="00080386" w:rsidRPr="00604E24">
        <w:rPr>
          <w:color w:val="000000" w:themeColor="text1"/>
        </w:rPr>
        <w:t xml:space="preserve"> greater body shame</w:t>
      </w:r>
      <w:r w:rsidR="00080386">
        <w:rPr>
          <w:color w:val="000000" w:themeColor="text1"/>
        </w:rPr>
        <w:t xml:space="preserve">. Scores on the body shame subscale have </w:t>
      </w:r>
      <w:r w:rsidR="00EB1EF8">
        <w:rPr>
          <w:color w:val="000000" w:themeColor="text1"/>
        </w:rPr>
        <w:t>been previously found to evidence good patterns of convergent validity and discriminant, and adequate test-retest and internal consistency reliability (McKinley &amp; Hyde</w:t>
      </w:r>
      <w:r w:rsidR="00AF44E1">
        <w:rPr>
          <w:color w:val="000000" w:themeColor="text1"/>
        </w:rPr>
        <w:t>, 1996</w:t>
      </w:r>
      <w:r w:rsidR="00EB1EF8">
        <w:rPr>
          <w:color w:val="000000" w:themeColor="text1"/>
        </w:rPr>
        <w:t>).</w:t>
      </w:r>
      <w:r w:rsidR="00080386">
        <w:rPr>
          <w:color w:val="000000" w:themeColor="text1"/>
        </w:rPr>
        <w:t xml:space="preserve"> </w:t>
      </w:r>
      <w:r w:rsidRPr="00B228BD">
        <w:t>In the present sample,</w:t>
      </w:r>
      <w:r w:rsidR="00343F9C">
        <w:t xml:space="preserve"> McDonald’s</w:t>
      </w:r>
      <w:r w:rsidRPr="00B228BD">
        <w:t xml:space="preserve"> </w:t>
      </w:r>
      <m:oMath>
        <m:r>
          <m:rPr>
            <m:sty m:val="p"/>
          </m:rPr>
          <w:rPr>
            <w:rFonts w:ascii="Cambria Math" w:hAnsi="Cambria Math"/>
          </w:rPr>
          <m:t>ω</m:t>
        </m:r>
      </m:oMath>
      <w:r w:rsidRPr="00B228BD">
        <w:t xml:space="preserve"> for body shame scores was .</w:t>
      </w:r>
      <w:r>
        <w:t>83</w:t>
      </w:r>
      <w:r w:rsidRPr="00B228BD">
        <w:t xml:space="preserve"> (95% CI = .</w:t>
      </w:r>
      <w:r>
        <w:t>71</w:t>
      </w:r>
      <w:r w:rsidRPr="00B228BD">
        <w:t>, .</w:t>
      </w:r>
      <w:r>
        <w:t>89</w:t>
      </w:r>
      <w:r w:rsidRPr="00B228BD">
        <w:t>)</w:t>
      </w:r>
      <w:r w:rsidR="007A3B49" w:rsidRPr="007A3B49">
        <w:rPr>
          <w:vertAlign w:val="superscript"/>
        </w:rPr>
        <w:t>3</w:t>
      </w:r>
      <w:r w:rsidRPr="00B228BD">
        <w:t>.</w:t>
      </w:r>
    </w:p>
    <w:p w14:paraId="62FCA74C" w14:textId="36C82ADE" w:rsidR="00A5594E" w:rsidRDefault="00144CAA" w:rsidP="00A5594E">
      <w:pPr>
        <w:spacing w:line="480" w:lineRule="auto"/>
        <w:ind w:firstLine="720"/>
      </w:pPr>
      <w:r>
        <w:rPr>
          <w:b/>
          <w:bCs/>
        </w:rPr>
        <w:t>W</w:t>
      </w:r>
      <w:r w:rsidR="00A5594E" w:rsidRPr="00893F45">
        <w:rPr>
          <w:b/>
          <w:bCs/>
        </w:rPr>
        <w:t>eight preoccupation</w:t>
      </w:r>
      <w:r w:rsidR="00A5594E" w:rsidRPr="00B228BD">
        <w:t xml:space="preserve">. To measure a second facet of negative body image, participants were asked to complete the Overweight Preoccupation subscale from the Multidimensional Body-Self Relations Questionnaire Appearance Scales (MBSRQ-AS; </w:t>
      </w:r>
      <w:r w:rsidR="00A5594E" w:rsidRPr="00B228BD">
        <w:lastRenderedPageBreak/>
        <w:t>Cash, 2000)</w:t>
      </w:r>
      <w:r w:rsidR="00A5594E">
        <w:t xml:space="preserve">, </w:t>
      </w:r>
      <w:r w:rsidR="00080386">
        <w:t xml:space="preserve">which </w:t>
      </w:r>
      <w:r w:rsidR="00080386" w:rsidRPr="00A63875">
        <w:rPr>
          <w:lang w:val="en-US"/>
        </w:rPr>
        <w:t xml:space="preserve">assesses weight-related anxiety and vigilance, as well as eating restraint (4 items). Cash (2000) reported that scores on the MBSRQ-AS have adequate internal consistency and 1-month test-retest reliability for both men and women. </w:t>
      </w:r>
      <w:r w:rsidR="00A5594E" w:rsidRPr="00B228BD">
        <w:t>In the present sample,</w:t>
      </w:r>
      <w:r w:rsidR="00343F9C">
        <w:t xml:space="preserve"> McDonald’s</w:t>
      </w:r>
      <w:r w:rsidR="00A5594E" w:rsidRPr="00B228BD">
        <w:t xml:space="preserve"> </w:t>
      </w:r>
      <m:oMath>
        <m:r>
          <m:rPr>
            <m:sty m:val="p"/>
          </m:rPr>
          <w:rPr>
            <w:rFonts w:ascii="Cambria Math" w:hAnsi="Cambria Math"/>
          </w:rPr>
          <m:t>ω</m:t>
        </m:r>
      </m:oMath>
      <w:r w:rsidR="00A5594E" w:rsidRPr="00B228BD">
        <w:t xml:space="preserve"> for weight preoccupation scores was .</w:t>
      </w:r>
      <w:r w:rsidR="00A5594E">
        <w:t>78</w:t>
      </w:r>
      <w:r w:rsidR="00A5594E" w:rsidRPr="00B228BD">
        <w:t xml:space="preserve"> (95% CI = .</w:t>
      </w:r>
      <w:r w:rsidR="00A5594E">
        <w:t>58</w:t>
      </w:r>
      <w:r w:rsidR="00A5594E" w:rsidRPr="00B228BD">
        <w:t>, .</w:t>
      </w:r>
      <w:r w:rsidR="00A5594E">
        <w:t>88</w:t>
      </w:r>
      <w:r w:rsidR="00A5594E" w:rsidRPr="00B228BD">
        <w:t xml:space="preserve">). </w:t>
      </w:r>
    </w:p>
    <w:p w14:paraId="11AAEC33" w14:textId="155F32BC" w:rsidR="00A5594E" w:rsidRPr="00B063CE" w:rsidRDefault="00A5594E" w:rsidP="00260608">
      <w:pPr>
        <w:spacing w:line="480" w:lineRule="auto"/>
        <w:ind w:firstLine="720"/>
      </w:pPr>
      <w:r w:rsidRPr="00B063CE">
        <w:rPr>
          <w:b/>
          <w:bCs/>
        </w:rPr>
        <w:t>Demographics</w:t>
      </w:r>
      <w:r w:rsidR="00880C9F">
        <w:rPr>
          <w:b/>
          <w:bCs/>
        </w:rPr>
        <w:t>.</w:t>
      </w:r>
      <w:r w:rsidRPr="00B063CE">
        <w:t xml:space="preserve"> Participants were asked to complete a demographic questionnaire, which included items related to gender</w:t>
      </w:r>
      <w:r w:rsidR="00343F9C">
        <w:t xml:space="preserve"> identity</w:t>
      </w:r>
      <w:r w:rsidRPr="00B063CE">
        <w:t>, age, and ethnicity. These details were used for descriptive purposes</w:t>
      </w:r>
      <w:r w:rsidR="00C6706C">
        <w:t>. H</w:t>
      </w:r>
      <w:r w:rsidR="00260608">
        <w:t>eight and weight measurements were also collected as part of the study and these data were used to compute BMI as kg/m</w:t>
      </w:r>
      <w:r w:rsidR="00260608" w:rsidRPr="00C6706C">
        <w:rPr>
          <w:vertAlign w:val="superscript"/>
        </w:rPr>
        <w:t>2</w:t>
      </w:r>
      <w:r w:rsidR="00260608">
        <w:t>. Height was measured to the nearest 0.1 cm using a portable stadiometer (Seca 213, Seca, USA). Weight was measured using a floor scale (Marsden M-430, Marsden, UK) to the nearest 0.1 kg, with participants wearing light clothing.</w:t>
      </w:r>
    </w:p>
    <w:p w14:paraId="65340EFB" w14:textId="4409CC0C" w:rsidR="00A5594E" w:rsidRDefault="00A5594E" w:rsidP="00366C1C">
      <w:pPr>
        <w:pStyle w:val="Heading2"/>
      </w:pPr>
      <w:r>
        <w:t xml:space="preserve">2.3. </w:t>
      </w:r>
      <w:r w:rsidRPr="00B51A5A">
        <w:t xml:space="preserve">Data </w:t>
      </w:r>
      <w:r>
        <w:t>acquisition</w:t>
      </w:r>
    </w:p>
    <w:p w14:paraId="192FA4B4" w14:textId="00EFFE71" w:rsidR="00A5594E" w:rsidRPr="00012ABC" w:rsidRDefault="00A5594E" w:rsidP="00A5594E">
      <w:pPr>
        <w:spacing w:line="480" w:lineRule="auto"/>
        <w:ind w:firstLine="720"/>
      </w:pPr>
      <w:r w:rsidRPr="007773CE">
        <w:rPr>
          <w:color w:val="000000"/>
        </w:rPr>
        <w:t>A BrainAmp amplifier system (</w:t>
      </w:r>
      <w:r w:rsidRPr="00A64395">
        <w:t>Brain Products GmbH, Germany</w:t>
      </w:r>
      <w:r w:rsidRPr="007773CE">
        <w:rPr>
          <w:color w:val="000000"/>
        </w:rPr>
        <w:t xml:space="preserve">) was used to record the data. </w:t>
      </w:r>
      <w:r>
        <w:t>Thirty-two</w:t>
      </w:r>
      <w:r w:rsidRPr="007773CE">
        <w:rPr>
          <w:color w:val="000000"/>
        </w:rPr>
        <w:t xml:space="preserve"> active scalp electrodes </w:t>
      </w:r>
      <w:r w:rsidRPr="007773CE">
        <w:t xml:space="preserve">(FP1, FP2, F7, F3, FZ, F4, F8, FC5, FC1, FC2, FC6, T7, C3, CZ, C4, T8, TP9, CP5, CP1, CP2, CP6, TP10, P7, P3, PZ, P4, P8, PO9, O1, OZ, O2, PO10) were positioned in accordance with the 10-20 System. </w:t>
      </w:r>
      <w:r>
        <w:t xml:space="preserve">The electrogastrogram (EGG) and electrocardiogram (ECG) were recorded simultaneously with the EEG data. For the EGG, six disposable cutaneous electrodes were positioned across the abdomen in accordance with the 6-lead layout described by Chen and colleagues (1999). To ensure that impedances were kept below </w:t>
      </w:r>
      <w:r w:rsidRPr="007773CE">
        <w:rPr>
          <w:color w:val="000000"/>
        </w:rPr>
        <w:t>10 KΩ</w:t>
      </w:r>
      <w:r>
        <w:rPr>
          <w:color w:val="000000"/>
        </w:rPr>
        <w:t>, participants were asked to clean and exfoliate the skin on their abdomen with a skin preparation gel prior to electrode positioning (Yin &amp; Chen, 2013). For the ECG, three disposable cutaneous electrodes were positioned in standard 3-lead configuration. The ECG and EGG electrodes shared the same ground electrode.</w:t>
      </w:r>
      <w:r>
        <w:t xml:space="preserve"> </w:t>
      </w:r>
      <w:r>
        <w:rPr>
          <w:color w:val="000000"/>
        </w:rPr>
        <w:t xml:space="preserve">All data were collected at a sampling rate of 1000 Hz, with a low-pass filter at 330 Hz, and </w:t>
      </w:r>
      <w:r w:rsidRPr="007773CE">
        <w:rPr>
          <w:color w:val="000000"/>
        </w:rPr>
        <w:t>BrainVision Recorder software (</w:t>
      </w:r>
      <w:r w:rsidRPr="00AC07E0">
        <w:t>Brain Products GmbH, Germany</w:t>
      </w:r>
      <w:r w:rsidRPr="007773CE">
        <w:rPr>
          <w:color w:val="000000"/>
        </w:rPr>
        <w:t>) was used to monitor signal acquisition.</w:t>
      </w:r>
    </w:p>
    <w:p w14:paraId="53CE47FC" w14:textId="5535EFA2" w:rsidR="00A5594E" w:rsidRPr="00DC2D87" w:rsidRDefault="00A5594E" w:rsidP="00366C1C">
      <w:pPr>
        <w:pStyle w:val="Heading2"/>
      </w:pPr>
      <w:r>
        <w:lastRenderedPageBreak/>
        <w:t xml:space="preserve">2.4. </w:t>
      </w:r>
      <w:r w:rsidRPr="00DC2D87">
        <w:t>Procedure</w:t>
      </w:r>
      <w:r w:rsidR="00880C9F">
        <w:t>s</w:t>
      </w:r>
    </w:p>
    <w:p w14:paraId="2BAC6A09" w14:textId="0923E6B3" w:rsidR="00A5594E" w:rsidRDefault="00A5594E" w:rsidP="00A5594E">
      <w:pPr>
        <w:spacing w:line="480" w:lineRule="auto"/>
        <w:ind w:firstLine="720"/>
        <w:rPr>
          <w:color w:val="000000"/>
        </w:rPr>
      </w:pPr>
      <w:r w:rsidRPr="0044321A">
        <w:rPr>
          <w:color w:val="000000"/>
        </w:rPr>
        <w:t>Prior to data collection, ethics approval was obtained from</w:t>
      </w:r>
      <w:r w:rsidR="008C4643">
        <w:rPr>
          <w:color w:val="000000"/>
        </w:rPr>
        <w:t xml:space="preserve"> relevant</w:t>
      </w:r>
      <w:r w:rsidRPr="0044321A">
        <w:rPr>
          <w:color w:val="000000"/>
        </w:rPr>
        <w:t xml:space="preserve"> ethics committee </w:t>
      </w:r>
      <w:r w:rsidR="008C4643">
        <w:rPr>
          <w:color w:val="000000"/>
        </w:rPr>
        <w:t xml:space="preserve">at Anglia Ruskin University </w:t>
      </w:r>
      <w:r w:rsidRPr="0044321A">
        <w:rPr>
          <w:color w:val="000000"/>
        </w:rPr>
        <w:t>(approval code:</w:t>
      </w:r>
      <w:r>
        <w:rPr>
          <w:color w:val="000000"/>
        </w:rPr>
        <w:t xml:space="preserve"> </w:t>
      </w:r>
      <w:r w:rsidRPr="00696ED1">
        <w:rPr>
          <w:color w:val="000000"/>
        </w:rPr>
        <w:t>FST/FREP/17/75).</w:t>
      </w:r>
      <w:r>
        <w:rPr>
          <w:color w:val="000000"/>
        </w:rPr>
        <w:t xml:space="preserve"> </w:t>
      </w:r>
      <w:r w:rsidR="0021660C">
        <w:rPr>
          <w:color w:val="000000"/>
        </w:rPr>
        <w:t>Participants were recruited via advertisements on university and social media websites</w:t>
      </w:r>
      <w:r w:rsidR="00EE383F">
        <w:rPr>
          <w:color w:val="000000"/>
        </w:rPr>
        <w:t xml:space="preserve"> and the online SONA research participation scheme</w:t>
      </w:r>
      <w:r w:rsidR="0021660C">
        <w:rPr>
          <w:color w:val="000000"/>
        </w:rPr>
        <w:t xml:space="preserve">. </w:t>
      </w:r>
      <w:r w:rsidR="00BF4210">
        <w:rPr>
          <w:color w:val="000000"/>
        </w:rPr>
        <w:t xml:space="preserve">Eligibility was limited to adults aged 18 to 50. </w:t>
      </w:r>
      <w:r w:rsidRPr="007E1C03">
        <w:rPr>
          <w:color w:val="000000"/>
        </w:rPr>
        <w:t xml:space="preserve">Exclusion criteria for the study included diagnosis of a physical disorder </w:t>
      </w:r>
      <w:r>
        <w:rPr>
          <w:color w:val="000000"/>
        </w:rPr>
        <w:t xml:space="preserve">(e.g., </w:t>
      </w:r>
      <w:r w:rsidRPr="000E0D03">
        <w:rPr>
          <w:color w:val="000000"/>
        </w:rPr>
        <w:t xml:space="preserve">diabetes or Crohn’s Disease) or </w:t>
      </w:r>
      <w:r w:rsidRPr="007E1C03">
        <w:rPr>
          <w:color w:val="000000"/>
        </w:rPr>
        <w:t>present use of medications that affect diet or weight</w:t>
      </w:r>
      <w:r>
        <w:rPr>
          <w:color w:val="000000"/>
        </w:rPr>
        <w:t xml:space="preserve"> (Wolpert et al., 2020)</w:t>
      </w:r>
      <w:r w:rsidRPr="007E1C03">
        <w:rPr>
          <w:color w:val="000000"/>
        </w:rPr>
        <w:t>, diagnosis of a neurological or psychiatric condition, pregnancy</w:t>
      </w:r>
      <w:r>
        <w:rPr>
          <w:color w:val="000000"/>
        </w:rPr>
        <w:t>, and left-hand dominance (consistent with Richter et al., 2017).</w:t>
      </w:r>
      <w:r w:rsidRPr="0031696F">
        <w:t xml:space="preserve"> </w:t>
      </w:r>
      <w:r>
        <w:rPr>
          <w:color w:val="000000"/>
        </w:rPr>
        <w:t>P</w:t>
      </w:r>
      <w:r w:rsidRPr="0031696F">
        <w:rPr>
          <w:color w:val="000000"/>
        </w:rPr>
        <w:t xml:space="preserve">articipants were required to fast for a minimum of </w:t>
      </w:r>
      <w:r>
        <w:rPr>
          <w:color w:val="000000"/>
        </w:rPr>
        <w:t>three</w:t>
      </w:r>
      <w:r w:rsidRPr="0031696F">
        <w:rPr>
          <w:color w:val="000000"/>
        </w:rPr>
        <w:t xml:space="preserve"> hours before the study</w:t>
      </w:r>
      <w:r w:rsidR="00343F9C">
        <w:rPr>
          <w:color w:val="000000"/>
        </w:rPr>
        <w:t xml:space="preserve"> protocol</w:t>
      </w:r>
      <w:r w:rsidRPr="0031696F">
        <w:rPr>
          <w:color w:val="000000"/>
        </w:rPr>
        <w:t xml:space="preserve"> and to refrain from drinking for </w:t>
      </w:r>
      <w:r>
        <w:rPr>
          <w:color w:val="000000"/>
        </w:rPr>
        <w:t>two</w:t>
      </w:r>
      <w:r w:rsidRPr="0031696F">
        <w:rPr>
          <w:color w:val="000000"/>
        </w:rPr>
        <w:t xml:space="preserve"> hours before the study</w:t>
      </w:r>
      <w:r w:rsidR="00343F9C">
        <w:rPr>
          <w:color w:val="000000"/>
        </w:rPr>
        <w:t xml:space="preserve"> protocol</w:t>
      </w:r>
      <w:r>
        <w:rPr>
          <w:color w:val="000000"/>
        </w:rPr>
        <w:t xml:space="preserve"> (Wolpert et al., 2020), and all participants reported adhering to these requirements in a screening questionnaire. T</w:t>
      </w:r>
      <w:r w:rsidR="008C4643">
        <w:rPr>
          <w:color w:val="000000"/>
        </w:rPr>
        <w:t>o reduce participant burden, t</w:t>
      </w:r>
      <w:r>
        <w:rPr>
          <w:color w:val="000000"/>
        </w:rPr>
        <w:t xml:space="preserve">he body image measures were completed </w:t>
      </w:r>
      <w:r w:rsidR="008C4643">
        <w:rPr>
          <w:color w:val="000000"/>
        </w:rPr>
        <w:t xml:space="preserve">using online survey software a maximum of seven days </w:t>
      </w:r>
      <w:r>
        <w:rPr>
          <w:color w:val="000000"/>
        </w:rPr>
        <w:t xml:space="preserve">prior to the session. </w:t>
      </w:r>
      <w:r w:rsidR="00B5609F">
        <w:rPr>
          <w:color w:val="000000"/>
        </w:rPr>
        <w:t>The body image measures were presented in a randomised order.</w:t>
      </w:r>
    </w:p>
    <w:p w14:paraId="106CACCB" w14:textId="2C84568F" w:rsidR="00A5594E" w:rsidRDefault="00A5594E" w:rsidP="00A5594E">
      <w:pPr>
        <w:spacing w:line="480" w:lineRule="auto"/>
        <w:ind w:firstLine="720"/>
        <w:rPr>
          <w:color w:val="000000"/>
        </w:rPr>
      </w:pPr>
      <w:r>
        <w:rPr>
          <w:color w:val="000000"/>
        </w:rPr>
        <w:t>Upon arrival, p</w:t>
      </w:r>
      <w:r w:rsidRPr="00DA444C">
        <w:rPr>
          <w:color w:val="000000"/>
        </w:rPr>
        <w:t>articipants were presented with an information sheet</w:t>
      </w:r>
      <w:r>
        <w:rPr>
          <w:color w:val="000000"/>
        </w:rPr>
        <w:t xml:space="preserve"> </w:t>
      </w:r>
      <w:r w:rsidRPr="00DA444C">
        <w:rPr>
          <w:color w:val="000000"/>
        </w:rPr>
        <w:t xml:space="preserve">and provided written informed consent. </w:t>
      </w:r>
      <w:r>
        <w:rPr>
          <w:color w:val="000000"/>
        </w:rPr>
        <w:t>Participants were then taken to a Faraday cage for the data recording. Participants were positioned in a semi-reclined sitting position. Data w</w:t>
      </w:r>
      <w:r w:rsidR="00343F9C">
        <w:rPr>
          <w:color w:val="000000"/>
        </w:rPr>
        <w:t>ere</w:t>
      </w:r>
      <w:r>
        <w:rPr>
          <w:color w:val="000000"/>
        </w:rPr>
        <w:t xml:space="preserve"> recorded for 12 minutes, during which time p</w:t>
      </w:r>
      <w:r w:rsidRPr="00A532C4">
        <w:rPr>
          <w:color w:val="000000"/>
        </w:rPr>
        <w:t xml:space="preserve">articipants were instructed to </w:t>
      </w:r>
      <w:r>
        <w:rPr>
          <w:color w:val="000000"/>
        </w:rPr>
        <w:t>avoid any voluntary movements</w:t>
      </w:r>
      <w:r w:rsidRPr="00A532C4">
        <w:rPr>
          <w:color w:val="000000"/>
        </w:rPr>
        <w:t xml:space="preserve"> and to </w:t>
      </w:r>
      <w:r>
        <w:rPr>
          <w:color w:val="000000"/>
        </w:rPr>
        <w:t>keep their eyes open (aside from blinking). Participants were asked to let their mind w</w:t>
      </w:r>
      <w:r w:rsidR="00670F2E">
        <w:rPr>
          <w:color w:val="000000"/>
        </w:rPr>
        <w:t>a</w:t>
      </w:r>
      <w:r>
        <w:rPr>
          <w:color w:val="000000"/>
        </w:rPr>
        <w:t xml:space="preserve">nder and to avoid any structured mental strategies during the recording, </w:t>
      </w:r>
      <w:r w:rsidRPr="00A532C4">
        <w:rPr>
          <w:color w:val="000000"/>
        </w:rPr>
        <w:t>such as counting or mentally reciting a text.</w:t>
      </w:r>
      <w:r>
        <w:rPr>
          <w:color w:val="000000"/>
        </w:rPr>
        <w:t xml:space="preserve"> A</w:t>
      </w:r>
      <w:r w:rsidRPr="00DA444C">
        <w:rPr>
          <w:color w:val="000000"/>
        </w:rPr>
        <w:t>ll participants</w:t>
      </w:r>
      <w:r>
        <w:rPr>
          <w:color w:val="000000"/>
        </w:rPr>
        <w:t xml:space="preserve"> </w:t>
      </w:r>
      <w:r w:rsidRPr="00DA444C">
        <w:rPr>
          <w:color w:val="000000"/>
        </w:rPr>
        <w:t>received written debriefing information and had the opportunity to ask any questions</w:t>
      </w:r>
      <w:r>
        <w:rPr>
          <w:color w:val="000000"/>
        </w:rPr>
        <w:t xml:space="preserve"> at the end of the study</w:t>
      </w:r>
      <w:r w:rsidRPr="00DA444C">
        <w:rPr>
          <w:color w:val="000000"/>
        </w:rPr>
        <w:t xml:space="preserve">. Participants were offered </w:t>
      </w:r>
      <w:r>
        <w:rPr>
          <w:color w:val="000000"/>
        </w:rPr>
        <w:t xml:space="preserve">a </w:t>
      </w:r>
      <w:r w:rsidR="002631FB">
        <w:rPr>
          <w:color w:val="000000"/>
        </w:rPr>
        <w:t>retail</w:t>
      </w:r>
      <w:r>
        <w:rPr>
          <w:color w:val="000000"/>
        </w:rPr>
        <w:t xml:space="preserve"> voucher or course credits </w:t>
      </w:r>
      <w:r w:rsidRPr="00DA444C">
        <w:rPr>
          <w:color w:val="000000"/>
        </w:rPr>
        <w:t xml:space="preserve">as remuneration for their time. </w:t>
      </w:r>
      <w:r>
        <w:rPr>
          <w:color w:val="000000"/>
        </w:rPr>
        <w:t xml:space="preserve">Participation (including </w:t>
      </w:r>
      <w:r w:rsidR="00670F2E">
        <w:rPr>
          <w:color w:val="000000"/>
        </w:rPr>
        <w:t>set-up time</w:t>
      </w:r>
      <w:r>
        <w:rPr>
          <w:color w:val="000000"/>
        </w:rPr>
        <w:t xml:space="preserve">) took an </w:t>
      </w:r>
      <w:r w:rsidRPr="00DA444C">
        <w:rPr>
          <w:color w:val="000000"/>
        </w:rPr>
        <w:t xml:space="preserve">average of </w:t>
      </w:r>
      <w:r>
        <w:rPr>
          <w:color w:val="000000"/>
        </w:rPr>
        <w:t>90</w:t>
      </w:r>
      <w:r w:rsidRPr="00DA444C">
        <w:rPr>
          <w:color w:val="000000"/>
        </w:rPr>
        <w:t xml:space="preserve"> minutes.</w:t>
      </w:r>
    </w:p>
    <w:p w14:paraId="342DB333" w14:textId="287E5690" w:rsidR="00A5594E" w:rsidRDefault="00A5594E" w:rsidP="00366C1C">
      <w:pPr>
        <w:pStyle w:val="Heading2"/>
      </w:pPr>
      <w:r>
        <w:t xml:space="preserve">2.5. Data Processing </w:t>
      </w:r>
    </w:p>
    <w:p w14:paraId="3CA5F92F" w14:textId="763507A9" w:rsidR="00F60B32" w:rsidRDefault="00A5594E" w:rsidP="00A5594E">
      <w:pPr>
        <w:spacing w:line="480" w:lineRule="auto"/>
        <w:ind w:firstLine="720"/>
        <w:rPr>
          <w:color w:val="000000"/>
        </w:rPr>
      </w:pPr>
      <w:r>
        <w:rPr>
          <w:b/>
          <w:bCs/>
        </w:rPr>
        <w:lastRenderedPageBreak/>
        <w:t xml:space="preserve">2.5.1. </w:t>
      </w:r>
      <w:r w:rsidRPr="006D240C">
        <w:rPr>
          <w:b/>
          <w:bCs/>
        </w:rPr>
        <w:t>HEP</w:t>
      </w:r>
      <w:r>
        <w:rPr>
          <w:b/>
          <w:bCs/>
        </w:rPr>
        <w:t xml:space="preserve"> data processing</w:t>
      </w:r>
      <w:r w:rsidRPr="006D240C">
        <w:rPr>
          <w:b/>
          <w:bCs/>
        </w:rPr>
        <w:t>.</w:t>
      </w:r>
      <w:r w:rsidRPr="00946321">
        <w:rPr>
          <w:rFonts w:cstheme="minorHAnsi"/>
        </w:rPr>
        <w:t xml:space="preserve"> </w:t>
      </w:r>
      <w:r w:rsidRPr="00946321">
        <w:t xml:space="preserve">The data were analysed using MATLAB </w:t>
      </w:r>
      <w:r>
        <w:t>software (MathWorks, USA</w:t>
      </w:r>
      <w:r w:rsidR="00315CB9">
        <w:t>, version 9.4</w:t>
      </w:r>
      <w:r w:rsidRPr="00946321">
        <w:t>) and EEGLAB (</w:t>
      </w:r>
      <w:r w:rsidRPr="007F7975">
        <w:t>Delorme &amp; Makeig, 2004</w:t>
      </w:r>
      <w:r w:rsidRPr="00946321">
        <w:t>). The data were resampled to 250 Hz and then filtered between 1-40 Hz using the FIR band-pass filter. QRS complexes in the ECG channels were automatically detected and labelled</w:t>
      </w:r>
      <w:r>
        <w:t xml:space="preserve"> within the ECG and EGG data</w:t>
      </w:r>
      <w:r w:rsidRPr="00946321">
        <w:t xml:space="preserve"> using the</w:t>
      </w:r>
      <w:r>
        <w:t xml:space="preserve"> fMRIB</w:t>
      </w:r>
      <w:r w:rsidRPr="00946321">
        <w:t xml:space="preserve"> EEGLAB plug-in</w:t>
      </w:r>
      <w:r>
        <w:t xml:space="preserve"> (</w:t>
      </w:r>
      <w:r w:rsidRPr="00715900">
        <w:t>Centre for Functional Magnetic Resonance Imaging of the Brain, UK</w:t>
      </w:r>
      <w:r w:rsidRPr="00946321">
        <w:t>). The data for each participant</w:t>
      </w:r>
      <w:r>
        <w:t xml:space="preserve"> was then</w:t>
      </w:r>
      <w:r w:rsidRPr="00946321">
        <w:t xml:space="preserve"> subjected to an Independent Component Analysis. Components were manually inspected to remove eye blinks and cardiac artefacts</w:t>
      </w:r>
      <w:r w:rsidRPr="00D938EE">
        <w:t>.</w:t>
      </w:r>
      <w:r w:rsidRPr="00A53553">
        <w:rPr>
          <w:rFonts w:cstheme="minorHAnsi"/>
          <w:color w:val="FF0000"/>
        </w:rPr>
        <w:t xml:space="preserve"> </w:t>
      </w:r>
      <w:r w:rsidRPr="002A5D1B">
        <w:t>For three participants, channels with excessive noise (PO9</w:t>
      </w:r>
      <w:r>
        <w:t xml:space="preserve"> for one participant</w:t>
      </w:r>
      <w:r w:rsidRPr="002A5D1B">
        <w:t xml:space="preserve"> and P8 for two participants) were interpolated using the EEGLAB interpolation function. </w:t>
      </w:r>
      <w:r>
        <w:t xml:space="preserve">Next, epochs were extracted from the processed EEG data using the R peak of the QRS complex as a temporal reference, with the epoch length spanning from 200ms before each R peak to 800ms after each R peak. </w:t>
      </w:r>
      <w:r w:rsidRPr="001322C1">
        <w:rPr>
          <w:color w:val="000000"/>
        </w:rPr>
        <w:t xml:space="preserve">The data was then re-referenced to the average of all </w:t>
      </w:r>
      <w:r>
        <w:rPr>
          <w:color w:val="000000"/>
        </w:rPr>
        <w:t xml:space="preserve">EEG </w:t>
      </w:r>
      <w:r w:rsidRPr="001322C1">
        <w:rPr>
          <w:color w:val="000000"/>
        </w:rPr>
        <w:t>channels. Epochs with voltage exceeding ±120 μV were rejected (</w:t>
      </w:r>
      <w:r w:rsidRPr="001322C1">
        <w:rPr>
          <w:i/>
          <w:iCs/>
        </w:rPr>
        <w:t>M</w:t>
      </w:r>
      <w:r w:rsidRPr="001322C1">
        <w:t xml:space="preserve"> = 15.58; </w:t>
      </w:r>
      <w:r w:rsidRPr="001322C1">
        <w:rPr>
          <w:i/>
          <w:iCs/>
        </w:rPr>
        <w:t>SD</w:t>
      </w:r>
      <w:r>
        <w:rPr>
          <w:i/>
          <w:iCs/>
        </w:rPr>
        <w:t xml:space="preserve"> </w:t>
      </w:r>
      <w:r w:rsidRPr="001322C1">
        <w:t>= 22.19</w:t>
      </w:r>
      <w:r w:rsidRPr="001322C1">
        <w:rPr>
          <w:color w:val="000000"/>
        </w:rPr>
        <w:t>).</w:t>
      </w:r>
      <w:r w:rsidR="00EE383F" w:rsidRPr="00EE383F">
        <w:t xml:space="preserve"> </w:t>
      </w:r>
      <w:r w:rsidR="00EE383F">
        <w:t xml:space="preserve">In line with previous research (e.g., </w:t>
      </w:r>
      <w:r w:rsidR="004D64A1">
        <w:t xml:space="preserve">Park et al., 2016; </w:t>
      </w:r>
      <w:r w:rsidR="00EE383F">
        <w:t>Petzschner et al., 2019), epochs were not baseline corrected</w:t>
      </w:r>
      <w:r w:rsidR="00EE383F">
        <w:rPr>
          <w:color w:val="000000"/>
        </w:rPr>
        <w:t xml:space="preserve"> because of the potential for </w:t>
      </w:r>
      <w:r w:rsidR="00EE383F" w:rsidRPr="00EE383F">
        <w:rPr>
          <w:color w:val="000000"/>
        </w:rPr>
        <w:t>artefactual biases from preceding heartbeats</w:t>
      </w:r>
      <w:r w:rsidR="00EE383F">
        <w:rPr>
          <w:color w:val="000000"/>
        </w:rPr>
        <w:t xml:space="preserve">. </w:t>
      </w:r>
    </w:p>
    <w:p w14:paraId="54BD484A" w14:textId="652B9717" w:rsidR="00F60B32" w:rsidRPr="00F60B32" w:rsidRDefault="00F60B32" w:rsidP="00F60B32">
      <w:pPr>
        <w:spacing w:line="480" w:lineRule="auto"/>
        <w:ind w:firstLine="720"/>
        <w:rPr>
          <w:color w:val="000000"/>
        </w:rPr>
      </w:pPr>
      <w:r w:rsidRPr="00F60B32">
        <w:rPr>
          <w:color w:val="000000"/>
        </w:rPr>
        <w:t>Given the large variability in the HEP literature</w:t>
      </w:r>
      <w:r w:rsidR="00DF5BBF">
        <w:rPr>
          <w:color w:val="000000"/>
        </w:rPr>
        <w:t xml:space="preserve"> </w:t>
      </w:r>
      <w:r w:rsidR="00DE06FE">
        <w:rPr>
          <w:color w:val="000000"/>
        </w:rPr>
        <w:t xml:space="preserve">regarding the timing and topography of the HEP </w:t>
      </w:r>
      <w:r w:rsidR="00DF5BBF">
        <w:rPr>
          <w:color w:val="000000"/>
        </w:rPr>
        <w:t>(</w:t>
      </w:r>
      <w:r w:rsidR="00DE06FE">
        <w:rPr>
          <w:color w:val="000000"/>
        </w:rPr>
        <w:t xml:space="preserve">Coll et al., 2020; </w:t>
      </w:r>
      <w:r w:rsidR="00DF5BBF">
        <w:rPr>
          <w:color w:val="000000"/>
        </w:rPr>
        <w:t>Park &amp; Blanke, 20</w:t>
      </w:r>
      <w:r w:rsidR="00DE06FE">
        <w:rPr>
          <w:color w:val="000000"/>
        </w:rPr>
        <w:t>19</w:t>
      </w:r>
      <w:r w:rsidR="004D6091">
        <w:rPr>
          <w:color w:val="000000"/>
        </w:rPr>
        <w:t>)</w:t>
      </w:r>
      <w:r w:rsidRPr="00F60B32">
        <w:rPr>
          <w:color w:val="000000"/>
        </w:rPr>
        <w:t xml:space="preserve">, </w:t>
      </w:r>
      <w:bookmarkStart w:id="2" w:name="OLE_LINK5"/>
      <w:bookmarkStart w:id="3" w:name="OLE_LINK6"/>
      <w:r w:rsidRPr="00F60B32">
        <w:rPr>
          <w:color w:val="000000"/>
        </w:rPr>
        <w:t xml:space="preserve">we used a cluster-based permutation procedure (Maris &amp; Oostenveld, 2007) to identify electrode regions and time-windows where HEP amplitude significantly correlated with scores for each of the body image facets, one at a time. </w:t>
      </w:r>
      <w:bookmarkEnd w:id="2"/>
      <w:bookmarkEnd w:id="3"/>
      <w:r w:rsidRPr="00F60B32">
        <w:rPr>
          <w:color w:val="000000"/>
        </w:rPr>
        <w:t>The cluster-based permutation procedure was computed in FieldTrip (Oostenveld et al., 2011), on a time-window of 200 ms to 60</w:t>
      </w:r>
      <w:r w:rsidR="00DF5BBF">
        <w:rPr>
          <w:color w:val="000000"/>
        </w:rPr>
        <w:t>0</w:t>
      </w:r>
      <w:r w:rsidRPr="00F60B32">
        <w:rPr>
          <w:color w:val="000000"/>
        </w:rPr>
        <w:t xml:space="preserve"> ms after the R peak. Candidate clusters were defined in space as channels exceeding the first level t-threshold (</w:t>
      </w:r>
      <w:r w:rsidRPr="004C1C95">
        <w:rPr>
          <w:i/>
          <w:iCs/>
          <w:color w:val="000000"/>
        </w:rPr>
        <w:t>p</w:t>
      </w:r>
      <w:r w:rsidRPr="00F60B32">
        <w:rPr>
          <w:color w:val="000000"/>
        </w:rPr>
        <w:t xml:space="preserve"> &lt; 0.05, two-sided) and that were connected to at least two neighbouring channels that also exceeded the threshold, and across adjacent frequencies that exceeded the first level t-threshold. Each candidate </w:t>
      </w:r>
      <w:r w:rsidRPr="00F60B32">
        <w:rPr>
          <w:color w:val="000000"/>
        </w:rPr>
        <w:lastRenderedPageBreak/>
        <w:t>cluster was characterised by a summary statistic corresponding to the sum of the t-values across the channels and time samples defining the cluster. The second-level statistic (i.e., whether a given sum of t-values in the candidate cluster could be obtained by chance) was determined by computing the distribution of cluster statistics under the null hypothesis. The labels ‘empirical’ and ‘chance’ were randomly shuffled 10,000 times and the clustering procedure was applied. The largest positive and negative clusters from each permutation were retained. Across the 10,000 permutations, the distribution of cluster statistics under the null hypothesis (i.e., no correlation between HEP amplitudes and body image scores) was built and then used to assess the empirical clusters for significance. The two-tailed Monte-Carlo </w:t>
      </w:r>
      <w:r w:rsidRPr="00F60B32">
        <w:rPr>
          <w:i/>
          <w:iCs/>
          <w:color w:val="000000"/>
        </w:rPr>
        <w:t>p</w:t>
      </w:r>
      <w:r w:rsidRPr="00F60B32">
        <w:rPr>
          <w:color w:val="000000"/>
        </w:rPr>
        <w:t xml:space="preserve">-value corresponded to the proportion of the elements in the distribution of shuffled maximal cluster-level statistics that exceeded the observed maximum or minimum original cluster-level test statistics. Because the largest positive and negative clusters were retained at each permutation, this method intrinsically controls for multiple comparisons across time and location (Maris &amp; Oostenveld, 2007). </w:t>
      </w:r>
      <w:r w:rsidR="006F33C6">
        <w:rPr>
          <w:color w:val="000000"/>
        </w:rPr>
        <w:t xml:space="preserve">Where </w:t>
      </w:r>
      <w:r w:rsidRPr="00F60B32">
        <w:rPr>
          <w:color w:val="000000"/>
        </w:rPr>
        <w:t>significant permutation results</w:t>
      </w:r>
      <w:r w:rsidR="006F33C6">
        <w:rPr>
          <w:color w:val="000000"/>
        </w:rPr>
        <w:t xml:space="preserve"> were identified</w:t>
      </w:r>
      <w:r w:rsidRPr="00F60B32">
        <w:rPr>
          <w:color w:val="000000"/>
        </w:rPr>
        <w:t xml:space="preserve">, individual mean HEP amplitudes in the identified significant window were correlated to the corresponding individual body image scale scores. </w:t>
      </w:r>
    </w:p>
    <w:p w14:paraId="3DC7DEA4" w14:textId="77513832" w:rsidR="00A5594E" w:rsidRDefault="008204DB" w:rsidP="00A5594E">
      <w:pPr>
        <w:spacing w:line="480" w:lineRule="auto"/>
        <w:ind w:firstLine="720"/>
        <w:rPr>
          <w:color w:val="FF0000"/>
          <w:sz w:val="27"/>
          <w:szCs w:val="27"/>
        </w:rPr>
      </w:pPr>
      <w:r>
        <w:rPr>
          <w:b/>
          <w:bCs/>
          <w:color w:val="000000"/>
        </w:rPr>
        <w:t>2</w:t>
      </w:r>
      <w:r w:rsidR="00A5594E">
        <w:rPr>
          <w:b/>
          <w:bCs/>
          <w:color w:val="000000"/>
        </w:rPr>
        <w:t>.5.2. Gastric-alpha PAC data processing.</w:t>
      </w:r>
      <w:r w:rsidR="00A5594E">
        <w:rPr>
          <w:color w:val="FF0000"/>
          <w:sz w:val="27"/>
          <w:szCs w:val="27"/>
        </w:rPr>
        <w:t xml:space="preserve"> </w:t>
      </w:r>
      <w:r w:rsidR="00A5594E" w:rsidRPr="00121419">
        <w:rPr>
          <w:color w:val="000000" w:themeColor="text1"/>
        </w:rPr>
        <w:t xml:space="preserve">The EGG preprocessing steps </w:t>
      </w:r>
      <w:r w:rsidR="00CE01AB">
        <w:rPr>
          <w:color w:val="000000" w:themeColor="text1"/>
        </w:rPr>
        <w:t>were</w:t>
      </w:r>
      <w:r w:rsidR="00A5594E" w:rsidRPr="00121419">
        <w:rPr>
          <w:color w:val="000000" w:themeColor="text1"/>
        </w:rPr>
        <w:t xml:space="preserve"> in line with recent best-practise guidelines (Wolpert et al., 2020). </w:t>
      </w:r>
      <w:r w:rsidR="00A5594E">
        <w:rPr>
          <w:color w:val="000000"/>
        </w:rPr>
        <w:t>Specifically, fo</w:t>
      </w:r>
      <w:r w:rsidR="00A5594E" w:rsidRPr="00F46DE2">
        <w:rPr>
          <w:color w:val="000000"/>
        </w:rPr>
        <w:t>r the EGG data, gastric frequency in each participant w</w:t>
      </w:r>
      <w:r w:rsidR="00A5594E">
        <w:rPr>
          <w:color w:val="000000"/>
        </w:rPr>
        <w:t>as</w:t>
      </w:r>
      <w:r w:rsidR="00A5594E" w:rsidRPr="00F46DE2">
        <w:rPr>
          <w:color w:val="000000"/>
        </w:rPr>
        <w:t xml:space="preserve"> first determined as the frequency of the largest spectral peak within the normogastric range (0.033–0.066 Hz</w:t>
      </w:r>
      <w:r w:rsidR="00A5594E">
        <w:rPr>
          <w:color w:val="000000"/>
        </w:rPr>
        <w:t>; Wolpert et al., 2020</w:t>
      </w:r>
      <w:r w:rsidR="00A5594E" w:rsidRPr="00F46DE2">
        <w:rPr>
          <w:color w:val="000000"/>
        </w:rPr>
        <w:t xml:space="preserve">). </w:t>
      </w:r>
      <w:r w:rsidR="00A5594E">
        <w:rPr>
          <w:color w:val="000000"/>
        </w:rPr>
        <w:t>The d</w:t>
      </w:r>
      <w:r w:rsidR="00A5594E" w:rsidRPr="00F46DE2">
        <w:rPr>
          <w:color w:val="000000"/>
        </w:rPr>
        <w:t xml:space="preserve">ata were low-pass filtered below 5 Hz and down sampled from </w:t>
      </w:r>
      <w:r w:rsidR="009677DB">
        <w:rPr>
          <w:color w:val="000000"/>
        </w:rPr>
        <w:t>1000</w:t>
      </w:r>
      <w:r w:rsidR="00A5594E" w:rsidRPr="00F46DE2">
        <w:rPr>
          <w:color w:val="000000"/>
        </w:rPr>
        <w:t xml:space="preserve"> Hz to 10 Hz. Spectral density was estimated </w:t>
      </w:r>
      <w:r w:rsidR="00A5594E">
        <w:rPr>
          <w:color w:val="000000"/>
        </w:rPr>
        <w:t xml:space="preserve">via </w:t>
      </w:r>
      <w:r w:rsidR="00A5594E" w:rsidRPr="00F46DE2">
        <w:rPr>
          <w:color w:val="000000"/>
        </w:rPr>
        <w:t xml:space="preserve">Hann tapered FFT </w:t>
      </w:r>
      <w:r w:rsidR="00A5594E">
        <w:rPr>
          <w:color w:val="000000"/>
        </w:rPr>
        <w:t>for</w:t>
      </w:r>
      <w:r w:rsidR="00A5594E" w:rsidRPr="00F46DE2">
        <w:rPr>
          <w:color w:val="000000"/>
        </w:rPr>
        <w:t xml:space="preserve"> each EGG channel over the continu</w:t>
      </w:r>
      <w:r w:rsidR="00A5594E">
        <w:rPr>
          <w:color w:val="000000"/>
        </w:rPr>
        <w:t>ou</w:t>
      </w:r>
      <w:r w:rsidR="00A5594E" w:rsidRPr="00F46DE2">
        <w:rPr>
          <w:color w:val="000000"/>
        </w:rPr>
        <w:t>s EGG signal using Welch’s method</w:t>
      </w:r>
      <w:r w:rsidR="00A5594E">
        <w:rPr>
          <w:color w:val="000000"/>
        </w:rPr>
        <w:t>,</w:t>
      </w:r>
      <w:r w:rsidR="00A5594E" w:rsidRPr="00F46DE2">
        <w:rPr>
          <w:color w:val="000000"/>
        </w:rPr>
        <w:t xml:space="preserve"> </w:t>
      </w:r>
      <w:r w:rsidR="00A5594E">
        <w:rPr>
          <w:color w:val="000000"/>
        </w:rPr>
        <w:t>with</w:t>
      </w:r>
      <w:r w:rsidR="00A5594E" w:rsidRPr="00F46DE2">
        <w:rPr>
          <w:color w:val="000000"/>
        </w:rPr>
        <w:t xml:space="preserve"> 200 s time windows moving with 150 s overlap. The electrode exhibiting the largest spectral peak in the 0.05±0.01 Hz range</w:t>
      </w:r>
      <w:r w:rsidR="00A5594E">
        <w:rPr>
          <w:color w:val="000000"/>
        </w:rPr>
        <w:t xml:space="preserve"> </w:t>
      </w:r>
      <w:r w:rsidR="00A5594E" w:rsidRPr="00F46DE2">
        <w:rPr>
          <w:color w:val="000000"/>
        </w:rPr>
        <w:t>was selected for further analysis.</w:t>
      </w:r>
    </w:p>
    <w:p w14:paraId="37B50C99" w14:textId="3472EFE5" w:rsidR="00A5594E" w:rsidRDefault="00A5594E" w:rsidP="00A5594E">
      <w:pPr>
        <w:spacing w:line="480" w:lineRule="auto"/>
        <w:ind w:firstLine="720"/>
        <w:rPr>
          <w:color w:val="FF0000"/>
          <w:sz w:val="27"/>
          <w:szCs w:val="27"/>
        </w:rPr>
      </w:pPr>
      <w:r>
        <w:rPr>
          <w:color w:val="000000" w:themeColor="text1"/>
        </w:rPr>
        <w:lastRenderedPageBreak/>
        <w:t xml:space="preserve">The preprocessing for the gastric-alpha PAC was based upon both the procedure described by Richter and colleagues (2017) and the data-driven approach described by Mikkuta and colleagues (2019). </w:t>
      </w:r>
      <w:r w:rsidRPr="00C6571C">
        <w:rPr>
          <w:color w:val="000000"/>
        </w:rPr>
        <w:t>The</w:t>
      </w:r>
      <w:r w:rsidRPr="002272C5">
        <w:rPr>
          <w:b/>
          <w:bCs/>
          <w:color w:val="000000"/>
        </w:rPr>
        <w:t xml:space="preserve"> </w:t>
      </w:r>
      <w:r w:rsidRPr="002272C5">
        <w:rPr>
          <w:color w:val="000000"/>
        </w:rPr>
        <w:t>EEG and EGG raw data were high-pass filtered below 40 Hz and down</w:t>
      </w:r>
      <w:r>
        <w:rPr>
          <w:color w:val="000000"/>
        </w:rPr>
        <w:t>-</w:t>
      </w:r>
      <w:r w:rsidRPr="002272C5">
        <w:rPr>
          <w:color w:val="000000"/>
        </w:rPr>
        <w:t xml:space="preserve">sampled from </w:t>
      </w:r>
      <w:r w:rsidR="009677DB">
        <w:rPr>
          <w:color w:val="000000"/>
        </w:rPr>
        <w:t>10</w:t>
      </w:r>
      <w:r w:rsidRPr="002272C5">
        <w:rPr>
          <w:color w:val="000000"/>
        </w:rPr>
        <w:t>00 Hz to 250 Hz. EGG Data from the selected channel were then bandpass</w:t>
      </w:r>
      <w:r>
        <w:rPr>
          <w:color w:val="000000"/>
        </w:rPr>
        <w:t>-</w:t>
      </w:r>
      <w:r w:rsidRPr="002272C5">
        <w:rPr>
          <w:color w:val="000000"/>
        </w:rPr>
        <w:t>filtered to isolate the signal related to the gastric basal rhythm</w:t>
      </w:r>
      <w:r w:rsidRPr="00B06C86">
        <w:rPr>
          <w:rFonts w:ascii="Calibri" w:hAnsi="Calibri" w:cs="Calibri"/>
          <w:color w:val="000000"/>
        </w:rPr>
        <w:t xml:space="preserve"> </w:t>
      </w:r>
      <w:r w:rsidRPr="00B03540">
        <w:t>(linear phase finite impulse response filter, designed with the Matlab function FIR2).</w:t>
      </w:r>
      <w:r w:rsidRPr="005652F8">
        <w:t xml:space="preserve"> </w:t>
      </w:r>
      <w:r w:rsidRPr="005652F8">
        <w:rPr>
          <w:color w:val="000000"/>
        </w:rPr>
        <w:t xml:space="preserve">The data were centred at the EGG peak frequency and </w:t>
      </w:r>
      <w:r>
        <w:rPr>
          <w:color w:val="000000"/>
        </w:rPr>
        <w:t xml:space="preserve">then </w:t>
      </w:r>
      <w:r w:rsidRPr="005652F8">
        <w:rPr>
          <w:color w:val="000000"/>
        </w:rPr>
        <w:t>filtered with a bandwidth of ±0.015 Hz of the peak EGG frequency and a transition width between the passband and stopband of 15% of the upper and lower passband frequencies (filter order of 5). The data were filtered in the forward and backward directions to avoid phase distortions.</w:t>
      </w:r>
      <w:r>
        <w:rPr>
          <w:b/>
          <w:bCs/>
          <w:color w:val="000000"/>
        </w:rPr>
        <w:t xml:space="preserve"> </w:t>
      </w:r>
      <w:r w:rsidRPr="00F64755">
        <w:rPr>
          <w:color w:val="000000"/>
        </w:rPr>
        <w:t>The filtered EGG signal was then Hilbert transformed and the analytic phase was derived. No specific artefact gradient procedure was necessary because</w:t>
      </w:r>
      <w:r>
        <w:rPr>
          <w:color w:val="000000"/>
        </w:rPr>
        <w:t xml:space="preserve"> the</w:t>
      </w:r>
      <w:r w:rsidRPr="00F64755">
        <w:rPr>
          <w:color w:val="000000"/>
        </w:rPr>
        <w:t xml:space="preserve"> gastric frequency (~0.05 Hz) </w:t>
      </w:r>
      <w:r>
        <w:rPr>
          <w:color w:val="000000"/>
        </w:rPr>
        <w:t>is f</w:t>
      </w:r>
      <w:r w:rsidRPr="00F64755">
        <w:rPr>
          <w:color w:val="000000"/>
        </w:rPr>
        <w:t>ree from known cardiac and respiratory artefacts (Glerean et al., 2012; R</w:t>
      </w:r>
      <w:r>
        <w:rPr>
          <w:color w:val="000000"/>
        </w:rPr>
        <w:t>e</w:t>
      </w:r>
      <w:r w:rsidRPr="00F64755">
        <w:rPr>
          <w:color w:val="000000"/>
        </w:rPr>
        <w:t>b</w:t>
      </w:r>
      <w:r>
        <w:rPr>
          <w:color w:val="000000"/>
        </w:rPr>
        <w:t>o</w:t>
      </w:r>
      <w:r w:rsidRPr="00F64755">
        <w:rPr>
          <w:color w:val="000000"/>
        </w:rPr>
        <w:t xml:space="preserve">llo et al., 2018). </w:t>
      </w:r>
    </w:p>
    <w:p w14:paraId="37B12D50" w14:textId="29F0150B" w:rsidR="00A5594E" w:rsidRPr="003D5690" w:rsidRDefault="00A5594E" w:rsidP="00A5594E">
      <w:pPr>
        <w:spacing w:line="480" w:lineRule="auto"/>
        <w:ind w:firstLine="720"/>
        <w:rPr>
          <w:color w:val="000000"/>
        </w:rPr>
      </w:pPr>
      <w:r w:rsidRPr="001013EE">
        <w:rPr>
          <w:color w:val="000000"/>
        </w:rPr>
        <w:t>Instantaneous amplitude was estimated from the analytic signals. To calculate the MI, the phase of th</w:t>
      </w:r>
      <w:r>
        <w:rPr>
          <w:color w:val="000000"/>
        </w:rPr>
        <w:t>e slow oscillation</w:t>
      </w:r>
      <w:r w:rsidRPr="001013EE">
        <w:rPr>
          <w:color w:val="000000"/>
        </w:rPr>
        <w:t xml:space="preserve"> was divided into B = 18 bins (each covering 20°)</w:t>
      </w:r>
      <w:r>
        <w:rPr>
          <w:color w:val="000000"/>
        </w:rPr>
        <w:t xml:space="preserve"> (Mikutta et al., 2019)</w:t>
      </w:r>
      <w:r w:rsidRPr="001013EE">
        <w:rPr>
          <w:color w:val="000000"/>
        </w:rPr>
        <w:t>. The mean power of the spindle frequency oscillations enveloped within each bin was estimated.</w:t>
      </w:r>
      <w:r>
        <w:rPr>
          <w:rFonts w:ascii="Calibri" w:hAnsi="Calibri" w:cs="Calibri"/>
          <w:color w:val="000000"/>
        </w:rPr>
        <w:t xml:space="preserve"> </w:t>
      </w:r>
      <w:r w:rsidRPr="004B021B">
        <w:rPr>
          <w:color w:val="000000"/>
        </w:rPr>
        <w:t xml:space="preserve">The statistical determination of significant clusters of phase amplitude coupling was a </w:t>
      </w:r>
      <w:r>
        <w:rPr>
          <w:color w:val="000000"/>
        </w:rPr>
        <w:t>2</w:t>
      </w:r>
      <w:r w:rsidRPr="004B021B">
        <w:rPr>
          <w:color w:val="000000"/>
        </w:rPr>
        <w:t>-step process. First, for each participant, chance-level PAC at each channel and frequency was estimated. Then, at the group level, channels and frequenc</w:t>
      </w:r>
      <w:r>
        <w:rPr>
          <w:color w:val="000000"/>
        </w:rPr>
        <w:t>ies</w:t>
      </w:r>
      <w:r w:rsidRPr="004B021B">
        <w:rPr>
          <w:color w:val="000000"/>
        </w:rPr>
        <w:t xml:space="preserve"> where a significant difference between observed coupling and chance-level coupling differed were determined. The level of PAC expected by chance was estimated in addition to the corresponding chance-level MI for each participant, channel and frequency. For each participant, channel and frequency, a distribution of surrogate MI values was obtained by creating 200 surrogate data sets and computing the associated MIs. For each surrogate data set, the mean µsurr and standard deviation σsurr were computed in addition to MI </w:t>
      </w:r>
      <w:r w:rsidRPr="00185A2F">
        <w:rPr>
          <w:i/>
          <w:iCs/>
          <w:color w:val="000000"/>
        </w:rPr>
        <w:t>z</w:t>
      </w:r>
      <w:r w:rsidRPr="004B021B">
        <w:rPr>
          <w:color w:val="000000"/>
        </w:rPr>
        <w:t>-scores</w:t>
      </w:r>
      <w:r>
        <w:rPr>
          <w:color w:val="000000"/>
        </w:rPr>
        <w:t>,</w:t>
      </w:r>
      <w:r w:rsidRPr="004B021B">
        <w:rPr>
          <w:color w:val="000000"/>
        </w:rPr>
        <w:t xml:space="preserve"> </w:t>
      </w:r>
      <w:r w:rsidRPr="004B021B">
        <w:rPr>
          <w:color w:val="000000"/>
        </w:rPr>
        <w:lastRenderedPageBreak/>
        <w:t>which were defined as:</w:t>
      </w:r>
      <w:r>
        <w:rPr>
          <w:color w:val="000000"/>
        </w:rPr>
        <w:t xml:space="preserve"> </w:t>
      </w:r>
      <m:oMath>
        <m:r>
          <w:rPr>
            <w:rFonts w:ascii="Cambria Math" w:hAnsi="Cambria Math"/>
            <w:color w:val="000000"/>
          </w:rPr>
          <m:t xml:space="preserve">Zsurr= </m:t>
        </m:r>
        <m:f>
          <m:fPr>
            <m:ctrlPr>
              <w:rPr>
                <w:rFonts w:ascii="Cambria Math" w:hAnsi="Cambria Math"/>
                <w:i/>
                <w:color w:val="000000"/>
              </w:rPr>
            </m:ctrlPr>
          </m:fPr>
          <m:num>
            <m:r>
              <w:rPr>
                <w:rFonts w:ascii="Cambria Math" w:hAnsi="Cambria Math"/>
                <w:color w:val="000000"/>
              </w:rPr>
              <m:t>PACmeasure - μsurr</m:t>
            </m:r>
          </m:num>
          <m:den>
            <m:r>
              <w:rPr>
                <w:rFonts w:ascii="Cambria Math" w:hAnsi="Cambria Math"/>
                <w:color w:val="000000"/>
              </w:rPr>
              <m:t>σsurr</m:t>
            </m:r>
          </m:den>
        </m:f>
      </m:oMath>
      <w:r>
        <w:rPr>
          <w:color w:val="000000"/>
        </w:rPr>
        <w:t xml:space="preserve"> (</w:t>
      </w:r>
      <w:r w:rsidRPr="00732AAC">
        <w:rPr>
          <w:color w:val="000000"/>
        </w:rPr>
        <w:t>Penny</w:t>
      </w:r>
      <w:r>
        <w:rPr>
          <w:color w:val="000000"/>
        </w:rPr>
        <w:t xml:space="preserve"> et al., </w:t>
      </w:r>
      <w:r w:rsidRPr="00732AAC">
        <w:rPr>
          <w:color w:val="000000"/>
        </w:rPr>
        <w:t>2008)</w:t>
      </w:r>
      <w:r>
        <w:rPr>
          <w:color w:val="000000"/>
        </w:rPr>
        <w:t>.</w:t>
      </w:r>
      <w:r>
        <w:rPr>
          <w:b/>
          <w:bCs/>
          <w:color w:val="000000"/>
        </w:rPr>
        <w:t xml:space="preserve"> </w:t>
      </w:r>
      <w:r w:rsidRPr="002E0394">
        <w:rPr>
          <w:color w:val="000000"/>
        </w:rPr>
        <w:t>The chance level for each participant, channel</w:t>
      </w:r>
      <w:r w:rsidR="00AC00D6">
        <w:rPr>
          <w:color w:val="000000"/>
        </w:rPr>
        <w:t>,</w:t>
      </w:r>
      <w:r w:rsidRPr="002E0394">
        <w:rPr>
          <w:color w:val="000000"/>
        </w:rPr>
        <w:t xml:space="preserve"> and frequency was defined as the median of surrogate MI values. A cluster-based permutation procedure (Maris </w:t>
      </w:r>
      <w:r>
        <w:rPr>
          <w:color w:val="000000"/>
        </w:rPr>
        <w:t xml:space="preserve">&amp; </w:t>
      </w:r>
      <w:r w:rsidRPr="002E0394">
        <w:rPr>
          <w:color w:val="000000"/>
        </w:rPr>
        <w:t xml:space="preserve">Oostenveld, 2007) was computed in FieldTrip (Oostenveld et al., 2011) to examine whether empirical MI </w:t>
      </w:r>
      <w:r w:rsidRPr="002E0394">
        <w:rPr>
          <w:i/>
          <w:iCs/>
          <w:color w:val="000000"/>
        </w:rPr>
        <w:t>z</w:t>
      </w:r>
      <w:r w:rsidRPr="002E0394">
        <w:rPr>
          <w:color w:val="000000"/>
        </w:rPr>
        <w:t>-scores differed</w:t>
      </w:r>
      <w:r>
        <w:rPr>
          <w:color w:val="000000"/>
        </w:rPr>
        <w:t xml:space="preserve"> </w:t>
      </w:r>
      <w:r w:rsidRPr="002E0394">
        <w:rPr>
          <w:color w:val="000000"/>
        </w:rPr>
        <w:t>significantly from chance level MI at the group level. Briefly, this procedure entail</w:t>
      </w:r>
      <w:r>
        <w:rPr>
          <w:color w:val="000000"/>
        </w:rPr>
        <w:t>ed</w:t>
      </w:r>
      <w:r w:rsidRPr="002E0394">
        <w:rPr>
          <w:color w:val="000000"/>
        </w:rPr>
        <w:t xml:space="preserve"> comparing empirical MI z-scores with the corresponding chance level MI value across participants using a </w:t>
      </w:r>
      <w:r w:rsidRPr="002E0394">
        <w:rPr>
          <w:i/>
          <w:iCs/>
          <w:color w:val="000000"/>
        </w:rPr>
        <w:t>t-</w:t>
      </w:r>
      <w:r w:rsidRPr="002E0394">
        <w:rPr>
          <w:color w:val="000000"/>
        </w:rPr>
        <w:t>test at each channel and frequency</w:t>
      </w:r>
      <w:r w:rsidR="00AB4B51">
        <w:rPr>
          <w:b/>
          <w:bCs/>
          <w:color w:val="000000"/>
        </w:rPr>
        <w:t xml:space="preserve">, </w:t>
      </w:r>
      <w:r w:rsidR="00AB4B51" w:rsidRPr="00DC4C46">
        <w:rPr>
          <w:color w:val="000000"/>
        </w:rPr>
        <w:t>following the steps outlined in Section 2.5.1.</w:t>
      </w:r>
      <w:r w:rsidR="009F345D">
        <w:rPr>
          <w:color w:val="000000"/>
        </w:rPr>
        <w:t xml:space="preserve"> </w:t>
      </w:r>
      <w:r w:rsidR="00CD502B">
        <w:rPr>
          <w:color w:val="000000"/>
        </w:rPr>
        <w:t>This data-driven approach resulted four final ROIs</w:t>
      </w:r>
      <w:r w:rsidR="00586772">
        <w:rPr>
          <w:color w:val="000000"/>
        </w:rPr>
        <w:t xml:space="preserve"> in the peak alpha frequency</w:t>
      </w:r>
      <w:r w:rsidR="00057915">
        <w:rPr>
          <w:color w:val="000000"/>
        </w:rPr>
        <w:t xml:space="preserve">: (1) left frontal: </w:t>
      </w:r>
      <w:r w:rsidR="00504DE7">
        <w:rPr>
          <w:color w:val="000000"/>
        </w:rPr>
        <w:t xml:space="preserve">FP1, F7, F3; (2) right frontal: FP2, </w:t>
      </w:r>
      <w:r w:rsidR="005B00A3">
        <w:rPr>
          <w:color w:val="000000"/>
        </w:rPr>
        <w:t xml:space="preserve">F8, F4; (3) left centroparietal: T7, CP1, CP5, P3; </w:t>
      </w:r>
      <w:r w:rsidR="004673D3">
        <w:rPr>
          <w:color w:val="000000"/>
        </w:rPr>
        <w:t>and</w:t>
      </w:r>
      <w:r w:rsidR="00586772">
        <w:rPr>
          <w:color w:val="000000"/>
        </w:rPr>
        <w:t>,</w:t>
      </w:r>
      <w:r w:rsidR="005B00A3">
        <w:rPr>
          <w:color w:val="000000"/>
        </w:rPr>
        <w:t xml:space="preserve"> (4) right centroparietal: T8, CP2, CP6, P4</w:t>
      </w:r>
      <w:r w:rsidR="00DE4267" w:rsidRPr="00F60B32">
        <w:rPr>
          <w:color w:val="000000"/>
        </w:rPr>
        <w:t>.</w:t>
      </w:r>
      <w:r w:rsidR="00724D79">
        <w:rPr>
          <w:color w:val="000000"/>
        </w:rPr>
        <w:t xml:space="preserve"> Due to a recording issue, PAC data was missing for one participant. No other data quality issues or outliers were identified.</w:t>
      </w:r>
    </w:p>
    <w:p w14:paraId="232426D6" w14:textId="5F2AAEFA" w:rsidR="00A5594E" w:rsidRDefault="00A5594E" w:rsidP="00366C1C">
      <w:pPr>
        <w:pStyle w:val="Heading1"/>
      </w:pPr>
      <w:r>
        <w:t xml:space="preserve">3. </w:t>
      </w:r>
      <w:r w:rsidRPr="00A0763B">
        <w:t>Results</w:t>
      </w:r>
    </w:p>
    <w:p w14:paraId="07472A4B" w14:textId="223DB096" w:rsidR="00C84B2C" w:rsidRDefault="0037205D" w:rsidP="00A5594E">
      <w:pPr>
        <w:spacing w:line="480" w:lineRule="auto"/>
        <w:ind w:firstLine="720"/>
      </w:pPr>
      <w:r>
        <w:t>Bayesian Pearson</w:t>
      </w:r>
      <w:r w:rsidR="00A5594E">
        <w:t xml:space="preserve"> correlations were computed between </w:t>
      </w:r>
      <w:r w:rsidR="00071667">
        <w:t xml:space="preserve">the body image variables and significant clusters for </w:t>
      </w:r>
      <w:r w:rsidR="00A5594E">
        <w:t xml:space="preserve">HEP amplitude </w:t>
      </w:r>
      <w:r w:rsidR="00991ABE">
        <w:t>and</w:t>
      </w:r>
      <w:r w:rsidR="00E51BBB">
        <w:t xml:space="preserve"> the ROIs for</w:t>
      </w:r>
      <w:r w:rsidR="00991ABE">
        <w:t xml:space="preserve"> </w:t>
      </w:r>
      <w:r w:rsidR="00634FC9">
        <w:t>gastric-alpha PAC</w:t>
      </w:r>
      <w:r w:rsidR="00991ABE">
        <w:t xml:space="preserve">, respectively, as identified using the steps in Sections 2.5.1. and 2.5.2. </w:t>
      </w:r>
      <w:r w:rsidR="00537D8B">
        <w:t>The analyses were computed us</w:t>
      </w:r>
      <w:r w:rsidR="00660B4F">
        <w:t xml:space="preserve">ing </w:t>
      </w:r>
      <w:r w:rsidR="00537D8B">
        <w:t>a uniform prior distribution</w:t>
      </w:r>
      <w:r w:rsidR="00F47075">
        <w:t xml:space="preserve"> </w:t>
      </w:r>
      <w:r w:rsidR="00537D8B">
        <w:t>in JASP version 0.14.1</w:t>
      </w:r>
      <w:r w:rsidR="0046291A">
        <w:t xml:space="preserve"> (JASP Team, 2019</w:t>
      </w:r>
      <w:r w:rsidR="00537D8B">
        <w:t>).</w:t>
      </w:r>
      <w:r w:rsidR="00CB79B7">
        <w:t xml:space="preserve"> </w:t>
      </w:r>
      <w:r w:rsidR="00A5594E">
        <w:t>F</w:t>
      </w:r>
      <w:r w:rsidR="00A5594E" w:rsidRPr="00485124">
        <w:t>DR</w:t>
      </w:r>
      <w:r w:rsidR="00A5594E">
        <w:t xml:space="preserve"> </w:t>
      </w:r>
      <w:r w:rsidR="00A5594E" w:rsidRPr="00485124">
        <w:t xml:space="preserve">was controlled for </w:t>
      </w:r>
      <w:r w:rsidR="00A5594E">
        <w:t xml:space="preserve">using </w:t>
      </w:r>
      <w:r w:rsidR="00A5594E" w:rsidRPr="00485124">
        <w:t>the </w:t>
      </w:r>
      <w:bookmarkStart w:id="4" w:name="bbib0030"/>
      <w:r w:rsidR="00A5594E" w:rsidRPr="00485124">
        <w:t>Benjamini and Hochberg (1995)</w:t>
      </w:r>
      <w:bookmarkEnd w:id="4"/>
      <w:r w:rsidR="00A5594E" w:rsidRPr="00485124">
        <w:t> procedure.</w:t>
      </w:r>
      <w:r w:rsidR="00A5594E" w:rsidRPr="00485124">
        <w:rPr>
          <w:sz w:val="28"/>
          <w:szCs w:val="28"/>
        </w:rPr>
        <w:t xml:space="preserve"> </w:t>
      </w:r>
      <w:r w:rsidR="00A5594E">
        <w:t>In the following summary</w:t>
      </w:r>
      <w:r w:rsidR="00D86E46">
        <w:t xml:space="preserve">, </w:t>
      </w:r>
      <w:r w:rsidR="00A5594E">
        <w:t>correlation coefficient</w:t>
      </w:r>
      <w:r w:rsidR="00D86E46">
        <w:t xml:space="preserve"> </w:t>
      </w:r>
      <w:r w:rsidR="00A5594E">
        <w:t>interpretation thresholds are consistent with those proposed by Cohen (1992)</w:t>
      </w:r>
      <w:r w:rsidR="00D86E46">
        <w:t xml:space="preserve">, and Bayes Factor </w:t>
      </w:r>
      <w:r w:rsidR="00FE5191">
        <w:t xml:space="preserve">(BF) </w:t>
      </w:r>
      <w:r w:rsidR="00D86E46">
        <w:t xml:space="preserve">thresholds are consistent with those outlined by </w:t>
      </w:r>
      <w:r w:rsidR="005A2500">
        <w:t xml:space="preserve">Van Doorn and colleagues </w:t>
      </w:r>
      <w:r w:rsidR="00D86E46">
        <w:t>(20</w:t>
      </w:r>
      <w:r w:rsidR="005A2500">
        <w:t>20</w:t>
      </w:r>
      <w:r w:rsidR="00D86E46">
        <w:t xml:space="preserve">). </w:t>
      </w:r>
    </w:p>
    <w:p w14:paraId="3AE95003" w14:textId="2020EDC1" w:rsidR="000E602C" w:rsidRPr="006B052D" w:rsidRDefault="00D30E48" w:rsidP="00D30E48">
      <w:pPr>
        <w:spacing w:line="480" w:lineRule="auto"/>
        <w:ind w:firstLine="720"/>
        <w:rPr>
          <w:color w:val="000000"/>
        </w:rPr>
      </w:pPr>
      <w:r>
        <w:rPr>
          <w:b/>
          <w:bCs/>
        </w:rPr>
        <w:t xml:space="preserve">3.1. HEP. </w:t>
      </w:r>
      <w:r w:rsidRPr="00F60B32">
        <w:rPr>
          <w:color w:val="000000"/>
        </w:rPr>
        <w:t>The cluster-based permutation procedure indicated the presence of a correlation between HEP amplitude and body shame scores in a significant negative cluster comprising PZ, P4, CP2 and CP6 in the time-window from 300 ms to 340 ms after the R peak (</w:t>
      </w:r>
      <w:r w:rsidRPr="00F60B32">
        <w:rPr>
          <w:i/>
          <w:iCs/>
          <w:color w:val="000000"/>
        </w:rPr>
        <w:t xml:space="preserve">p </w:t>
      </w:r>
      <w:r w:rsidRPr="00F60B32">
        <w:rPr>
          <w:color w:val="000000"/>
        </w:rPr>
        <w:t xml:space="preserve">= .024). </w:t>
      </w:r>
      <w:r w:rsidR="00CB79B7">
        <w:rPr>
          <w:color w:val="000000"/>
        </w:rPr>
        <w:t>Using a one-sided alternative hypothesis, a</w:t>
      </w:r>
      <w:r w:rsidR="0048477F">
        <w:rPr>
          <w:color w:val="000000"/>
        </w:rPr>
        <w:t xml:space="preserve"> statistically significant and large </w:t>
      </w:r>
      <w:r w:rsidR="0048477F">
        <w:rPr>
          <w:color w:val="000000"/>
        </w:rPr>
        <w:lastRenderedPageBreak/>
        <w:t>correlation was observed (</w:t>
      </w:r>
      <w:r w:rsidR="0048477F">
        <w:rPr>
          <w:i/>
          <w:iCs/>
          <w:color w:val="000000"/>
        </w:rPr>
        <w:t xml:space="preserve">r </w:t>
      </w:r>
      <w:r w:rsidR="0048477F">
        <w:rPr>
          <w:color w:val="000000"/>
        </w:rPr>
        <w:t xml:space="preserve">= </w:t>
      </w:r>
      <w:r w:rsidR="000749CB">
        <w:rPr>
          <w:color w:val="000000"/>
        </w:rPr>
        <w:t>-.53</w:t>
      </w:r>
      <w:r w:rsidR="00725910">
        <w:rPr>
          <w:color w:val="000000"/>
        </w:rPr>
        <w:t>2</w:t>
      </w:r>
      <w:r w:rsidR="000B4132" w:rsidRPr="00CB79B7">
        <w:rPr>
          <w:color w:val="000000"/>
        </w:rPr>
        <w:t>;</w:t>
      </w:r>
      <w:r w:rsidR="000749CB" w:rsidRPr="00CB79B7">
        <w:rPr>
          <w:color w:val="000000"/>
        </w:rPr>
        <w:t xml:space="preserve"> </w:t>
      </w:r>
      <w:r w:rsidR="0004520B" w:rsidRPr="00CB79B7">
        <w:rPr>
          <w:color w:val="000000"/>
        </w:rPr>
        <w:t>Mdn = -.502;</w:t>
      </w:r>
      <w:r w:rsidR="0004520B">
        <w:rPr>
          <w:color w:val="000000"/>
        </w:rPr>
        <w:t xml:space="preserve"> </w:t>
      </w:r>
      <w:r w:rsidR="00094601">
        <w:rPr>
          <w:color w:val="000000"/>
        </w:rPr>
        <w:t xml:space="preserve">95% CI = </w:t>
      </w:r>
      <w:r w:rsidR="00DA5EF8">
        <w:rPr>
          <w:color w:val="000000"/>
        </w:rPr>
        <w:t>-.2</w:t>
      </w:r>
      <w:r w:rsidR="009D52EB">
        <w:rPr>
          <w:color w:val="000000"/>
        </w:rPr>
        <w:t>3</w:t>
      </w:r>
      <w:r w:rsidR="00DA5EF8">
        <w:rPr>
          <w:color w:val="000000"/>
        </w:rPr>
        <w:t>, -.7</w:t>
      </w:r>
      <w:r w:rsidR="009D52EB">
        <w:rPr>
          <w:color w:val="000000"/>
        </w:rPr>
        <w:t>2</w:t>
      </w:r>
      <w:r w:rsidR="000B4132">
        <w:rPr>
          <w:color w:val="000000"/>
        </w:rPr>
        <w:t>;</w:t>
      </w:r>
      <w:r w:rsidR="00DA5EF8">
        <w:rPr>
          <w:color w:val="000000"/>
        </w:rPr>
        <w:t xml:space="preserve"> </w:t>
      </w:r>
      <w:r w:rsidR="00CC1D27">
        <w:rPr>
          <w:color w:val="000000"/>
        </w:rPr>
        <w:t>BF</w:t>
      </w:r>
      <w:r w:rsidR="00CB79B7">
        <w:rPr>
          <w:color w:val="000000"/>
          <w:vertAlign w:val="subscript"/>
        </w:rPr>
        <w:t>-</w:t>
      </w:r>
      <w:r w:rsidR="00CC1D27" w:rsidRPr="00D336CF">
        <w:rPr>
          <w:color w:val="000000"/>
          <w:vertAlign w:val="subscript"/>
        </w:rPr>
        <w:t>0</w:t>
      </w:r>
      <w:r w:rsidR="00CC1D27">
        <w:rPr>
          <w:color w:val="000000"/>
        </w:rPr>
        <w:t xml:space="preserve"> = </w:t>
      </w:r>
      <w:r w:rsidR="00CB79B7">
        <w:rPr>
          <w:color w:val="000000"/>
        </w:rPr>
        <w:t>88.41</w:t>
      </w:r>
      <w:r w:rsidR="008E659D">
        <w:rPr>
          <w:color w:val="000000"/>
        </w:rPr>
        <w:t xml:space="preserve">; </w:t>
      </w:r>
      <w:r w:rsidR="008E659D">
        <w:rPr>
          <w:i/>
          <w:iCs/>
          <w:color w:val="000000"/>
        </w:rPr>
        <w:t xml:space="preserve">p </w:t>
      </w:r>
      <w:r w:rsidR="008E659D">
        <w:rPr>
          <w:color w:val="000000"/>
        </w:rPr>
        <w:t>&lt; .001</w:t>
      </w:r>
      <w:r w:rsidR="0004520B">
        <w:rPr>
          <w:color w:val="000000"/>
        </w:rPr>
        <w:t>)</w:t>
      </w:r>
      <w:r w:rsidR="007714F1">
        <w:rPr>
          <w:color w:val="000000"/>
        </w:rPr>
        <w:t>,</w:t>
      </w:r>
      <w:r w:rsidR="00461583">
        <w:rPr>
          <w:color w:val="000000"/>
        </w:rPr>
        <w:t xml:space="preserve"> indicating very st</w:t>
      </w:r>
      <w:r w:rsidR="00940929">
        <w:rPr>
          <w:color w:val="000000"/>
        </w:rPr>
        <w:t>r</w:t>
      </w:r>
      <w:r w:rsidR="00461583">
        <w:rPr>
          <w:color w:val="000000"/>
        </w:rPr>
        <w:t xml:space="preserve">ong evidence </w:t>
      </w:r>
      <w:r w:rsidR="007714F1">
        <w:rPr>
          <w:color w:val="000000"/>
        </w:rPr>
        <w:t>in support of</w:t>
      </w:r>
      <w:r w:rsidR="00131419">
        <w:rPr>
          <w:color w:val="000000"/>
        </w:rPr>
        <w:t xml:space="preserve"> </w:t>
      </w:r>
      <w:r w:rsidR="00461583">
        <w:rPr>
          <w:color w:val="000000"/>
        </w:rPr>
        <w:t>the</w:t>
      </w:r>
      <w:r w:rsidR="00940929">
        <w:rPr>
          <w:color w:val="000000"/>
        </w:rPr>
        <w:t xml:space="preserve"> hypothesised</w:t>
      </w:r>
      <w:r w:rsidR="00537D8B">
        <w:rPr>
          <w:color w:val="000000"/>
        </w:rPr>
        <w:t xml:space="preserve"> negative</w:t>
      </w:r>
      <w:r w:rsidR="00940929">
        <w:rPr>
          <w:color w:val="000000"/>
        </w:rPr>
        <w:t xml:space="preserve"> association between body shame and HEP amplitude</w:t>
      </w:r>
      <w:r w:rsidR="00933CEC">
        <w:rPr>
          <w:color w:val="000000"/>
        </w:rPr>
        <w:t>, relative to the null</w:t>
      </w:r>
      <w:r w:rsidR="006726AA">
        <w:rPr>
          <w:color w:val="000000"/>
        </w:rPr>
        <w:t xml:space="preserve"> (see Figure 1, and Supplementary Figure 1)</w:t>
      </w:r>
      <w:r w:rsidR="007714F1" w:rsidRPr="007714F1">
        <w:rPr>
          <w:color w:val="000000"/>
          <w:vertAlign w:val="superscript"/>
        </w:rPr>
        <w:t>2</w:t>
      </w:r>
      <w:r w:rsidR="00D86E46">
        <w:rPr>
          <w:color w:val="000000"/>
        </w:rPr>
        <w:t xml:space="preserve">. </w:t>
      </w:r>
      <w:r w:rsidR="00D35BC0" w:rsidRPr="00D30E48">
        <w:t xml:space="preserve">One outlier was identified using </w:t>
      </w:r>
      <w:r w:rsidR="00D35BC0" w:rsidRPr="004C1C95">
        <w:rPr>
          <w:i/>
          <w:iCs/>
        </w:rPr>
        <w:t>z</w:t>
      </w:r>
      <w:r w:rsidR="00D35BC0" w:rsidRPr="00D30E48">
        <w:t>-scores for the HEP amplitude in th</w:t>
      </w:r>
      <w:r w:rsidR="00D35BC0">
        <w:t>is cluster</w:t>
      </w:r>
      <w:r w:rsidR="00D35BC0" w:rsidRPr="00D30E48">
        <w:t xml:space="preserve"> (</w:t>
      </w:r>
      <w:r w:rsidR="00D35BC0" w:rsidRPr="004C1C95">
        <w:rPr>
          <w:i/>
          <w:iCs/>
        </w:rPr>
        <w:t>z</w:t>
      </w:r>
      <w:r w:rsidR="00D35BC0" w:rsidRPr="00D30E48">
        <w:t xml:space="preserve"> =</w:t>
      </w:r>
      <w:r w:rsidR="00D35BC0">
        <w:t xml:space="preserve"> </w:t>
      </w:r>
      <w:r w:rsidR="00D35BC0" w:rsidRPr="00D30E48">
        <w:t>3.</w:t>
      </w:r>
      <w:r w:rsidR="00D35BC0">
        <w:t>48</w:t>
      </w:r>
      <w:r w:rsidR="00D35BC0" w:rsidRPr="00D30E48">
        <w:t>), but removal of this data point did not alter the significan</w:t>
      </w:r>
      <w:r w:rsidR="00D35BC0">
        <w:t>ce of the</w:t>
      </w:r>
      <w:r w:rsidR="00D35BC0" w:rsidRPr="00D30E48">
        <w:t xml:space="preserve"> result (dataset with one outlier removed: </w:t>
      </w:r>
      <w:r w:rsidR="00D35BC0" w:rsidRPr="00D30E48">
        <w:rPr>
          <w:i/>
          <w:iCs/>
        </w:rPr>
        <w:t xml:space="preserve">r </w:t>
      </w:r>
      <w:r w:rsidR="00D35BC0" w:rsidRPr="00D30E48">
        <w:t>= -.55</w:t>
      </w:r>
      <w:r w:rsidR="00D35BC0">
        <w:t>4</w:t>
      </w:r>
      <w:r w:rsidR="00D35BC0" w:rsidRPr="00D30E48">
        <w:t xml:space="preserve">, </w:t>
      </w:r>
      <w:r w:rsidR="00D35BC0" w:rsidRPr="00D30E48">
        <w:rPr>
          <w:i/>
          <w:iCs/>
        </w:rPr>
        <w:t xml:space="preserve">p </w:t>
      </w:r>
      <w:r w:rsidR="00D35BC0" w:rsidRPr="00D30E48">
        <w:t>&lt;</w:t>
      </w:r>
      <w:r w:rsidR="00D35BC0">
        <w:t xml:space="preserve"> </w:t>
      </w:r>
      <w:r w:rsidR="00D35BC0" w:rsidRPr="00D30E48">
        <w:t>.001).</w:t>
      </w:r>
    </w:p>
    <w:p w14:paraId="2C6B9A4C" w14:textId="25DC0C46" w:rsidR="006E6E3C" w:rsidRPr="00DC4C46" w:rsidRDefault="00D30E48" w:rsidP="00C0756E">
      <w:pPr>
        <w:spacing w:line="480" w:lineRule="auto"/>
        <w:ind w:firstLine="720"/>
        <w:rPr>
          <w:color w:val="FF0000"/>
        </w:rPr>
      </w:pPr>
      <w:r w:rsidRPr="00F60B32">
        <w:rPr>
          <w:color w:val="000000"/>
        </w:rPr>
        <w:t xml:space="preserve">The </w:t>
      </w:r>
      <w:r w:rsidR="000E602C">
        <w:rPr>
          <w:color w:val="000000"/>
        </w:rPr>
        <w:t xml:space="preserve">cluster-based permutation </w:t>
      </w:r>
      <w:r w:rsidRPr="00F60B32">
        <w:rPr>
          <w:color w:val="000000"/>
        </w:rPr>
        <w:t>procedure also indicated the presence of a correlation between HEP amplitude and weight preoccupation scores in a significant negative cluster comprising CZ, CP1, CP2, and PZ in the time-window from 300 ms to 344 ms after the R peak (</w:t>
      </w:r>
      <w:r w:rsidRPr="00F60B32">
        <w:rPr>
          <w:i/>
          <w:iCs/>
          <w:color w:val="000000"/>
        </w:rPr>
        <w:t xml:space="preserve">p </w:t>
      </w:r>
      <w:r w:rsidRPr="00F60B32">
        <w:rPr>
          <w:color w:val="000000"/>
        </w:rPr>
        <w:t xml:space="preserve">= .026). </w:t>
      </w:r>
      <w:r w:rsidR="00CB79B7">
        <w:rPr>
          <w:color w:val="000000"/>
        </w:rPr>
        <w:t>Using a one-sided alternative hypothesis, a</w:t>
      </w:r>
      <w:r w:rsidR="00710835">
        <w:rPr>
          <w:color w:val="000000"/>
        </w:rPr>
        <w:t xml:space="preserve"> statistically significant and large correlation was observed </w:t>
      </w:r>
      <w:r w:rsidR="00725910">
        <w:rPr>
          <w:color w:val="000000"/>
        </w:rPr>
        <w:t>(</w:t>
      </w:r>
      <w:r w:rsidR="00725910">
        <w:rPr>
          <w:i/>
          <w:iCs/>
          <w:color w:val="000000"/>
        </w:rPr>
        <w:t xml:space="preserve">r </w:t>
      </w:r>
      <w:r w:rsidR="00725910">
        <w:rPr>
          <w:color w:val="000000"/>
        </w:rPr>
        <w:t>= -.</w:t>
      </w:r>
      <w:r w:rsidR="00613E75">
        <w:rPr>
          <w:color w:val="000000"/>
        </w:rPr>
        <w:t>548</w:t>
      </w:r>
      <w:r w:rsidR="000B4132">
        <w:rPr>
          <w:color w:val="000000"/>
        </w:rPr>
        <w:t>;</w:t>
      </w:r>
      <w:r w:rsidR="00613E75">
        <w:rPr>
          <w:color w:val="000000"/>
        </w:rPr>
        <w:t xml:space="preserve"> </w:t>
      </w:r>
      <w:r w:rsidR="003642BD" w:rsidRPr="00CB79B7">
        <w:rPr>
          <w:color w:val="000000"/>
        </w:rPr>
        <w:t>Mdn = -.518;</w:t>
      </w:r>
      <w:r w:rsidR="003642BD">
        <w:rPr>
          <w:color w:val="000000"/>
        </w:rPr>
        <w:t xml:space="preserve"> </w:t>
      </w:r>
      <w:r w:rsidR="004847B5">
        <w:rPr>
          <w:color w:val="000000"/>
        </w:rPr>
        <w:t>95</w:t>
      </w:r>
      <w:r w:rsidR="004847B5" w:rsidRPr="006726AA">
        <w:rPr>
          <w:color w:val="000000"/>
        </w:rPr>
        <w:t xml:space="preserve">% CI = </w:t>
      </w:r>
      <w:r w:rsidR="009B0BCC" w:rsidRPr="006726AA">
        <w:rPr>
          <w:color w:val="000000"/>
        </w:rPr>
        <w:t>-.</w:t>
      </w:r>
      <w:r w:rsidR="000B4132" w:rsidRPr="006726AA">
        <w:rPr>
          <w:color w:val="000000"/>
        </w:rPr>
        <w:t xml:space="preserve">25, -.73; </w:t>
      </w:r>
      <w:r w:rsidR="002B4B8D" w:rsidRPr="006726AA">
        <w:rPr>
          <w:color w:val="000000"/>
        </w:rPr>
        <w:t>BF</w:t>
      </w:r>
      <w:r w:rsidR="00197069" w:rsidRPr="006726AA">
        <w:rPr>
          <w:color w:val="000000"/>
          <w:vertAlign w:val="subscript"/>
        </w:rPr>
        <w:t>-</w:t>
      </w:r>
      <w:r w:rsidR="002B4B8D" w:rsidRPr="006726AA">
        <w:rPr>
          <w:color w:val="000000"/>
          <w:vertAlign w:val="subscript"/>
        </w:rPr>
        <w:t>0</w:t>
      </w:r>
      <w:r w:rsidR="002B4B8D" w:rsidRPr="006726AA">
        <w:rPr>
          <w:color w:val="000000"/>
        </w:rPr>
        <w:t xml:space="preserve"> = </w:t>
      </w:r>
      <w:r w:rsidR="00CB79B7" w:rsidRPr="006726AA">
        <w:rPr>
          <w:color w:val="000000"/>
        </w:rPr>
        <w:t>130.90</w:t>
      </w:r>
      <w:r w:rsidR="008E659D" w:rsidRPr="006726AA">
        <w:rPr>
          <w:color w:val="000000"/>
        </w:rPr>
        <w:t xml:space="preserve">; </w:t>
      </w:r>
      <w:r w:rsidR="008E659D" w:rsidRPr="006726AA">
        <w:rPr>
          <w:i/>
          <w:iCs/>
          <w:color w:val="000000"/>
        </w:rPr>
        <w:t xml:space="preserve">p </w:t>
      </w:r>
      <w:r w:rsidR="008E659D" w:rsidRPr="006726AA">
        <w:rPr>
          <w:color w:val="000000"/>
        </w:rPr>
        <w:t>&lt; .001</w:t>
      </w:r>
      <w:r w:rsidR="003642BD" w:rsidRPr="006726AA">
        <w:rPr>
          <w:color w:val="000000"/>
        </w:rPr>
        <w:t>)</w:t>
      </w:r>
      <w:r w:rsidR="00491E56" w:rsidRPr="006726AA">
        <w:rPr>
          <w:color w:val="000000"/>
        </w:rPr>
        <w:t xml:space="preserve"> indicating very strong </w:t>
      </w:r>
      <w:r w:rsidR="00C8718A" w:rsidRPr="006726AA">
        <w:rPr>
          <w:color w:val="000000"/>
        </w:rPr>
        <w:t>evidence</w:t>
      </w:r>
      <w:r w:rsidR="00491E56" w:rsidRPr="006726AA">
        <w:rPr>
          <w:color w:val="000000"/>
        </w:rPr>
        <w:t xml:space="preserve"> for the hypothesis</w:t>
      </w:r>
      <w:r w:rsidR="00145C0B" w:rsidRPr="006726AA">
        <w:rPr>
          <w:color w:val="000000"/>
        </w:rPr>
        <w:t xml:space="preserve">ed </w:t>
      </w:r>
      <w:r w:rsidR="00537D8B" w:rsidRPr="006726AA">
        <w:rPr>
          <w:color w:val="000000"/>
        </w:rPr>
        <w:t xml:space="preserve">negative </w:t>
      </w:r>
      <w:r w:rsidR="00145C0B" w:rsidRPr="006726AA">
        <w:rPr>
          <w:color w:val="000000"/>
        </w:rPr>
        <w:t>association</w:t>
      </w:r>
      <w:r w:rsidR="00145C0B">
        <w:rPr>
          <w:color w:val="000000"/>
        </w:rPr>
        <w:t xml:space="preserve"> between </w:t>
      </w:r>
      <w:r w:rsidR="00940929">
        <w:rPr>
          <w:color w:val="000000"/>
        </w:rPr>
        <w:t>weight preoccupation and HEP amplitude</w:t>
      </w:r>
      <w:r w:rsidR="00933CEC">
        <w:rPr>
          <w:color w:val="000000"/>
        </w:rPr>
        <w:t>, relative to the null</w:t>
      </w:r>
      <w:r w:rsidR="006726AA">
        <w:rPr>
          <w:color w:val="000000"/>
        </w:rPr>
        <w:t xml:space="preserve"> </w:t>
      </w:r>
      <w:r w:rsidR="006726AA">
        <w:t>(see Figure 1, and Supplementary Figure 2)</w:t>
      </w:r>
      <w:r w:rsidR="00D86E46">
        <w:rPr>
          <w:color w:val="000000"/>
        </w:rPr>
        <w:t xml:space="preserve">. </w:t>
      </w:r>
    </w:p>
    <w:p w14:paraId="5E9155BA" w14:textId="67F402A6" w:rsidR="00D30E48" w:rsidRDefault="00D30E48" w:rsidP="00D30E48">
      <w:pPr>
        <w:spacing w:line="480" w:lineRule="auto"/>
        <w:ind w:firstLine="720"/>
        <w:rPr>
          <w:color w:val="000000"/>
        </w:rPr>
      </w:pPr>
      <w:r w:rsidRPr="00F60B32">
        <w:rPr>
          <w:color w:val="000000"/>
        </w:rPr>
        <w:t>No significant</w:t>
      </w:r>
      <w:r w:rsidR="00C44741">
        <w:rPr>
          <w:color w:val="000000"/>
        </w:rPr>
        <w:t xml:space="preserve"> </w:t>
      </w:r>
      <w:r w:rsidRPr="00F60B32">
        <w:rPr>
          <w:color w:val="000000"/>
        </w:rPr>
        <w:t>clusters were identified for body appreciation or functionality appreciation (</w:t>
      </w:r>
      <w:r w:rsidR="00880C9F">
        <w:rPr>
          <w:color w:val="000000"/>
        </w:rPr>
        <w:t xml:space="preserve">all </w:t>
      </w:r>
      <w:r w:rsidRPr="00F60B32">
        <w:rPr>
          <w:i/>
          <w:iCs/>
          <w:color w:val="000000"/>
        </w:rPr>
        <w:t xml:space="preserve">ps </w:t>
      </w:r>
      <w:r w:rsidRPr="00F60B32">
        <w:rPr>
          <w:color w:val="000000"/>
        </w:rPr>
        <w:t xml:space="preserve">&gt; .05). </w:t>
      </w:r>
    </w:p>
    <w:p w14:paraId="4FB9A3C2" w14:textId="77777777" w:rsidR="00C633B0" w:rsidRDefault="00831888" w:rsidP="006C6FFF">
      <w:pPr>
        <w:spacing w:line="480" w:lineRule="auto"/>
        <w:ind w:firstLine="720"/>
        <w:rPr>
          <w:color w:val="000000" w:themeColor="text1"/>
        </w:rPr>
      </w:pPr>
      <w:r>
        <w:rPr>
          <w:b/>
          <w:bCs/>
        </w:rPr>
        <w:t xml:space="preserve">3.2. Gastric-alpha PAC. </w:t>
      </w:r>
      <w:r w:rsidR="006C6FFF">
        <w:t xml:space="preserve">Full results for gastric-alpha PAC are reported in Table 1. </w:t>
      </w:r>
      <w:r w:rsidR="00CB79B7">
        <w:rPr>
          <w:color w:val="000000"/>
        </w:rPr>
        <w:t>Using a one-sided alternative hypothesis, a</w:t>
      </w:r>
      <w:r w:rsidR="006C6FFF">
        <w:t xml:space="preserve"> statistically significant and large association was observed between weight preoccupation and the MI for gastric-alpha PAC in the left </w:t>
      </w:r>
      <w:r w:rsidR="006C6FFF" w:rsidRPr="006726AA">
        <w:t>centroparietal ROI</w:t>
      </w:r>
      <w:r w:rsidR="00F202E7" w:rsidRPr="006726AA">
        <w:t xml:space="preserve"> </w:t>
      </w:r>
      <w:r w:rsidR="00F202E7" w:rsidRPr="006726AA">
        <w:rPr>
          <w:color w:val="000000" w:themeColor="text1"/>
        </w:rPr>
        <w:t>(</w:t>
      </w:r>
      <w:r w:rsidR="00F202E7" w:rsidRPr="006726AA">
        <w:rPr>
          <w:i/>
          <w:iCs/>
          <w:color w:val="000000" w:themeColor="text1"/>
        </w:rPr>
        <w:t xml:space="preserve">r </w:t>
      </w:r>
      <w:r w:rsidR="00F202E7" w:rsidRPr="006726AA">
        <w:rPr>
          <w:color w:val="000000" w:themeColor="text1"/>
        </w:rPr>
        <w:t>= -.5</w:t>
      </w:r>
      <w:r w:rsidR="00D20306" w:rsidRPr="006726AA">
        <w:rPr>
          <w:color w:val="000000" w:themeColor="text1"/>
        </w:rPr>
        <w:t>36</w:t>
      </w:r>
      <w:r w:rsidR="00F202E7" w:rsidRPr="006726AA">
        <w:rPr>
          <w:color w:val="000000" w:themeColor="text1"/>
        </w:rPr>
        <w:t>; Mdn = -.5</w:t>
      </w:r>
      <w:r w:rsidR="006726AA" w:rsidRPr="006726AA">
        <w:rPr>
          <w:color w:val="000000" w:themeColor="text1"/>
        </w:rPr>
        <w:t>06</w:t>
      </w:r>
      <w:r w:rsidR="00F202E7" w:rsidRPr="006726AA">
        <w:rPr>
          <w:color w:val="000000" w:themeColor="text1"/>
        </w:rPr>
        <w:t>; 95% CI = -.2</w:t>
      </w:r>
      <w:r w:rsidR="00CB79B7" w:rsidRPr="006726AA">
        <w:rPr>
          <w:color w:val="000000" w:themeColor="text1"/>
        </w:rPr>
        <w:t>3</w:t>
      </w:r>
      <w:r w:rsidR="00F202E7" w:rsidRPr="006726AA">
        <w:rPr>
          <w:color w:val="000000" w:themeColor="text1"/>
        </w:rPr>
        <w:t>, -.7</w:t>
      </w:r>
      <w:r w:rsidR="00CB79B7" w:rsidRPr="006726AA">
        <w:rPr>
          <w:color w:val="000000" w:themeColor="text1"/>
        </w:rPr>
        <w:t>2</w:t>
      </w:r>
      <w:r w:rsidR="00F202E7" w:rsidRPr="006726AA">
        <w:rPr>
          <w:color w:val="000000" w:themeColor="text1"/>
        </w:rPr>
        <w:t>; BF</w:t>
      </w:r>
      <w:r w:rsidR="00197069" w:rsidRPr="006726AA">
        <w:rPr>
          <w:color w:val="000000" w:themeColor="text1"/>
          <w:vertAlign w:val="subscript"/>
        </w:rPr>
        <w:t>-</w:t>
      </w:r>
      <w:r w:rsidR="00F202E7" w:rsidRPr="006726AA">
        <w:rPr>
          <w:color w:val="000000" w:themeColor="text1"/>
          <w:vertAlign w:val="subscript"/>
        </w:rPr>
        <w:t>0</w:t>
      </w:r>
      <w:r w:rsidR="00F202E7" w:rsidRPr="006726AA">
        <w:rPr>
          <w:color w:val="000000" w:themeColor="text1"/>
        </w:rPr>
        <w:t xml:space="preserve"> = </w:t>
      </w:r>
      <w:r w:rsidR="008E659D" w:rsidRPr="006726AA">
        <w:rPr>
          <w:color w:val="000000" w:themeColor="text1"/>
        </w:rPr>
        <w:t>84.94;</w:t>
      </w:r>
      <w:r w:rsidR="008E659D" w:rsidRPr="006726AA">
        <w:rPr>
          <w:i/>
          <w:iCs/>
          <w:color w:val="000000" w:themeColor="text1"/>
        </w:rPr>
        <w:t xml:space="preserve"> p </w:t>
      </w:r>
      <w:r w:rsidR="008E659D" w:rsidRPr="006726AA">
        <w:rPr>
          <w:color w:val="000000" w:themeColor="text1"/>
        </w:rPr>
        <w:t>&lt; .001</w:t>
      </w:r>
      <w:r w:rsidR="00F202E7" w:rsidRPr="006726AA">
        <w:rPr>
          <w:color w:val="000000" w:themeColor="text1"/>
        </w:rPr>
        <w:t>),</w:t>
      </w:r>
      <w:r w:rsidR="00F202E7" w:rsidRPr="0022089C">
        <w:rPr>
          <w:color w:val="000000" w:themeColor="text1"/>
        </w:rPr>
        <w:t xml:space="preserve"> </w:t>
      </w:r>
      <w:r w:rsidR="00F202E7" w:rsidRPr="00D4037D">
        <w:rPr>
          <w:color w:val="000000" w:themeColor="text1"/>
        </w:rPr>
        <w:t xml:space="preserve">indicating very strong evidence for the </w:t>
      </w:r>
      <w:r w:rsidR="00F202E7" w:rsidRPr="006726AA">
        <w:rPr>
          <w:color w:val="000000" w:themeColor="text1"/>
        </w:rPr>
        <w:t xml:space="preserve">hypothesised </w:t>
      </w:r>
      <w:r w:rsidR="00537D8B" w:rsidRPr="006726AA">
        <w:rPr>
          <w:color w:val="000000" w:themeColor="text1"/>
        </w:rPr>
        <w:t xml:space="preserve">negative </w:t>
      </w:r>
      <w:r w:rsidR="00F202E7" w:rsidRPr="006726AA">
        <w:rPr>
          <w:color w:val="000000" w:themeColor="text1"/>
        </w:rPr>
        <w:t>association between</w:t>
      </w:r>
      <w:r w:rsidR="006B53F3" w:rsidRPr="006726AA">
        <w:rPr>
          <w:color w:val="000000" w:themeColor="text1"/>
        </w:rPr>
        <w:t xml:space="preserve"> weight preoccupation</w:t>
      </w:r>
      <w:r w:rsidR="00F202E7" w:rsidRPr="006726AA">
        <w:rPr>
          <w:color w:val="000000" w:themeColor="text1"/>
        </w:rPr>
        <w:t xml:space="preserve"> and</w:t>
      </w:r>
      <w:r w:rsidR="006B53F3" w:rsidRPr="006726AA">
        <w:rPr>
          <w:color w:val="000000" w:themeColor="text1"/>
        </w:rPr>
        <w:t xml:space="preserve"> the MI for gastric-alpha PAC</w:t>
      </w:r>
      <w:r w:rsidR="00F202E7" w:rsidRPr="006726AA">
        <w:rPr>
          <w:color w:val="000000" w:themeColor="text1"/>
        </w:rPr>
        <w:t>, relative to the null</w:t>
      </w:r>
      <w:r w:rsidR="006726AA" w:rsidRPr="006726AA">
        <w:rPr>
          <w:color w:val="000000" w:themeColor="text1"/>
        </w:rPr>
        <w:t xml:space="preserve"> (see Figure 2, and Supplementary Figure 3). </w:t>
      </w:r>
      <w:r w:rsidR="006C6FFF" w:rsidRPr="006726AA">
        <w:t>Furthermore,</w:t>
      </w:r>
      <w:r w:rsidR="00CB79B7" w:rsidRPr="006726AA">
        <w:t xml:space="preserve"> </w:t>
      </w:r>
      <w:r w:rsidR="00CB79B7" w:rsidRPr="006726AA">
        <w:rPr>
          <w:color w:val="000000"/>
        </w:rPr>
        <w:t>using a one-sided alternative hypothesis,</w:t>
      </w:r>
      <w:r w:rsidR="006C6FFF" w:rsidRPr="006726AA">
        <w:t xml:space="preserve"> a statistically significant and medium association was observed between body shame and the MI for gastric-alpha PAC in the left centropari</w:t>
      </w:r>
      <w:r w:rsidR="006C6FFF" w:rsidRPr="006726AA">
        <w:rPr>
          <w:color w:val="000000" w:themeColor="text1"/>
        </w:rPr>
        <w:t>etal ROI</w:t>
      </w:r>
      <w:r w:rsidR="00F202E7" w:rsidRPr="006726AA">
        <w:rPr>
          <w:color w:val="000000" w:themeColor="text1"/>
        </w:rPr>
        <w:t xml:space="preserve"> (</w:t>
      </w:r>
      <w:r w:rsidR="00F202E7" w:rsidRPr="006726AA">
        <w:rPr>
          <w:i/>
          <w:iCs/>
          <w:color w:val="000000" w:themeColor="text1"/>
        </w:rPr>
        <w:t xml:space="preserve">r </w:t>
      </w:r>
      <w:r w:rsidR="00F202E7" w:rsidRPr="006726AA">
        <w:rPr>
          <w:color w:val="000000" w:themeColor="text1"/>
        </w:rPr>
        <w:t>= -.</w:t>
      </w:r>
      <w:r w:rsidR="009153C0" w:rsidRPr="006726AA">
        <w:rPr>
          <w:color w:val="000000" w:themeColor="text1"/>
        </w:rPr>
        <w:t>432</w:t>
      </w:r>
      <w:r w:rsidR="00F202E7" w:rsidRPr="006726AA">
        <w:rPr>
          <w:color w:val="000000" w:themeColor="text1"/>
        </w:rPr>
        <w:t>; Mdn = -.</w:t>
      </w:r>
      <w:r w:rsidR="009153C0" w:rsidRPr="006726AA">
        <w:rPr>
          <w:color w:val="000000" w:themeColor="text1"/>
        </w:rPr>
        <w:t>4</w:t>
      </w:r>
      <w:r w:rsidR="006726AA" w:rsidRPr="006726AA">
        <w:rPr>
          <w:color w:val="000000" w:themeColor="text1"/>
        </w:rPr>
        <w:t>05</w:t>
      </w:r>
      <w:r w:rsidR="00F202E7" w:rsidRPr="006726AA">
        <w:rPr>
          <w:color w:val="000000" w:themeColor="text1"/>
        </w:rPr>
        <w:t>; 95% CI = -</w:t>
      </w:r>
      <w:r w:rsidR="00F202E7" w:rsidRPr="006726AA">
        <w:rPr>
          <w:color w:val="000000" w:themeColor="text1"/>
        </w:rPr>
        <w:lastRenderedPageBreak/>
        <w:t>.</w:t>
      </w:r>
      <w:r w:rsidR="00BA05E6" w:rsidRPr="006726AA">
        <w:rPr>
          <w:color w:val="000000" w:themeColor="text1"/>
        </w:rPr>
        <w:t>12</w:t>
      </w:r>
      <w:r w:rsidR="00F202E7" w:rsidRPr="006726AA">
        <w:rPr>
          <w:color w:val="000000" w:themeColor="text1"/>
        </w:rPr>
        <w:t>, -.</w:t>
      </w:r>
      <w:r w:rsidR="00BA05E6" w:rsidRPr="006726AA">
        <w:rPr>
          <w:color w:val="000000" w:themeColor="text1"/>
        </w:rPr>
        <w:t>6</w:t>
      </w:r>
      <w:r w:rsidR="00CB79B7" w:rsidRPr="006726AA">
        <w:rPr>
          <w:color w:val="000000" w:themeColor="text1"/>
        </w:rPr>
        <w:t>5</w:t>
      </w:r>
      <w:r w:rsidR="00F202E7" w:rsidRPr="006726AA">
        <w:rPr>
          <w:color w:val="000000" w:themeColor="text1"/>
        </w:rPr>
        <w:t>; BF</w:t>
      </w:r>
      <w:r w:rsidR="00197069" w:rsidRPr="006726AA">
        <w:rPr>
          <w:color w:val="000000" w:themeColor="text1"/>
          <w:vertAlign w:val="subscript"/>
        </w:rPr>
        <w:t>-</w:t>
      </w:r>
      <w:r w:rsidR="00F202E7" w:rsidRPr="006726AA">
        <w:rPr>
          <w:color w:val="000000" w:themeColor="text1"/>
          <w:vertAlign w:val="subscript"/>
        </w:rPr>
        <w:t>0</w:t>
      </w:r>
      <w:r w:rsidR="00F202E7" w:rsidRPr="006726AA">
        <w:rPr>
          <w:color w:val="000000" w:themeColor="text1"/>
        </w:rPr>
        <w:t xml:space="preserve"> = </w:t>
      </w:r>
      <w:r w:rsidR="00CB79B7" w:rsidRPr="006726AA">
        <w:rPr>
          <w:color w:val="000000" w:themeColor="text1"/>
        </w:rPr>
        <w:t>10.60</w:t>
      </w:r>
      <w:r w:rsidR="008E659D" w:rsidRPr="006726AA">
        <w:rPr>
          <w:color w:val="000000" w:themeColor="text1"/>
        </w:rPr>
        <w:t xml:space="preserve">; </w:t>
      </w:r>
      <w:r w:rsidR="008E659D" w:rsidRPr="006726AA">
        <w:rPr>
          <w:i/>
          <w:iCs/>
          <w:color w:val="000000" w:themeColor="text1"/>
        </w:rPr>
        <w:t xml:space="preserve">p </w:t>
      </w:r>
      <w:r w:rsidR="008E659D" w:rsidRPr="006726AA">
        <w:rPr>
          <w:color w:val="000000" w:themeColor="text1"/>
        </w:rPr>
        <w:t>= .009</w:t>
      </w:r>
      <w:r w:rsidR="00F202E7" w:rsidRPr="006726AA">
        <w:rPr>
          <w:color w:val="000000" w:themeColor="text1"/>
        </w:rPr>
        <w:t xml:space="preserve">), indicating </w:t>
      </w:r>
      <w:r w:rsidR="00D4037D" w:rsidRPr="006726AA">
        <w:rPr>
          <w:color w:val="000000" w:themeColor="text1"/>
        </w:rPr>
        <w:t>moder</w:t>
      </w:r>
      <w:r w:rsidR="00226393" w:rsidRPr="006726AA">
        <w:rPr>
          <w:color w:val="000000" w:themeColor="text1"/>
        </w:rPr>
        <w:t>ate-to-strong</w:t>
      </w:r>
      <w:r w:rsidR="00D4037D" w:rsidRPr="006726AA">
        <w:rPr>
          <w:color w:val="000000" w:themeColor="text1"/>
        </w:rPr>
        <w:t xml:space="preserve"> </w:t>
      </w:r>
      <w:r w:rsidR="00F202E7" w:rsidRPr="006726AA">
        <w:rPr>
          <w:color w:val="000000" w:themeColor="text1"/>
        </w:rPr>
        <w:t xml:space="preserve">evidence for the hypothesised </w:t>
      </w:r>
      <w:r w:rsidR="00537D8B" w:rsidRPr="006726AA">
        <w:rPr>
          <w:color w:val="000000" w:themeColor="text1"/>
        </w:rPr>
        <w:t xml:space="preserve">negative </w:t>
      </w:r>
      <w:r w:rsidR="00F202E7" w:rsidRPr="006726AA">
        <w:rPr>
          <w:color w:val="000000" w:themeColor="text1"/>
        </w:rPr>
        <w:t>association between body shame and</w:t>
      </w:r>
      <w:r w:rsidR="006B53F3" w:rsidRPr="006726AA">
        <w:rPr>
          <w:color w:val="000000" w:themeColor="text1"/>
        </w:rPr>
        <w:t xml:space="preserve"> the MI for gastric-alpha PAC</w:t>
      </w:r>
      <w:r w:rsidR="00F202E7" w:rsidRPr="006726AA">
        <w:rPr>
          <w:color w:val="000000" w:themeColor="text1"/>
        </w:rPr>
        <w:t>, relative to the null</w:t>
      </w:r>
      <w:r w:rsidR="006726AA" w:rsidRPr="006726AA">
        <w:rPr>
          <w:color w:val="000000" w:themeColor="text1"/>
        </w:rPr>
        <w:t xml:space="preserve"> (see Figure 2, and Supplementary Figure 4). </w:t>
      </w:r>
    </w:p>
    <w:p w14:paraId="3E0EAA84" w14:textId="7ED5B3E4" w:rsidR="006C6FFF" w:rsidRDefault="006C6FFF" w:rsidP="006C6FFF">
      <w:pPr>
        <w:spacing w:line="480" w:lineRule="auto"/>
        <w:ind w:firstLine="720"/>
      </w:pPr>
      <w:r w:rsidRPr="00401CF1">
        <w:rPr>
          <w:color w:val="000000" w:themeColor="text1"/>
        </w:rPr>
        <w:t>Conversely, there were no statistically significant associations between the positive body image indices and the MI for gastric-alpha PAC in any of the ROIs.</w:t>
      </w:r>
      <w:r w:rsidR="00C633B0" w:rsidRPr="00401CF1">
        <w:rPr>
          <w:color w:val="000000" w:themeColor="text1"/>
        </w:rPr>
        <w:t xml:space="preserve"> Using a one-sided hypothesis, there was anecdotal </w:t>
      </w:r>
      <w:r w:rsidR="00401CF1" w:rsidRPr="00401CF1">
        <w:rPr>
          <w:color w:val="000000" w:themeColor="text1"/>
        </w:rPr>
        <w:t>evidence in favour of a</w:t>
      </w:r>
      <w:r w:rsidR="00C633B0" w:rsidRPr="00401CF1">
        <w:rPr>
          <w:color w:val="000000" w:themeColor="text1"/>
        </w:rPr>
        <w:t xml:space="preserve"> positive correlation between body appreciation and the MI for gastric-alpha PAC in the left centroparietal ROI</w:t>
      </w:r>
      <w:r w:rsidR="00401CF1" w:rsidRPr="00401CF1">
        <w:rPr>
          <w:color w:val="000000" w:themeColor="text1"/>
        </w:rPr>
        <w:t xml:space="preserve"> (</w:t>
      </w:r>
      <w:r w:rsidR="00F51082" w:rsidRPr="00F51082">
        <w:t>BF</w:t>
      </w:r>
      <w:r w:rsidR="00F51082" w:rsidRPr="00F51082">
        <w:rPr>
          <w:vertAlign w:val="subscript"/>
        </w:rPr>
        <w:t>+</w:t>
      </w:r>
      <w:r w:rsidR="00F51082">
        <w:rPr>
          <w:b/>
          <w:bCs/>
          <w:vertAlign w:val="subscript"/>
        </w:rPr>
        <w:t>0</w:t>
      </w:r>
      <w:r w:rsidR="00F51082">
        <w:rPr>
          <w:color w:val="000000" w:themeColor="text1"/>
        </w:rPr>
        <w:t xml:space="preserve"> = 1.54;</w:t>
      </w:r>
      <w:r w:rsidR="00401CF1" w:rsidRPr="00401CF1">
        <w:rPr>
          <w:color w:val="000000" w:themeColor="text1"/>
        </w:rPr>
        <w:t xml:space="preserve"> </w:t>
      </w:r>
      <w:r w:rsidR="00F51082">
        <w:rPr>
          <w:color w:val="000000" w:themeColor="text1"/>
        </w:rPr>
        <w:t xml:space="preserve">see </w:t>
      </w:r>
      <w:r w:rsidR="00401CF1" w:rsidRPr="00401CF1">
        <w:rPr>
          <w:color w:val="000000" w:themeColor="text1"/>
        </w:rPr>
        <w:t>Table 1).</w:t>
      </w:r>
      <w:r w:rsidR="00C633B0" w:rsidRPr="00401CF1">
        <w:rPr>
          <w:color w:val="000000" w:themeColor="text1"/>
        </w:rPr>
        <w:t xml:space="preserve"> For the remainder of the correlations, there</w:t>
      </w:r>
      <w:r w:rsidR="00401CF1" w:rsidRPr="00401CF1">
        <w:rPr>
          <w:color w:val="000000" w:themeColor="text1"/>
        </w:rPr>
        <w:t xml:space="preserve"> was anecdotal-to-moderate evidence in favour of the null hypothesis.</w:t>
      </w:r>
      <w:r w:rsidR="00401CF1">
        <w:rPr>
          <w:color w:val="000000" w:themeColor="text1"/>
        </w:rPr>
        <w:t xml:space="preserve"> </w:t>
      </w:r>
      <w:r w:rsidR="00C633B0">
        <w:rPr>
          <w:color w:val="000000" w:themeColor="text1"/>
        </w:rPr>
        <w:t xml:space="preserve"> </w:t>
      </w:r>
    </w:p>
    <w:p w14:paraId="7F0DCBC0" w14:textId="77777777" w:rsidR="00EC69D1" w:rsidRDefault="0044518B" w:rsidP="00F202E7">
      <w:pPr>
        <w:spacing w:line="480" w:lineRule="auto"/>
        <w:ind w:firstLine="720"/>
        <w:rPr>
          <w:color w:val="000000" w:themeColor="text1"/>
        </w:rPr>
      </w:pPr>
      <w:r w:rsidRPr="00015982">
        <w:rPr>
          <w:b/>
          <w:bCs/>
          <w:color w:val="000000" w:themeColor="text1"/>
        </w:rPr>
        <w:t>3.3. Intercorrelations</w:t>
      </w:r>
      <w:r w:rsidR="006867A8">
        <w:rPr>
          <w:b/>
          <w:bCs/>
          <w:color w:val="000000" w:themeColor="text1"/>
        </w:rPr>
        <w:t xml:space="preserve"> and exploratory analyses</w:t>
      </w:r>
      <w:r w:rsidRPr="00015982">
        <w:rPr>
          <w:b/>
          <w:bCs/>
          <w:color w:val="000000" w:themeColor="text1"/>
        </w:rPr>
        <w:t>.</w:t>
      </w:r>
      <w:r w:rsidRPr="00015982">
        <w:rPr>
          <w:color w:val="000000" w:themeColor="text1"/>
        </w:rPr>
        <w:t xml:space="preserve"> Intercorrelations between the HEP and gastric-alpha PAC, and between </w:t>
      </w:r>
      <w:r w:rsidR="006867A8">
        <w:rPr>
          <w:color w:val="000000" w:themeColor="text1"/>
        </w:rPr>
        <w:t>all four</w:t>
      </w:r>
      <w:r w:rsidRPr="00015982">
        <w:rPr>
          <w:color w:val="000000" w:themeColor="text1"/>
        </w:rPr>
        <w:t xml:space="preserve"> body image variables are reported in </w:t>
      </w:r>
      <w:r w:rsidR="006867A8">
        <w:rPr>
          <w:color w:val="000000" w:themeColor="text1"/>
        </w:rPr>
        <w:t xml:space="preserve">Supplementary </w:t>
      </w:r>
      <w:r w:rsidR="002F7F93">
        <w:rPr>
          <w:color w:val="000000" w:themeColor="text1"/>
        </w:rPr>
        <w:t>Materials</w:t>
      </w:r>
      <w:r w:rsidR="00E80A55">
        <w:rPr>
          <w:color w:val="000000" w:themeColor="text1"/>
        </w:rPr>
        <w:t xml:space="preserve"> (see Supplementary Table 1 and </w:t>
      </w:r>
      <w:r w:rsidR="006726AA">
        <w:rPr>
          <w:color w:val="000000" w:themeColor="text1"/>
        </w:rPr>
        <w:t xml:space="preserve">Supplementary </w:t>
      </w:r>
      <w:r w:rsidR="00E80A55">
        <w:rPr>
          <w:color w:val="000000" w:themeColor="text1"/>
        </w:rPr>
        <w:t>Table 2)</w:t>
      </w:r>
      <w:r w:rsidRPr="00015982">
        <w:rPr>
          <w:color w:val="000000" w:themeColor="text1"/>
        </w:rPr>
        <w:t>. The effect sizes for the inter-correlations</w:t>
      </w:r>
      <w:r w:rsidRPr="00015982">
        <w:rPr>
          <w:b/>
          <w:bCs/>
          <w:color w:val="000000" w:themeColor="text1"/>
        </w:rPr>
        <w:t xml:space="preserve"> </w:t>
      </w:r>
      <w:r w:rsidRPr="00015982">
        <w:rPr>
          <w:color w:val="000000" w:themeColor="text1"/>
        </w:rPr>
        <w:t xml:space="preserve">between HEP amplitude and the MI for gastric-alpha PAC were generally small, and none of the correlations were statistically significant (all </w:t>
      </w:r>
      <w:r w:rsidRPr="00015982">
        <w:rPr>
          <w:i/>
          <w:iCs/>
          <w:color w:val="000000" w:themeColor="text1"/>
        </w:rPr>
        <w:t>p</w:t>
      </w:r>
      <w:r w:rsidRPr="00015982">
        <w:rPr>
          <w:color w:val="000000" w:themeColor="text1"/>
        </w:rPr>
        <w:t>-values ≥ .</w:t>
      </w:r>
      <w:r w:rsidR="0025026A" w:rsidRPr="00015982">
        <w:rPr>
          <w:color w:val="000000" w:themeColor="text1"/>
        </w:rPr>
        <w:t>090</w:t>
      </w:r>
      <w:r w:rsidRPr="00015982">
        <w:rPr>
          <w:color w:val="000000" w:themeColor="text1"/>
        </w:rPr>
        <w:t>).</w:t>
      </w:r>
      <w:r w:rsidR="00C61020">
        <w:rPr>
          <w:color w:val="000000" w:themeColor="text1"/>
        </w:rPr>
        <w:t xml:space="preserve"> </w:t>
      </w:r>
      <w:r w:rsidR="00EC69D1">
        <w:rPr>
          <w:color w:val="000000" w:themeColor="text1"/>
        </w:rPr>
        <w:t>Using two-sided tests, t</w:t>
      </w:r>
      <w:r w:rsidR="00C61020">
        <w:rPr>
          <w:color w:val="000000" w:themeColor="text1"/>
        </w:rPr>
        <w:t xml:space="preserve">here was anecdotal-to-moderate support for the null hypothesis that the </w:t>
      </w:r>
      <w:r w:rsidR="00EC69D1">
        <w:rPr>
          <w:color w:val="000000" w:themeColor="text1"/>
        </w:rPr>
        <w:t xml:space="preserve">HEP and gastric-alpha PAC </w:t>
      </w:r>
      <w:r w:rsidR="00C61020">
        <w:rPr>
          <w:color w:val="000000" w:themeColor="text1"/>
        </w:rPr>
        <w:t>indices are not correlated.</w:t>
      </w:r>
      <w:r w:rsidRPr="00015982">
        <w:rPr>
          <w:color w:val="000000" w:themeColor="text1"/>
        </w:rPr>
        <w:t xml:space="preserve"> </w:t>
      </w:r>
    </w:p>
    <w:p w14:paraId="1738FA83" w14:textId="50063D46" w:rsidR="006867A8" w:rsidRPr="00082481" w:rsidRDefault="0044518B" w:rsidP="00F202E7">
      <w:pPr>
        <w:spacing w:line="480" w:lineRule="auto"/>
        <w:ind w:firstLine="720"/>
        <w:rPr>
          <w:color w:val="000000" w:themeColor="text1"/>
        </w:rPr>
      </w:pPr>
      <w:r w:rsidRPr="00015982">
        <w:rPr>
          <w:color w:val="000000" w:themeColor="text1"/>
        </w:rPr>
        <w:t xml:space="preserve">The intercorrelations between the negative and positive body image indices were small-to-medium, and negative (ranging from </w:t>
      </w:r>
      <w:r w:rsidRPr="00015982">
        <w:rPr>
          <w:i/>
          <w:iCs/>
          <w:color w:val="000000" w:themeColor="text1"/>
        </w:rPr>
        <w:t xml:space="preserve">r </w:t>
      </w:r>
      <w:r w:rsidRPr="00015982">
        <w:rPr>
          <w:color w:val="000000" w:themeColor="text1"/>
        </w:rPr>
        <w:t>= -.</w:t>
      </w:r>
      <w:r w:rsidR="00240643" w:rsidRPr="00015982">
        <w:rPr>
          <w:color w:val="000000" w:themeColor="text1"/>
        </w:rPr>
        <w:t>05</w:t>
      </w:r>
      <w:r w:rsidRPr="00015982">
        <w:rPr>
          <w:color w:val="000000" w:themeColor="text1"/>
        </w:rPr>
        <w:t xml:space="preserve"> to -.</w:t>
      </w:r>
      <w:r w:rsidR="00240643" w:rsidRPr="00015982">
        <w:rPr>
          <w:color w:val="000000" w:themeColor="text1"/>
        </w:rPr>
        <w:t>46</w:t>
      </w:r>
      <w:r w:rsidRPr="00015982">
        <w:rPr>
          <w:color w:val="000000" w:themeColor="text1"/>
        </w:rPr>
        <w:t xml:space="preserve">). </w:t>
      </w:r>
      <w:r w:rsidR="00EC69D1">
        <w:rPr>
          <w:color w:val="000000" w:themeColor="text1"/>
        </w:rPr>
        <w:t>Using one-sided tests, t</w:t>
      </w:r>
      <w:r w:rsidR="00082481">
        <w:rPr>
          <w:color w:val="000000" w:themeColor="text1"/>
        </w:rPr>
        <w:t>here was moderate-to-strong support for the hypothesis that b</w:t>
      </w:r>
      <w:r w:rsidRPr="00015982">
        <w:rPr>
          <w:color w:val="000000" w:themeColor="text1"/>
        </w:rPr>
        <w:t>ody appreciation</w:t>
      </w:r>
      <w:r w:rsidR="00082481">
        <w:rPr>
          <w:color w:val="000000" w:themeColor="text1"/>
        </w:rPr>
        <w:t xml:space="preserve"> i</w:t>
      </w:r>
      <w:r w:rsidRPr="00015982">
        <w:rPr>
          <w:color w:val="000000" w:themeColor="text1"/>
        </w:rPr>
        <w:t xml:space="preserve">s </w:t>
      </w:r>
      <w:r w:rsidR="00EC69D1">
        <w:rPr>
          <w:color w:val="000000" w:themeColor="text1"/>
        </w:rPr>
        <w:t>negative</w:t>
      </w:r>
      <w:r w:rsidRPr="00015982">
        <w:rPr>
          <w:color w:val="000000" w:themeColor="text1"/>
        </w:rPr>
        <w:t xml:space="preserve">ly correlated with </w:t>
      </w:r>
      <w:r w:rsidR="00082481">
        <w:rPr>
          <w:color w:val="000000" w:themeColor="text1"/>
        </w:rPr>
        <w:t xml:space="preserve">the </w:t>
      </w:r>
      <w:r w:rsidRPr="00015982">
        <w:rPr>
          <w:color w:val="000000" w:themeColor="text1"/>
        </w:rPr>
        <w:t>negative body image indice</w:t>
      </w:r>
      <w:r w:rsidR="00082481">
        <w:rPr>
          <w:color w:val="000000" w:themeColor="text1"/>
        </w:rPr>
        <w:t xml:space="preserve">s, and statistically significant correlations were observed. There was anecdotal-to-moderate support for the null hypothesis that </w:t>
      </w:r>
      <w:r w:rsidRPr="00015982">
        <w:rPr>
          <w:color w:val="000000" w:themeColor="text1"/>
        </w:rPr>
        <w:t xml:space="preserve">functionality appreciation </w:t>
      </w:r>
      <w:r w:rsidR="00082481">
        <w:rPr>
          <w:color w:val="000000" w:themeColor="text1"/>
        </w:rPr>
        <w:t>i</w:t>
      </w:r>
      <w:r w:rsidRPr="00015982">
        <w:rPr>
          <w:color w:val="000000" w:themeColor="text1"/>
        </w:rPr>
        <w:t>s n</w:t>
      </w:r>
      <w:r w:rsidR="00EC69D1">
        <w:rPr>
          <w:color w:val="000000" w:themeColor="text1"/>
        </w:rPr>
        <w:t>ot correlate</w:t>
      </w:r>
      <w:r w:rsidR="00082481">
        <w:rPr>
          <w:color w:val="000000" w:themeColor="text1"/>
        </w:rPr>
        <w:t>d with the negative body image indices, and the correlations were not statistically significant.</w:t>
      </w:r>
    </w:p>
    <w:p w14:paraId="73C7DF14" w14:textId="78A75425" w:rsidR="00670F2E" w:rsidRPr="00197069" w:rsidRDefault="006867A8" w:rsidP="00F202E7">
      <w:pPr>
        <w:spacing w:line="480" w:lineRule="auto"/>
        <w:ind w:firstLine="720"/>
        <w:rPr>
          <w:color w:val="000000" w:themeColor="text1"/>
        </w:rPr>
      </w:pPr>
      <w:r w:rsidRPr="00197069">
        <w:rPr>
          <w:color w:val="000000" w:themeColor="text1"/>
        </w:rPr>
        <w:t>Finally, we conducted exploratory analyses to examine whether demographic variables (namely, BMI</w:t>
      </w:r>
      <w:r w:rsidR="002F7F93" w:rsidRPr="00197069">
        <w:rPr>
          <w:color w:val="000000" w:themeColor="text1"/>
        </w:rPr>
        <w:t xml:space="preserve"> and </w:t>
      </w:r>
      <w:r w:rsidRPr="00197069">
        <w:rPr>
          <w:color w:val="000000" w:themeColor="text1"/>
        </w:rPr>
        <w:t xml:space="preserve">age) were </w:t>
      </w:r>
      <w:r w:rsidR="00BC2E31" w:rsidRPr="00197069">
        <w:rPr>
          <w:color w:val="000000" w:themeColor="text1"/>
        </w:rPr>
        <w:t>associated</w:t>
      </w:r>
      <w:r w:rsidRPr="00197069">
        <w:rPr>
          <w:color w:val="000000" w:themeColor="text1"/>
        </w:rPr>
        <w:t xml:space="preserve"> with any of the body image variables or </w:t>
      </w:r>
      <w:r w:rsidR="00E80A55" w:rsidRPr="00197069">
        <w:rPr>
          <w:color w:val="000000" w:themeColor="text1"/>
        </w:rPr>
        <w:lastRenderedPageBreak/>
        <w:t xml:space="preserve">either of the </w:t>
      </w:r>
      <w:r w:rsidRPr="00197069">
        <w:rPr>
          <w:color w:val="000000" w:themeColor="text1"/>
        </w:rPr>
        <w:t>electrophysiological indices.</w:t>
      </w:r>
      <w:r w:rsidR="00082481">
        <w:rPr>
          <w:color w:val="000000" w:themeColor="text1"/>
        </w:rPr>
        <w:t xml:space="preserve"> Using two-sided tests, there was anecdotal-to-moderate support for the null hypothesis</w:t>
      </w:r>
      <w:r w:rsidR="00E80A55" w:rsidRPr="00197069">
        <w:rPr>
          <w:color w:val="000000" w:themeColor="text1"/>
        </w:rPr>
        <w:t xml:space="preserve"> </w:t>
      </w:r>
      <w:r w:rsidR="00082481">
        <w:rPr>
          <w:color w:val="000000" w:themeColor="text1"/>
        </w:rPr>
        <w:t xml:space="preserve">(i.e., no </w:t>
      </w:r>
      <w:r w:rsidR="006726AA">
        <w:rPr>
          <w:color w:val="000000" w:themeColor="text1"/>
        </w:rPr>
        <w:t>correlation</w:t>
      </w:r>
      <w:r w:rsidR="00082481">
        <w:rPr>
          <w:color w:val="000000" w:themeColor="text1"/>
        </w:rPr>
        <w:t>) for all variables</w:t>
      </w:r>
      <w:r w:rsidR="00E80A55" w:rsidRPr="00197069">
        <w:rPr>
          <w:color w:val="000000" w:themeColor="text1"/>
        </w:rPr>
        <w:t xml:space="preserve"> (all BF</w:t>
      </w:r>
      <w:r w:rsidR="00E80A55" w:rsidRPr="00197069">
        <w:rPr>
          <w:color w:val="000000" w:themeColor="text1"/>
          <w:vertAlign w:val="subscript"/>
        </w:rPr>
        <w:t>10</w:t>
      </w:r>
      <w:r w:rsidR="00E80A55" w:rsidRPr="00197069">
        <w:rPr>
          <w:color w:val="000000" w:themeColor="text1"/>
        </w:rPr>
        <w:t xml:space="preserve"> ≤ 0.90, all </w:t>
      </w:r>
      <w:r w:rsidR="00E80A55" w:rsidRPr="00197069">
        <w:rPr>
          <w:i/>
          <w:iCs/>
          <w:color w:val="000000" w:themeColor="text1"/>
        </w:rPr>
        <w:t>p</w:t>
      </w:r>
      <w:r w:rsidR="00E80A55" w:rsidRPr="00197069">
        <w:rPr>
          <w:color w:val="000000" w:themeColor="text1"/>
        </w:rPr>
        <w:t xml:space="preserve"> values ≥ .081; for full results see Supplementary Table 3). </w:t>
      </w:r>
      <w:r w:rsidR="002F7F93" w:rsidRPr="00197069">
        <w:rPr>
          <w:color w:val="000000" w:themeColor="text1"/>
        </w:rPr>
        <w:t xml:space="preserve">We also computed Bayesian independent samples </w:t>
      </w:r>
      <w:r w:rsidR="002F7F93" w:rsidRPr="00197069">
        <w:rPr>
          <w:i/>
          <w:iCs/>
          <w:color w:val="000000" w:themeColor="text1"/>
        </w:rPr>
        <w:t>t</w:t>
      </w:r>
      <w:r w:rsidR="002F7F93" w:rsidRPr="00197069">
        <w:rPr>
          <w:color w:val="000000" w:themeColor="text1"/>
        </w:rPr>
        <w:t xml:space="preserve">-tests to examine </w:t>
      </w:r>
      <w:r w:rsidR="00AF44E1">
        <w:rPr>
          <w:color w:val="000000" w:themeColor="text1"/>
        </w:rPr>
        <w:t>gender</w:t>
      </w:r>
      <w:r w:rsidR="002F7F93" w:rsidRPr="00197069">
        <w:rPr>
          <w:color w:val="000000" w:themeColor="text1"/>
        </w:rPr>
        <w:t>-differences in all study variables</w:t>
      </w:r>
      <w:r w:rsidR="00764D46">
        <w:rPr>
          <w:color w:val="000000" w:themeColor="text1"/>
        </w:rPr>
        <w:t>, as implemented in JASP using the default effect size priors (</w:t>
      </w:r>
      <w:r w:rsidR="00764D46">
        <w:t xml:space="preserve">a Cauchy distribution centred on an effect size of zero, with a width of </w:t>
      </w:r>
      <w:r w:rsidR="00764D46" w:rsidRPr="0025197A">
        <w:t>0.707</w:t>
      </w:r>
      <w:r w:rsidR="00764D46">
        <w:t>)</w:t>
      </w:r>
      <w:r w:rsidR="002F7F93" w:rsidRPr="00197069">
        <w:rPr>
          <w:color w:val="000000" w:themeColor="text1"/>
        </w:rPr>
        <w:t xml:space="preserve">. </w:t>
      </w:r>
      <w:r w:rsidR="00082481">
        <w:rPr>
          <w:color w:val="000000" w:themeColor="text1"/>
        </w:rPr>
        <w:t>Using two-sided tests, there was anecdotal support for the null hypothesis (i.e., n</w:t>
      </w:r>
      <w:r w:rsidR="00C1568A" w:rsidRPr="00197069">
        <w:rPr>
          <w:color w:val="000000" w:themeColor="text1"/>
        </w:rPr>
        <w:t xml:space="preserve">o </w:t>
      </w:r>
      <w:r w:rsidR="00AF44E1">
        <w:rPr>
          <w:color w:val="000000" w:themeColor="text1"/>
        </w:rPr>
        <w:t>gender</w:t>
      </w:r>
      <w:r w:rsidR="00C1568A" w:rsidRPr="00197069">
        <w:rPr>
          <w:color w:val="000000" w:themeColor="text1"/>
        </w:rPr>
        <w:t>-differences</w:t>
      </w:r>
      <w:r w:rsidR="00082481">
        <w:rPr>
          <w:color w:val="000000" w:themeColor="text1"/>
        </w:rPr>
        <w:t>)</w:t>
      </w:r>
      <w:r w:rsidR="00C1568A" w:rsidRPr="00197069">
        <w:rPr>
          <w:color w:val="000000" w:themeColor="text1"/>
        </w:rPr>
        <w:t xml:space="preserve"> </w:t>
      </w:r>
      <w:r w:rsidR="00082481">
        <w:rPr>
          <w:color w:val="000000" w:themeColor="text1"/>
        </w:rPr>
        <w:t xml:space="preserve">for all variables </w:t>
      </w:r>
      <w:r w:rsidR="00C1568A" w:rsidRPr="00197069">
        <w:rPr>
          <w:color w:val="000000" w:themeColor="text1"/>
        </w:rPr>
        <w:t xml:space="preserve">(all </w:t>
      </w:r>
      <w:r w:rsidR="00197069" w:rsidRPr="00197069">
        <w:rPr>
          <w:color w:val="000000" w:themeColor="text1"/>
        </w:rPr>
        <w:t>BF</w:t>
      </w:r>
      <w:r w:rsidR="00197069" w:rsidRPr="00197069">
        <w:rPr>
          <w:color w:val="000000" w:themeColor="text1"/>
          <w:vertAlign w:val="subscript"/>
        </w:rPr>
        <w:t>10</w:t>
      </w:r>
      <w:r w:rsidR="00197069" w:rsidRPr="00197069">
        <w:rPr>
          <w:color w:val="000000" w:themeColor="text1"/>
        </w:rPr>
        <w:t xml:space="preserve"> ≤ 0.54, all </w:t>
      </w:r>
      <w:r w:rsidR="00197069" w:rsidRPr="00197069">
        <w:rPr>
          <w:i/>
          <w:iCs/>
          <w:color w:val="000000" w:themeColor="text1"/>
        </w:rPr>
        <w:t xml:space="preserve">p </w:t>
      </w:r>
      <w:r w:rsidR="00197069" w:rsidRPr="00197069">
        <w:rPr>
          <w:color w:val="000000" w:themeColor="text1"/>
        </w:rPr>
        <w:t>values ≥ .256; for full results see Supplementary Table 4).</w:t>
      </w:r>
      <w:r w:rsidR="00197069">
        <w:rPr>
          <w:color w:val="000000" w:themeColor="text1"/>
        </w:rPr>
        <w:t xml:space="preserve"> </w:t>
      </w:r>
    </w:p>
    <w:p w14:paraId="7DBD6B82" w14:textId="07A5F751" w:rsidR="00A5594E" w:rsidRDefault="00A5594E" w:rsidP="00366C1C">
      <w:pPr>
        <w:pStyle w:val="Heading1"/>
      </w:pPr>
      <w:r>
        <w:t>4. Discussion</w:t>
      </w:r>
    </w:p>
    <w:p w14:paraId="66D25BC7" w14:textId="5CE2FDE4" w:rsidR="00A5594E" w:rsidRDefault="00A5594E" w:rsidP="00A5594E">
      <w:pPr>
        <w:spacing w:line="480" w:lineRule="auto"/>
        <w:ind w:firstLine="720"/>
      </w:pPr>
      <w:r>
        <w:t xml:space="preserve">In this </w:t>
      </w:r>
      <w:r w:rsidR="0064420A">
        <w:t>study</w:t>
      </w:r>
      <w:r>
        <w:t xml:space="preserve">, </w:t>
      </w:r>
      <w:r w:rsidR="0064420A">
        <w:t>we</w:t>
      </w:r>
      <w:r w:rsidRPr="007F6B3C">
        <w:t xml:space="preserve"> examined associations between </w:t>
      </w:r>
      <w:r>
        <w:t xml:space="preserve">facets of negative and positive </w:t>
      </w:r>
      <w:r w:rsidRPr="007F6B3C">
        <w:t xml:space="preserve">body image and </w:t>
      </w:r>
      <w:r>
        <w:t>two implicit</w:t>
      </w:r>
      <w:r w:rsidRPr="007F6B3C">
        <w:t xml:space="preserve"> components </w:t>
      </w:r>
      <w:r w:rsidRPr="00334FB8">
        <w:t xml:space="preserve">of interoception: the HEP and gastric-alpha PAC. Overall, significant negative associations were identified between the indices of negative body image and the interoception variables; that is, a more negative HEP amplitude in </w:t>
      </w:r>
      <w:r w:rsidR="00474A26" w:rsidRPr="00334FB8">
        <w:t xml:space="preserve">two centroparietal clusters </w:t>
      </w:r>
      <w:r w:rsidRPr="00334FB8">
        <w:t xml:space="preserve">and a lower MI for gastric-alpha PAC in </w:t>
      </w:r>
      <w:r w:rsidR="00474A26" w:rsidRPr="00334FB8">
        <w:t>a</w:t>
      </w:r>
      <w:r w:rsidRPr="00334FB8">
        <w:t xml:space="preserve"> left centroparietal ROI were both associated with greater body shame and weight preoccupation. In contrast, no</w:t>
      </w:r>
      <w:r>
        <w:t xml:space="preserve"> statistically significant associations were identified between the </w:t>
      </w:r>
      <w:r w:rsidR="00C048A4">
        <w:t xml:space="preserve">two markers of </w:t>
      </w:r>
      <w:r>
        <w:t>interocepti</w:t>
      </w:r>
      <w:r w:rsidR="00C048A4">
        <w:t>ve processing</w:t>
      </w:r>
      <w:r>
        <w:t xml:space="preserve"> and the indices of positive body image (i.e., body appreciation and functionality appreciation). </w:t>
      </w:r>
    </w:p>
    <w:p w14:paraId="2F17BD62" w14:textId="7D89A936" w:rsidR="00A5594E" w:rsidRDefault="00A5594E" w:rsidP="00A5594E">
      <w:pPr>
        <w:spacing w:line="480" w:lineRule="auto"/>
        <w:ind w:firstLine="720"/>
        <w:rPr>
          <w:color w:val="000000" w:themeColor="text1"/>
        </w:rPr>
      </w:pPr>
      <w:r w:rsidRPr="00E108FF">
        <w:t xml:space="preserve">The negative body image findings are consistent with </w:t>
      </w:r>
      <w:r w:rsidR="00E108FF" w:rsidRPr="00E108FF">
        <w:t>our</w:t>
      </w:r>
      <w:r w:rsidRPr="00E108FF">
        <w:t xml:space="preserve"> </w:t>
      </w:r>
      <w:r w:rsidR="00E108FF" w:rsidRPr="00E108FF">
        <w:t>hypotheses</w:t>
      </w:r>
      <w:r w:rsidRPr="00E108FF">
        <w:t>. These</w:t>
      </w:r>
      <w:r w:rsidRPr="7588BE62">
        <w:t xml:space="preserve"> findings also extend previous research, which has indicated associations between facets of negative body image and behavioural components of interoception in the cardiac (Ainley &amp; Tsakiris, </w:t>
      </w:r>
      <w:r w:rsidRPr="00AF636D">
        <w:t>2013; Emanuelsen et al., 2014) and gastric</w:t>
      </w:r>
      <w:r w:rsidR="00AC00D6" w:rsidRPr="00AF636D">
        <w:t xml:space="preserve"> domains</w:t>
      </w:r>
      <w:r w:rsidRPr="00AF636D">
        <w:t xml:space="preserve"> (van Dyck et al., 2016;</w:t>
      </w:r>
      <w:r w:rsidR="004D4C5F" w:rsidRPr="00AF636D">
        <w:t xml:space="preserve"> Todd et al., 2020</w:t>
      </w:r>
      <w:r w:rsidRPr="00AF636D">
        <w:t xml:space="preserve">). </w:t>
      </w:r>
      <w:r w:rsidRPr="00AF636D">
        <w:rPr>
          <w:color w:val="000000" w:themeColor="text1"/>
        </w:rPr>
        <w:t>A</w:t>
      </w:r>
      <w:r w:rsidR="00AF636D" w:rsidRPr="00AF636D">
        <w:rPr>
          <w:color w:val="000000" w:themeColor="text1"/>
        </w:rPr>
        <w:t xml:space="preserve">s outlined previously, </w:t>
      </w:r>
      <w:r w:rsidRPr="00AF636D">
        <w:rPr>
          <w:color w:val="000000" w:themeColor="text1"/>
        </w:rPr>
        <w:t>current theorising</w:t>
      </w:r>
      <w:r w:rsidR="00AF636D" w:rsidRPr="00AF636D">
        <w:rPr>
          <w:color w:val="000000" w:themeColor="text1"/>
        </w:rPr>
        <w:t xml:space="preserve"> suggests that</w:t>
      </w:r>
      <w:r w:rsidRPr="00AF636D">
        <w:rPr>
          <w:color w:val="000000" w:themeColor="text1"/>
        </w:rPr>
        <w:t xml:space="preserve"> less accurate interoceptive </w:t>
      </w:r>
      <w:r w:rsidR="004C7FAB" w:rsidRPr="00AF636D">
        <w:rPr>
          <w:color w:val="000000" w:themeColor="text1"/>
        </w:rPr>
        <w:t xml:space="preserve">processing </w:t>
      </w:r>
      <w:r w:rsidRPr="00AF636D">
        <w:rPr>
          <w:color w:val="000000" w:themeColor="text1"/>
        </w:rPr>
        <w:t>could result in exteroceptive</w:t>
      </w:r>
      <w:r w:rsidR="00AF636D" w:rsidRPr="00AF636D">
        <w:rPr>
          <w:color w:val="000000" w:themeColor="text1"/>
        </w:rPr>
        <w:t xml:space="preserve"> </w:t>
      </w:r>
      <w:r w:rsidRPr="00AF636D">
        <w:rPr>
          <w:color w:val="000000" w:themeColor="text1"/>
        </w:rPr>
        <w:t xml:space="preserve">cues being utilised as the primary basis for bodily awareness (Tajadura-Jiménez &amp; Tsakiris, 2014; Tsakiris et al., 2011), which could, in turn, </w:t>
      </w:r>
      <w:r w:rsidRPr="00AF636D">
        <w:rPr>
          <w:color w:val="000000" w:themeColor="text1"/>
        </w:rPr>
        <w:lastRenderedPageBreak/>
        <w:t xml:space="preserve">result in an excessive focus on the </w:t>
      </w:r>
      <w:r w:rsidR="004C7FAB" w:rsidRPr="00AF636D">
        <w:rPr>
          <w:color w:val="000000" w:themeColor="text1"/>
        </w:rPr>
        <w:t xml:space="preserve">outward, </w:t>
      </w:r>
      <w:r w:rsidRPr="00AF636D">
        <w:rPr>
          <w:color w:val="000000" w:themeColor="text1"/>
        </w:rPr>
        <w:t xml:space="preserve">aesthetic characteristics of the body (Badoud &amp; Tsakiris, 2017) and foster negative body image (Frederickson &amp; Roberts, 1997). </w:t>
      </w:r>
      <w:r w:rsidR="004C7FAB" w:rsidRPr="00AF636D">
        <w:rPr>
          <w:color w:val="000000" w:themeColor="text1"/>
        </w:rPr>
        <w:t>We</w:t>
      </w:r>
      <w:r w:rsidR="004C7FAB">
        <w:rPr>
          <w:color w:val="000000" w:themeColor="text1"/>
        </w:rPr>
        <w:t xml:space="preserve"> can a</w:t>
      </w:r>
      <w:r w:rsidRPr="6349EE1B">
        <w:rPr>
          <w:color w:val="000000" w:themeColor="text1"/>
        </w:rPr>
        <w:t>pply this hypothesis to the present HEP findings</w:t>
      </w:r>
      <w:r w:rsidR="004C7FAB">
        <w:rPr>
          <w:color w:val="000000" w:themeColor="text1"/>
        </w:rPr>
        <w:t xml:space="preserve"> in the following way</w:t>
      </w:r>
      <w:r w:rsidR="0021660C">
        <w:rPr>
          <w:color w:val="000000" w:themeColor="text1"/>
        </w:rPr>
        <w:t>.</w:t>
      </w:r>
      <w:r w:rsidR="004C0419">
        <w:rPr>
          <w:color w:val="000000" w:themeColor="text1"/>
        </w:rPr>
        <w:t xml:space="preserve"> P</w:t>
      </w:r>
      <w:r w:rsidRPr="6349EE1B">
        <w:rPr>
          <w:color w:val="000000" w:themeColor="text1"/>
        </w:rPr>
        <w:t xml:space="preserve">revious research has indicated that a lower HEP amplitude is associated with reduced cardiac </w:t>
      </w:r>
      <w:r w:rsidR="004E6708">
        <w:rPr>
          <w:color w:val="000000" w:themeColor="text1"/>
        </w:rPr>
        <w:t>interoceptive accuracy</w:t>
      </w:r>
      <w:r w:rsidRPr="6349EE1B">
        <w:rPr>
          <w:color w:val="000000" w:themeColor="text1"/>
        </w:rPr>
        <w:t xml:space="preserve"> (</w:t>
      </w:r>
      <w:r>
        <w:t>for a recent review and meta-analysis, see Coll et al., 2020</w:t>
      </w:r>
      <w:r w:rsidR="009677DB">
        <w:t>).</w:t>
      </w:r>
      <w:r w:rsidRPr="6349EE1B">
        <w:rPr>
          <w:color w:val="000000" w:themeColor="text1"/>
        </w:rPr>
        <w:t xml:space="preserve"> Furthermore, the </w:t>
      </w:r>
      <w:r>
        <w:rPr>
          <w:color w:val="000000" w:themeColor="text1"/>
        </w:rPr>
        <w:t xml:space="preserve">brain’s processing of cardiac signals that is indexed by the </w:t>
      </w:r>
      <w:r w:rsidRPr="6349EE1B">
        <w:rPr>
          <w:color w:val="000000" w:themeColor="text1"/>
        </w:rPr>
        <w:t xml:space="preserve">HEP has been shown to be functionally relevant for both bodily </w:t>
      </w:r>
      <w:r>
        <w:rPr>
          <w:color w:val="000000" w:themeColor="text1"/>
        </w:rPr>
        <w:t>self-consciou</w:t>
      </w:r>
      <w:r w:rsidRPr="6349EE1B">
        <w:rPr>
          <w:color w:val="000000" w:themeColor="text1"/>
        </w:rPr>
        <w:t>sness (Park et al., 2016</w:t>
      </w:r>
      <w:r>
        <w:rPr>
          <w:color w:val="000000" w:themeColor="text1"/>
        </w:rPr>
        <w:t>; see</w:t>
      </w:r>
      <w:r w:rsidR="00AC00D6">
        <w:rPr>
          <w:color w:val="000000" w:themeColor="text1"/>
        </w:rPr>
        <w:t xml:space="preserve"> also</w:t>
      </w:r>
      <w:r>
        <w:rPr>
          <w:color w:val="000000" w:themeColor="text1"/>
        </w:rPr>
        <w:t xml:space="preserve"> Aspell et al., 2013</w:t>
      </w:r>
      <w:r w:rsidRPr="6349EE1B">
        <w:rPr>
          <w:color w:val="000000" w:themeColor="text1"/>
        </w:rPr>
        <w:t>) and visual perception (Park et al., 2014). As such, a possible mechanism that might explain the present findings is that a lower HEP amplitude</w:t>
      </w:r>
      <w:r>
        <w:rPr>
          <w:color w:val="000000" w:themeColor="text1"/>
        </w:rPr>
        <w:t xml:space="preserve"> may indicate that an individual has a less robust self-representation, which </w:t>
      </w:r>
      <w:r w:rsidRPr="6349EE1B">
        <w:rPr>
          <w:color w:val="000000" w:themeColor="text1"/>
        </w:rPr>
        <w:t xml:space="preserve">is more susceptible to </w:t>
      </w:r>
      <w:r>
        <w:rPr>
          <w:color w:val="000000" w:themeColor="text1"/>
        </w:rPr>
        <w:t xml:space="preserve">the influence of </w:t>
      </w:r>
      <w:r w:rsidRPr="6349EE1B">
        <w:rPr>
          <w:color w:val="000000" w:themeColor="text1"/>
        </w:rPr>
        <w:t xml:space="preserve">exteroceptive visual inputs (Park et al., 2014, 2016). </w:t>
      </w:r>
      <w:r>
        <w:rPr>
          <w:color w:val="000000" w:themeColor="text1"/>
        </w:rPr>
        <w:t>It is also possible that individuals with a less robust self-representation might be more susceptible to broader social influences, such as</w:t>
      </w:r>
      <w:r w:rsidR="00AC00D6">
        <w:rPr>
          <w:color w:val="000000" w:themeColor="text1"/>
        </w:rPr>
        <w:t xml:space="preserve"> pressure to adhere to prescriptive</w:t>
      </w:r>
      <w:r>
        <w:rPr>
          <w:color w:val="000000" w:themeColor="text1"/>
        </w:rPr>
        <w:t xml:space="preserve"> appearance ideals, which in turn foster negative body image</w:t>
      </w:r>
      <w:r w:rsidR="000740ED">
        <w:rPr>
          <w:color w:val="000000" w:themeColor="text1"/>
        </w:rPr>
        <w:t xml:space="preserve"> (Thompson et al., 1999)</w:t>
      </w:r>
      <w:r>
        <w:rPr>
          <w:color w:val="000000" w:themeColor="text1"/>
        </w:rPr>
        <w:t xml:space="preserve">, but this possibility remains to be examined experimentally. </w:t>
      </w:r>
    </w:p>
    <w:p w14:paraId="3CC91525" w14:textId="56EC6897" w:rsidR="00A5594E" w:rsidRPr="004C1C95" w:rsidRDefault="009931C9" w:rsidP="00880C9F">
      <w:pPr>
        <w:spacing w:line="480" w:lineRule="auto"/>
        <w:ind w:firstLine="720"/>
        <w:rPr>
          <w:color w:val="000000" w:themeColor="text1"/>
        </w:rPr>
      </w:pPr>
      <w:r w:rsidRPr="6349EE1B">
        <w:rPr>
          <w:color w:val="000000" w:themeColor="text1"/>
        </w:rPr>
        <w:t xml:space="preserve">Regarding the association between gastric-alpha PAC and negative body image, emerging evidence indicates that </w:t>
      </w:r>
      <w:r>
        <w:rPr>
          <w:color w:val="000000" w:themeColor="text1"/>
        </w:rPr>
        <w:t xml:space="preserve">the stomach and the brain influence each other via bidirectional (i.e., both ascending and descending) pathways (Mayeli et al., 2021; Monti et al., 2021; Rebollo et al., 2018; Richter et al., 2017). </w:t>
      </w:r>
      <w:r w:rsidRPr="6349EE1B">
        <w:rPr>
          <w:color w:val="000000" w:themeColor="text1"/>
        </w:rPr>
        <w:t xml:space="preserve">Specifically, in the initial identification of gastric-alpha PAC, transfer entropy </w:t>
      </w:r>
      <w:r>
        <w:rPr>
          <w:color w:val="000000" w:themeColor="text1"/>
        </w:rPr>
        <w:t xml:space="preserve">analysis </w:t>
      </w:r>
      <w:r w:rsidRPr="6349EE1B">
        <w:rPr>
          <w:color w:val="000000" w:themeColor="text1"/>
        </w:rPr>
        <w:t xml:space="preserve">indicated that gastric-alpha coupling is attributable to an ascending influence from the stomach to the brain (Richter et al., 2017). </w:t>
      </w:r>
      <w:r w:rsidR="00A5594E" w:rsidRPr="6349EE1B">
        <w:rPr>
          <w:color w:val="000000" w:themeColor="text1"/>
        </w:rPr>
        <w:t>In a recent extension of this work, fMRI data indicated that the coupling between the gastric rhythm and resting-state brain dynamics extend</w:t>
      </w:r>
      <w:r w:rsidR="00A5594E">
        <w:rPr>
          <w:color w:val="000000" w:themeColor="text1"/>
        </w:rPr>
        <w:t>ed</w:t>
      </w:r>
      <w:r w:rsidR="00A5594E" w:rsidRPr="6349EE1B">
        <w:rPr>
          <w:color w:val="000000" w:themeColor="text1"/>
        </w:rPr>
        <w:t xml:space="preserve"> across a large cortical network </w:t>
      </w:r>
      <w:r w:rsidR="00880C9F">
        <w:rPr>
          <w:color w:val="000000" w:themeColor="text1"/>
        </w:rPr>
        <w:t>–</w:t>
      </w:r>
      <w:r w:rsidR="00A5594E" w:rsidRPr="6349EE1B">
        <w:rPr>
          <w:color w:val="000000" w:themeColor="text1"/>
        </w:rPr>
        <w:t xml:space="preserve"> the gastric network </w:t>
      </w:r>
      <w:r w:rsidR="00880C9F">
        <w:rPr>
          <w:color w:val="000000" w:themeColor="text1"/>
        </w:rPr>
        <w:t>–</w:t>
      </w:r>
      <w:r w:rsidR="00A5594E" w:rsidRPr="6349EE1B">
        <w:rPr>
          <w:color w:val="000000" w:themeColor="text1"/>
        </w:rPr>
        <w:t xml:space="preserve"> which is </w:t>
      </w:r>
      <w:r w:rsidR="00A5594E" w:rsidRPr="00BD7CBD">
        <w:rPr>
          <w:color w:val="000000" w:themeColor="text1"/>
        </w:rPr>
        <w:t>temporally organised according to the phase of the gastric cycle (Rebollo et al., 2018).</w:t>
      </w:r>
      <w:r w:rsidR="00A5594E" w:rsidRPr="00BD7CBD">
        <w:t xml:space="preserve"> The network comprises multiple regions with convergent functional properties involved in mapping bodily and external space. In particular, it includes several regions of </w:t>
      </w:r>
      <w:r w:rsidR="00A5594E" w:rsidRPr="00BD7CBD">
        <w:lastRenderedPageBreak/>
        <w:t xml:space="preserve">the brain that are known to contain neural representations of body parts, such as the extrastriate body area. As such, it is possible that </w:t>
      </w:r>
      <w:r w:rsidR="00BD7CBD" w:rsidRPr="00BD7CBD">
        <w:t>stronger</w:t>
      </w:r>
      <w:r w:rsidR="00810B6E" w:rsidRPr="00BD7CBD">
        <w:t xml:space="preserve"> </w:t>
      </w:r>
      <w:r w:rsidR="00A5594E" w:rsidRPr="00BD7CBD">
        <w:t xml:space="preserve">ascending gastric inputs </w:t>
      </w:r>
      <w:r w:rsidR="00C93F3C" w:rsidRPr="00BD7CBD">
        <w:t>could</w:t>
      </w:r>
      <w:r w:rsidR="00BD7CBD" w:rsidRPr="00BD7CBD">
        <w:t xml:space="preserve"> be associated with greater (e.g., stronger or more regular) </w:t>
      </w:r>
      <w:r w:rsidR="00C93F3C" w:rsidRPr="00BD7CBD">
        <w:t>activat</w:t>
      </w:r>
      <w:r w:rsidR="00BD7CBD" w:rsidRPr="00BD7CBD">
        <w:t>ion</w:t>
      </w:r>
      <w:r w:rsidR="00C93F3C" w:rsidRPr="00BD7CBD">
        <w:t xml:space="preserve"> </w:t>
      </w:r>
      <w:r w:rsidR="00BD7CBD" w:rsidRPr="00BD7CBD">
        <w:t xml:space="preserve">of </w:t>
      </w:r>
      <w:r w:rsidR="00C93F3C" w:rsidRPr="00BD7CBD">
        <w:t xml:space="preserve">neural representations of the </w:t>
      </w:r>
      <w:r w:rsidR="00A5594E" w:rsidRPr="00BD7CBD">
        <w:t>bod</w:t>
      </w:r>
      <w:r w:rsidR="00C93F3C" w:rsidRPr="00BD7CBD">
        <w:t>y</w:t>
      </w:r>
      <w:r w:rsidR="00BD7CBD" w:rsidRPr="00BD7CBD">
        <w:t>, which could, in turn, be protective against the development of negative body image.</w:t>
      </w:r>
      <w:r w:rsidR="00C93F3C" w:rsidRPr="00BD7CBD">
        <w:t xml:space="preserve"> </w:t>
      </w:r>
      <w:r w:rsidR="00A5594E" w:rsidRPr="00BD7CBD">
        <w:t>A</w:t>
      </w:r>
      <w:r w:rsidR="00A5594E" w:rsidRPr="008C7C25">
        <w:t xml:space="preserve"> weaker connection between the stomach and the brain (i.e., a lower MI for gastric-alpha PAC), could</w:t>
      </w:r>
      <w:r w:rsidR="00BD7CBD">
        <w:t xml:space="preserve"> also</w:t>
      </w:r>
      <w:r w:rsidR="00A5594E" w:rsidRPr="008C7C25">
        <w:t xml:space="preserve"> </w:t>
      </w:r>
      <w:r w:rsidR="00810B6E">
        <w:t>indicate</w:t>
      </w:r>
      <w:r w:rsidR="00A5594E" w:rsidRPr="008C7C25">
        <w:t xml:space="preserve"> a less accurate perception of bodily cues, which could lead to high levels bodily uncertainty (e.g., regarding the perception of hunger and satiety signals). Excessive levels of bodily uncertainty could, in turn, lead to weight- and shape-related anxiety (see Barca &amp; Pezzulo, 2020). </w:t>
      </w:r>
      <w:r w:rsidR="00A5594E" w:rsidRPr="6349EE1B">
        <w:t>However, given the novelty of th</w:t>
      </w:r>
      <w:r w:rsidR="00A5594E">
        <w:t>is</w:t>
      </w:r>
      <w:r w:rsidR="00A5594E" w:rsidRPr="6349EE1B">
        <w:t xml:space="preserve"> field </w:t>
      </w:r>
      <w:r w:rsidR="00A5594E">
        <w:t xml:space="preserve">of research, </w:t>
      </w:r>
      <w:r w:rsidR="00A5594E" w:rsidRPr="008C7C25">
        <w:t xml:space="preserve">these hypotheses </w:t>
      </w:r>
      <w:r w:rsidR="00A5594E">
        <w:t xml:space="preserve">also </w:t>
      </w:r>
      <w:r w:rsidR="00A5594E" w:rsidRPr="008C7C25">
        <w:t>remain</w:t>
      </w:r>
      <w:r w:rsidR="00A5594E" w:rsidRPr="00A00AEF">
        <w:t xml:space="preserve"> to be tested experimentally.</w:t>
      </w:r>
    </w:p>
    <w:p w14:paraId="7021DAA9" w14:textId="7D8BF686" w:rsidR="007B2AB9" w:rsidRDefault="001176D0" w:rsidP="001176D0">
      <w:pPr>
        <w:spacing w:line="480" w:lineRule="auto"/>
        <w:ind w:firstLine="720"/>
        <w:rPr>
          <w:color w:val="000000" w:themeColor="text1"/>
        </w:rPr>
      </w:pPr>
      <w:r w:rsidRPr="001176D0">
        <w:rPr>
          <w:color w:val="000000" w:themeColor="text1"/>
        </w:rPr>
        <w:t xml:space="preserve">The processing of interoceptive signalling is not yet fully understood, with </w:t>
      </w:r>
      <w:r w:rsidR="00CB405F" w:rsidRPr="001176D0">
        <w:rPr>
          <w:color w:val="000000" w:themeColor="text1"/>
        </w:rPr>
        <w:t>domain specific</w:t>
      </w:r>
      <w:r w:rsidRPr="001176D0">
        <w:rPr>
          <w:color w:val="000000" w:themeColor="text1"/>
        </w:rPr>
        <w:t xml:space="preserve"> (Spunt &amp; Adolphs, 2017), functionally coupled (Azzalini et al., 2019), and unitary </w:t>
      </w:r>
      <w:r w:rsidRPr="00F51082">
        <w:rPr>
          <w:color w:val="000000" w:themeColor="text1"/>
        </w:rPr>
        <w:t xml:space="preserve">accounts of interoceptive processing all plausible (Khalsa et al., 2018). </w:t>
      </w:r>
      <w:r w:rsidR="00936AF9" w:rsidRPr="00F51082">
        <w:rPr>
          <w:color w:val="000000" w:themeColor="text1"/>
        </w:rPr>
        <w:t>It is noteworthy that the negative body image findings were consistent across the HEP and gastric-alpha PAC, despite the lack of statistically significant correlations between the two implicit components of interoception</w:t>
      </w:r>
      <w:r w:rsidR="00F51082" w:rsidRPr="00F51082">
        <w:rPr>
          <w:color w:val="000000" w:themeColor="text1"/>
        </w:rPr>
        <w:t xml:space="preserve"> (there was anecdotal-to-moderate evidence in favour of the null hypothesis that the two indices represent distinct processes)</w:t>
      </w:r>
      <w:r w:rsidR="00936AF9" w:rsidRPr="00F51082">
        <w:rPr>
          <w:color w:val="000000" w:themeColor="text1"/>
        </w:rPr>
        <w:t xml:space="preserve">. </w:t>
      </w:r>
      <w:r w:rsidR="00291E9F" w:rsidRPr="00F51082">
        <w:rPr>
          <w:color w:val="000000" w:themeColor="text1"/>
        </w:rPr>
        <w:t xml:space="preserve">Nevertheless, for both interoceptive indices, significant correlations </w:t>
      </w:r>
      <w:r w:rsidR="00F51082" w:rsidRPr="00F51082">
        <w:rPr>
          <w:color w:val="000000" w:themeColor="text1"/>
        </w:rPr>
        <w:t xml:space="preserve">with the negative body image indices </w:t>
      </w:r>
      <w:r w:rsidR="00291E9F" w:rsidRPr="00F51082">
        <w:rPr>
          <w:color w:val="000000" w:themeColor="text1"/>
        </w:rPr>
        <w:t xml:space="preserve">emerged in </w:t>
      </w:r>
      <w:r w:rsidRPr="00F51082">
        <w:rPr>
          <w:color w:val="000000" w:themeColor="text1"/>
        </w:rPr>
        <w:t xml:space="preserve">centroparietal areas. </w:t>
      </w:r>
      <w:r w:rsidR="00724C00" w:rsidRPr="00F51082">
        <w:rPr>
          <w:color w:val="000000" w:themeColor="text1"/>
        </w:rPr>
        <w:t xml:space="preserve">One possible </w:t>
      </w:r>
      <w:r w:rsidR="00724C00" w:rsidRPr="00F51082">
        <w:t xml:space="preserve">interpretation of these present findings is that the processing of cardiac and gastric interoceptive stimuli may be domain-specific, but there is, nonetheless, a generalised association between implicit components of interoception and negative body image, where a weaker connection between the brain and internal organs is associated with a more negative body image. </w:t>
      </w:r>
      <w:r w:rsidR="007B2AB9" w:rsidRPr="00F51082">
        <w:rPr>
          <w:color w:val="000000" w:themeColor="text1"/>
        </w:rPr>
        <w:t>Given the novelty and cross-disciplinary nature of the present</w:t>
      </w:r>
      <w:r w:rsidR="007B2AB9">
        <w:rPr>
          <w:color w:val="000000" w:themeColor="text1"/>
        </w:rPr>
        <w:t xml:space="preserve"> work, and the spatial limitations of EEG</w:t>
      </w:r>
      <w:r w:rsidR="0036196B">
        <w:rPr>
          <w:color w:val="000000" w:themeColor="text1"/>
        </w:rPr>
        <w:t xml:space="preserve">, </w:t>
      </w:r>
      <w:r w:rsidR="007B2AB9">
        <w:rPr>
          <w:color w:val="000000" w:themeColor="text1"/>
        </w:rPr>
        <w:t>it is not possible at present to offer</w:t>
      </w:r>
      <w:r w:rsidR="007B2AB9" w:rsidRPr="001865D5">
        <w:t xml:space="preserve"> </w:t>
      </w:r>
      <w:r w:rsidR="00724C00">
        <w:t xml:space="preserve">more </w:t>
      </w:r>
      <w:r w:rsidR="007B2AB9" w:rsidRPr="001865D5">
        <w:t xml:space="preserve">in-depth theorising as to why </w:t>
      </w:r>
      <w:r w:rsidR="007B2AB9">
        <w:t>significant clusters were identified in some regions but not others</w:t>
      </w:r>
      <w:r w:rsidR="00B17B25">
        <w:t xml:space="preserve">, or to better </w:t>
      </w:r>
      <w:r w:rsidR="00FB77AE">
        <w:t xml:space="preserve">examine </w:t>
      </w:r>
      <w:r w:rsidR="00FB77AE">
        <w:lastRenderedPageBreak/>
        <w:t>the overlap between the two interoceptive indices</w:t>
      </w:r>
      <w:r w:rsidR="007B2AB9">
        <w:t>.</w:t>
      </w:r>
      <w:r w:rsidR="007B2AB9">
        <w:rPr>
          <w:color w:val="000000" w:themeColor="text1"/>
        </w:rPr>
        <w:t xml:space="preserve"> F</w:t>
      </w:r>
      <w:r w:rsidR="007B2AB9" w:rsidRPr="003B7BCC">
        <w:rPr>
          <w:color w:val="000000" w:themeColor="text1"/>
        </w:rPr>
        <w:t xml:space="preserve">uture research </w:t>
      </w:r>
      <w:r w:rsidR="007B2AB9">
        <w:rPr>
          <w:color w:val="000000" w:themeColor="text1"/>
        </w:rPr>
        <w:t>could seek to address this issue using imaging techniques such as fMRI, which can more</w:t>
      </w:r>
      <w:r w:rsidR="007B2AB9" w:rsidRPr="003B7BCC">
        <w:rPr>
          <w:color w:val="000000" w:themeColor="text1"/>
        </w:rPr>
        <w:t xml:space="preserve"> accurately localise the </w:t>
      </w:r>
      <w:r w:rsidR="007B2AB9">
        <w:rPr>
          <w:color w:val="000000" w:themeColor="text1"/>
        </w:rPr>
        <w:t xml:space="preserve">neural correlates for the </w:t>
      </w:r>
      <w:r w:rsidR="007B2AB9" w:rsidRPr="003B7BCC">
        <w:rPr>
          <w:color w:val="000000" w:themeColor="text1"/>
        </w:rPr>
        <w:t xml:space="preserve">associations between </w:t>
      </w:r>
      <w:r w:rsidR="007B2AB9">
        <w:rPr>
          <w:color w:val="000000" w:themeColor="text1"/>
        </w:rPr>
        <w:t xml:space="preserve">facets of </w:t>
      </w:r>
      <w:r w:rsidR="007B2AB9" w:rsidRPr="003B7BCC">
        <w:rPr>
          <w:color w:val="000000" w:themeColor="text1"/>
        </w:rPr>
        <w:t>negative body image</w:t>
      </w:r>
      <w:r w:rsidR="007B2AB9">
        <w:rPr>
          <w:color w:val="000000" w:themeColor="text1"/>
        </w:rPr>
        <w:t xml:space="preserve"> and the </w:t>
      </w:r>
      <w:r w:rsidR="007B2AB9" w:rsidRPr="003B7BCC">
        <w:rPr>
          <w:color w:val="000000" w:themeColor="text1"/>
        </w:rPr>
        <w:t>HEP and gastric-alpha PAC</w:t>
      </w:r>
      <w:r w:rsidR="007B2AB9">
        <w:rPr>
          <w:color w:val="000000" w:themeColor="text1"/>
        </w:rPr>
        <w:t>, respectively (e.g., building upon the procedure described by Rebollo et al., 2018)</w:t>
      </w:r>
      <w:r w:rsidR="007B2AB9" w:rsidRPr="003B7BCC">
        <w:rPr>
          <w:color w:val="000000" w:themeColor="text1"/>
        </w:rPr>
        <w:t>.</w:t>
      </w:r>
      <w:r w:rsidR="00516890">
        <w:rPr>
          <w:color w:val="000000" w:themeColor="text1"/>
        </w:rPr>
        <w:t xml:space="preserve"> </w:t>
      </w:r>
    </w:p>
    <w:p w14:paraId="254E0373" w14:textId="278C63E0" w:rsidR="004B2AC9" w:rsidRPr="00211255" w:rsidRDefault="004B2AC9" w:rsidP="00880C9F">
      <w:pPr>
        <w:spacing w:line="480" w:lineRule="auto"/>
        <w:ind w:firstLine="720"/>
        <w:rPr>
          <w:color w:val="000000" w:themeColor="text1"/>
        </w:rPr>
      </w:pPr>
      <w:r w:rsidRPr="00B07E81">
        <w:t>In contrast to the negative body image findings, the positive body image findings were not consistent</w:t>
      </w:r>
      <w:r w:rsidR="00B07E81" w:rsidRPr="00B07E81">
        <w:t xml:space="preserve"> with our expectations</w:t>
      </w:r>
      <w:r w:rsidRPr="00B07E81">
        <w:t xml:space="preserve">. This finding could stem from the divergence between the constructs of positive and negative body image: while negative body image and positive body image are often negatively correlated </w:t>
      </w:r>
      <w:r w:rsidR="00880C9F" w:rsidRPr="00B07E81">
        <w:rPr>
          <w:color w:val="000000" w:themeColor="text1"/>
        </w:rPr>
        <w:t>–</w:t>
      </w:r>
      <w:r w:rsidRPr="00B07E81">
        <w:rPr>
          <w:color w:val="000000" w:themeColor="text1"/>
        </w:rPr>
        <w:t xml:space="preserve"> indeed,</w:t>
      </w:r>
      <w:r w:rsidRPr="00B07E81">
        <w:t xml:space="preserve"> in the present study correlations between the positive and negative body image indices ranged from </w:t>
      </w:r>
      <w:r w:rsidRPr="00B07E81">
        <w:rPr>
          <w:i/>
          <w:iCs/>
        </w:rPr>
        <w:t xml:space="preserve">r </w:t>
      </w:r>
      <w:r w:rsidRPr="00B07E81">
        <w:t xml:space="preserve">= -.05 to -.46 (see Supplementary Table 2) </w:t>
      </w:r>
      <w:r w:rsidR="00880C9F" w:rsidRPr="00B07E81">
        <w:rPr>
          <w:color w:val="000000" w:themeColor="text1"/>
        </w:rPr>
        <w:t>–</w:t>
      </w:r>
      <w:r w:rsidRPr="00B07E81">
        <w:rPr>
          <w:color w:val="000000" w:themeColor="text1"/>
        </w:rPr>
        <w:t xml:space="preserve"> </w:t>
      </w:r>
      <w:r w:rsidRPr="00B07E81">
        <w:t>the two constructs are also theoretically distinct (Tylka, 2018). For example, they have been associated with outcome variables in unique ways (e.g., Davis et al., 2019; Gillen, 2015; Thomas &amp; Warren-Findlow, 2019). It is possible that the implicit</w:t>
      </w:r>
      <w:r>
        <w:t xml:space="preserve"> components of interoception are associated with negative body image because there is an emphasis on the appearance of physical characteristics of the body (e.g., body size, shape, and weight) within the negative body image construct,</w:t>
      </w:r>
      <w:r>
        <w:rPr>
          <w:color w:val="000000" w:themeColor="text1"/>
        </w:rPr>
        <w:t xml:space="preserve"> </w:t>
      </w:r>
      <w:r>
        <w:t xml:space="preserve">particularly within the facets of body shame and weight preoccupation (Cash, 2000; </w:t>
      </w:r>
      <w:r w:rsidRPr="00B228BD">
        <w:t>McKinley &amp; Hyde, 1996</w:t>
      </w:r>
      <w:r>
        <w:t xml:space="preserve">). Conversely, there is a wider focus on ‘holistic’ </w:t>
      </w:r>
      <w:r w:rsidR="00880C9F">
        <w:t>body-self relations</w:t>
      </w:r>
      <w:r>
        <w:t xml:space="preserve"> within the positive body image construct, which might include aspects of appearance that are less likely to be based on the physiological condition of the body, such as </w:t>
      </w:r>
      <w:r w:rsidR="00880C9F">
        <w:t>attitudes of corporeal self-care</w:t>
      </w:r>
      <w:r>
        <w:t xml:space="preserve"> or unique body characteristics. </w:t>
      </w:r>
    </w:p>
    <w:p w14:paraId="18689C38" w14:textId="77451E2E" w:rsidR="00CF1EA4" w:rsidRPr="004B2AC9" w:rsidRDefault="004B2AC9" w:rsidP="004B2AC9">
      <w:pPr>
        <w:spacing w:line="480" w:lineRule="auto"/>
        <w:ind w:firstLine="720"/>
        <w:rPr>
          <w:color w:val="000000" w:themeColor="text1"/>
        </w:rPr>
      </w:pPr>
      <w:r w:rsidRPr="002F13C3">
        <w:rPr>
          <w:color w:val="000000" w:themeColor="text1"/>
        </w:rPr>
        <w:t xml:space="preserve">Consequently, an important direction for future research is to examine the multi-level interactions between components of interoception and facets of </w:t>
      </w:r>
      <w:r w:rsidR="00B0244C">
        <w:rPr>
          <w:color w:val="000000" w:themeColor="text1"/>
        </w:rPr>
        <w:t xml:space="preserve">body image </w:t>
      </w:r>
      <w:r w:rsidRPr="002F13C3">
        <w:rPr>
          <w:color w:val="000000" w:themeColor="text1"/>
        </w:rPr>
        <w:t xml:space="preserve">simultaneously. Such research will help to determine the relative contribution of different components of interoception to facets of body image. </w:t>
      </w:r>
      <w:r w:rsidRPr="002F13C3">
        <w:t xml:space="preserve">The implicit components of interoception under </w:t>
      </w:r>
      <w:r w:rsidRPr="002F13C3">
        <w:lastRenderedPageBreak/>
        <w:t xml:space="preserve">examination within the present work can be considered as markers of low-level processing (Azzalini et al., 2019), but positive body image encompasses many components that are contingent upon higher-order processing skills, such as filtering incoming information in a body-protective manner (Wood-Barcalow et al., 2010). Correspondingly, previous research has identified associations between facets of positive body image and components of interoception that are also contingent upon higher-order (top down) processing, such as the interoceptive sensibility facets of body trust and attention regulation measured by the Multidimensional Assessment of Interoceptive Awareness (Todd et al., 2019a, 2019b). </w:t>
      </w:r>
      <w:r w:rsidRPr="002F13C3">
        <w:rPr>
          <w:color w:val="000000" w:themeColor="text1"/>
        </w:rPr>
        <w:t xml:space="preserve">In contrast, the findings from the present work and previous research indicate that </w:t>
      </w:r>
      <w:r w:rsidRPr="002F13C3">
        <w:t>behavioural and implicit components of interoception have small-to-large inverse associations with facets of negative body image, but small-to-negligible associations with facets of positive body image (e.g., Badoud &amp; Tsakiris, 2017; Todd et al., 2019a, 2019b, 2020).</w:t>
      </w:r>
    </w:p>
    <w:p w14:paraId="078C1969" w14:textId="36144D01" w:rsidR="00516890" w:rsidRDefault="00B0244C" w:rsidP="00B0244C">
      <w:pPr>
        <w:spacing w:line="480" w:lineRule="auto"/>
        <w:ind w:firstLine="720"/>
      </w:pPr>
      <w:r>
        <w:t xml:space="preserve">Given that the present results are novel, a future pre-registered replication is necessary to confirm the findings. </w:t>
      </w:r>
      <w:r w:rsidR="0021660C">
        <w:t>T</w:t>
      </w:r>
      <w:r w:rsidR="00A5594E" w:rsidRPr="005C5E7F">
        <w:t xml:space="preserve">he present work </w:t>
      </w:r>
      <w:r w:rsidR="0021660C">
        <w:t xml:space="preserve">was </w:t>
      </w:r>
      <w:r>
        <w:t xml:space="preserve">also </w:t>
      </w:r>
      <w:r w:rsidR="0021660C">
        <w:t xml:space="preserve">limited by the fact </w:t>
      </w:r>
      <w:r w:rsidR="00A5594E">
        <w:t xml:space="preserve">that the present sample was homogenous in terms of both national identity and handedness, and there </w:t>
      </w:r>
      <w:r w:rsidR="0022720F">
        <w:t>w</w:t>
      </w:r>
      <w:r w:rsidR="00CA2F65">
        <w:t>as</w:t>
      </w:r>
      <w:r w:rsidR="0022720F">
        <w:t xml:space="preserve"> </w:t>
      </w:r>
      <w:r w:rsidR="00A5594E">
        <w:t xml:space="preserve">relatively </w:t>
      </w:r>
      <w:r w:rsidR="00CA2F65">
        <w:t>small variance in the data for age and BMI</w:t>
      </w:r>
      <w:r w:rsidR="00A5594E">
        <w:t xml:space="preserve">. </w:t>
      </w:r>
      <w:r w:rsidR="00516890">
        <w:t xml:space="preserve">Future research should seek to examine </w:t>
      </w:r>
      <w:r w:rsidR="00A5594E">
        <w:t>whether the findings from the present study</w:t>
      </w:r>
      <w:r w:rsidR="00516890">
        <w:t xml:space="preserve"> can be replicated in larger samples and generalised to other groups, including</w:t>
      </w:r>
      <w:r w:rsidR="00A5594E">
        <w:t xml:space="preserve"> more diverse population</w:t>
      </w:r>
      <w:r w:rsidR="00332F95">
        <w:t xml:space="preserve"> segments</w:t>
      </w:r>
      <w:r w:rsidR="00A5594E">
        <w:t xml:space="preserve"> </w:t>
      </w:r>
      <w:r w:rsidR="00516890">
        <w:t>and</w:t>
      </w:r>
      <w:r w:rsidR="00A5594E">
        <w:t xml:space="preserve"> clinical groups. For example, EGG parameters are different for individuals with higher BMI values, and are altered by several medications (for a review, see Wolpert et al., 2020).</w:t>
      </w:r>
      <w:r w:rsidR="007B2AB9">
        <w:t xml:space="preserve"> </w:t>
      </w:r>
      <w:r>
        <w:t>An additional limitation is the</w:t>
      </w:r>
      <w:r w:rsidR="00AF44E1">
        <w:t xml:space="preserve"> inadvertent</w:t>
      </w:r>
      <w:r>
        <w:t xml:space="preserve"> change to the response </w:t>
      </w:r>
      <w:r w:rsidR="00AF44E1">
        <w:t xml:space="preserve">scale </w:t>
      </w:r>
      <w:r>
        <w:t xml:space="preserve">for the Body Shame </w:t>
      </w:r>
      <w:r w:rsidR="00AF44E1">
        <w:t>sub</w:t>
      </w:r>
      <w:r>
        <w:t xml:space="preserve">scale </w:t>
      </w:r>
      <w:r w:rsidR="00E108FF">
        <w:t xml:space="preserve">(i.e., from a 7-point to a 5-point scale). While alpha coefficients are comparable across the present and previous work, it is possible that the adjusted response options </w:t>
      </w:r>
      <w:r w:rsidR="00E108FF" w:rsidRPr="00E108FF">
        <w:t xml:space="preserve">may have resulted in </w:t>
      </w:r>
      <w:r w:rsidR="00AF44E1">
        <w:t xml:space="preserve">biased </w:t>
      </w:r>
      <w:r w:rsidR="00E108FF" w:rsidRPr="00E108FF">
        <w:t>respon</w:t>
      </w:r>
      <w:r w:rsidR="00AF44E1">
        <w:t>ding</w:t>
      </w:r>
      <w:r w:rsidR="00E108FF" w:rsidRPr="00E108FF">
        <w:t xml:space="preserve"> (</w:t>
      </w:r>
      <w:r w:rsidR="00AF44E1">
        <w:t>e.g.</w:t>
      </w:r>
      <w:r w:rsidR="00E108FF" w:rsidRPr="00E108FF">
        <w:t>, disproportionate select</w:t>
      </w:r>
      <w:r w:rsidR="00AF44E1">
        <w:t>ion of</w:t>
      </w:r>
      <w:r w:rsidR="00E108FF" w:rsidRPr="00E108FF">
        <w:t xml:space="preserve"> a subset of response options; see Baumgartner &amp; </w:t>
      </w:r>
      <w:r w:rsidR="00E108FF" w:rsidRPr="00E108FF">
        <w:lastRenderedPageBreak/>
        <w:t>Steenkamp, 2001; Baumgartner &amp; Weijters, 2015).</w:t>
      </w:r>
      <w:r w:rsidR="00E108FF">
        <w:t xml:space="preserve"> Future replications should seek to examine whether the present findings can be replicated with the 7-point scale. </w:t>
      </w:r>
    </w:p>
    <w:p w14:paraId="3641E6D6" w14:textId="3D0A7CA1" w:rsidR="00E87D90" w:rsidRDefault="00CA2F65">
      <w:pPr>
        <w:spacing w:line="480" w:lineRule="auto"/>
        <w:ind w:firstLine="720"/>
      </w:pPr>
      <w:r>
        <w:t>F</w:t>
      </w:r>
      <w:r w:rsidR="007B2AB9">
        <w:t>urthermore</w:t>
      </w:r>
      <w:r w:rsidR="00A5594E">
        <w:t xml:space="preserve">, it was not possible to determine whether </w:t>
      </w:r>
      <w:r w:rsidR="00A5594E" w:rsidRPr="00565D7C">
        <w:t xml:space="preserve">causal relationships </w:t>
      </w:r>
      <w:r w:rsidR="00A5594E">
        <w:t xml:space="preserve">exist </w:t>
      </w:r>
      <w:r w:rsidR="00A5594E" w:rsidRPr="00565D7C">
        <w:t xml:space="preserve">between </w:t>
      </w:r>
      <w:r w:rsidR="00A5594E">
        <w:t xml:space="preserve">implicit components of </w:t>
      </w:r>
      <w:r w:rsidR="00A5594E" w:rsidRPr="00565D7C">
        <w:t xml:space="preserve">interoception and </w:t>
      </w:r>
      <w:r w:rsidR="00A5594E">
        <w:t xml:space="preserve">facets of </w:t>
      </w:r>
      <w:r w:rsidR="00A5594E" w:rsidRPr="00565D7C">
        <w:t>body image</w:t>
      </w:r>
      <w:r w:rsidR="00A5594E">
        <w:t xml:space="preserve"> due to the correlational design employed in the present study.</w:t>
      </w:r>
      <w:r w:rsidR="0021660C">
        <w:t xml:space="preserve"> </w:t>
      </w:r>
      <w:r w:rsidR="00A5594E">
        <w:t>Indeed, it is possible that the associations identified in the present work are mediated by other factors. For example, the HEP has been associated with various psychological disorders (for reviews, see Coll et al., 2020; Park &amp; Blanke, 2019), including generalised anxiety disorder (Pang et al., 2019) and depression (Terhaar et al., 2012). Specifically, HEP amplitude has been found to be significantly smaller for</w:t>
      </w:r>
      <w:r w:rsidR="00332F95">
        <w:t xml:space="preserve"> patients with</w:t>
      </w:r>
      <w:r w:rsidR="00A5594E">
        <w:t xml:space="preserve"> depress</w:t>
      </w:r>
      <w:r w:rsidR="00332F95">
        <w:t>ion</w:t>
      </w:r>
      <w:r w:rsidR="00A5594E">
        <w:t xml:space="preserve"> in comparison to health matched controls (</w:t>
      </w:r>
      <w:r w:rsidR="00A5594E" w:rsidRPr="00CA368A">
        <w:t>η</w:t>
      </w:r>
      <w:r w:rsidR="00A5594E" w:rsidRPr="00CA368A">
        <w:rPr>
          <w:vertAlign w:val="superscript"/>
        </w:rPr>
        <w:t>2</w:t>
      </w:r>
      <w:r w:rsidR="00A5594E" w:rsidRPr="00CA368A">
        <w:t xml:space="preserve"> = 0.18</w:t>
      </w:r>
      <w:r w:rsidR="00A5594E">
        <w:t xml:space="preserve">; Terhaar et al., 2012), and a more negative HEP amplitude has been associated </w:t>
      </w:r>
      <w:r w:rsidR="00BE5654">
        <w:t xml:space="preserve">with </w:t>
      </w:r>
      <w:r w:rsidR="00A5594E">
        <w:t xml:space="preserve">greater severity of anxiety symptoms (Pang et al., 2019). Therefore, </w:t>
      </w:r>
      <w:r w:rsidR="00A5594E" w:rsidRPr="007D0D69">
        <w:t xml:space="preserve">while a previous diagnosis of a </w:t>
      </w:r>
      <w:r w:rsidR="00A5594E" w:rsidRPr="007D0D69">
        <w:rPr>
          <w:color w:val="000000"/>
        </w:rPr>
        <w:t xml:space="preserve">neurological or psychiatric condition </w:t>
      </w:r>
      <w:r w:rsidR="0090141A">
        <w:rPr>
          <w:color w:val="000000"/>
        </w:rPr>
        <w:t>were</w:t>
      </w:r>
      <w:r w:rsidR="00A5594E" w:rsidRPr="007D0D69">
        <w:rPr>
          <w:color w:val="000000"/>
        </w:rPr>
        <w:t xml:space="preserve"> exclusion criteria,</w:t>
      </w:r>
      <w:r w:rsidR="00A5594E">
        <w:rPr>
          <w:color w:val="000000"/>
        </w:rPr>
        <w:t xml:space="preserve"> </w:t>
      </w:r>
      <w:r w:rsidR="00A5594E">
        <w:t>it is possible that sub-clinical depression and anxiety symptomology could account for some of the variance in the negative association between HEP amplitude and negative body image, and future work should seek to examine this possibil</w:t>
      </w:r>
      <w:r w:rsidR="00A5594E" w:rsidRPr="003D19D8">
        <w:t xml:space="preserve">ity. </w:t>
      </w:r>
      <w:r w:rsidR="007D1E1C" w:rsidRPr="003D19D8">
        <w:t xml:space="preserve">Our exclusion criteria did not include the presence of </w:t>
      </w:r>
      <w:r w:rsidR="0090141A" w:rsidRPr="003D19D8">
        <w:t>pronounced</w:t>
      </w:r>
      <w:r w:rsidR="007D1E1C" w:rsidRPr="003D19D8">
        <w:t xml:space="preserve"> alexithymic or autistic traits and it is possible that these could also explain some variance in the associations</w:t>
      </w:r>
      <w:r w:rsidR="0031274C" w:rsidRPr="003D19D8">
        <w:t xml:space="preserve"> between measures. </w:t>
      </w:r>
      <w:r w:rsidR="000D44ED" w:rsidRPr="003D19D8">
        <w:t>Higher alexyth</w:t>
      </w:r>
      <w:r w:rsidR="00EF7D55" w:rsidRPr="003D19D8">
        <w:t>y</w:t>
      </w:r>
      <w:r w:rsidR="000D44ED" w:rsidRPr="003D19D8">
        <w:t xml:space="preserve">mia is associated with more negative body image </w:t>
      </w:r>
      <w:r w:rsidR="00B557CA" w:rsidRPr="003D19D8">
        <w:t>(</w:t>
      </w:r>
      <w:r w:rsidR="00BD0B55" w:rsidRPr="003D19D8">
        <w:t>DeBerardis et al., 2007) a</w:t>
      </w:r>
      <w:r w:rsidR="000D44ED" w:rsidRPr="003D19D8">
        <w:t xml:space="preserve">nd autistic traits </w:t>
      </w:r>
      <w:r w:rsidR="00BD0B55" w:rsidRPr="003D19D8">
        <w:t>have been</w:t>
      </w:r>
      <w:r w:rsidR="000D44ED" w:rsidRPr="003D19D8">
        <w:t xml:space="preserve"> linked with eating disorder symptoms</w:t>
      </w:r>
      <w:r w:rsidR="002C4F19" w:rsidRPr="003D19D8">
        <w:t xml:space="preserve"> (Huke et al., 2013). Moreover, there is growing evidence for links between alex</w:t>
      </w:r>
      <w:r w:rsidR="00235A9B" w:rsidRPr="003D19D8">
        <w:t>i</w:t>
      </w:r>
      <w:r w:rsidR="002C4F19" w:rsidRPr="003D19D8">
        <w:t>th</w:t>
      </w:r>
      <w:r w:rsidR="00235A9B" w:rsidRPr="003D19D8">
        <w:t>y</w:t>
      </w:r>
      <w:r w:rsidR="002C4F19" w:rsidRPr="003D19D8">
        <w:t>mia, autistic traits</w:t>
      </w:r>
      <w:r w:rsidR="00AF44E1">
        <w:t>,</w:t>
      </w:r>
      <w:r w:rsidR="002C4F19" w:rsidRPr="003D19D8">
        <w:t xml:space="preserve"> and interoception (e.g.</w:t>
      </w:r>
      <w:r w:rsidR="00AF44E1">
        <w:t>,</w:t>
      </w:r>
      <w:r w:rsidR="002C4F19" w:rsidRPr="003D19D8">
        <w:t xml:space="preserve"> Shah</w:t>
      </w:r>
      <w:r w:rsidR="00360849" w:rsidRPr="003D19D8">
        <w:t xml:space="preserve"> et al., 2016;</w:t>
      </w:r>
      <w:r w:rsidR="002C4F19" w:rsidRPr="003D19D8">
        <w:t xml:space="preserve"> Mul et al., 2018</w:t>
      </w:r>
      <w:r w:rsidR="00DE4729" w:rsidRPr="003D19D8">
        <w:t>; Zam</w:t>
      </w:r>
      <w:r w:rsidR="0009042B" w:rsidRPr="003D19D8">
        <w:t>ariola et al., 2018</w:t>
      </w:r>
      <w:r w:rsidR="002C4F19" w:rsidRPr="003D19D8">
        <w:t>)</w:t>
      </w:r>
      <w:r w:rsidR="00EE09E1" w:rsidRPr="003D19D8">
        <w:t>, and between alexithymia, interoceptive sensibility, and negative body image (Pink et al., 2021)</w:t>
      </w:r>
      <w:r w:rsidR="007E35B1" w:rsidRPr="003D19D8">
        <w:t>.</w:t>
      </w:r>
      <w:r w:rsidR="004523DE" w:rsidRPr="003D19D8">
        <w:t xml:space="preserve"> Future studies could ascertain whether there are associations between body image and interoception measures</w:t>
      </w:r>
      <w:r w:rsidR="00EF7D55" w:rsidRPr="003D19D8">
        <w:t xml:space="preserve"> are </w:t>
      </w:r>
      <w:r w:rsidR="00014FA8" w:rsidRPr="003D19D8">
        <w:t>moderated by the presence of alexithymic and/or autistic traits.</w:t>
      </w:r>
      <w:r w:rsidR="00AF44E1">
        <w:t xml:space="preserve"> </w:t>
      </w:r>
      <w:r w:rsidR="0090141A">
        <w:t>F</w:t>
      </w:r>
      <w:r w:rsidR="00A5594E" w:rsidRPr="00C048AA">
        <w:t xml:space="preserve">uture experimental work is also required to </w:t>
      </w:r>
      <w:r w:rsidR="00A5594E">
        <w:t xml:space="preserve">determine </w:t>
      </w:r>
      <w:r w:rsidR="00A5594E">
        <w:lastRenderedPageBreak/>
        <w:t xml:space="preserve">whether the </w:t>
      </w:r>
      <w:r w:rsidR="00A5594E" w:rsidRPr="00C048AA">
        <w:t>ability to divide attention across interoceptive and exteroceptive stimuli</w:t>
      </w:r>
      <w:r w:rsidR="00A5594E">
        <w:t xml:space="preserve"> has a direct impact on body image</w:t>
      </w:r>
      <w:r w:rsidR="00A5594E" w:rsidRPr="00C048AA">
        <w:t xml:space="preserve">. This work could be initiated with the use of </w:t>
      </w:r>
      <w:r w:rsidR="00A5594E">
        <w:t>tasks that force participants to switch between focusing on interoceptive stimuli (e.g., counting heartbeats) and exteroceptive stimuli (e.g., counting auditory tones, or taps on the skin</w:t>
      </w:r>
      <w:r w:rsidR="00D2280E">
        <w:t xml:space="preserve">; for an example, see </w:t>
      </w:r>
      <w:r w:rsidR="007951E9" w:rsidRPr="00827F27">
        <w:t>Petzschner</w:t>
      </w:r>
      <w:r w:rsidR="007951E9">
        <w:t xml:space="preserve"> et al., </w:t>
      </w:r>
      <w:r w:rsidR="004A4FD0">
        <w:t>2019).</w:t>
      </w:r>
    </w:p>
    <w:p w14:paraId="199112BF" w14:textId="565C0EF1" w:rsidR="00A5594E" w:rsidRPr="00606A4C" w:rsidRDefault="00A5594E" w:rsidP="00A5594E">
      <w:pPr>
        <w:spacing w:line="480" w:lineRule="auto"/>
        <w:ind w:firstLine="720"/>
      </w:pPr>
      <w:r>
        <w:t>In summ</w:t>
      </w:r>
      <w:r w:rsidR="00CF1EA4">
        <w:t>ary</w:t>
      </w:r>
      <w:r>
        <w:t xml:space="preserve">, </w:t>
      </w:r>
      <w:r w:rsidRPr="005354A4">
        <w:t>the present work</w:t>
      </w:r>
      <w:r>
        <w:t xml:space="preserve"> </w:t>
      </w:r>
      <w:r w:rsidRPr="15005BB5">
        <w:t xml:space="preserve">provides novel evidence of significant associations between </w:t>
      </w:r>
      <w:r>
        <w:t xml:space="preserve">implicit components of cardiac and gastric interoception </w:t>
      </w:r>
      <w:r w:rsidRPr="15005BB5">
        <w:t>and facets of negative body image. However, neither of the interoception measures were</w:t>
      </w:r>
      <w:r>
        <w:t xml:space="preserve"> significantly associated with </w:t>
      </w:r>
      <w:r w:rsidRPr="005354A4">
        <w:t>facets o</w:t>
      </w:r>
      <w:r>
        <w:t xml:space="preserve">f </w:t>
      </w:r>
      <w:r w:rsidRPr="15005BB5">
        <w:t>positive body image.</w:t>
      </w:r>
      <w:r>
        <w:t xml:space="preserve"> </w:t>
      </w:r>
      <w:r w:rsidRPr="7588BE62">
        <w:t>When considered within the context of the extant literature, the present findings indicate that the associations between interoception and affective components of negative body image are present across different hierarchical levels of interoceptive processing: from bottom-up, subconscious visceral-afferent signal trans</w:t>
      </w:r>
      <w:r>
        <w:t>missio</w:t>
      </w:r>
      <w:r w:rsidRPr="7588BE62">
        <w:t xml:space="preserve">n to consciously experienced components, such as heart </w:t>
      </w:r>
      <w:r w:rsidR="0022720F">
        <w:t>beats</w:t>
      </w:r>
      <w:r w:rsidR="0022720F" w:rsidRPr="7588BE62">
        <w:t xml:space="preserve"> </w:t>
      </w:r>
      <w:r w:rsidRPr="7588BE62">
        <w:t>and satiety (</w:t>
      </w:r>
      <w:r>
        <w:t xml:space="preserve">e.g., </w:t>
      </w:r>
      <w:r w:rsidRPr="7588BE62">
        <w:t xml:space="preserve">Ainley &amp; Tsakiris, 2013; Emanuelsen et al., 2014; </w:t>
      </w:r>
      <w:r w:rsidR="00A46177">
        <w:t>Todd et al., 2020</w:t>
      </w:r>
      <w:r w:rsidR="00AF44E1">
        <w:t xml:space="preserve">; </w:t>
      </w:r>
      <w:r w:rsidR="00AF44E1" w:rsidRPr="7588BE62">
        <w:t>van Dyck et al., 2016</w:t>
      </w:r>
      <w:r w:rsidRPr="7588BE62">
        <w:t>), to top-down regulatory elements of interoceptive attention, such as body trust (</w:t>
      </w:r>
      <w:r>
        <w:t xml:space="preserve">e.g., </w:t>
      </w:r>
      <w:r w:rsidR="00A46177">
        <w:t>Todd et al., 2019a, 2019b).</w:t>
      </w:r>
    </w:p>
    <w:p w14:paraId="4BCB82E1" w14:textId="19E482E4" w:rsidR="007A3B49" w:rsidRPr="00366C1C" w:rsidRDefault="006F4B38" w:rsidP="00366C1C">
      <w:pPr>
        <w:spacing w:line="480" w:lineRule="auto"/>
        <w:ind w:firstLine="720"/>
      </w:pPr>
      <w:r>
        <w:t xml:space="preserve">Levels of body dissatisfaction are commonplace in high socioeconomic status settings internationally (Swami et al., 2010). </w:t>
      </w:r>
      <w:r w:rsidR="00A5594E">
        <w:t>The identification of associations between HEP, gastric-alpha PAC, and facets of negative body image could have important clinical applications. For example, the HEP and gastric-alpha PAC both have potential to serve as biomarkers</w:t>
      </w:r>
      <w:r w:rsidR="00CA2F65">
        <w:t xml:space="preserve"> </w:t>
      </w:r>
      <w:r w:rsidR="00A5594E">
        <w:t xml:space="preserve">of negative body image states and body image disturbances (Khalsa et al., 2018; Khalsa &amp; Lapidus, 2016). This, in turn, could help to improve the diagnosis of body image disorders and provide indications of treatment efficacy. However, future work is required to determine whether the findings from the present work can be generalised to more diverse samples, and </w:t>
      </w:r>
      <w:r w:rsidR="00A5594E">
        <w:lastRenderedPageBreak/>
        <w:t>to determine whether there are causal associations between interoception and negative body image.</w:t>
      </w:r>
    </w:p>
    <w:p w14:paraId="2761BB64" w14:textId="77777777" w:rsidR="007A3B49" w:rsidRDefault="007A3B49" w:rsidP="001B72B6">
      <w:pPr>
        <w:rPr>
          <w:b/>
          <w:bCs/>
        </w:rPr>
      </w:pPr>
    </w:p>
    <w:p w14:paraId="2D09BC71" w14:textId="77777777" w:rsidR="007A3B49" w:rsidRDefault="007A3B49" w:rsidP="001B72B6">
      <w:pPr>
        <w:rPr>
          <w:b/>
          <w:bCs/>
        </w:rPr>
      </w:pPr>
    </w:p>
    <w:p w14:paraId="4F38D4E6" w14:textId="6B5EC072" w:rsidR="00DB6C98" w:rsidRDefault="007A3B49" w:rsidP="00366C1C">
      <w:pPr>
        <w:pStyle w:val="Heading1"/>
        <w:jc w:val="left"/>
      </w:pPr>
      <w:r>
        <w:t>F</w:t>
      </w:r>
      <w:r w:rsidR="00DB6C98">
        <w:t>ootnotes</w:t>
      </w:r>
    </w:p>
    <w:p w14:paraId="1316690B" w14:textId="5DC88776" w:rsidR="00DB6C98" w:rsidRDefault="00DB6C98" w:rsidP="001B72B6">
      <w:pPr>
        <w:rPr>
          <w:b/>
          <w:bCs/>
        </w:rPr>
      </w:pPr>
    </w:p>
    <w:p w14:paraId="2C96DADB" w14:textId="72964330" w:rsidR="00DB6C98" w:rsidRPr="00DB6C98" w:rsidRDefault="007714F1" w:rsidP="00D336CF">
      <w:pPr>
        <w:spacing w:line="480" w:lineRule="auto"/>
      </w:pPr>
      <w:r w:rsidRPr="007714F1">
        <w:rPr>
          <w:vertAlign w:val="superscript"/>
        </w:rPr>
        <w:t>1</w:t>
      </w:r>
      <w:r w:rsidR="00C67E17">
        <w:t>Discussions surrounding interoceptive nomenclature are numerous and ongoing (</w:t>
      </w:r>
      <w:r w:rsidR="00C67E17" w:rsidRPr="008B1D8A">
        <w:t>Garfinkel et al., 2015; Mehling, 2016; Murphy et al., 20</w:t>
      </w:r>
      <w:r w:rsidR="00C67E17">
        <w:t>20</w:t>
      </w:r>
      <w:r w:rsidR="00C67E17" w:rsidRPr="008B1D8A">
        <w:t>; Khalsa et al., 2018)</w:t>
      </w:r>
      <w:r w:rsidR="00C67E17">
        <w:t xml:space="preserve">. </w:t>
      </w:r>
      <w:r w:rsidR="002E659F">
        <w:t>O</w:t>
      </w:r>
      <w:r w:rsidR="00DB6C98">
        <w:t xml:space="preserve">ur use of the term </w:t>
      </w:r>
      <w:r w:rsidR="00DB6C98">
        <w:rPr>
          <w:i/>
          <w:iCs/>
        </w:rPr>
        <w:t xml:space="preserve">interoceptive sensibility </w:t>
      </w:r>
      <w:r w:rsidR="00DB6C98" w:rsidRPr="00DB6C98">
        <w:t>here</w:t>
      </w:r>
      <w:r w:rsidR="00F53881">
        <w:t xml:space="preserve"> (i.e., to refer to the self-reported tendency to perceive interoceptive signals)</w:t>
      </w:r>
      <w:r w:rsidR="00DB6C98" w:rsidRPr="00DB6C98">
        <w:t xml:space="preserve">, is </w:t>
      </w:r>
      <w:r w:rsidR="00F53881">
        <w:t xml:space="preserve">consistent with </w:t>
      </w:r>
      <w:r w:rsidR="002E659F">
        <w:t xml:space="preserve">widely-cited </w:t>
      </w:r>
      <w:r w:rsidR="00F53881">
        <w:t xml:space="preserve">conceptualisations of interoception </w:t>
      </w:r>
      <w:r w:rsidR="005B137A">
        <w:t>outlined by Garfinkel and colleagues (2015</w:t>
      </w:r>
      <w:r w:rsidR="002E659F">
        <w:t xml:space="preserve">) and </w:t>
      </w:r>
      <w:r w:rsidR="005B137A">
        <w:t xml:space="preserve">Khalsa </w:t>
      </w:r>
      <w:r w:rsidR="002E659F">
        <w:t>and colleagues</w:t>
      </w:r>
      <w:r w:rsidR="005B137A">
        <w:t xml:space="preserve"> </w:t>
      </w:r>
      <w:r w:rsidR="002E659F">
        <w:t>(</w:t>
      </w:r>
      <w:r w:rsidR="005B137A">
        <w:t xml:space="preserve">2018). However, </w:t>
      </w:r>
      <w:r w:rsidR="002E659F">
        <w:t xml:space="preserve">please note that what we have termed interoceptive sensibility is </w:t>
      </w:r>
      <w:r w:rsidR="00DB6C98" w:rsidRPr="00DB6C98">
        <w:t xml:space="preserve">equivalent to what other authors may </w:t>
      </w:r>
      <w:r w:rsidR="00DB6C98">
        <w:t xml:space="preserve">sometimes </w:t>
      </w:r>
      <w:r w:rsidR="00DB6C98" w:rsidRPr="00DB6C98">
        <w:t xml:space="preserve">call </w:t>
      </w:r>
      <w:r w:rsidR="00DB6C98" w:rsidRPr="00D336CF">
        <w:rPr>
          <w:i/>
          <w:iCs/>
        </w:rPr>
        <w:t>interoceptive awareness</w:t>
      </w:r>
      <w:r w:rsidR="00DB6C98">
        <w:t xml:space="preserve">. </w:t>
      </w:r>
    </w:p>
    <w:p w14:paraId="7101AA1B" w14:textId="6C71BA7D" w:rsidR="00DB6C98" w:rsidRDefault="007714F1" w:rsidP="007714F1">
      <w:pPr>
        <w:spacing w:line="480" w:lineRule="auto"/>
      </w:pPr>
      <w:r w:rsidRPr="007714F1">
        <w:rPr>
          <w:vertAlign w:val="superscript"/>
        </w:rPr>
        <w:t>2</w:t>
      </w:r>
      <w:r w:rsidRPr="00D30E48">
        <w:t xml:space="preserve">One outlier was identified using </w:t>
      </w:r>
      <w:r w:rsidRPr="004C1C95">
        <w:rPr>
          <w:i/>
          <w:iCs/>
        </w:rPr>
        <w:t>z</w:t>
      </w:r>
      <w:r w:rsidRPr="00D30E48">
        <w:t>-scores for the HEP amplitude in th</w:t>
      </w:r>
      <w:r>
        <w:t>is cluster</w:t>
      </w:r>
      <w:r w:rsidRPr="00D30E48">
        <w:t xml:space="preserve"> (</w:t>
      </w:r>
      <w:r w:rsidRPr="004C1C95">
        <w:rPr>
          <w:i/>
          <w:iCs/>
        </w:rPr>
        <w:t>z</w:t>
      </w:r>
      <w:r w:rsidRPr="00D30E48">
        <w:t xml:space="preserve"> =</w:t>
      </w:r>
      <w:r>
        <w:t xml:space="preserve"> </w:t>
      </w:r>
      <w:r w:rsidRPr="00D30E48">
        <w:t>3.</w:t>
      </w:r>
      <w:r>
        <w:t>48</w:t>
      </w:r>
      <w:r w:rsidRPr="00D30E48">
        <w:t>), but removal of this data point did not alter the significan</w:t>
      </w:r>
      <w:r>
        <w:t>ce of the</w:t>
      </w:r>
      <w:r w:rsidRPr="00D30E48">
        <w:t xml:space="preserve"> result (dataset with one outlier removed: </w:t>
      </w:r>
      <w:r w:rsidRPr="00D30E48">
        <w:rPr>
          <w:i/>
          <w:iCs/>
        </w:rPr>
        <w:t xml:space="preserve">r </w:t>
      </w:r>
      <w:r w:rsidRPr="00D30E48">
        <w:t>= -.55</w:t>
      </w:r>
      <w:r>
        <w:t>4</w:t>
      </w:r>
      <w:r w:rsidRPr="00D30E48">
        <w:t xml:space="preserve">, </w:t>
      </w:r>
      <w:r w:rsidRPr="00D30E48">
        <w:rPr>
          <w:i/>
          <w:iCs/>
        </w:rPr>
        <w:t xml:space="preserve">p </w:t>
      </w:r>
      <w:r w:rsidRPr="00D30E48">
        <w:t>&lt;</w:t>
      </w:r>
      <w:r>
        <w:t xml:space="preserve"> </w:t>
      </w:r>
      <w:r w:rsidRPr="00D30E48">
        <w:t>.001).</w:t>
      </w:r>
    </w:p>
    <w:p w14:paraId="620C37A8" w14:textId="325FAEF6" w:rsidR="007A3B49" w:rsidRPr="00D336CF" w:rsidRDefault="00DE18B0" w:rsidP="007714F1">
      <w:pPr>
        <w:spacing w:line="480" w:lineRule="auto"/>
      </w:pPr>
      <w:r w:rsidRPr="00DE18B0">
        <w:rPr>
          <w:vertAlign w:val="superscript"/>
        </w:rPr>
        <w:t>3</w:t>
      </w:r>
      <w:r w:rsidR="007A3B49" w:rsidRPr="007A3B49">
        <w:t xml:space="preserve">Given the erroneous change to the response rating scale, </w:t>
      </w:r>
      <w:r w:rsidR="007A3B49">
        <w:t xml:space="preserve">Cronbach’s </w:t>
      </w:r>
      <w:r w:rsidR="007A3B49" w:rsidRPr="007A3B49">
        <w:t xml:space="preserve">alpha </w:t>
      </w:r>
      <w:r w:rsidR="007A3B49">
        <w:t xml:space="preserve">coefficient </w:t>
      </w:r>
      <w:r w:rsidR="007A3B49" w:rsidRPr="007A3B49">
        <w:t xml:space="preserve">was also calculated for comparability with previous findings. In the present study </w:t>
      </w:r>
      <w:r w:rsidR="007A3B49" w:rsidRPr="007A3B49">
        <w:rPr>
          <w:color w:val="000000"/>
        </w:rPr>
        <w:t>α</w:t>
      </w:r>
      <w:r w:rsidR="007A3B49">
        <w:rPr>
          <w:color w:val="000000"/>
        </w:rPr>
        <w:t xml:space="preserve"> = .81 (95% CI = .71, .89). This is within the range of values reported for the body shame scale in the parent study (</w:t>
      </w:r>
      <w:r w:rsidR="007A3B49" w:rsidRPr="007A3B49">
        <w:rPr>
          <w:color w:val="000000"/>
        </w:rPr>
        <w:t>α</w:t>
      </w:r>
      <w:r w:rsidR="007A3B49">
        <w:rPr>
          <w:color w:val="000000"/>
        </w:rPr>
        <w:t xml:space="preserve"> = .70, .74, .84; McKinley &amp; Hyde, 1996). </w:t>
      </w:r>
      <w:r>
        <w:rPr>
          <w:color w:val="000000"/>
        </w:rPr>
        <w:t xml:space="preserve">Indeed, </w:t>
      </w:r>
      <w:r w:rsidRPr="00DE18B0">
        <w:rPr>
          <w:color w:val="000000"/>
        </w:rPr>
        <w:t>sensitivity analyses suggest that minimal alterations to response options (e.g., from 7- to 5-point scales, as in the present study) are unlikely to substantively increase the likelihood of responses biases or substantively affect score validity and/or reliability (Cox, 1980; Diefenbach et al., 1993).</w:t>
      </w:r>
    </w:p>
    <w:p w14:paraId="5404E5EB" w14:textId="77777777" w:rsidR="00DB6C98" w:rsidRDefault="00DB6C98" w:rsidP="001B72B6">
      <w:pPr>
        <w:rPr>
          <w:b/>
          <w:bCs/>
        </w:rPr>
      </w:pPr>
    </w:p>
    <w:p w14:paraId="3E37D570" w14:textId="524C4BCD" w:rsidR="001B72B6" w:rsidRDefault="001B72B6" w:rsidP="00366C1C">
      <w:pPr>
        <w:pStyle w:val="Heading1"/>
        <w:jc w:val="left"/>
      </w:pPr>
      <w:r w:rsidRPr="00C46790">
        <w:t>Open practices</w:t>
      </w:r>
    </w:p>
    <w:p w14:paraId="6A7FCDCA" w14:textId="77777777" w:rsidR="001B72B6" w:rsidRPr="00C46790" w:rsidRDefault="001B72B6" w:rsidP="00C46790">
      <w:pPr>
        <w:rPr>
          <w:b/>
          <w:bCs/>
        </w:rPr>
      </w:pPr>
    </w:p>
    <w:p w14:paraId="113D9CFE" w14:textId="5DA03222" w:rsidR="001B72B6" w:rsidRPr="00D336CF" w:rsidRDefault="001B72B6" w:rsidP="00C46790">
      <w:pPr>
        <w:spacing w:line="480" w:lineRule="auto"/>
        <w:rPr>
          <w:color w:val="000000" w:themeColor="text1"/>
        </w:rPr>
      </w:pPr>
      <w:r w:rsidRPr="00D336CF">
        <w:rPr>
          <w:color w:val="000000" w:themeColor="text1"/>
        </w:rPr>
        <w:t xml:space="preserve">Materials </w:t>
      </w:r>
      <w:r w:rsidR="003B6BF7" w:rsidRPr="00D336CF">
        <w:rPr>
          <w:color w:val="000000" w:themeColor="text1"/>
        </w:rPr>
        <w:t xml:space="preserve">for the study are available at: </w:t>
      </w:r>
      <w:hyperlink r:id="rId8" w:tgtFrame="_blank" w:history="1">
        <w:r w:rsidR="003B6BF7" w:rsidRPr="00D336CF">
          <w:rPr>
            <w:rStyle w:val="Hyperlink"/>
            <w:color w:val="000000" w:themeColor="text1"/>
          </w:rPr>
          <w:t>https://figshare.com/s/1f6cbac9f0baf6a8c931</w:t>
        </w:r>
      </w:hyperlink>
      <w:r w:rsidR="003B6BF7" w:rsidRPr="00D336CF">
        <w:rPr>
          <w:color w:val="000000" w:themeColor="text1"/>
        </w:rPr>
        <w:t xml:space="preserve">, </w:t>
      </w:r>
      <w:r w:rsidRPr="00D336CF">
        <w:rPr>
          <w:color w:val="000000" w:themeColor="text1"/>
        </w:rPr>
        <w:t xml:space="preserve">and data for the study </w:t>
      </w:r>
      <w:r w:rsidR="003B6BF7" w:rsidRPr="00D336CF">
        <w:rPr>
          <w:color w:val="000000" w:themeColor="text1"/>
        </w:rPr>
        <w:t xml:space="preserve">are available at: </w:t>
      </w:r>
      <w:hyperlink r:id="rId9" w:tgtFrame="_blank" w:history="1">
        <w:r w:rsidR="003B6BF7" w:rsidRPr="00D336CF">
          <w:rPr>
            <w:rStyle w:val="Hyperlink"/>
            <w:color w:val="000000" w:themeColor="text1"/>
          </w:rPr>
          <w:t>https://figshare.com/s/cc0173190db7d1035c2d</w:t>
        </w:r>
      </w:hyperlink>
      <w:r w:rsidR="007F727C" w:rsidRPr="00D336CF">
        <w:rPr>
          <w:color w:val="000000" w:themeColor="text1"/>
        </w:rPr>
        <w:t xml:space="preserve">. </w:t>
      </w:r>
      <w:r w:rsidRPr="00D336CF">
        <w:rPr>
          <w:color w:val="000000" w:themeColor="text1"/>
        </w:rPr>
        <w:t xml:space="preserve">We </w:t>
      </w:r>
      <w:r w:rsidR="00870A21" w:rsidRPr="00D336CF">
        <w:rPr>
          <w:color w:val="000000" w:themeColor="text1"/>
        </w:rPr>
        <w:t xml:space="preserve">have </w:t>
      </w:r>
      <w:r w:rsidR="00870A21" w:rsidRPr="00D336CF">
        <w:rPr>
          <w:color w:val="000000" w:themeColor="text1"/>
        </w:rPr>
        <w:lastRenderedPageBreak/>
        <w:t xml:space="preserve">fully reported </w:t>
      </w:r>
      <w:r w:rsidRPr="00D336CF">
        <w:rPr>
          <w:color w:val="000000" w:themeColor="text1"/>
        </w:rPr>
        <w:t>all data exclusions, all inclusion/exclusion criteria, whether inclusion/exclusion criteria were established prior to data analysis, all manipulations, and all measures in the study. No part of the study procedures</w:t>
      </w:r>
      <w:r w:rsidR="003672D5" w:rsidRPr="00D336CF">
        <w:rPr>
          <w:color w:val="000000" w:themeColor="text1"/>
        </w:rPr>
        <w:t xml:space="preserve"> or</w:t>
      </w:r>
      <w:r w:rsidRPr="00D336CF">
        <w:rPr>
          <w:color w:val="000000" w:themeColor="text1"/>
        </w:rPr>
        <w:t xml:space="preserve"> study analyses were pre-registered prior to the research being conducted.</w:t>
      </w:r>
    </w:p>
    <w:p w14:paraId="03BC899A" w14:textId="77777777" w:rsidR="001B72B6" w:rsidRDefault="001B72B6" w:rsidP="003B6BF7">
      <w:pPr>
        <w:spacing w:line="480" w:lineRule="auto"/>
      </w:pPr>
    </w:p>
    <w:p w14:paraId="058859C4" w14:textId="18FD5C96" w:rsidR="001B72B6" w:rsidRDefault="001B72B6" w:rsidP="00366C1C">
      <w:pPr>
        <w:pStyle w:val="Heading1"/>
        <w:jc w:val="left"/>
      </w:pPr>
      <w:r w:rsidRPr="00B5609F">
        <w:t>Declaration of competing interest</w:t>
      </w:r>
    </w:p>
    <w:p w14:paraId="5B028F63" w14:textId="081C6103" w:rsidR="008204DB" w:rsidRDefault="001B72B6" w:rsidP="00AC1AA3">
      <w:pPr>
        <w:spacing w:line="480" w:lineRule="auto"/>
      </w:pPr>
      <w:r>
        <w:t>The authors have no conflict of interest to declare.</w:t>
      </w:r>
    </w:p>
    <w:p w14:paraId="43C253AE" w14:textId="77777777" w:rsidR="00B5609F" w:rsidRDefault="00B5609F" w:rsidP="00B5609F">
      <w:pPr>
        <w:spacing w:line="480" w:lineRule="auto"/>
      </w:pPr>
    </w:p>
    <w:p w14:paraId="1BCC135C" w14:textId="70C09F30" w:rsidR="008204DB" w:rsidRDefault="00CA2F65" w:rsidP="00366C1C">
      <w:pPr>
        <w:pStyle w:val="Heading1"/>
        <w:jc w:val="left"/>
      </w:pPr>
      <w:r>
        <w:t>Acknowledgement</w:t>
      </w:r>
    </w:p>
    <w:p w14:paraId="28A7F517" w14:textId="4E72488C" w:rsidR="00CA2F65" w:rsidRDefault="00CA2F65">
      <w:pPr>
        <w:rPr>
          <w:b/>
          <w:bCs/>
        </w:rPr>
      </w:pPr>
    </w:p>
    <w:p w14:paraId="115610DB" w14:textId="3802BB13" w:rsidR="00CA2F65" w:rsidRDefault="00CA2F65" w:rsidP="00D94107">
      <w:pPr>
        <w:spacing w:line="480" w:lineRule="auto"/>
      </w:pPr>
      <w:r w:rsidRPr="00CA2F65">
        <w:t>The first author was supported by a doctoral research grant from Perdana University</w:t>
      </w:r>
      <w:r w:rsidR="00670F2E">
        <w:t xml:space="preserve"> in Malaysia</w:t>
      </w:r>
      <w:r w:rsidRPr="00CA2F65">
        <w:t>.</w:t>
      </w:r>
    </w:p>
    <w:p w14:paraId="04FA6065" w14:textId="16C76AE4" w:rsidR="00CA2F65" w:rsidRPr="00CA2F65" w:rsidRDefault="00CA2F65">
      <w:r>
        <w:br w:type="page"/>
      </w:r>
    </w:p>
    <w:p w14:paraId="68794E26" w14:textId="7B5C72BC" w:rsidR="008204DB" w:rsidRPr="00CA2F65" w:rsidRDefault="008204DB" w:rsidP="00366C1C">
      <w:pPr>
        <w:pStyle w:val="Heading1"/>
      </w:pPr>
      <w:r>
        <w:lastRenderedPageBreak/>
        <w:t>References</w:t>
      </w:r>
    </w:p>
    <w:p w14:paraId="49F76D30" w14:textId="77777777" w:rsidR="005B0CDE" w:rsidRPr="00D974BD" w:rsidRDefault="005B0CDE" w:rsidP="005B0CDE">
      <w:pPr>
        <w:spacing w:line="480" w:lineRule="auto"/>
        <w:ind w:left="567" w:hanging="567"/>
      </w:pPr>
      <w:r w:rsidRPr="00D974BD">
        <w:t>Ainley, V., &amp; Tsakiris, M. (2013). Body conscious? Interoceptive awareness, measured by heartbeat perception, is negatively correlated with self-objectification. </w:t>
      </w:r>
      <w:r w:rsidRPr="00D974BD">
        <w:rPr>
          <w:i/>
          <w:iCs/>
        </w:rPr>
        <w:t>PL</w:t>
      </w:r>
      <w:r>
        <w:rPr>
          <w:i/>
          <w:iCs/>
        </w:rPr>
        <w:t>o</w:t>
      </w:r>
      <w:r w:rsidRPr="00D974BD">
        <w:rPr>
          <w:i/>
          <w:iCs/>
        </w:rPr>
        <w:t>S One</w:t>
      </w:r>
      <w:r w:rsidRPr="00D974BD">
        <w:t>, </w:t>
      </w:r>
      <w:r w:rsidRPr="00D974BD">
        <w:rPr>
          <w:i/>
          <w:iCs/>
        </w:rPr>
        <w:t>8</w:t>
      </w:r>
      <w:r w:rsidRPr="00D974BD">
        <w:t xml:space="preserve">(2), e55568. </w:t>
      </w:r>
      <w:r w:rsidRPr="00292313">
        <w:t>https://doi.org/10.1371/journal.pone.0055568</w:t>
      </w:r>
    </w:p>
    <w:p w14:paraId="342498BD" w14:textId="2530B181" w:rsidR="005B0CDE" w:rsidRPr="00D974BD" w:rsidRDefault="005B0CDE" w:rsidP="005B0CDE">
      <w:pPr>
        <w:spacing w:line="480" w:lineRule="auto"/>
        <w:ind w:left="567" w:hanging="567"/>
      </w:pPr>
      <w:r w:rsidRPr="00D974BD">
        <w:t>Alleva, J.</w:t>
      </w:r>
      <w:r w:rsidR="0024767F">
        <w:t xml:space="preserve"> </w:t>
      </w:r>
      <w:r w:rsidRPr="00D974BD">
        <w:t>M., Tylka, T.</w:t>
      </w:r>
      <w:r w:rsidR="0024767F">
        <w:t xml:space="preserve"> </w:t>
      </w:r>
      <w:r w:rsidRPr="00D974BD">
        <w:t>L., &amp; Kroon Van Diest, A.</w:t>
      </w:r>
      <w:r w:rsidR="0024767F">
        <w:t xml:space="preserve"> </w:t>
      </w:r>
      <w:r w:rsidRPr="00D974BD">
        <w:t xml:space="preserve">M. (2017). The Functionality Appreciation Scale (FAS): Development and psychometric evaluation in US community women and men. </w:t>
      </w:r>
      <w:r w:rsidRPr="00D974BD">
        <w:rPr>
          <w:i/>
          <w:iCs/>
        </w:rPr>
        <w:t>Body Image, 23</w:t>
      </w:r>
      <w:r w:rsidRPr="00D974BD">
        <w:t xml:space="preserve">, 28-44, </w:t>
      </w:r>
      <w:r w:rsidRPr="00292313">
        <w:t>https://10.1016/j.bodyim.2017.07.008</w:t>
      </w:r>
    </w:p>
    <w:p w14:paraId="717F4075" w14:textId="0040679B" w:rsidR="005B0CDE" w:rsidRPr="00D974BD" w:rsidRDefault="005B0CDE" w:rsidP="005B0CDE">
      <w:pPr>
        <w:spacing w:line="480" w:lineRule="auto"/>
        <w:ind w:left="567" w:hanging="567"/>
      </w:pPr>
      <w:r w:rsidRPr="00D974BD">
        <w:t>Azzalini, D., Rebollo, I., &amp; Tallon-Baudry, C. (2019)</w:t>
      </w:r>
      <w:r w:rsidR="00332F95">
        <w:t>.</w:t>
      </w:r>
      <w:r w:rsidRPr="00D974BD">
        <w:t xml:space="preserve"> Visceral signals shape brain dynamics and cognition. </w:t>
      </w:r>
      <w:r w:rsidRPr="00D974BD">
        <w:rPr>
          <w:i/>
          <w:iCs/>
        </w:rPr>
        <w:t>Trends in Cognitive Sciences, 23</w:t>
      </w:r>
      <w:r w:rsidRPr="00D974BD">
        <w:t>(6), 488-509. https://doi.org/10.1016/j.tics.2019.03.007</w:t>
      </w:r>
    </w:p>
    <w:p w14:paraId="39D8A9D6" w14:textId="0A56CA6E" w:rsidR="005B0CDE" w:rsidRPr="00D974BD" w:rsidRDefault="005B0CDE" w:rsidP="005B0CDE">
      <w:pPr>
        <w:spacing w:line="480" w:lineRule="auto"/>
        <w:ind w:left="567" w:hanging="567"/>
      </w:pPr>
      <w:r w:rsidRPr="00D974BD">
        <w:t xml:space="preserve">Badoud, D., &amp; Tsakiris, M. (2017). From the body’s viscera to the body’s image: </w:t>
      </w:r>
      <w:r w:rsidR="007E466B">
        <w:t>I</w:t>
      </w:r>
      <w:r w:rsidRPr="00D974BD">
        <w:t xml:space="preserve">s there a link between interoception and body image concerns? </w:t>
      </w:r>
      <w:r w:rsidRPr="00D974BD">
        <w:rPr>
          <w:i/>
          <w:iCs/>
        </w:rPr>
        <w:t>Neuroscience &amp; Biobehavioral Reviews, 77</w:t>
      </w:r>
      <w:r w:rsidRPr="00D974BD">
        <w:t xml:space="preserve">, 237-246. </w:t>
      </w:r>
      <w:r w:rsidRPr="00292313">
        <w:t>https://doi.org/10.1016/j.neubiorev.2017.03.017</w:t>
      </w:r>
    </w:p>
    <w:p w14:paraId="5F11FA0E" w14:textId="1E8FF853" w:rsidR="00D91BCC" w:rsidRDefault="00C775EB" w:rsidP="005B0CDE">
      <w:pPr>
        <w:spacing w:line="480" w:lineRule="auto"/>
        <w:ind w:left="567" w:hanging="567"/>
      </w:pPr>
      <w:r w:rsidRPr="00C775EB">
        <w:t xml:space="preserve">Barca, L., &amp; Pezzulo, G. (2020). Keep your interoceptive streams under control: An active inference perspective on anorexia nervosa. </w:t>
      </w:r>
      <w:r w:rsidRPr="00C775EB">
        <w:rPr>
          <w:i/>
          <w:iCs/>
        </w:rPr>
        <w:t>Cognitive, Affective, &amp; Behavioral Neuroscience</w:t>
      </w:r>
      <w:r w:rsidRPr="00C775EB">
        <w:t>,</w:t>
      </w:r>
      <w:r w:rsidR="0073560F">
        <w:t xml:space="preserve"> </w:t>
      </w:r>
      <w:r w:rsidR="0073560F">
        <w:rPr>
          <w:i/>
          <w:iCs/>
        </w:rPr>
        <w:t xml:space="preserve">20, </w:t>
      </w:r>
      <w:r w:rsidR="0073560F">
        <w:t>427</w:t>
      </w:r>
      <w:r w:rsidRPr="00C775EB">
        <w:t>-</w:t>
      </w:r>
      <w:r w:rsidR="0073560F">
        <w:t>4</w:t>
      </w:r>
      <w:r w:rsidRPr="00C775EB">
        <w:t>4</w:t>
      </w:r>
      <w:r w:rsidR="0073560F">
        <w:t>0</w:t>
      </w:r>
      <w:r w:rsidRPr="00C775EB">
        <w:t>.</w:t>
      </w:r>
      <w:r w:rsidR="0067353A" w:rsidRPr="0067353A">
        <w:t xml:space="preserve"> https://doi.org/10.3758/s13415-020-00777-6</w:t>
      </w:r>
    </w:p>
    <w:p w14:paraId="755587DA" w14:textId="3C47E7C1" w:rsidR="00E108FF" w:rsidRPr="00E108FF" w:rsidRDefault="00E108FF" w:rsidP="00E108FF">
      <w:pPr>
        <w:spacing w:line="480" w:lineRule="auto"/>
        <w:ind w:left="567" w:hanging="567"/>
      </w:pPr>
      <w:r w:rsidRPr="00E108FF">
        <w:t>Baumgartner, H., &amp; Steenkamp, J.-B. E. M. (2001). Response styles in marketing research: A cross-national investigation. </w:t>
      </w:r>
      <w:r w:rsidRPr="00E108FF">
        <w:rPr>
          <w:i/>
          <w:iCs/>
        </w:rPr>
        <w:t>Journal of Marketing Research</w:t>
      </w:r>
      <w:r w:rsidRPr="00E108FF">
        <w:t>, </w:t>
      </w:r>
      <w:r w:rsidRPr="00E108FF">
        <w:rPr>
          <w:i/>
          <w:iCs/>
        </w:rPr>
        <w:t>38</w:t>
      </w:r>
      <w:r w:rsidRPr="00E108FF">
        <w:t>(2), 143-156. https://doi.org/10.1509/jmkr.38.2.143.18840</w:t>
      </w:r>
      <w:r w:rsidRPr="00E108FF">
        <w:rPr>
          <w:u w:val="single"/>
        </w:rPr>
        <w:t> </w:t>
      </w:r>
    </w:p>
    <w:p w14:paraId="6D49A709" w14:textId="77777777" w:rsidR="00E108FF" w:rsidRPr="00E108FF" w:rsidRDefault="00E108FF" w:rsidP="00E108FF">
      <w:pPr>
        <w:spacing w:line="480" w:lineRule="auto"/>
        <w:ind w:left="567" w:hanging="567"/>
      </w:pPr>
      <w:r w:rsidRPr="00E108FF">
        <w:t>Baumgartner, H., &amp; Weijters, B. (2015). Response biases in cross-cultural management. In S. Ng &amp; A. Y. Lee (Eds.), </w:t>
      </w:r>
      <w:r w:rsidRPr="00E108FF">
        <w:rPr>
          <w:i/>
          <w:iCs/>
        </w:rPr>
        <w:t>Handbook of culture and consumer behavior</w:t>
      </w:r>
      <w:r w:rsidRPr="00E108FF">
        <w:t> (pp. 150-180). Oxford University Press.  </w:t>
      </w:r>
    </w:p>
    <w:p w14:paraId="1BF338E8" w14:textId="065AA8FF" w:rsidR="005B0CDE" w:rsidRPr="00D974BD" w:rsidRDefault="005B0CDE" w:rsidP="005B0CDE">
      <w:pPr>
        <w:spacing w:line="480" w:lineRule="auto"/>
        <w:ind w:left="567" w:hanging="567"/>
      </w:pPr>
      <w:r w:rsidRPr="00D974BD">
        <w:lastRenderedPageBreak/>
        <w:t xml:space="preserve">Benjamini, Y., &amp; Hochberg, Y. (1995). Controlling the false discovery rate: A practical and powerful approach to multiple testing. </w:t>
      </w:r>
      <w:r w:rsidRPr="00D974BD">
        <w:rPr>
          <w:i/>
        </w:rPr>
        <w:t>Journal of the Royal Statistical Society</w:t>
      </w:r>
      <w:r w:rsidR="00332F95">
        <w:rPr>
          <w:i/>
        </w:rPr>
        <w:t>:</w:t>
      </w:r>
      <w:r w:rsidRPr="00D974BD">
        <w:rPr>
          <w:i/>
        </w:rPr>
        <w:t xml:space="preserve"> Series B, 57</w:t>
      </w:r>
      <w:r w:rsidRPr="00D974BD">
        <w:t>, 289-300. https://doi.org/10.1111/j.2517-6161.1995.tb02031.x</w:t>
      </w:r>
    </w:p>
    <w:p w14:paraId="06E91EB4" w14:textId="43F27B7B" w:rsidR="005D2D09" w:rsidRPr="005D2D09" w:rsidRDefault="005D2D09" w:rsidP="005D2D09">
      <w:pPr>
        <w:widowControl w:val="0"/>
        <w:autoSpaceDE w:val="0"/>
        <w:autoSpaceDN w:val="0"/>
        <w:adjustRightInd w:val="0"/>
        <w:spacing w:line="480" w:lineRule="auto"/>
        <w:ind w:left="709" w:right="68" w:hanging="709"/>
        <w:rPr>
          <w:color w:val="000000" w:themeColor="text1"/>
        </w:rPr>
      </w:pPr>
      <w:r w:rsidRPr="00827F27">
        <w:rPr>
          <w:color w:val="000000" w:themeColor="text1"/>
        </w:rPr>
        <w:t xml:space="preserve">Brown, T. A., Berner, L. A., Jones, M. D., Reilly, E. E., Cusack, A., Anderson, L. K., Kaye, W. H., &amp; Wierenga, C. E. (2017). Psychometric evaluation and norms for the Multidimensional Assessment of Interoceptive Awareness (MAIA) in a clinical eating disorders sample. </w:t>
      </w:r>
      <w:r w:rsidRPr="00827F27">
        <w:rPr>
          <w:i/>
          <w:color w:val="000000" w:themeColor="text1"/>
        </w:rPr>
        <w:t>European Eating Disorders Review, 25</w:t>
      </w:r>
      <w:r w:rsidRPr="00827F27">
        <w:rPr>
          <w:iCs/>
          <w:color w:val="000000" w:themeColor="text1"/>
        </w:rPr>
        <w:t>(5)</w:t>
      </w:r>
      <w:r w:rsidRPr="00827F27">
        <w:rPr>
          <w:color w:val="000000" w:themeColor="text1"/>
        </w:rPr>
        <w:t xml:space="preserve">, 411-416. </w:t>
      </w:r>
      <w:r w:rsidRPr="00827F27">
        <w:rPr>
          <w:color w:val="000000" w:themeColor="text1"/>
          <w:shd w:val="clear" w:color="auto" w:fill="FFFFFF"/>
        </w:rPr>
        <w:t>https://doi.org/</w:t>
      </w:r>
      <w:r w:rsidRPr="00827F27">
        <w:rPr>
          <w:color w:val="000000" w:themeColor="text1"/>
        </w:rPr>
        <w:t>10.1002/erv.2532</w:t>
      </w:r>
    </w:p>
    <w:p w14:paraId="15F7FEE4" w14:textId="4B7191ED" w:rsidR="005D2D09" w:rsidRDefault="005D2D09" w:rsidP="005D2D09">
      <w:pPr>
        <w:spacing w:line="480" w:lineRule="auto"/>
        <w:ind w:left="567" w:hanging="567"/>
        <w:rPr>
          <w:color w:val="000000" w:themeColor="text1"/>
        </w:rPr>
      </w:pPr>
      <w:r w:rsidRPr="00B5609F">
        <w:rPr>
          <w:color w:val="000000" w:themeColor="text1"/>
          <w:shd w:val="clear" w:color="auto" w:fill="FFFFFF"/>
          <w:lang w:val="it-IT"/>
        </w:rPr>
        <w:t xml:space="preserve">Cascino, G., Castellini, G., Stanghellini, G., Ricca, V., Cassioli, E., Ruzzi, V., Monteleone, P., &amp; Monteleone, A. M. (2019). </w:t>
      </w:r>
      <w:r w:rsidRPr="00827F27">
        <w:rPr>
          <w:color w:val="000000" w:themeColor="text1"/>
          <w:shd w:val="clear" w:color="auto" w:fill="FFFFFF"/>
        </w:rPr>
        <w:t>The role of the embodiment disturbance in the anorexia nervosa psychopathology: A network analysis study. </w:t>
      </w:r>
      <w:r w:rsidRPr="00827F27">
        <w:rPr>
          <w:i/>
          <w:color w:val="000000" w:themeColor="text1"/>
          <w:shd w:val="clear" w:color="auto" w:fill="FFFFFF"/>
        </w:rPr>
        <w:t>Brain Sciences</w:t>
      </w:r>
      <w:r w:rsidRPr="00827F27">
        <w:rPr>
          <w:color w:val="000000" w:themeColor="text1"/>
          <w:shd w:val="clear" w:color="auto" w:fill="FFFFFF"/>
        </w:rPr>
        <w:t>, </w:t>
      </w:r>
      <w:r w:rsidRPr="00827F27">
        <w:rPr>
          <w:i/>
          <w:color w:val="000000" w:themeColor="text1"/>
          <w:shd w:val="clear" w:color="auto" w:fill="FFFFFF"/>
        </w:rPr>
        <w:t>9</w:t>
      </w:r>
      <w:r w:rsidRPr="00827F27">
        <w:rPr>
          <w:iCs/>
          <w:color w:val="000000" w:themeColor="text1"/>
          <w:shd w:val="clear" w:color="auto" w:fill="FFFFFF"/>
        </w:rPr>
        <w:t>(10)</w:t>
      </w:r>
      <w:r w:rsidRPr="00827F27">
        <w:rPr>
          <w:color w:val="000000" w:themeColor="text1"/>
          <w:shd w:val="clear" w:color="auto" w:fill="FFFFFF"/>
        </w:rPr>
        <w:t xml:space="preserve">, 276. </w:t>
      </w:r>
      <w:r w:rsidRPr="00827F27">
        <w:rPr>
          <w:color w:val="000000" w:themeColor="text1"/>
        </w:rPr>
        <w:t>https</w:t>
      </w:r>
      <w:r w:rsidRPr="00827F27">
        <w:t>://doi.org/</w:t>
      </w:r>
      <w:r w:rsidRPr="00827F27">
        <w:rPr>
          <w:color w:val="000000" w:themeColor="text1"/>
        </w:rPr>
        <w:t>10.3390/brainsci9100276</w:t>
      </w:r>
    </w:p>
    <w:p w14:paraId="2A1BB531" w14:textId="6122FAAF" w:rsidR="005B0CDE" w:rsidRPr="00D974BD" w:rsidRDefault="005B0CDE" w:rsidP="005B0CDE">
      <w:pPr>
        <w:spacing w:line="480" w:lineRule="auto"/>
        <w:ind w:left="567" w:hanging="567"/>
        <w:rPr>
          <w:color w:val="000000" w:themeColor="text1"/>
        </w:rPr>
      </w:pPr>
      <w:r w:rsidRPr="00D974BD">
        <w:rPr>
          <w:color w:val="000000" w:themeColor="text1"/>
        </w:rPr>
        <w:t>Cash, T. F. (2000).</w:t>
      </w:r>
      <w:r w:rsidRPr="00D974BD">
        <w:rPr>
          <w:rStyle w:val="apple-converted-space"/>
          <w:color w:val="000000" w:themeColor="text1"/>
        </w:rPr>
        <w:t> </w:t>
      </w:r>
      <w:r w:rsidRPr="00D974BD">
        <w:rPr>
          <w:rStyle w:val="Emphasis"/>
          <w:color w:val="000000" w:themeColor="text1"/>
        </w:rPr>
        <w:t>The Multidimensional Body-Self Relations Questionnaire user’s manual</w:t>
      </w:r>
      <w:r w:rsidRPr="00D974BD">
        <w:rPr>
          <w:color w:val="000000" w:themeColor="text1"/>
        </w:rPr>
        <w:t>. Available from the author at:</w:t>
      </w:r>
      <w:r w:rsidRPr="00D974BD">
        <w:rPr>
          <w:rStyle w:val="apple-converted-space"/>
          <w:color w:val="000000" w:themeColor="text1"/>
        </w:rPr>
        <w:t> </w:t>
      </w:r>
      <w:hyperlink r:id="rId10" w:tgtFrame="_blank" w:history="1">
        <w:r w:rsidRPr="00D974BD">
          <w:rPr>
            <w:rStyle w:val="Hyperlink"/>
            <w:color w:val="000000" w:themeColor="text1"/>
          </w:rPr>
          <w:t>http://www.body-images.com</w:t>
        </w:r>
      </w:hyperlink>
      <w:r w:rsidRPr="00D974BD">
        <w:rPr>
          <w:color w:val="000000" w:themeColor="text1"/>
        </w:rPr>
        <w:t>.</w:t>
      </w:r>
    </w:p>
    <w:p w14:paraId="0C274278" w14:textId="51FF9C0B" w:rsidR="00074A29" w:rsidRDefault="00074A29" w:rsidP="005B0CDE">
      <w:pPr>
        <w:spacing w:line="480" w:lineRule="auto"/>
        <w:ind w:left="567" w:hanging="567"/>
      </w:pPr>
      <w:r>
        <w:t xml:space="preserve">Cash, T. F. (2004). </w:t>
      </w:r>
      <w:r w:rsidRPr="00074A29">
        <w:t xml:space="preserve">Body image: </w:t>
      </w:r>
      <w:r>
        <w:t>P</w:t>
      </w:r>
      <w:r w:rsidRPr="00074A29">
        <w:t>ast, present, and future</w:t>
      </w:r>
      <w:r>
        <w:t xml:space="preserve">. </w:t>
      </w:r>
      <w:r>
        <w:rPr>
          <w:i/>
          <w:iCs/>
        </w:rPr>
        <w:t>Body Image, 1</w:t>
      </w:r>
      <w:r>
        <w:t xml:space="preserve">(1), 1-5. </w:t>
      </w:r>
      <w:r w:rsidRPr="00074A29">
        <w:t>https://doi.org/10.1016/S1740-1445(03)00011-1</w:t>
      </w:r>
    </w:p>
    <w:p w14:paraId="0590908F" w14:textId="4C2E994B" w:rsidR="00880C9F" w:rsidRPr="00074A29" w:rsidRDefault="00880C9F" w:rsidP="005B0CDE">
      <w:pPr>
        <w:spacing w:line="480" w:lineRule="auto"/>
        <w:ind w:left="567" w:hanging="567"/>
      </w:pPr>
      <w:r w:rsidRPr="003D30AF">
        <w:rPr>
          <w:color w:val="000000"/>
          <w:szCs w:val="22"/>
        </w:rPr>
        <w:t xml:space="preserve">Cash, T. F., &amp; Pruzinsky, T. (Eds.) (2002). </w:t>
      </w:r>
      <w:r w:rsidRPr="003D30AF">
        <w:rPr>
          <w:i/>
          <w:color w:val="000000"/>
          <w:szCs w:val="22"/>
        </w:rPr>
        <w:t>Body images: A handbook of theory, research, and clinical practice</w:t>
      </w:r>
      <w:r w:rsidRPr="003D30AF">
        <w:rPr>
          <w:color w:val="000000"/>
          <w:szCs w:val="22"/>
        </w:rPr>
        <w:t>. Guilford.</w:t>
      </w:r>
    </w:p>
    <w:p w14:paraId="37B37FB4" w14:textId="6158917B" w:rsidR="00FF740A" w:rsidRPr="000F14B1" w:rsidRDefault="000F14B1" w:rsidP="000F14B1">
      <w:pPr>
        <w:spacing w:line="480" w:lineRule="auto"/>
        <w:ind w:left="709" w:right="68" w:hanging="709"/>
        <w:rPr>
          <w:color w:val="000000" w:themeColor="text1"/>
        </w:rPr>
      </w:pPr>
      <w:r>
        <w:rPr>
          <w:rFonts w:eastAsia="Helvetica Neue"/>
          <w:color w:val="000000" w:themeColor="text1"/>
          <w:shd w:val="clear" w:color="auto" w:fill="FFFFFF"/>
        </w:rPr>
        <w:t>Cash, T. F., &amp; Smolak, L. (Eds.) (2012). </w:t>
      </w:r>
      <w:r>
        <w:rPr>
          <w:rFonts w:eastAsia="Helvetica Neue"/>
          <w:i/>
          <w:color w:val="000000" w:themeColor="text1"/>
          <w:shd w:val="clear" w:color="auto" w:fill="FFFFFF"/>
        </w:rPr>
        <w:t>Body image: A handbook of science, practice, and prevention.</w:t>
      </w:r>
      <w:r>
        <w:rPr>
          <w:rFonts w:eastAsia="Helvetica Neue"/>
          <w:color w:val="000000" w:themeColor="text1"/>
          <w:shd w:val="clear" w:color="auto" w:fill="FFFFFF"/>
        </w:rPr>
        <w:t> (2</w:t>
      </w:r>
      <w:r>
        <w:rPr>
          <w:rFonts w:eastAsia="Helvetica Neue"/>
          <w:color w:val="000000" w:themeColor="text1"/>
          <w:shd w:val="clear" w:color="auto" w:fill="FFFFFF"/>
          <w:vertAlign w:val="superscript"/>
        </w:rPr>
        <w:t>nd</w:t>
      </w:r>
      <w:r>
        <w:rPr>
          <w:rFonts w:eastAsia="Helvetica Neue"/>
          <w:color w:val="000000" w:themeColor="text1"/>
          <w:shd w:val="clear" w:color="auto" w:fill="FFFFFF"/>
        </w:rPr>
        <w:t xml:space="preserve"> ed.).</w:t>
      </w:r>
      <w:r>
        <w:rPr>
          <w:color w:val="000000" w:themeColor="text1"/>
        </w:rPr>
        <w:t xml:space="preserve"> Guildford.</w:t>
      </w:r>
    </w:p>
    <w:p w14:paraId="0402F318" w14:textId="6EF492E0" w:rsidR="005B0CDE" w:rsidRPr="00D974BD" w:rsidRDefault="005B0CDE" w:rsidP="005B0CDE">
      <w:pPr>
        <w:spacing w:line="480" w:lineRule="auto"/>
        <w:ind w:left="567" w:hanging="567"/>
      </w:pPr>
      <w:r w:rsidRPr="00D974BD">
        <w:t xml:space="preserve">Chen, J. D. Z., Zou, X., Lin, X., Ouyang, S., &amp; Liang, J. (1999). Detection of gastric slow wave propagation from the cutaneous electrogastrogram. </w:t>
      </w:r>
      <w:r w:rsidRPr="00D974BD">
        <w:rPr>
          <w:i/>
          <w:iCs/>
        </w:rPr>
        <w:t>American Journal of Physiology-Gastrointestinal and Liver Physiology, 277</w:t>
      </w:r>
      <w:r w:rsidRPr="00D974BD">
        <w:t>(2), G424-G430. https://doi.org/10.1152/ajpgi.1999.277.2.G424</w:t>
      </w:r>
    </w:p>
    <w:p w14:paraId="0588A560" w14:textId="258FA21E" w:rsidR="00845609" w:rsidRDefault="00572766" w:rsidP="00572766">
      <w:pPr>
        <w:spacing w:line="480" w:lineRule="auto"/>
        <w:ind w:left="567" w:hanging="567"/>
      </w:pPr>
      <w:r>
        <w:lastRenderedPageBreak/>
        <w:t>Coll, M-P., Hobson, H., Bird, G., &amp; Murphy, J. (2020</w:t>
      </w:r>
      <w:r w:rsidRPr="00572766">
        <w:rPr>
          <w:i/>
          <w:iCs/>
        </w:rPr>
        <w:t xml:space="preserve">). </w:t>
      </w:r>
      <w:r w:rsidRPr="00D336CF">
        <w:t>Systematic review and meta-analysis of the relationship between the heartbeat-evoked potential and interoception</w:t>
      </w:r>
      <w:r w:rsidRPr="00291605">
        <w:t>.</w:t>
      </w:r>
      <w:r>
        <w:t xml:space="preserve"> </w:t>
      </w:r>
      <w:r w:rsidR="00291605">
        <w:rPr>
          <w:i/>
          <w:iCs/>
        </w:rPr>
        <w:t xml:space="preserve">Neuroscience &amp; Biobehavioural Reviews, 122, </w:t>
      </w:r>
      <w:r w:rsidR="00291605">
        <w:t xml:space="preserve">190-200. </w:t>
      </w:r>
      <w:r w:rsidR="00291605" w:rsidRPr="00291605">
        <w:t>https://doi.org/10.1016/j.neubiorev.2020.12.012</w:t>
      </w:r>
    </w:p>
    <w:p w14:paraId="7499AC78" w14:textId="35CEA544" w:rsidR="00DE18B0" w:rsidRPr="00DE18B0" w:rsidRDefault="00DE18B0" w:rsidP="00DE18B0">
      <w:pPr>
        <w:spacing w:line="480" w:lineRule="auto"/>
        <w:ind w:left="567" w:hanging="567"/>
        <w:rPr>
          <w:color w:val="000000"/>
        </w:rPr>
      </w:pPr>
      <w:r w:rsidRPr="00DE18B0">
        <w:rPr>
          <w:color w:val="000000"/>
        </w:rPr>
        <w:t>Cox III, E. P. (1980). The optimal number of response alternatives for a scale: A review. </w:t>
      </w:r>
      <w:r w:rsidRPr="00DE18B0">
        <w:rPr>
          <w:i/>
          <w:iCs/>
          <w:color w:val="000000"/>
        </w:rPr>
        <w:t>Journal of Marketing Research</w:t>
      </w:r>
      <w:r w:rsidRPr="00DE18B0">
        <w:rPr>
          <w:color w:val="000000"/>
        </w:rPr>
        <w:t>, </w:t>
      </w:r>
      <w:r w:rsidRPr="00DE18B0">
        <w:rPr>
          <w:i/>
          <w:iCs/>
          <w:color w:val="000000"/>
        </w:rPr>
        <w:t>17</w:t>
      </w:r>
      <w:r w:rsidRPr="00DE18B0">
        <w:rPr>
          <w:color w:val="000000"/>
        </w:rPr>
        <w:t>(4), 407</w:t>
      </w:r>
      <w:r>
        <w:rPr>
          <w:color w:val="000000"/>
        </w:rPr>
        <w:t xml:space="preserve">-422. </w:t>
      </w:r>
      <w:r w:rsidRPr="00DE18B0">
        <w:rPr>
          <w:color w:val="000000"/>
        </w:rPr>
        <w:t>https://doi.org/10.1177/002224378001700401</w:t>
      </w:r>
      <w:r w:rsidRPr="00DE18B0">
        <w:rPr>
          <w:color w:val="000000"/>
          <w:u w:val="single"/>
        </w:rPr>
        <w:t> </w:t>
      </w:r>
    </w:p>
    <w:p w14:paraId="28EDDC74" w14:textId="50D91F7D" w:rsidR="005D2D09" w:rsidRPr="005D2D09" w:rsidRDefault="005D2D09" w:rsidP="00D336CF">
      <w:pPr>
        <w:spacing w:line="480" w:lineRule="auto"/>
        <w:ind w:left="567" w:hanging="567"/>
        <w:rPr>
          <w:color w:val="000000"/>
        </w:rPr>
      </w:pPr>
      <w:r w:rsidRPr="00827F27">
        <w:rPr>
          <w:color w:val="000000"/>
        </w:rPr>
        <w:t>Daubenmier, J. J. (2005). The relationship of yoga, body awareness, and body responsiveness to self</w:t>
      </w:r>
      <w:r w:rsidRPr="00827F27">
        <w:rPr>
          <w:rFonts w:eastAsia="Calibri"/>
          <w:color w:val="000000"/>
        </w:rPr>
        <w:t>‐</w:t>
      </w:r>
      <w:r w:rsidRPr="00827F27">
        <w:rPr>
          <w:color w:val="000000"/>
        </w:rPr>
        <w:t xml:space="preserve">objectification and disordered eating. </w:t>
      </w:r>
      <w:r w:rsidRPr="00827F27">
        <w:rPr>
          <w:i/>
          <w:color w:val="000000"/>
        </w:rPr>
        <w:t>Psychology of Women Quarterly, 29</w:t>
      </w:r>
      <w:r w:rsidRPr="00827F27">
        <w:rPr>
          <w:iCs/>
          <w:color w:val="000000"/>
        </w:rPr>
        <w:t>(2)</w:t>
      </w:r>
      <w:r w:rsidRPr="00827F27">
        <w:rPr>
          <w:color w:val="000000"/>
        </w:rPr>
        <w:t xml:space="preserve">, 207-219. </w:t>
      </w:r>
      <w:r w:rsidRPr="00827F27">
        <w:rPr>
          <w:color w:val="000000" w:themeColor="text1"/>
          <w:shd w:val="clear" w:color="auto" w:fill="FFFFFF"/>
        </w:rPr>
        <w:t>https://doi.org/</w:t>
      </w:r>
      <w:r w:rsidRPr="00827F27">
        <w:rPr>
          <w:color w:val="000000"/>
        </w:rPr>
        <w:t>10.1111/j.1471-6402.2005.00183.x</w:t>
      </w:r>
    </w:p>
    <w:p w14:paraId="7D03DB21" w14:textId="3AC4BF5B" w:rsidR="005B0CDE" w:rsidRPr="006C6A02" w:rsidRDefault="005B0CDE" w:rsidP="005B0CDE">
      <w:pPr>
        <w:spacing w:line="480" w:lineRule="auto"/>
        <w:ind w:left="567" w:hanging="567"/>
      </w:pPr>
      <w:r w:rsidRPr="006C6A02">
        <w:t xml:space="preserve">Davis, L. L., Fowler, S. A., Best, L. A., &amp; Both, L. E. (2019). The role of body image in the prediction of life satisfaction and flourishing in men and women. </w:t>
      </w:r>
      <w:r w:rsidRPr="006C6A02">
        <w:rPr>
          <w:i/>
        </w:rPr>
        <w:t>Journal of Happiness Studies</w:t>
      </w:r>
      <w:r w:rsidRPr="006C6A02">
        <w:t xml:space="preserve">. Advanced online publication. </w:t>
      </w:r>
      <w:r>
        <w:t>https://</w:t>
      </w:r>
      <w:r w:rsidRPr="006C6A02">
        <w:t>doi</w:t>
      </w:r>
      <w:r>
        <w:t>.org/</w:t>
      </w:r>
      <w:r w:rsidRPr="006C6A02">
        <w:t>10.1007/s10902-019-00093-y</w:t>
      </w:r>
    </w:p>
    <w:p w14:paraId="1A45000E" w14:textId="21312DB3" w:rsidR="00897AEC" w:rsidRDefault="00897AEC" w:rsidP="00897AEC">
      <w:pPr>
        <w:spacing w:line="480" w:lineRule="auto"/>
        <w:ind w:left="567" w:hanging="567"/>
      </w:pPr>
      <w:r w:rsidRPr="00897AEC">
        <w:t>De Berardis, D., Carano, A., Gambi, F., Campanella, D., Giannetti, P., Ceci, A., Mancini, E., La Rovere, R., Cicconetti, A., Penna, L., Di Matteo, D., Scorrano, B., Cotellessa, C., Maria Salerno, R., Serroni, N., &amp; Ferro, F. M. (2007). Alexithymia and its relationships with body checking and body image in a non-clinical female sample. </w:t>
      </w:r>
      <w:r w:rsidRPr="00897AEC">
        <w:rPr>
          <w:i/>
          <w:iCs/>
        </w:rPr>
        <w:t>Eating Behaviors</w:t>
      </w:r>
      <w:r w:rsidRPr="00897AEC">
        <w:t>, </w:t>
      </w:r>
      <w:r w:rsidRPr="00897AEC">
        <w:rPr>
          <w:i/>
          <w:iCs/>
        </w:rPr>
        <w:t>8</w:t>
      </w:r>
      <w:r w:rsidRPr="00897AEC">
        <w:t>(3), 296-304. https://doi.org/10.1016/j.eatbeh.2006.11.005</w:t>
      </w:r>
    </w:p>
    <w:p w14:paraId="17FA783E" w14:textId="1B36A42D" w:rsidR="005B0CDE" w:rsidRPr="00D974BD" w:rsidRDefault="005B0CDE" w:rsidP="005B0CDE">
      <w:pPr>
        <w:spacing w:line="480" w:lineRule="auto"/>
        <w:ind w:left="567" w:hanging="567"/>
      </w:pPr>
      <w:r w:rsidRPr="00D974BD">
        <w:t xml:space="preserve">Delorme, A., &amp; Makeig, S. (2004). EEGLAB: An open source toolbox for analysis of single-trial EEG dynamics including independent component analysis. </w:t>
      </w:r>
      <w:r w:rsidRPr="00D974BD">
        <w:rPr>
          <w:i/>
          <w:iCs/>
        </w:rPr>
        <w:t>Journal of Neuroscience Methods, 134</w:t>
      </w:r>
      <w:r w:rsidRPr="00D974BD">
        <w:t xml:space="preserve">(1), 9-21. </w:t>
      </w:r>
      <w:r w:rsidRPr="00292313">
        <w:t>https://doi.org/10.1016/j.jneumeth.2003.10.009</w:t>
      </w:r>
    </w:p>
    <w:p w14:paraId="6C907D14" w14:textId="6AF86B74" w:rsidR="00DE18B0" w:rsidRDefault="00DE18B0" w:rsidP="00B33502">
      <w:pPr>
        <w:spacing w:line="480" w:lineRule="auto"/>
        <w:ind w:left="709" w:right="68" w:hanging="709"/>
        <w:rPr>
          <w:color w:val="000000"/>
          <w:u w:val="single"/>
        </w:rPr>
      </w:pPr>
      <w:r w:rsidRPr="00DE18B0">
        <w:rPr>
          <w:color w:val="000000"/>
        </w:rPr>
        <w:t>Diefenbach, M. A., Weinstein, N. D., &amp; O’Reilly, J. (1993). Scales for assessing perceptions of health hazard susceptibility. </w:t>
      </w:r>
      <w:r w:rsidRPr="00DE18B0">
        <w:rPr>
          <w:i/>
          <w:iCs/>
          <w:color w:val="000000"/>
        </w:rPr>
        <w:t>Health Education Research</w:t>
      </w:r>
      <w:r w:rsidRPr="00DE18B0">
        <w:rPr>
          <w:color w:val="000000"/>
        </w:rPr>
        <w:t>, </w:t>
      </w:r>
      <w:r w:rsidRPr="00DE18B0">
        <w:rPr>
          <w:i/>
          <w:iCs/>
          <w:color w:val="000000"/>
        </w:rPr>
        <w:t>8</w:t>
      </w:r>
      <w:r w:rsidRPr="00DE18B0">
        <w:rPr>
          <w:color w:val="000000"/>
        </w:rPr>
        <w:t>(2), 181-</w:t>
      </w:r>
      <w:r>
        <w:rPr>
          <w:color w:val="000000"/>
        </w:rPr>
        <w:t xml:space="preserve">192. </w:t>
      </w:r>
      <w:r w:rsidRPr="00DE18B0">
        <w:rPr>
          <w:color w:val="000000"/>
        </w:rPr>
        <w:t>https://doi.org/10.1093/her/8.2.181</w:t>
      </w:r>
      <w:r w:rsidRPr="00DE18B0">
        <w:rPr>
          <w:color w:val="000000"/>
          <w:u w:val="single"/>
        </w:rPr>
        <w:t> </w:t>
      </w:r>
    </w:p>
    <w:p w14:paraId="499F18C5" w14:textId="34CB0BCD" w:rsidR="00B33502" w:rsidRDefault="00B33502" w:rsidP="00B33502">
      <w:pPr>
        <w:spacing w:line="480" w:lineRule="auto"/>
        <w:ind w:left="709" w:right="68" w:hanging="709"/>
        <w:rPr>
          <w:color w:val="000000"/>
        </w:rPr>
      </w:pPr>
      <w:r>
        <w:rPr>
          <w:color w:val="000000"/>
        </w:rPr>
        <w:lastRenderedPageBreak/>
        <w:t xml:space="preserve">Drew, R. E., Ferentzi, E., Tihanyi, B. T., &amp; Köteles, F. (2020). There are no short-term longitudinal associations among interoceptive accuracy, external body orientation, and body image dissatisfaction. </w:t>
      </w:r>
      <w:r>
        <w:rPr>
          <w:i/>
          <w:iCs/>
          <w:color w:val="000000"/>
        </w:rPr>
        <w:t>Clinical Psychology in Europe, 2</w:t>
      </w:r>
      <w:r>
        <w:rPr>
          <w:color w:val="000000"/>
        </w:rPr>
        <w:t>(2), 1-15. https://doi.org/10.32872/cpe.v2i2.2701</w:t>
      </w:r>
    </w:p>
    <w:p w14:paraId="7EE39459" w14:textId="77777777" w:rsidR="005B0CDE" w:rsidRPr="00D974BD" w:rsidRDefault="005B0CDE" w:rsidP="005B0CDE">
      <w:pPr>
        <w:spacing w:line="480" w:lineRule="auto"/>
        <w:ind w:left="567" w:hanging="567"/>
      </w:pPr>
      <w:r w:rsidRPr="00D974BD">
        <w:t xml:space="preserve">Duschek, S., Werner, N. S., Reyes del Paso, G. A., &amp; Schandry, R. (2015). The contributions of interoceptive awareness to cognitive and affective facets of body experience. </w:t>
      </w:r>
      <w:r w:rsidRPr="00D974BD">
        <w:rPr>
          <w:i/>
        </w:rPr>
        <w:t>Journal of Individual Differences</w:t>
      </w:r>
      <w:r w:rsidRPr="00D974BD">
        <w:t>,</w:t>
      </w:r>
      <w:r w:rsidRPr="00D974BD">
        <w:rPr>
          <w:i/>
        </w:rPr>
        <w:t xml:space="preserve"> 36</w:t>
      </w:r>
      <w:r w:rsidRPr="00D974BD">
        <w:t>(2), 110-118. https://doi.org/10.1027/1614-0001/a000165</w:t>
      </w:r>
    </w:p>
    <w:p w14:paraId="7BBF1284" w14:textId="77777777" w:rsidR="005B0CDE" w:rsidRDefault="005B0CDE" w:rsidP="005B0CDE">
      <w:pPr>
        <w:spacing w:line="480" w:lineRule="auto"/>
        <w:ind w:left="567" w:hanging="567"/>
      </w:pPr>
      <w:r w:rsidRPr="00D974BD">
        <w:t xml:space="preserve">Emanuelsen, L., Drew, R., &amp; Köteles, F. (2014). Interoceptive sensitivity, body image dissatisfaction, and body awareness in healthy individuals. </w:t>
      </w:r>
      <w:r w:rsidRPr="00D974BD">
        <w:rPr>
          <w:i/>
        </w:rPr>
        <w:t>Scandinavian Journal of Psychology</w:t>
      </w:r>
      <w:r w:rsidRPr="00D974BD">
        <w:t>,</w:t>
      </w:r>
      <w:r w:rsidRPr="00D974BD">
        <w:rPr>
          <w:i/>
        </w:rPr>
        <w:t xml:space="preserve"> 56</w:t>
      </w:r>
      <w:r w:rsidRPr="00D974BD">
        <w:rPr>
          <w:iCs/>
        </w:rPr>
        <w:t>(2)</w:t>
      </w:r>
      <w:r w:rsidRPr="00D974BD">
        <w:t>,</w:t>
      </w:r>
      <w:r w:rsidRPr="00D974BD">
        <w:rPr>
          <w:i/>
        </w:rPr>
        <w:t xml:space="preserve"> </w:t>
      </w:r>
      <w:r w:rsidRPr="00D974BD">
        <w:t xml:space="preserve">167-174. </w:t>
      </w:r>
      <w:r w:rsidRPr="00A43F9D">
        <w:t>https://doi.org/10.1111/sjop.12183</w:t>
      </w:r>
    </w:p>
    <w:p w14:paraId="7AFD2DD0" w14:textId="77777777" w:rsidR="00B232C9" w:rsidRPr="00827F27" w:rsidRDefault="00B232C9" w:rsidP="00B232C9">
      <w:pPr>
        <w:spacing w:line="480" w:lineRule="auto"/>
        <w:ind w:left="567" w:hanging="567"/>
      </w:pPr>
      <w:r w:rsidRPr="00827F27">
        <w:t>Eshkevari, E., Rieger, E., Longo, M. R., Haggard, P., &amp; Treasure, J. (2012). Increased plasticity of the bodily self in eating disorders. </w:t>
      </w:r>
      <w:r w:rsidRPr="00827F27">
        <w:rPr>
          <w:i/>
          <w:iCs/>
        </w:rPr>
        <w:t>Psychological Medicine</w:t>
      </w:r>
      <w:r w:rsidRPr="00827F27">
        <w:t>, </w:t>
      </w:r>
      <w:r w:rsidRPr="00827F27">
        <w:rPr>
          <w:i/>
          <w:iCs/>
        </w:rPr>
        <w:t>42</w:t>
      </w:r>
      <w:r w:rsidRPr="00827F27">
        <w:t>(4), 819-828. https://doi.org/10.1017/S0033291711002091</w:t>
      </w:r>
    </w:p>
    <w:p w14:paraId="5DD38A75" w14:textId="77777777" w:rsidR="00B232C9" w:rsidRPr="00827F27" w:rsidRDefault="00B232C9" w:rsidP="00B232C9">
      <w:pPr>
        <w:spacing w:line="480" w:lineRule="auto"/>
        <w:ind w:left="709" w:right="68" w:hanging="709"/>
        <w:rPr>
          <w:color w:val="000000" w:themeColor="text1"/>
          <w:shd w:val="clear" w:color="auto" w:fill="FFFFFF"/>
        </w:rPr>
      </w:pPr>
      <w:r w:rsidRPr="00827F27">
        <w:rPr>
          <w:color w:val="000000" w:themeColor="text1"/>
          <w:shd w:val="clear" w:color="auto" w:fill="FFFFFF"/>
        </w:rPr>
        <w:t>Eshkevari, E., Rieger, E., Longo, M. R., Haggard, P., &amp; Treasure, J. (2014). Persistent body image disturbance following recovery from eating disorders. </w:t>
      </w:r>
      <w:r w:rsidRPr="00827F27">
        <w:rPr>
          <w:i/>
          <w:iCs/>
          <w:color w:val="000000" w:themeColor="text1"/>
          <w:shd w:val="clear" w:color="auto" w:fill="FFFFFF"/>
        </w:rPr>
        <w:t>International Journal of Eating Disorders</w:t>
      </w:r>
      <w:r w:rsidRPr="00827F27">
        <w:rPr>
          <w:color w:val="000000" w:themeColor="text1"/>
          <w:shd w:val="clear" w:color="auto" w:fill="FFFFFF"/>
        </w:rPr>
        <w:t>, </w:t>
      </w:r>
      <w:r w:rsidRPr="00827F27">
        <w:rPr>
          <w:i/>
          <w:iCs/>
          <w:color w:val="000000" w:themeColor="text1"/>
          <w:shd w:val="clear" w:color="auto" w:fill="FFFFFF"/>
        </w:rPr>
        <w:t>47</w:t>
      </w:r>
      <w:r w:rsidRPr="00827F27">
        <w:rPr>
          <w:color w:val="000000" w:themeColor="text1"/>
          <w:shd w:val="clear" w:color="auto" w:fill="FFFFFF"/>
        </w:rPr>
        <w:t>(4), 400-409.</w:t>
      </w:r>
      <w:r w:rsidRPr="00827F27">
        <w:t xml:space="preserve"> </w:t>
      </w:r>
      <w:r w:rsidRPr="00827F27">
        <w:rPr>
          <w:color w:val="000000" w:themeColor="text1"/>
          <w:shd w:val="clear" w:color="auto" w:fill="FFFFFF"/>
        </w:rPr>
        <w:t>https://doi.org/10.1002/eat.22219</w:t>
      </w:r>
    </w:p>
    <w:p w14:paraId="21B55CE7" w14:textId="77777777" w:rsidR="005B0CDE" w:rsidRPr="00D974BD" w:rsidRDefault="005B0CDE" w:rsidP="005B0CDE">
      <w:pPr>
        <w:spacing w:line="480" w:lineRule="auto"/>
        <w:ind w:left="567" w:hanging="567"/>
      </w:pPr>
      <w:r w:rsidRPr="6349EE1B">
        <w:t xml:space="preserve">Forkmann, T., Scherer, A., Meessen, J., Michal, M., Schächinger, H., Vögele, C., &amp; Schulz, A. (2016). Making sense of what you sense: Disentangling interoceptive awareness, sensibility and accuracy. </w:t>
      </w:r>
      <w:r w:rsidRPr="6349EE1B">
        <w:rPr>
          <w:i/>
          <w:iCs/>
        </w:rPr>
        <w:t>International Journal of Psychophysiology, 109</w:t>
      </w:r>
      <w:r w:rsidRPr="6349EE1B">
        <w:t xml:space="preserve">, 71-80. https://doi.org/10.1016/j.ijpsycho.2016.09.019 </w:t>
      </w:r>
    </w:p>
    <w:p w14:paraId="45B9C4E3" w14:textId="29709B1B" w:rsidR="005B0CDE" w:rsidRDefault="005B0CDE" w:rsidP="005B0CDE">
      <w:pPr>
        <w:spacing w:line="480" w:lineRule="auto"/>
        <w:ind w:left="567" w:hanging="567"/>
      </w:pPr>
      <w:r w:rsidRPr="6349EE1B">
        <w:t>Fredrickson, B. L., &amp; Roberts, T. A. (1997). Objectification theory: Toward understanding women</w:t>
      </w:r>
      <w:r w:rsidR="0024767F">
        <w:t>’</w:t>
      </w:r>
      <w:r w:rsidRPr="6349EE1B">
        <w:t xml:space="preserve">s lived experiences and mental health risks. </w:t>
      </w:r>
      <w:r w:rsidRPr="6349EE1B">
        <w:rPr>
          <w:i/>
          <w:iCs/>
        </w:rPr>
        <w:t>Psychology of Women Quarterly, 21</w:t>
      </w:r>
      <w:r w:rsidRPr="6349EE1B">
        <w:t>(2), 173-206. https://10.1111/j.1471-6402.1997.tb00108.x</w:t>
      </w:r>
    </w:p>
    <w:p w14:paraId="361FC90F" w14:textId="77777777" w:rsidR="005B0CDE" w:rsidRPr="00D974BD" w:rsidRDefault="005B0CDE" w:rsidP="005B0CDE">
      <w:pPr>
        <w:spacing w:line="480" w:lineRule="auto"/>
        <w:ind w:left="567" w:hanging="567"/>
      </w:pPr>
      <w:r w:rsidRPr="00353687">
        <w:lastRenderedPageBreak/>
        <w:t xml:space="preserve">Gillen, M. M. (2015). Associations between positive body image and indicators of men’s and women’s mental and physical health. </w:t>
      </w:r>
      <w:r w:rsidRPr="00353687">
        <w:rPr>
          <w:i/>
        </w:rPr>
        <w:t>Body Image</w:t>
      </w:r>
      <w:r w:rsidRPr="00353687">
        <w:t>,</w:t>
      </w:r>
      <w:r w:rsidRPr="00353687">
        <w:rPr>
          <w:i/>
        </w:rPr>
        <w:t xml:space="preserve"> 13</w:t>
      </w:r>
      <w:r w:rsidRPr="00353687">
        <w:t xml:space="preserve">, 67-74. </w:t>
      </w:r>
      <w:r>
        <w:t>https://d</w:t>
      </w:r>
      <w:r w:rsidRPr="00353687">
        <w:t>oi</w:t>
      </w:r>
      <w:r>
        <w:t>.org/</w:t>
      </w:r>
      <w:r w:rsidRPr="00353687">
        <w:t>10.1016/j.bodyim.2015.01.002</w:t>
      </w:r>
    </w:p>
    <w:p w14:paraId="3588D0C8" w14:textId="5F3D79E6" w:rsidR="00A93A72" w:rsidRPr="00A93A72" w:rsidRDefault="005B0CDE" w:rsidP="00A93A72">
      <w:pPr>
        <w:spacing w:line="480" w:lineRule="auto"/>
        <w:ind w:left="567" w:hanging="567"/>
      </w:pPr>
      <w:r w:rsidRPr="00D974BD">
        <w:t xml:space="preserve">Glerean, E., Salmi, J., Lahnakoski, J. M., Jääskeläinen, I. P., &amp; Sams, M. (2012). Functional magnetic resonance imaging phase synchronization as a measure of dynamic functional connectivity. </w:t>
      </w:r>
      <w:r w:rsidRPr="00D974BD">
        <w:rPr>
          <w:i/>
          <w:iCs/>
        </w:rPr>
        <w:t xml:space="preserve">Brain </w:t>
      </w:r>
      <w:r>
        <w:rPr>
          <w:i/>
          <w:iCs/>
        </w:rPr>
        <w:t>C</w:t>
      </w:r>
      <w:r w:rsidRPr="00D974BD">
        <w:rPr>
          <w:i/>
          <w:iCs/>
        </w:rPr>
        <w:t>onnectivity, 2</w:t>
      </w:r>
      <w:r w:rsidRPr="00D974BD">
        <w:t>(2), 91-101. https://doi.org/10.1089/brain.2011.0068</w:t>
      </w:r>
    </w:p>
    <w:p w14:paraId="5CBE663E" w14:textId="77777777" w:rsidR="00A93A72" w:rsidRPr="00A93A72" w:rsidRDefault="00A93A72" w:rsidP="00A93A72">
      <w:pPr>
        <w:spacing w:line="480" w:lineRule="auto"/>
        <w:ind w:left="709" w:right="68" w:hanging="709"/>
        <w:rPr>
          <w:color w:val="000000" w:themeColor="text1"/>
        </w:rPr>
      </w:pPr>
      <w:r w:rsidRPr="00A93A72">
        <w:rPr>
          <w:color w:val="000000" w:themeColor="text1"/>
        </w:rPr>
        <w:t>Huke, V., Turk, J., Saeidi, S., Kent, A., &amp; Morgan, J. F. (2013). Autism spectrum disorders in eating disorder populations: a systematic review. </w:t>
      </w:r>
      <w:r w:rsidRPr="00A93A72">
        <w:rPr>
          <w:i/>
          <w:iCs/>
          <w:color w:val="000000" w:themeColor="text1"/>
        </w:rPr>
        <w:t>European Eating Disorders Review</w:t>
      </w:r>
      <w:r w:rsidRPr="00A93A72">
        <w:rPr>
          <w:color w:val="000000" w:themeColor="text1"/>
        </w:rPr>
        <w:t>, </w:t>
      </w:r>
      <w:r w:rsidRPr="00A93A72">
        <w:rPr>
          <w:i/>
          <w:iCs/>
          <w:color w:val="000000" w:themeColor="text1"/>
        </w:rPr>
        <w:t>21</w:t>
      </w:r>
      <w:r w:rsidRPr="00A93A72">
        <w:rPr>
          <w:color w:val="000000" w:themeColor="text1"/>
        </w:rPr>
        <w:t>(5), 345-351. https://doi.org/10.1002/erv.2244</w:t>
      </w:r>
    </w:p>
    <w:p w14:paraId="03F51F3E" w14:textId="69BA72CF" w:rsidR="005D2D09" w:rsidRPr="005D2D09" w:rsidRDefault="005D2D09" w:rsidP="005D2D09">
      <w:pPr>
        <w:spacing w:line="480" w:lineRule="auto"/>
        <w:ind w:left="709" w:right="68" w:hanging="709"/>
        <w:rPr>
          <w:color w:val="000000" w:themeColor="text1"/>
        </w:rPr>
      </w:pPr>
      <w:r w:rsidRPr="00827F27">
        <w:rPr>
          <w:color w:val="000000" w:themeColor="text1"/>
        </w:rPr>
        <w:t xml:space="preserve">Jenkinson, P. M., Taylor, L., &amp; Laws, K. R. (2018). Self-reported interoceptive deficits in eating disorders: A meta-analysis of studies using the Eating Disorder Inventory. </w:t>
      </w:r>
      <w:r w:rsidRPr="00827F27">
        <w:rPr>
          <w:i/>
          <w:color w:val="000000" w:themeColor="text1"/>
        </w:rPr>
        <w:t>Journal of Psychosomatic Research, 110,</w:t>
      </w:r>
      <w:r w:rsidRPr="00827F27">
        <w:rPr>
          <w:color w:val="000000" w:themeColor="text1"/>
        </w:rPr>
        <w:t xml:space="preserve"> 38-45.</w:t>
      </w:r>
      <w:r w:rsidRPr="00827F27">
        <w:t xml:space="preserve"> </w:t>
      </w:r>
      <w:r w:rsidRPr="00827F27">
        <w:rPr>
          <w:color w:val="000000" w:themeColor="text1"/>
          <w:shd w:val="clear" w:color="auto" w:fill="FFFFFF"/>
        </w:rPr>
        <w:t>https://doi.org/</w:t>
      </w:r>
      <w:r w:rsidRPr="00827F27">
        <w:rPr>
          <w:color w:val="000000" w:themeColor="text1"/>
        </w:rPr>
        <w:t>10.1016/j.jpsychores.2018.04.005</w:t>
      </w:r>
    </w:p>
    <w:p w14:paraId="108F8329" w14:textId="0E76F080" w:rsidR="005B0CDE" w:rsidRPr="00D974BD" w:rsidRDefault="005B0CDE" w:rsidP="005B0CDE">
      <w:pPr>
        <w:spacing w:line="480" w:lineRule="auto"/>
        <w:ind w:left="567" w:hanging="567"/>
        <w:rPr>
          <w:color w:val="000000" w:themeColor="text1"/>
          <w:shd w:val="clear" w:color="auto" w:fill="FFFFFF"/>
        </w:rPr>
      </w:pPr>
      <w:r w:rsidRPr="00D974BD">
        <w:rPr>
          <w:color w:val="000000" w:themeColor="text1"/>
          <w:shd w:val="clear" w:color="auto" w:fill="FFFFFF"/>
        </w:rPr>
        <w:t xml:space="preserve">Khalsa, S. S., Adolphs, R., Cameron, O. G., Critchley, H. D., Davenport, P. W., Feinstein, J. S., Feusner, J. D., Garfinkel, S. N., Lane, R. D., Mehling, W. E., Meuret, A. E., Nemeroff, C. B., Oppenheimer, S., Petzschner, F. H., Pollatos, O., Rhudy, J. L., Schramm, L. P., Simmons, W. K., Stein, N. B., ... Paulus, M. P. (2018). Interoception and mental health: A roadmap. </w:t>
      </w:r>
      <w:r w:rsidRPr="00D974BD">
        <w:rPr>
          <w:i/>
          <w:color w:val="000000" w:themeColor="text1"/>
          <w:shd w:val="clear" w:color="auto" w:fill="FFFFFF"/>
        </w:rPr>
        <w:t>Biological Psychiatry</w:t>
      </w:r>
      <w:r w:rsidRPr="00D974BD">
        <w:rPr>
          <w:color w:val="000000" w:themeColor="text1"/>
          <w:shd w:val="clear" w:color="auto" w:fill="FFFFFF"/>
        </w:rPr>
        <w:t>,</w:t>
      </w:r>
      <w:r w:rsidRPr="00D974BD">
        <w:rPr>
          <w:i/>
          <w:color w:val="000000" w:themeColor="text1"/>
          <w:shd w:val="clear" w:color="auto" w:fill="FFFFFF"/>
        </w:rPr>
        <w:t xml:space="preserve"> 3</w:t>
      </w:r>
      <w:r w:rsidRPr="00D974BD">
        <w:rPr>
          <w:iCs/>
          <w:color w:val="000000" w:themeColor="text1"/>
          <w:shd w:val="clear" w:color="auto" w:fill="FFFFFF"/>
        </w:rPr>
        <w:t>(6)</w:t>
      </w:r>
      <w:r w:rsidRPr="00D974BD">
        <w:rPr>
          <w:color w:val="000000" w:themeColor="text1"/>
          <w:shd w:val="clear" w:color="auto" w:fill="FFFFFF"/>
        </w:rPr>
        <w:t xml:space="preserve">, 501-513. </w:t>
      </w:r>
      <w:r w:rsidRPr="00917E61">
        <w:rPr>
          <w:shd w:val="clear" w:color="auto" w:fill="FFFFFF"/>
        </w:rPr>
        <w:t>https://doi.org/10.1016/j.bpsc.2017.12.004</w:t>
      </w:r>
    </w:p>
    <w:p w14:paraId="6CA76554" w14:textId="77777777" w:rsidR="005B0CDE" w:rsidRPr="00D974BD" w:rsidRDefault="005B0CDE" w:rsidP="005B0CDE">
      <w:pPr>
        <w:spacing w:line="480" w:lineRule="auto"/>
        <w:ind w:left="567" w:hanging="567"/>
      </w:pPr>
      <w:r w:rsidRPr="00B5609F">
        <w:rPr>
          <w:lang w:val="it-IT"/>
        </w:rPr>
        <w:t xml:space="preserve">Khalsa, S. S., &amp; Lapidus, R. C. (2016). </w:t>
      </w:r>
      <w:r w:rsidRPr="00D974BD">
        <w:t xml:space="preserve">Can interoception improve the pragmatic search for biomarkers in psychiatry? </w:t>
      </w:r>
      <w:r w:rsidRPr="00D974BD">
        <w:rPr>
          <w:i/>
          <w:iCs/>
        </w:rPr>
        <w:t xml:space="preserve">Frontiers in </w:t>
      </w:r>
      <w:r>
        <w:rPr>
          <w:i/>
          <w:iCs/>
        </w:rPr>
        <w:t>P</w:t>
      </w:r>
      <w:r w:rsidRPr="00D974BD">
        <w:rPr>
          <w:i/>
          <w:iCs/>
        </w:rPr>
        <w:t>sychiatry, 7</w:t>
      </w:r>
      <w:r w:rsidRPr="00D974BD">
        <w:t>, 121. https://doi.org/10.3389/fpsyt.2016.00121</w:t>
      </w:r>
    </w:p>
    <w:p w14:paraId="00000E75" w14:textId="0DFF7403" w:rsidR="007E60D7" w:rsidRDefault="007E60D7" w:rsidP="007E60D7">
      <w:pPr>
        <w:spacing w:line="480" w:lineRule="auto"/>
        <w:ind w:left="709" w:right="68" w:hanging="709"/>
      </w:pPr>
      <w:r w:rsidRPr="00827F27">
        <w:t xml:space="preserve">Klabunde, M., Acheson, D., Boutelle, K., Matthews, S., &amp; Kaye, W. (2013). Interoceptive sensitivity deficits in women recovered from bulimia nervosa. </w:t>
      </w:r>
      <w:r w:rsidRPr="00827F27">
        <w:rPr>
          <w:i/>
        </w:rPr>
        <w:t>Eating Behaviors, 14</w:t>
      </w:r>
      <w:r w:rsidRPr="00827F27">
        <w:rPr>
          <w:iCs/>
        </w:rPr>
        <w:t>(4)</w:t>
      </w:r>
      <w:r w:rsidRPr="00827F27">
        <w:t xml:space="preserve">, 488-492. </w:t>
      </w:r>
      <w:r w:rsidRPr="00827F27">
        <w:rPr>
          <w:color w:val="000000" w:themeColor="text1"/>
          <w:shd w:val="clear" w:color="auto" w:fill="FFFFFF"/>
        </w:rPr>
        <w:t>https://doi.org/</w:t>
      </w:r>
      <w:r w:rsidRPr="00827F27">
        <w:t>10.1016/j.eatbeh.2013.08.002</w:t>
      </w:r>
    </w:p>
    <w:p w14:paraId="6CE73283" w14:textId="62D63BE8" w:rsidR="005B0CDE" w:rsidRPr="00D974BD" w:rsidRDefault="005B0CDE" w:rsidP="005B0CDE">
      <w:pPr>
        <w:spacing w:line="480" w:lineRule="auto"/>
        <w:ind w:left="567" w:hanging="567"/>
      </w:pPr>
      <w:r w:rsidRPr="00D974BD">
        <w:lastRenderedPageBreak/>
        <w:t xml:space="preserve">Lutz, A. P., Schulz, A., Voderholzer, U., Koch, S., Van Dyck, Z., &amp; Vögele, C. (2019). Enhanced cortical processing of cardio-afferent signals in anorexia nervosa. </w:t>
      </w:r>
      <w:r w:rsidRPr="00D974BD">
        <w:rPr>
          <w:i/>
          <w:iCs/>
        </w:rPr>
        <w:t>Clinical Neurophysiology, 130</w:t>
      </w:r>
      <w:r w:rsidRPr="00D974BD">
        <w:t xml:space="preserve">(9), 1620-1627. </w:t>
      </w:r>
      <w:r w:rsidRPr="00917E61">
        <w:t>https://doi.org/10.1016/j.clinph.2019.06.009</w:t>
      </w:r>
    </w:p>
    <w:p w14:paraId="7C89B41D" w14:textId="77777777" w:rsidR="005B0CDE" w:rsidRPr="00D974BD" w:rsidRDefault="005B0CDE" w:rsidP="005B0CDE">
      <w:pPr>
        <w:spacing w:line="480" w:lineRule="auto"/>
        <w:ind w:left="567" w:hanging="567"/>
      </w:pPr>
      <w:r w:rsidRPr="00D974BD">
        <w:t xml:space="preserve">Maris, E., &amp; Oostenveld, R. (2007). Nonparametric statistical testing of EEG-and MEG-data. </w:t>
      </w:r>
      <w:r w:rsidRPr="00D974BD">
        <w:rPr>
          <w:i/>
          <w:iCs/>
        </w:rPr>
        <w:t>Journal of Neuroscience Methods, 164</w:t>
      </w:r>
      <w:r w:rsidRPr="00D974BD">
        <w:t>(1), 177-190. https://doi.org/10.1016/j.jneumeth.2007.03.024</w:t>
      </w:r>
    </w:p>
    <w:p w14:paraId="5C862143" w14:textId="04F82786" w:rsidR="00D52817" w:rsidRDefault="00000E40" w:rsidP="005B0CDE">
      <w:pPr>
        <w:spacing w:line="480" w:lineRule="auto"/>
        <w:ind w:left="567" w:hanging="567"/>
      </w:pPr>
      <w:r w:rsidRPr="00000E40">
        <w:t xml:space="preserve">Mayeli, A., Al Zoubi, O., White, E. J., Chappelle, S., Kuplicki, R., Smith, R., </w:t>
      </w:r>
      <w:r w:rsidR="0003757B">
        <w:t>Feinstein</w:t>
      </w:r>
      <w:r w:rsidR="00426445">
        <w:t>, J.S., Bodurka, J., Paulus, M.P.,</w:t>
      </w:r>
      <w:r w:rsidRPr="00000E40">
        <w:t xml:space="preserve"> &amp; Khalsa, S. S. (2021). Neural indicators of human gut feelings. </w:t>
      </w:r>
      <w:r w:rsidRPr="0003757B">
        <w:rPr>
          <w:i/>
          <w:iCs/>
        </w:rPr>
        <w:t>bioRxiv</w:t>
      </w:r>
      <w:r w:rsidRPr="00000E40">
        <w:t>.</w:t>
      </w:r>
      <w:r w:rsidR="00B34C33" w:rsidRPr="00B34C33">
        <w:t xml:space="preserve"> https://doi.org/10.1101/2021.02.11.430867</w:t>
      </w:r>
    </w:p>
    <w:p w14:paraId="3E0798C2" w14:textId="3FF2B13C" w:rsidR="005B0CDE" w:rsidRPr="00D974BD" w:rsidRDefault="005B0CDE" w:rsidP="005B0CDE">
      <w:pPr>
        <w:spacing w:line="480" w:lineRule="auto"/>
        <w:ind w:left="567" w:hanging="567"/>
      </w:pPr>
      <w:r w:rsidRPr="00D974BD">
        <w:t xml:space="preserve">McKinley, N. M., &amp; Hyde, J. S. (1996). The Objectified Body Consciousness Scale: Development and validation. </w:t>
      </w:r>
      <w:r w:rsidRPr="006745AB">
        <w:rPr>
          <w:i/>
        </w:rPr>
        <w:t>Psychology of Women Quarterly</w:t>
      </w:r>
      <w:r w:rsidRPr="00D974BD">
        <w:t xml:space="preserve">, </w:t>
      </w:r>
      <w:r w:rsidRPr="006745AB">
        <w:rPr>
          <w:i/>
        </w:rPr>
        <w:t>20</w:t>
      </w:r>
      <w:r w:rsidRPr="00D974BD">
        <w:t>(2), 181-215. https://10.1111/j.1471-6402.1996.tb00467.x</w:t>
      </w:r>
    </w:p>
    <w:p w14:paraId="47FEF4D9" w14:textId="77777777" w:rsidR="00A44272" w:rsidRDefault="00A44272" w:rsidP="00A44272">
      <w:pPr>
        <w:spacing w:line="480" w:lineRule="auto"/>
        <w:ind w:left="567" w:hanging="567"/>
      </w:pPr>
      <w:r>
        <w:t>Mikutta, C., Feige, B., Maier, J. G., Hertenstein, E., Holz, J., Riemann, D., &amp; Nissen, C. (2019). Phase‐amplitude coupling of sleep slow oscillatory and spindle activity correlates with overnight memory consolidation. </w:t>
      </w:r>
      <w:r>
        <w:rPr>
          <w:i/>
          <w:iCs/>
        </w:rPr>
        <w:t>Journal of Sleep Research</w:t>
      </w:r>
      <w:r>
        <w:t>, </w:t>
      </w:r>
      <w:r>
        <w:rPr>
          <w:i/>
          <w:iCs/>
        </w:rPr>
        <w:t>28</w:t>
      </w:r>
      <w:r>
        <w:t>(6), e12835. https://doi.org/10.1111/jsr.12835</w:t>
      </w:r>
    </w:p>
    <w:p w14:paraId="72691165" w14:textId="77777777" w:rsidR="006B2DC3" w:rsidRPr="00F46444" w:rsidRDefault="006B2DC3" w:rsidP="006B2DC3">
      <w:pPr>
        <w:spacing w:line="480" w:lineRule="auto"/>
        <w:ind w:left="567" w:hanging="567"/>
      </w:pPr>
      <w:r w:rsidRPr="001577CA">
        <w:t xml:space="preserve">Monti, A., Porciello, G., Panasiti, M. S., &amp; Aglioti, S. M. (2021). Gut markers of bodily self-consciousness. </w:t>
      </w:r>
      <w:r w:rsidRPr="00F46444">
        <w:rPr>
          <w:i/>
          <w:iCs/>
        </w:rPr>
        <w:t>bioRxiv.</w:t>
      </w:r>
      <w:r>
        <w:rPr>
          <w:i/>
          <w:iCs/>
        </w:rPr>
        <w:t xml:space="preserve"> </w:t>
      </w:r>
      <w:r w:rsidRPr="0088264B">
        <w:t>https://doi.org/10.1101/2021.03.05.434072</w:t>
      </w:r>
    </w:p>
    <w:p w14:paraId="4756C366" w14:textId="7E020E24" w:rsidR="00870EAC" w:rsidRPr="00870EAC" w:rsidRDefault="00870EAC" w:rsidP="00870EAC">
      <w:pPr>
        <w:spacing w:line="480" w:lineRule="auto"/>
        <w:ind w:left="709" w:right="68" w:hanging="709"/>
        <w:rPr>
          <w:color w:val="000000" w:themeColor="text1"/>
        </w:rPr>
      </w:pPr>
      <w:r w:rsidRPr="00870EAC">
        <w:rPr>
          <w:color w:val="000000" w:themeColor="text1"/>
        </w:rPr>
        <w:t xml:space="preserve">Mul, C., Stagg, S. D., Herbelin, B., and Aspell, J. E. (2018). The feeling of Me feeling for you: Interoception, alexithymia and empathy in autism. </w:t>
      </w:r>
      <w:r w:rsidRPr="00870EAC">
        <w:rPr>
          <w:i/>
          <w:iCs/>
          <w:color w:val="000000" w:themeColor="text1"/>
        </w:rPr>
        <w:t>Journal of Autism and Developmental Disorders</w:t>
      </w:r>
      <w:r w:rsidRPr="00870EAC">
        <w:rPr>
          <w:color w:val="000000" w:themeColor="text1"/>
        </w:rPr>
        <w:t xml:space="preserve">, </w:t>
      </w:r>
      <w:r w:rsidRPr="00870EAC">
        <w:rPr>
          <w:i/>
          <w:iCs/>
          <w:color w:val="000000" w:themeColor="text1"/>
        </w:rPr>
        <w:t>48</w:t>
      </w:r>
      <w:r w:rsidRPr="00870EAC">
        <w:rPr>
          <w:color w:val="000000" w:themeColor="text1"/>
        </w:rPr>
        <w:t xml:space="preserve">(9), 2953–2967. </w:t>
      </w:r>
      <w:r w:rsidR="00F25381" w:rsidRPr="00F25381">
        <w:t>https://doi.org/10.1007/s10803-018-3564-3</w:t>
      </w:r>
    </w:p>
    <w:p w14:paraId="079C2CEA" w14:textId="77777777" w:rsidR="00363384" w:rsidRPr="00827F27" w:rsidRDefault="00363384" w:rsidP="00363384">
      <w:pPr>
        <w:spacing w:line="480" w:lineRule="auto"/>
        <w:ind w:left="709" w:right="68" w:hanging="709"/>
        <w:rPr>
          <w:color w:val="000000" w:themeColor="text1"/>
        </w:rPr>
      </w:pPr>
      <w:r w:rsidRPr="00827F27">
        <w:rPr>
          <w:color w:val="000000" w:themeColor="text1"/>
        </w:rPr>
        <w:t xml:space="preserve">Mussap, A. J., &amp; Salton, N. (2006). A ‘rubber-hand’ illusion reveals a relationship between perceptual body image and unhealthy body change. </w:t>
      </w:r>
      <w:r w:rsidRPr="00827F27">
        <w:rPr>
          <w:i/>
          <w:color w:val="000000" w:themeColor="text1"/>
        </w:rPr>
        <w:t>Journal of Health Psychology, 11</w:t>
      </w:r>
      <w:r w:rsidRPr="00827F27">
        <w:rPr>
          <w:iCs/>
          <w:color w:val="000000" w:themeColor="text1"/>
        </w:rPr>
        <w:t>(4)</w:t>
      </w:r>
      <w:r w:rsidRPr="00827F27">
        <w:rPr>
          <w:color w:val="000000" w:themeColor="text1"/>
        </w:rPr>
        <w:t xml:space="preserve">, 627-639. </w:t>
      </w:r>
      <w:r w:rsidRPr="00827F27">
        <w:rPr>
          <w:color w:val="000000" w:themeColor="text1"/>
          <w:shd w:val="clear" w:color="auto" w:fill="FFFFFF"/>
        </w:rPr>
        <w:t>https://doi.org/</w:t>
      </w:r>
      <w:r w:rsidRPr="00827F27">
        <w:rPr>
          <w:color w:val="000000" w:themeColor="text1"/>
        </w:rPr>
        <w:t>10.1177/1359105306065022</w:t>
      </w:r>
    </w:p>
    <w:p w14:paraId="33501CAB" w14:textId="7F85CD9D" w:rsidR="007E60D7" w:rsidRPr="007E60D7" w:rsidRDefault="007E60D7" w:rsidP="007E60D7">
      <w:pPr>
        <w:spacing w:line="480" w:lineRule="auto"/>
        <w:ind w:left="709" w:right="68" w:hanging="709"/>
        <w:rPr>
          <w:color w:val="000000" w:themeColor="text1"/>
        </w:rPr>
      </w:pPr>
      <w:r w:rsidRPr="00827F27">
        <w:rPr>
          <w:color w:val="000000" w:themeColor="text1"/>
        </w:rPr>
        <w:lastRenderedPageBreak/>
        <w:t xml:space="preserve">Myers, T. A., &amp; Crowther, J. H. (2008). Is self-objectification related to interoceptive awareness? An examination of potential mediating pathways to disordered eating attitudes. </w:t>
      </w:r>
      <w:r w:rsidRPr="00827F27">
        <w:rPr>
          <w:i/>
          <w:color w:val="000000" w:themeColor="text1"/>
        </w:rPr>
        <w:t>Psychology of Women Quarterly, 32</w:t>
      </w:r>
      <w:r w:rsidRPr="00827F27">
        <w:rPr>
          <w:iCs/>
          <w:color w:val="000000" w:themeColor="text1"/>
        </w:rPr>
        <w:t>(2)</w:t>
      </w:r>
      <w:r w:rsidRPr="00827F27">
        <w:rPr>
          <w:color w:val="000000" w:themeColor="text1"/>
        </w:rPr>
        <w:t xml:space="preserve">, 172-180. </w:t>
      </w:r>
      <w:r w:rsidRPr="00827F27">
        <w:rPr>
          <w:color w:val="000000" w:themeColor="text1"/>
          <w:shd w:val="clear" w:color="auto" w:fill="FFFFFF"/>
        </w:rPr>
        <w:t>https://doi.org/</w:t>
      </w:r>
      <w:r w:rsidRPr="00827F27">
        <w:rPr>
          <w:color w:val="000000" w:themeColor="text1"/>
        </w:rPr>
        <w:t>10.1111/j.1471-6402.2008.00421.x</w:t>
      </w:r>
    </w:p>
    <w:p w14:paraId="67BB3DEB" w14:textId="4E0BBCA0" w:rsidR="005B0CDE" w:rsidRPr="00D974BD" w:rsidRDefault="005B0CDE" w:rsidP="005B0CDE">
      <w:pPr>
        <w:spacing w:line="480" w:lineRule="auto"/>
        <w:ind w:left="567" w:hanging="567"/>
      </w:pPr>
      <w:r w:rsidRPr="6349EE1B">
        <w:t xml:space="preserve">Oostenveld, R., Fries, P., Maris, E., &amp; Schoffelen, J. M. (2011). FieldTrip: Open source software for advanced analysis of MEG, EEG, and invasive electrophysiological data. </w:t>
      </w:r>
      <w:r w:rsidRPr="6349EE1B">
        <w:rPr>
          <w:i/>
          <w:iCs/>
        </w:rPr>
        <w:t>Computational Intelligence and Neuroscience,</w:t>
      </w:r>
      <w:r w:rsidRPr="6349EE1B">
        <w:t xml:space="preserve"> </w:t>
      </w:r>
      <w:r w:rsidRPr="6349EE1B">
        <w:rPr>
          <w:i/>
          <w:iCs/>
        </w:rPr>
        <w:t>2011</w:t>
      </w:r>
      <w:r w:rsidRPr="6349EE1B">
        <w:t>, 156869. https://doi.org/10.1155/2011/156869</w:t>
      </w:r>
    </w:p>
    <w:p w14:paraId="599E7B69" w14:textId="550D336F" w:rsidR="00CA2F65" w:rsidRDefault="00CA2F65" w:rsidP="00CA2F65">
      <w:pPr>
        <w:spacing w:line="480" w:lineRule="auto"/>
        <w:ind w:left="567" w:hanging="567"/>
      </w:pPr>
      <w:r w:rsidRPr="00B5609F">
        <w:rPr>
          <w:lang w:val="it-IT"/>
        </w:rPr>
        <w:t xml:space="preserve">Pang, J., Tang, X., Li, H., Hu, Q., Cui, H., Zhang, L., Li, W., Zhu, Z., Wang, J., &amp; Li, C. (2019). </w:t>
      </w:r>
      <w:r w:rsidRPr="00827F27">
        <w:t xml:space="preserve">Altered interoceptive processing in generalized anxiety disorder—A heartbeat evoked potential research. </w:t>
      </w:r>
      <w:r w:rsidRPr="00827F27">
        <w:rPr>
          <w:i/>
          <w:iCs/>
        </w:rPr>
        <w:t xml:space="preserve">Frontiers in Psychiatry, 10, </w:t>
      </w:r>
      <w:r w:rsidRPr="00827F27">
        <w:t>616. https://doi.org/10.3389/fpsyt.2019.00616</w:t>
      </w:r>
    </w:p>
    <w:p w14:paraId="1BC3196C" w14:textId="1016E6BC" w:rsidR="005B0CDE" w:rsidRPr="009B1BFD" w:rsidRDefault="005B0CDE" w:rsidP="005B0CDE">
      <w:pPr>
        <w:spacing w:line="480" w:lineRule="auto"/>
        <w:ind w:left="567" w:hanging="567"/>
      </w:pPr>
      <w:r>
        <w:t xml:space="preserve">Park, H-D., Bernasconi, F., Bello-Ruiz, J., Pfeiffer, C., Saloman, R., &amp; Blanke, O. (2016). Transient modulations of neural responses to heartbeats covary with bodily self-consciousness. </w:t>
      </w:r>
      <w:r>
        <w:rPr>
          <w:i/>
          <w:iCs/>
        </w:rPr>
        <w:t>Journal of Neuroscience, 36</w:t>
      </w:r>
      <w:r>
        <w:t xml:space="preserve">(32), 8453-8460. </w:t>
      </w:r>
      <w:r w:rsidRPr="007279AC">
        <w:t>https://doi.org/10.1523/JNEUROSCI.0311-16.2016</w:t>
      </w:r>
    </w:p>
    <w:p w14:paraId="26B2FC0F" w14:textId="77777777" w:rsidR="005B0CDE" w:rsidRPr="00D974BD" w:rsidRDefault="005B0CDE" w:rsidP="005B0CDE">
      <w:pPr>
        <w:spacing w:line="480" w:lineRule="auto"/>
        <w:ind w:left="567" w:hanging="567"/>
      </w:pPr>
      <w:r w:rsidRPr="00D974BD">
        <w:t xml:space="preserve">Park, H-D., &amp; Blanke, O. (2019). Heartbeat-evoked cortical responses: Underlying mechanisms, functional roles, and methodological considerations. </w:t>
      </w:r>
      <w:r w:rsidRPr="00D974BD">
        <w:rPr>
          <w:i/>
          <w:iCs/>
        </w:rPr>
        <w:t>NeuroImage, 197</w:t>
      </w:r>
      <w:r w:rsidRPr="00D974BD">
        <w:t xml:space="preserve">(15), 502-511. </w:t>
      </w:r>
      <w:r w:rsidRPr="00917E61">
        <w:t>https://doi.org/10.1016/j.neuroimage.2019.04.081</w:t>
      </w:r>
    </w:p>
    <w:p w14:paraId="333C93A8" w14:textId="65697AED" w:rsidR="00E14992" w:rsidRPr="00E60CFB" w:rsidRDefault="00E14992" w:rsidP="005B0CDE">
      <w:pPr>
        <w:spacing w:line="480" w:lineRule="auto"/>
        <w:ind w:left="567" w:hanging="567"/>
      </w:pPr>
      <w:r>
        <w:t xml:space="preserve">Park, H-D., </w:t>
      </w:r>
      <w:r w:rsidR="007E5D7E">
        <w:t>Correia, S., Ducorps, A., &amp; Tallon-Baudry, C. (2014)</w:t>
      </w:r>
      <w:r w:rsidR="00E60CFB">
        <w:t xml:space="preserve">. </w:t>
      </w:r>
      <w:r w:rsidR="00E60CFB" w:rsidRPr="00E60CFB">
        <w:t>Spontaneous fluctuations in neural responses to heartbeats predict visual detection</w:t>
      </w:r>
      <w:r w:rsidR="00E60CFB">
        <w:t xml:space="preserve">. </w:t>
      </w:r>
      <w:r w:rsidR="00E60CFB">
        <w:rPr>
          <w:i/>
          <w:iCs/>
        </w:rPr>
        <w:t xml:space="preserve">Nature Neuroscience, 17, </w:t>
      </w:r>
      <w:r w:rsidR="004C60D7">
        <w:t xml:space="preserve">612-618. </w:t>
      </w:r>
      <w:r w:rsidR="004C60D7" w:rsidRPr="004C60D7">
        <w:t>https://doi.org/10.1038/nn.3671</w:t>
      </w:r>
    </w:p>
    <w:p w14:paraId="3B7C8B4A" w14:textId="7C2504F8" w:rsidR="005B0CDE" w:rsidRPr="00D974BD" w:rsidRDefault="005B0CDE" w:rsidP="005B0CDE">
      <w:pPr>
        <w:spacing w:line="480" w:lineRule="auto"/>
        <w:ind w:left="567" w:hanging="567"/>
      </w:pPr>
      <w:r w:rsidRPr="00D974BD">
        <w:t xml:space="preserve">Penny, W. D., Duzel, E., Miller, K. J., &amp; Ojemann, J. G. (2008). Testing for nested oscillation. </w:t>
      </w:r>
      <w:r w:rsidRPr="00D974BD">
        <w:rPr>
          <w:i/>
          <w:iCs/>
        </w:rPr>
        <w:t>Journal of Neuroscience Methods, 174</w:t>
      </w:r>
      <w:r w:rsidRPr="00D974BD">
        <w:t>(1), 50-61. https://doi.org/10.1016/j.jneumeth.2008.06.035</w:t>
      </w:r>
    </w:p>
    <w:p w14:paraId="71EA4C58" w14:textId="3DF80EA6" w:rsidR="00B33502" w:rsidRDefault="00EF20D8" w:rsidP="00B33502">
      <w:pPr>
        <w:spacing w:line="480" w:lineRule="auto"/>
        <w:ind w:left="567" w:hanging="567"/>
      </w:pPr>
      <w:r w:rsidRPr="00827F27">
        <w:lastRenderedPageBreak/>
        <w:t xml:space="preserve">Petzschner, F. H., Weber, L. A., Wellstein, K. V., Paolini, G., Do, C. T., &amp; Stephan, K. E. (2019). Focus of attention modulates the heartbeat evoked potential. </w:t>
      </w:r>
      <w:r w:rsidRPr="00827F27">
        <w:rPr>
          <w:i/>
          <w:iCs/>
        </w:rPr>
        <w:t>NeuroImage, 186,</w:t>
      </w:r>
      <w:r w:rsidRPr="00827F27">
        <w:t xml:space="preserve"> 595-606. </w:t>
      </w:r>
      <w:r w:rsidR="00B33502" w:rsidRPr="00162EC7">
        <w:t>https://doi.org/10.1016/j.neuroimage.2018.11.037</w:t>
      </w:r>
    </w:p>
    <w:p w14:paraId="00514832" w14:textId="7F21403C" w:rsidR="00870EAC" w:rsidRPr="00870EAC" w:rsidRDefault="00870EAC" w:rsidP="00870EAC">
      <w:pPr>
        <w:spacing w:line="480" w:lineRule="auto"/>
        <w:ind w:left="567" w:hanging="567"/>
      </w:pPr>
      <w:r w:rsidRPr="00870EAC">
        <w:t>Pink, A.</w:t>
      </w:r>
      <w:r>
        <w:t xml:space="preserve"> </w:t>
      </w:r>
      <w:r w:rsidRPr="00870EAC">
        <w:t xml:space="preserve">E., Williams, C., Lee, M., Young, H.A., Harrison, S., Eldred Davies, A., &amp; Price, M. (2021). Manipulating the sensation of feeling fat: The role of alexithymia, interoceptive sensibility and perfectionism. </w:t>
      </w:r>
      <w:r w:rsidRPr="00870EAC">
        <w:rPr>
          <w:i/>
          <w:iCs/>
        </w:rPr>
        <w:t xml:space="preserve">Physiology &amp; Behavior, 239, </w:t>
      </w:r>
      <w:r w:rsidRPr="00870EAC">
        <w:t>113501. https://doi.org/10.1016/j.physbeh.2021.113501</w:t>
      </w:r>
    </w:p>
    <w:p w14:paraId="03D71713" w14:textId="77777777" w:rsidR="00906277" w:rsidRDefault="00906277" w:rsidP="00906277">
      <w:pPr>
        <w:spacing w:line="480" w:lineRule="auto"/>
        <w:ind w:left="567" w:hanging="567"/>
      </w:pPr>
      <w:r>
        <w:t xml:space="preserve">Pollatos, O., Herbert, B.M., Mai, S., &amp; Kammer, T. (2016) Changes in interoceptive processes following brain stimulation. </w:t>
      </w:r>
      <w:r>
        <w:rPr>
          <w:i/>
          <w:iCs/>
        </w:rPr>
        <w:t xml:space="preserve">Philosophical Transactions of the Royal Society B, 371, </w:t>
      </w:r>
      <w:r>
        <w:t>20160016. http://dx.doi.org/10.1098/rstb.2016.0016</w:t>
      </w:r>
    </w:p>
    <w:p w14:paraId="27DC54DE" w14:textId="77777777" w:rsidR="00C46D06" w:rsidRDefault="00C46D06" w:rsidP="00C46D06">
      <w:pPr>
        <w:shd w:val="clear" w:color="auto" w:fill="FFFFFF"/>
        <w:spacing w:line="480" w:lineRule="auto"/>
        <w:ind w:left="709" w:right="68" w:hanging="709"/>
        <w:rPr>
          <w:color w:val="000000" w:themeColor="text1"/>
        </w:rPr>
      </w:pPr>
      <w:r>
        <w:rPr>
          <w:color w:val="000000" w:themeColor="text1"/>
        </w:rPr>
        <w:t xml:space="preserve">Pollatos, O., Kurz, A. L., Albrecht, J., Schreder, T., Kleemann, A. M., Schöpf, V., &amp; Schandry, R. (2008). Reduced perception of bodily signals in anorexia nervosa. </w:t>
      </w:r>
      <w:r>
        <w:rPr>
          <w:i/>
          <w:color w:val="000000" w:themeColor="text1"/>
        </w:rPr>
        <w:t>Eating Behaviors</w:t>
      </w:r>
      <w:r>
        <w:rPr>
          <w:color w:val="000000" w:themeColor="text1"/>
        </w:rPr>
        <w:t xml:space="preserve">, </w:t>
      </w:r>
      <w:r>
        <w:rPr>
          <w:i/>
          <w:color w:val="000000" w:themeColor="text1"/>
        </w:rPr>
        <w:t>9</w:t>
      </w:r>
      <w:r>
        <w:rPr>
          <w:iCs/>
          <w:color w:val="000000" w:themeColor="text1"/>
        </w:rPr>
        <w:t>(4)</w:t>
      </w:r>
      <w:r>
        <w:rPr>
          <w:color w:val="000000" w:themeColor="text1"/>
        </w:rPr>
        <w:t>, 381-388.</w:t>
      </w:r>
      <w:r>
        <w:t xml:space="preserve"> </w:t>
      </w:r>
      <w:r>
        <w:rPr>
          <w:color w:val="000000" w:themeColor="text1"/>
          <w:shd w:val="clear" w:color="auto" w:fill="FFFFFF"/>
        </w:rPr>
        <w:t>https://doi.org/</w:t>
      </w:r>
      <w:r>
        <w:rPr>
          <w:color w:val="000000" w:themeColor="text1"/>
        </w:rPr>
        <w:t>10.1016/j.eatbeh.2008.02.001</w:t>
      </w:r>
    </w:p>
    <w:p w14:paraId="19D41913" w14:textId="77777777" w:rsidR="005B0CDE" w:rsidRPr="00D974BD" w:rsidRDefault="005B0CDE" w:rsidP="005B0CDE">
      <w:pPr>
        <w:spacing w:line="480" w:lineRule="auto"/>
        <w:ind w:left="567" w:hanging="567"/>
      </w:pPr>
      <w:r w:rsidRPr="00D974BD">
        <w:t xml:space="preserve">Richter, C. G., Babo-Rebelo, M., Schwartz, D., &amp; Tallon-Baudry, C. (2017).  Phase-amplitude coupling at the organism level: The amplitude of spontaneous alpha rhythm fluctuations varies with the phase of the infra-slow gastric basal rhythm. </w:t>
      </w:r>
      <w:r w:rsidRPr="00D974BD">
        <w:rPr>
          <w:i/>
          <w:iCs/>
        </w:rPr>
        <w:t>NeuroImage 146</w:t>
      </w:r>
      <w:r w:rsidRPr="00D974BD">
        <w:t xml:space="preserve">(1), 951-958. </w:t>
      </w:r>
      <w:r w:rsidRPr="00917E61">
        <w:t>https://doi.org/10.1016/j.neuroimage.2016.08.043</w:t>
      </w:r>
    </w:p>
    <w:p w14:paraId="78D2A1F9" w14:textId="77777777" w:rsidR="005B0CDE" w:rsidRPr="00D974BD" w:rsidRDefault="005B0CDE" w:rsidP="005B0CDE">
      <w:pPr>
        <w:spacing w:line="480" w:lineRule="auto"/>
        <w:ind w:left="567" w:hanging="567"/>
      </w:pPr>
      <w:r w:rsidRPr="00D974BD">
        <w:t xml:space="preserve">Rebollo, I., Devauchelle, A. D., Béranger, B., &amp; Tallon-Baudry, C. (2018). Stomach-brain synchrony reveals a novel, delayed-connectivity resting-state network in humans. </w:t>
      </w:r>
      <w:r>
        <w:rPr>
          <w:i/>
          <w:iCs/>
        </w:rPr>
        <w:t>eL</w:t>
      </w:r>
      <w:r w:rsidRPr="00D974BD">
        <w:rPr>
          <w:i/>
          <w:iCs/>
        </w:rPr>
        <w:t xml:space="preserve">ife, 7, </w:t>
      </w:r>
      <w:r w:rsidRPr="00D974BD">
        <w:t>e33321. https://doi.org/10.7554/eLife.33321</w:t>
      </w:r>
    </w:p>
    <w:p w14:paraId="355170CA" w14:textId="6D2E4D0C" w:rsidR="007E60D7" w:rsidRPr="007E60D7" w:rsidRDefault="007E60D7" w:rsidP="007E60D7">
      <w:pPr>
        <w:shd w:val="clear" w:color="auto" w:fill="FFFFFF"/>
        <w:spacing w:line="480" w:lineRule="auto"/>
        <w:ind w:left="709" w:right="68" w:hanging="709"/>
        <w:rPr>
          <w:color w:val="000000" w:themeColor="text1"/>
        </w:rPr>
      </w:pPr>
      <w:r w:rsidRPr="00827F27">
        <w:rPr>
          <w:color w:val="000000" w:themeColor="text1"/>
        </w:rPr>
        <w:t xml:space="preserve">Schandry, R. (1981). Heart beat perception and emotional experience. </w:t>
      </w:r>
      <w:r w:rsidRPr="00827F27">
        <w:rPr>
          <w:i/>
          <w:color w:val="000000" w:themeColor="text1"/>
        </w:rPr>
        <w:t>Psychophysiology, 18</w:t>
      </w:r>
      <w:r w:rsidRPr="00827F27">
        <w:rPr>
          <w:iCs/>
          <w:color w:val="000000" w:themeColor="text1"/>
        </w:rPr>
        <w:t>(4)</w:t>
      </w:r>
      <w:r w:rsidRPr="00827F27">
        <w:rPr>
          <w:color w:val="000000" w:themeColor="text1"/>
        </w:rPr>
        <w:t xml:space="preserve">, 483-488. </w:t>
      </w:r>
      <w:r w:rsidRPr="00827F27">
        <w:rPr>
          <w:color w:val="000000" w:themeColor="text1"/>
          <w:shd w:val="clear" w:color="auto" w:fill="FFFFFF"/>
        </w:rPr>
        <w:t>https://doi.org/</w:t>
      </w:r>
      <w:r w:rsidRPr="00827F27">
        <w:rPr>
          <w:color w:val="000000" w:themeColor="text1"/>
        </w:rPr>
        <w:t>10.1111/j.1469-8986.1981.tb02486.x</w:t>
      </w:r>
    </w:p>
    <w:p w14:paraId="096BA4C7" w14:textId="4055C41D" w:rsidR="005B0CDE" w:rsidRPr="00D974BD" w:rsidRDefault="005B0CDE" w:rsidP="005B0CDE">
      <w:pPr>
        <w:spacing w:line="480" w:lineRule="auto"/>
        <w:ind w:left="567" w:hanging="567"/>
      </w:pPr>
      <w:r w:rsidRPr="00D974BD">
        <w:t xml:space="preserve">Schandry, R., Sparrer, B., &amp; Weitkunat, R. (1986). From the heart to the brain: A study of heartbeat contingent scalp potentials. </w:t>
      </w:r>
      <w:r w:rsidRPr="00D974BD">
        <w:rPr>
          <w:i/>
          <w:iCs/>
        </w:rPr>
        <w:t>International Journal of Neuroscience, 30</w:t>
      </w:r>
      <w:r w:rsidRPr="00D974BD">
        <w:t>(4), 261-275. https://doi.org/10.3109/00207458608985677</w:t>
      </w:r>
    </w:p>
    <w:p w14:paraId="015D1E7A" w14:textId="77777777" w:rsidR="005B0CDE" w:rsidRPr="00D974BD" w:rsidRDefault="005B0CDE" w:rsidP="005B0CDE">
      <w:pPr>
        <w:spacing w:line="480" w:lineRule="auto"/>
        <w:ind w:left="567" w:hanging="567"/>
      </w:pPr>
      <w:r w:rsidRPr="00D974BD">
        <w:lastRenderedPageBreak/>
        <w:t xml:space="preserve">Schulz, A., Ferreira de Sá, D. S., Dierolf, A. M., Lutz, A., Van Dyck, Z., Vögele, C., &amp; Schächinger, H. (2015). Short‐term food deprivation increases amplitudes of heartbeat‐evoked potentials. </w:t>
      </w:r>
      <w:r w:rsidRPr="00D974BD">
        <w:rPr>
          <w:i/>
          <w:iCs/>
        </w:rPr>
        <w:t>Psychophysiology, 52</w:t>
      </w:r>
      <w:r w:rsidRPr="00D974BD">
        <w:t xml:space="preserve">(5), 695-703. </w:t>
      </w:r>
      <w:r w:rsidRPr="00917E61">
        <w:t>https://doi.org/10.1111/psyp.12388</w:t>
      </w:r>
    </w:p>
    <w:p w14:paraId="5297FDA4" w14:textId="513612AA" w:rsidR="00870EAC" w:rsidRPr="00870EAC" w:rsidRDefault="00870EAC" w:rsidP="00870EAC">
      <w:pPr>
        <w:spacing w:line="480" w:lineRule="auto"/>
        <w:ind w:left="567" w:hanging="567"/>
      </w:pPr>
      <w:r w:rsidRPr="00870EAC">
        <w:t xml:space="preserve">Shah, P., Hall, R., Catmur, C., &amp; Bird, G. (2016). Alexithymia, not autism, is associated with impaired interoception. </w:t>
      </w:r>
      <w:r w:rsidRPr="00870EAC">
        <w:rPr>
          <w:i/>
          <w:iCs/>
        </w:rPr>
        <w:t>Cortex</w:t>
      </w:r>
      <w:r w:rsidRPr="00870EAC">
        <w:t xml:space="preserve">, </w:t>
      </w:r>
      <w:r w:rsidRPr="00870EAC">
        <w:rPr>
          <w:i/>
          <w:iCs/>
        </w:rPr>
        <w:t>81</w:t>
      </w:r>
      <w:r w:rsidRPr="00870EAC">
        <w:t xml:space="preserve">, 215–220. </w:t>
      </w:r>
      <w:r w:rsidRPr="00D60C72">
        <w:t>https://doi.org/10.1016/J.CORTEX.2016.03.02</w:t>
      </w:r>
    </w:p>
    <w:p w14:paraId="2D3E4A33" w14:textId="77777777" w:rsidR="000D1C19" w:rsidRPr="00827F27" w:rsidRDefault="000D1C19" w:rsidP="000D1C19">
      <w:pPr>
        <w:spacing w:line="480" w:lineRule="auto"/>
        <w:ind w:left="567" w:hanging="567"/>
      </w:pPr>
      <w:r w:rsidRPr="00827F27">
        <w:t>Spunt, R. P., &amp; Adolphs, R. (2017). A new look at domain specificity: Insights from social neuroscience. </w:t>
      </w:r>
      <w:r w:rsidRPr="00827F27">
        <w:rPr>
          <w:i/>
          <w:iCs/>
        </w:rPr>
        <w:t>Nature Reviews Neuroscience</w:t>
      </w:r>
      <w:r w:rsidRPr="00827F27">
        <w:t>, </w:t>
      </w:r>
      <w:r w:rsidRPr="00827F27">
        <w:rPr>
          <w:i/>
          <w:iCs/>
        </w:rPr>
        <w:t>18</w:t>
      </w:r>
      <w:r w:rsidRPr="00827F27">
        <w:t>(9), 559-567. https://doi.org/10.1038/nrn.2017.76</w:t>
      </w:r>
    </w:p>
    <w:p w14:paraId="5E7C5A87" w14:textId="77777777" w:rsidR="00B232C9" w:rsidRPr="00827F27" w:rsidRDefault="00B232C9" w:rsidP="00B232C9">
      <w:pPr>
        <w:shd w:val="clear" w:color="auto" w:fill="FFFFFF"/>
        <w:spacing w:line="480" w:lineRule="auto"/>
        <w:ind w:left="709" w:right="68" w:hanging="709"/>
        <w:rPr>
          <w:color w:val="000000" w:themeColor="text1"/>
          <w:shd w:val="clear" w:color="auto" w:fill="FFFFFF"/>
        </w:rPr>
      </w:pPr>
      <w:r w:rsidRPr="00827F27">
        <w:t xml:space="preserve">Stanghellini, G., Castellini, G., Brogna, P., Faravelli, C., &amp; Ricca, V. (2012). Identity and Eating Disorders (IDEA): A questionnaire evaluating identity and embodiment in eating disorder patients. </w:t>
      </w:r>
      <w:r w:rsidRPr="00827F27">
        <w:rPr>
          <w:i/>
        </w:rPr>
        <w:t>Psychopathology</w:t>
      </w:r>
      <w:r w:rsidRPr="00827F27">
        <w:t>,</w:t>
      </w:r>
      <w:r w:rsidRPr="00827F27">
        <w:rPr>
          <w:i/>
        </w:rPr>
        <w:t xml:space="preserve"> 45</w:t>
      </w:r>
      <w:r w:rsidRPr="00827F27">
        <w:t>, 147-158. https://doi.org/10.1159/000330258</w:t>
      </w:r>
    </w:p>
    <w:p w14:paraId="63A9E719" w14:textId="77777777" w:rsidR="00B232C9" w:rsidRPr="00827F27" w:rsidRDefault="00B232C9" w:rsidP="00B232C9">
      <w:pPr>
        <w:shd w:val="clear" w:color="auto" w:fill="FFFFFF"/>
        <w:spacing w:line="480" w:lineRule="auto"/>
        <w:ind w:left="709" w:right="68" w:hanging="709"/>
        <w:rPr>
          <w:color w:val="000000" w:themeColor="text1"/>
          <w:shd w:val="clear" w:color="auto" w:fill="FFFFFF"/>
        </w:rPr>
      </w:pPr>
      <w:r w:rsidRPr="00827F27">
        <w:t xml:space="preserve">Stanghellini, G., Trisolini, F., Castellini, G., Ambrosini, A., Faravelli, C., &amp; Ricca, V. (2015). Is feeling extraneous from one’s own body a core vulnerability feature in eating disorders? </w:t>
      </w:r>
      <w:r w:rsidRPr="00827F27">
        <w:rPr>
          <w:i/>
        </w:rPr>
        <w:t>Psychopathology</w:t>
      </w:r>
      <w:r w:rsidRPr="00827F27">
        <w:t>,</w:t>
      </w:r>
      <w:r w:rsidRPr="00827F27">
        <w:rPr>
          <w:i/>
        </w:rPr>
        <w:t xml:space="preserve"> 48</w:t>
      </w:r>
      <w:r w:rsidRPr="00827F27">
        <w:t>, 18-24. https://doi.org/10.1159/000364882</w:t>
      </w:r>
    </w:p>
    <w:p w14:paraId="1462180A" w14:textId="77777777" w:rsidR="00B232C9" w:rsidRPr="00827F27" w:rsidRDefault="00B232C9" w:rsidP="00B232C9">
      <w:pPr>
        <w:shd w:val="clear" w:color="auto" w:fill="FFFFFF"/>
        <w:spacing w:line="480" w:lineRule="auto"/>
        <w:ind w:left="709" w:right="68" w:hanging="709"/>
        <w:rPr>
          <w:color w:val="000000" w:themeColor="text1"/>
          <w:shd w:val="clear" w:color="auto" w:fill="FFFFFF"/>
        </w:rPr>
      </w:pPr>
      <w:r w:rsidRPr="00827F27">
        <w:rPr>
          <w:color w:val="000000" w:themeColor="text1"/>
          <w:shd w:val="clear" w:color="auto" w:fill="FFFFFF"/>
        </w:rPr>
        <w:t xml:space="preserve">Swami, V., Frederick, D. A., Aavik, T., Alcalay, L., Allik, J., Anderson, D., Andrianto, S., Arora, A., Brännström, Å., Cunningham, J., Danel, D., Doroszewicz, K., Forbes, G. B., Furnham, A., Greven, C. U., Halberstadt, J., Hao, S., Haubner, T., Hwang, C. S., ... Zivcic-Becirevic, I. (2010). The attractive female body weight and female body dissatisfaction in 26 countries across 10 world regions: Results of the International Body Project I. </w:t>
      </w:r>
      <w:r w:rsidRPr="00827F27">
        <w:rPr>
          <w:i/>
          <w:color w:val="000000" w:themeColor="text1"/>
          <w:shd w:val="clear" w:color="auto" w:fill="FFFFFF"/>
        </w:rPr>
        <w:t>Personality and Social Psychology Bulletin</w:t>
      </w:r>
      <w:r w:rsidRPr="00827F27">
        <w:rPr>
          <w:color w:val="000000" w:themeColor="text1"/>
          <w:shd w:val="clear" w:color="auto" w:fill="FFFFFF"/>
        </w:rPr>
        <w:t xml:space="preserve">, </w:t>
      </w:r>
      <w:r w:rsidRPr="00827F27">
        <w:rPr>
          <w:i/>
          <w:color w:val="000000" w:themeColor="text1"/>
          <w:shd w:val="clear" w:color="auto" w:fill="FFFFFF"/>
        </w:rPr>
        <w:t>36</w:t>
      </w:r>
      <w:r w:rsidRPr="00827F27">
        <w:rPr>
          <w:color w:val="000000" w:themeColor="text1"/>
          <w:shd w:val="clear" w:color="auto" w:fill="FFFFFF"/>
        </w:rPr>
        <w:t>(3), 309-325. https://doi.org/10.1177/0146167209359702</w:t>
      </w:r>
    </w:p>
    <w:p w14:paraId="7F14186D" w14:textId="11D5EF04" w:rsidR="005B0CDE" w:rsidRPr="005B0CDE" w:rsidRDefault="005B0CDE" w:rsidP="005B0CDE">
      <w:pPr>
        <w:spacing w:line="480" w:lineRule="auto"/>
        <w:ind w:left="567" w:hanging="567"/>
        <w:rPr>
          <w:iCs/>
        </w:rPr>
      </w:pPr>
      <w:r w:rsidRPr="00216F62">
        <w:lastRenderedPageBreak/>
        <w:t xml:space="preserve">Swami, V., Furnham, A., Horne, G., &amp; Stieger, S. (2020). Taking it apart and putting it back together again: Using Item Pool Visualisation to summarise complex data patterns in (positive) body image research. </w:t>
      </w:r>
      <w:r w:rsidRPr="00216F62">
        <w:rPr>
          <w:i/>
        </w:rPr>
        <w:t>Body Image</w:t>
      </w:r>
      <w:r>
        <w:rPr>
          <w:i/>
        </w:rPr>
        <w:t xml:space="preserve">, 34, </w:t>
      </w:r>
      <w:r>
        <w:rPr>
          <w:iCs/>
        </w:rPr>
        <w:t xml:space="preserve">155-166. </w:t>
      </w:r>
      <w:r w:rsidRPr="005B0CDE">
        <w:rPr>
          <w:iCs/>
        </w:rPr>
        <w:t>https://doi.org/10.1016/j.bodyim.2020.05.004</w:t>
      </w:r>
    </w:p>
    <w:p w14:paraId="3A9B238B" w14:textId="77777777" w:rsidR="00825862" w:rsidRDefault="00825862" w:rsidP="00825862">
      <w:pPr>
        <w:spacing w:line="480" w:lineRule="auto"/>
        <w:ind w:left="709" w:right="68" w:hanging="709"/>
        <w:rPr>
          <w:color w:val="000000" w:themeColor="text1"/>
        </w:rPr>
      </w:pPr>
      <w:r>
        <w:rPr>
          <w:color w:val="000000" w:themeColor="text1"/>
        </w:rPr>
        <w:t xml:space="preserve">Tajadura-Jiménez, A., &amp; Tsakiris, M. (2014). Balancing the “inner” and the “outer” self: Interoceptive sensitivity modulates self–other boundaries. </w:t>
      </w:r>
      <w:r>
        <w:rPr>
          <w:i/>
          <w:color w:val="000000" w:themeColor="text1"/>
        </w:rPr>
        <w:t>Journal of Experimental Psychology</w:t>
      </w:r>
      <w:r>
        <w:rPr>
          <w:color w:val="000000" w:themeColor="text1"/>
        </w:rPr>
        <w:t>,</w:t>
      </w:r>
      <w:r>
        <w:rPr>
          <w:i/>
          <w:color w:val="000000" w:themeColor="text1"/>
        </w:rPr>
        <w:t xml:space="preserve"> 143</w:t>
      </w:r>
      <w:r>
        <w:rPr>
          <w:iCs/>
          <w:color w:val="000000" w:themeColor="text1"/>
        </w:rPr>
        <w:t>(2)</w:t>
      </w:r>
      <w:r>
        <w:rPr>
          <w:color w:val="000000" w:themeColor="text1"/>
        </w:rPr>
        <w:t xml:space="preserve">, 736-744. </w:t>
      </w:r>
      <w:r>
        <w:rPr>
          <w:color w:val="000000" w:themeColor="text1"/>
          <w:shd w:val="clear" w:color="auto" w:fill="FFFFFF"/>
        </w:rPr>
        <w:t>https://doi.org/</w:t>
      </w:r>
      <w:r>
        <w:rPr>
          <w:color w:val="000000" w:themeColor="text1"/>
        </w:rPr>
        <w:t>10.1037/a0033171</w:t>
      </w:r>
    </w:p>
    <w:p w14:paraId="52AB823A" w14:textId="2C7D9529" w:rsidR="00CA2F65" w:rsidRDefault="00CA2F65" w:rsidP="00CA2F65">
      <w:pPr>
        <w:spacing w:line="480" w:lineRule="auto"/>
        <w:ind w:left="567" w:hanging="567"/>
      </w:pPr>
      <w:r w:rsidRPr="00827F27">
        <w:t xml:space="preserve">Terhaar, J., Viola, F. C., Bär, K-J., &amp; Debener, S. (2012). Heartbeat evoked potentials mirror altered body perception in depressed patients. </w:t>
      </w:r>
      <w:r w:rsidRPr="00827F27">
        <w:rPr>
          <w:i/>
          <w:iCs/>
        </w:rPr>
        <w:t>Clinical Neurophysiology, 123</w:t>
      </w:r>
      <w:r w:rsidRPr="00827F27">
        <w:t>(10), 1950-1957. https://doi.org/10.1016/j.clinph.2012.02.086</w:t>
      </w:r>
    </w:p>
    <w:p w14:paraId="40FA1658" w14:textId="1B7AD78A" w:rsidR="005B0CDE" w:rsidRPr="00705770" w:rsidRDefault="005B0CDE" w:rsidP="005B0CDE">
      <w:pPr>
        <w:spacing w:line="480" w:lineRule="auto"/>
        <w:ind w:left="567" w:hanging="567"/>
        <w:rPr>
          <w:i/>
        </w:rPr>
      </w:pPr>
      <w:r w:rsidRPr="00705770">
        <w:t xml:space="preserve">Thomas, E. V., &amp; Warren-Findlow, J. (2019). Body image, self-esteem, and behavioral risk for chronic disease among college students: Additional evidence for integrated prevention. </w:t>
      </w:r>
      <w:r w:rsidRPr="00705770">
        <w:rPr>
          <w:i/>
        </w:rPr>
        <w:t>Journal of American College Health</w:t>
      </w:r>
      <w:r w:rsidRPr="00705770">
        <w:t xml:space="preserve">. Advanced online publication. </w:t>
      </w:r>
      <w:r>
        <w:t>https://d</w:t>
      </w:r>
      <w:r w:rsidRPr="00705770">
        <w:t>oi</w:t>
      </w:r>
      <w:r>
        <w:t>.org/</w:t>
      </w:r>
      <w:r w:rsidRPr="00705770">
        <w:t>10.1080/07448481.2019.1590370</w:t>
      </w:r>
    </w:p>
    <w:p w14:paraId="0A65698C" w14:textId="0370DD48" w:rsidR="000740ED" w:rsidRDefault="000740ED" w:rsidP="005B0CDE">
      <w:pPr>
        <w:spacing w:line="480" w:lineRule="auto"/>
        <w:ind w:left="426" w:hanging="426"/>
      </w:pPr>
      <w:r w:rsidRPr="000740ED">
        <w:t xml:space="preserve">Thompson, J. K., &amp; Heinberg, L. J. (1999). The media's influence on body image disturbance and eating disorders: We've reviled them, now can we rehabilitate them? </w:t>
      </w:r>
      <w:r w:rsidRPr="000740ED">
        <w:rPr>
          <w:i/>
          <w:iCs/>
        </w:rPr>
        <w:t>Journal of Social Issues, 55</w:t>
      </w:r>
      <w:r w:rsidRPr="000740ED">
        <w:t>(2), 339-353. https://doi.org/10.1111/0022-4537.00119</w:t>
      </w:r>
    </w:p>
    <w:p w14:paraId="3FB5427E" w14:textId="18DAA06F" w:rsidR="005B0CDE" w:rsidRDefault="005B0CDE" w:rsidP="005B0CDE">
      <w:pPr>
        <w:spacing w:line="480" w:lineRule="auto"/>
        <w:ind w:left="426" w:hanging="426"/>
      </w:pPr>
      <w:r w:rsidRPr="00A63875">
        <w:t>Todd, J., Aspell, J. E., Barron, D., &amp; Swami, V. (2019</w:t>
      </w:r>
      <w:r w:rsidR="00C70181">
        <w:t>a</w:t>
      </w:r>
      <w:r w:rsidRPr="00A63875">
        <w:t>). An exploration of the associations between facets of interoceptive awareness and body image in adolescents</w:t>
      </w:r>
      <w:r w:rsidRPr="00A63875">
        <w:rPr>
          <w:i/>
        </w:rPr>
        <w:t>. Body Image, 31</w:t>
      </w:r>
      <w:r w:rsidRPr="00A63875">
        <w:t>, 171-180. https://doi.org/10.1016/j.bodyim.2019.10.004</w:t>
      </w:r>
    </w:p>
    <w:p w14:paraId="1DBA0E4F" w14:textId="77777777" w:rsidR="00C70181" w:rsidRPr="00A63875" w:rsidRDefault="00C70181" w:rsidP="00C70181">
      <w:pPr>
        <w:spacing w:line="480" w:lineRule="auto"/>
        <w:ind w:left="426" w:hanging="426"/>
      </w:pPr>
      <w:r w:rsidRPr="00A63875">
        <w:t>Todd, J., Aspell, J. E., Barron, D., &amp; Swami, V. (2019</w:t>
      </w:r>
      <w:r>
        <w:t>b</w:t>
      </w:r>
      <w:r w:rsidRPr="00A63875">
        <w:t xml:space="preserve">). Multiple dimensions of interoceptive awareness are associated with facets of body image in British adults. </w:t>
      </w:r>
      <w:r w:rsidRPr="00A63875">
        <w:rPr>
          <w:i/>
        </w:rPr>
        <w:t>Body Image, 29</w:t>
      </w:r>
      <w:r w:rsidRPr="00A63875">
        <w:t>, 6-16. https://doi.org/10.1016/j.bodyim.2019.02.003</w:t>
      </w:r>
    </w:p>
    <w:p w14:paraId="5537F47A" w14:textId="103E43A1" w:rsidR="005B0CDE" w:rsidRPr="005B0CDE" w:rsidRDefault="005B0CDE" w:rsidP="005B0CDE">
      <w:pPr>
        <w:spacing w:line="480" w:lineRule="auto"/>
        <w:ind w:left="567" w:hanging="567"/>
      </w:pPr>
      <w:r w:rsidRPr="00D974BD">
        <w:t xml:space="preserve">Todd, J., Aspell, J. E., Barron, D., Toh, E. K. L., Zahari, H. S., Mohd. Khatib, N. A., Laughton, R., &amp; Swami, V. (2020). Greater gastric interoception is associated with </w:t>
      </w:r>
      <w:r w:rsidRPr="00D974BD">
        <w:lastRenderedPageBreak/>
        <w:t xml:space="preserve">more positive body image: Evidence from adults in Malaysia and the United Kingdom. </w:t>
      </w:r>
      <w:r w:rsidRPr="00D974BD">
        <w:rPr>
          <w:i/>
          <w:iCs/>
        </w:rPr>
        <w:t>Body Image</w:t>
      </w:r>
      <w:r>
        <w:t xml:space="preserve">, </w:t>
      </w:r>
      <w:r>
        <w:rPr>
          <w:i/>
          <w:iCs/>
        </w:rPr>
        <w:t xml:space="preserve">34, </w:t>
      </w:r>
      <w:r>
        <w:t xml:space="preserve">101-111. </w:t>
      </w:r>
      <w:r w:rsidRPr="005B0CDE">
        <w:t>https://doi.org/10.1016/j.bodyim.2020.05.011</w:t>
      </w:r>
    </w:p>
    <w:p w14:paraId="5EAAC33C" w14:textId="77777777" w:rsidR="005B0CDE" w:rsidRDefault="005B0CDE" w:rsidP="005B0CDE">
      <w:pPr>
        <w:spacing w:line="480" w:lineRule="auto"/>
        <w:ind w:left="567" w:hanging="567"/>
      </w:pPr>
      <w:r w:rsidRPr="00D974BD">
        <w:t>Tort, A. B., Komorowski, R., Eichenbaum, H., &amp; Kopell, N. (2010). Measuring phase-amplitude coupling between neuronal oscillations of different frequencies.</w:t>
      </w:r>
      <w:r w:rsidRPr="00D974BD">
        <w:rPr>
          <w:i/>
          <w:iCs/>
        </w:rPr>
        <w:t xml:space="preserve"> Journal of Neurophysiology, 104</w:t>
      </w:r>
      <w:r w:rsidRPr="00D974BD">
        <w:t xml:space="preserve">(2), 1195-1210. </w:t>
      </w:r>
      <w:r w:rsidRPr="0023264C">
        <w:t>https://doi.org/10.1152/jn.00106.2010</w:t>
      </w:r>
    </w:p>
    <w:p w14:paraId="63E3EBBC" w14:textId="77777777" w:rsidR="00CB7ACD" w:rsidRDefault="00CB7ACD" w:rsidP="00CB7ACD">
      <w:pPr>
        <w:shd w:val="clear" w:color="auto" w:fill="FFFFFF"/>
        <w:spacing w:line="480" w:lineRule="auto"/>
        <w:ind w:left="709" w:right="68" w:hanging="709"/>
        <w:rPr>
          <w:color w:val="000000" w:themeColor="text1"/>
        </w:rPr>
      </w:pPr>
      <w:r>
        <w:t>Tsakiris, M., Tajadura-Jiménez, A., &amp; Costantini, M. (2011). Just a heartbeat away from one's body: Interoceptive sensitivity predicts malleability of body-representations. </w:t>
      </w:r>
      <w:r>
        <w:rPr>
          <w:i/>
          <w:iCs/>
        </w:rPr>
        <w:t>Proceedings of the Royal Society of London B</w:t>
      </w:r>
      <w:r>
        <w:t>, </w:t>
      </w:r>
      <w:r>
        <w:rPr>
          <w:i/>
          <w:iCs/>
        </w:rPr>
        <w:t>278</w:t>
      </w:r>
      <w:r>
        <w:rPr>
          <w:iCs/>
        </w:rPr>
        <w:t>(1717)</w:t>
      </w:r>
      <w:r>
        <w:t>, 2470-2476. https://doi.org/10.1098/rspb.2010.2547</w:t>
      </w:r>
    </w:p>
    <w:p w14:paraId="5810C99C" w14:textId="41FFFF45" w:rsidR="005B0CDE" w:rsidRDefault="005B0CDE" w:rsidP="005B0CDE">
      <w:pPr>
        <w:spacing w:line="480" w:lineRule="auto"/>
        <w:ind w:left="567" w:hanging="567"/>
      </w:pPr>
      <w:r w:rsidRPr="0023264C">
        <w:t xml:space="preserve">Tylka, T. L. (2018). Overview of the field of positive body image. In E. A. Daniels, M. M. Gillen, &amp; C. H. Markey (Eds.), </w:t>
      </w:r>
      <w:r w:rsidRPr="0023264C">
        <w:rPr>
          <w:i/>
        </w:rPr>
        <w:t>Body positive: Understanding and improving body image in science and practice</w:t>
      </w:r>
      <w:r w:rsidRPr="0023264C">
        <w:t xml:space="preserve"> (pp. 6-33). Cambridge University Press. </w:t>
      </w:r>
    </w:p>
    <w:p w14:paraId="14F0D016" w14:textId="3D6E1D9B" w:rsidR="0024767F" w:rsidRPr="0083624E" w:rsidRDefault="0024767F" w:rsidP="0024767F">
      <w:pPr>
        <w:spacing w:line="480" w:lineRule="auto"/>
        <w:ind w:left="567" w:hanging="567"/>
        <w:rPr>
          <w:color w:val="000000" w:themeColor="text1"/>
          <w:spacing w:val="4"/>
          <w:shd w:val="clear" w:color="auto" w:fill="FCFCFC"/>
        </w:rPr>
      </w:pPr>
      <w:r w:rsidRPr="00EC4BE2">
        <w:rPr>
          <w:color w:val="000000" w:themeColor="text1"/>
          <w:spacing w:val="4"/>
          <w:shd w:val="clear" w:color="auto" w:fill="FCFCFC"/>
        </w:rPr>
        <w:t xml:space="preserve">Tylka, T. L., &amp; Piran, N. (Ed.) (2019). </w:t>
      </w:r>
      <w:r w:rsidRPr="00EC4BE2">
        <w:rPr>
          <w:i/>
          <w:color w:val="000000" w:themeColor="text1"/>
          <w:spacing w:val="4"/>
          <w:shd w:val="clear" w:color="auto" w:fill="FCFCFC"/>
        </w:rPr>
        <w:t xml:space="preserve">Handbook of positive body image: Constructs, protective factors, and interventions. </w:t>
      </w:r>
      <w:r w:rsidRPr="00EC4BE2">
        <w:rPr>
          <w:color w:val="000000" w:themeColor="text1"/>
          <w:spacing w:val="4"/>
          <w:shd w:val="clear" w:color="auto" w:fill="FCFCFC"/>
        </w:rPr>
        <w:t xml:space="preserve">Oxford University Press. </w:t>
      </w:r>
    </w:p>
    <w:p w14:paraId="17134655" w14:textId="341C0F3F" w:rsidR="005B0CDE" w:rsidRDefault="005B0CDE" w:rsidP="005B0CDE">
      <w:pPr>
        <w:spacing w:line="480" w:lineRule="auto"/>
        <w:ind w:left="567" w:hanging="567"/>
        <w:rPr>
          <w:color w:val="222222"/>
          <w:shd w:val="clear" w:color="auto" w:fill="FFFFFF"/>
        </w:rPr>
      </w:pPr>
      <w:r w:rsidRPr="00D974BD">
        <w:rPr>
          <w:color w:val="222222"/>
          <w:shd w:val="clear" w:color="auto" w:fill="FFFFFF"/>
        </w:rPr>
        <w:t>Tylka, T. L., &amp; Wood-Barcalow, N. L. (2015</w:t>
      </w:r>
      <w:r w:rsidR="0024767F">
        <w:rPr>
          <w:color w:val="222222"/>
          <w:shd w:val="clear" w:color="auto" w:fill="FFFFFF"/>
        </w:rPr>
        <w:t>a</w:t>
      </w:r>
      <w:r w:rsidRPr="00D974BD">
        <w:rPr>
          <w:color w:val="222222"/>
          <w:shd w:val="clear" w:color="auto" w:fill="FFFFFF"/>
        </w:rPr>
        <w:t>)</w:t>
      </w:r>
      <w:r w:rsidR="0024767F">
        <w:rPr>
          <w:color w:val="222222"/>
          <w:shd w:val="clear" w:color="auto" w:fill="FFFFFF"/>
        </w:rPr>
        <w:t>.</w:t>
      </w:r>
      <w:r w:rsidRPr="00D974BD">
        <w:rPr>
          <w:color w:val="222222"/>
          <w:shd w:val="clear" w:color="auto" w:fill="FFFFFF"/>
        </w:rPr>
        <w:t xml:space="preserve"> The Body Appreciation Scale-2: Item refinement and psychometric evaluation. </w:t>
      </w:r>
      <w:r w:rsidRPr="00D974BD">
        <w:rPr>
          <w:i/>
          <w:iCs/>
          <w:color w:val="222222"/>
          <w:shd w:val="clear" w:color="auto" w:fill="FFFFFF"/>
        </w:rPr>
        <w:t>Body Image, 12</w:t>
      </w:r>
      <w:r w:rsidRPr="00D974BD">
        <w:rPr>
          <w:color w:val="222222"/>
          <w:shd w:val="clear" w:color="auto" w:fill="FFFFFF"/>
        </w:rPr>
        <w:t xml:space="preserve">, 53-67. </w:t>
      </w:r>
      <w:r w:rsidR="0083624E" w:rsidRPr="0083624E">
        <w:rPr>
          <w:color w:val="222222"/>
          <w:shd w:val="clear" w:color="auto" w:fill="FFFFFF"/>
        </w:rPr>
        <w:t>https://10.1016/j.bodyim.2014.09.006</w:t>
      </w:r>
    </w:p>
    <w:p w14:paraId="2D0F5ACD" w14:textId="295A3694" w:rsidR="0024767F" w:rsidRPr="0083624E" w:rsidRDefault="0024767F" w:rsidP="0083624E">
      <w:pPr>
        <w:tabs>
          <w:tab w:val="left" w:pos="284"/>
        </w:tabs>
        <w:spacing w:line="480" w:lineRule="auto"/>
        <w:ind w:left="567" w:hanging="567"/>
        <w:rPr>
          <w:color w:val="000000" w:themeColor="text1"/>
          <w:lang w:bidi="he-IL"/>
        </w:rPr>
      </w:pPr>
      <w:r w:rsidRPr="00E850F4">
        <w:rPr>
          <w:color w:val="000000" w:themeColor="text1"/>
          <w:lang w:val="en-US"/>
        </w:rPr>
        <w:t>Tylka, T. L., &amp; Wood-Barcalow, N. L. (2015</w:t>
      </w:r>
      <w:r>
        <w:rPr>
          <w:color w:val="000000" w:themeColor="text1"/>
          <w:lang w:val="en-US"/>
        </w:rPr>
        <w:t>b</w:t>
      </w:r>
      <w:r w:rsidRPr="00E850F4">
        <w:rPr>
          <w:color w:val="000000" w:themeColor="text1"/>
          <w:lang w:val="en-US"/>
        </w:rPr>
        <w:t>). What is and what is not positive body image</w:t>
      </w:r>
      <w:r w:rsidRPr="00233BE3">
        <w:rPr>
          <w:color w:val="000000" w:themeColor="text1"/>
          <w:lang w:val="en-US"/>
        </w:rPr>
        <w:t>? Conceptual foundations and construct definition. </w:t>
      </w:r>
      <w:r w:rsidRPr="00233BE3">
        <w:rPr>
          <w:i/>
          <w:iCs/>
          <w:color w:val="000000" w:themeColor="text1"/>
          <w:lang w:val="en-US"/>
        </w:rPr>
        <w:t>Body Image</w:t>
      </w:r>
      <w:r w:rsidRPr="00233BE3">
        <w:rPr>
          <w:color w:val="000000" w:themeColor="text1"/>
          <w:lang w:val="en-US"/>
        </w:rPr>
        <w:t>, </w:t>
      </w:r>
      <w:r w:rsidRPr="00233BE3">
        <w:rPr>
          <w:i/>
          <w:iCs/>
          <w:color w:val="000000" w:themeColor="text1"/>
          <w:lang w:val="en-US"/>
        </w:rPr>
        <w:t>14</w:t>
      </w:r>
      <w:r w:rsidRPr="00233BE3">
        <w:rPr>
          <w:color w:val="000000" w:themeColor="text1"/>
          <w:lang w:val="en-US"/>
        </w:rPr>
        <w:t>, 118-129.</w:t>
      </w:r>
      <w:r w:rsidRPr="00233BE3">
        <w:rPr>
          <w:color w:val="000000" w:themeColor="text1"/>
          <w:rtl/>
          <w:lang w:bidi="he-IL"/>
        </w:rPr>
        <w:t>‏</w:t>
      </w:r>
      <w:r w:rsidRPr="00233BE3">
        <w:rPr>
          <w:rFonts w:hint="cs"/>
          <w:color w:val="000000" w:themeColor="text1"/>
          <w:rtl/>
          <w:lang w:bidi="he-IL"/>
        </w:rPr>
        <w:t xml:space="preserve"> </w:t>
      </w:r>
      <w:r w:rsidR="0083624E" w:rsidRPr="0083624E">
        <w:t>https://doi.org/10.1016/j.bodyim.2015.04.001</w:t>
      </w:r>
    </w:p>
    <w:p w14:paraId="597DEA7E" w14:textId="72300550" w:rsidR="005B0CDE" w:rsidRDefault="005B0CDE" w:rsidP="005B0CDE">
      <w:pPr>
        <w:spacing w:line="480" w:lineRule="auto"/>
        <w:ind w:left="567" w:hanging="567"/>
      </w:pPr>
      <w:r w:rsidRPr="00D974BD">
        <w:t xml:space="preserve">Vaitl, D. (1996). Interoception. </w:t>
      </w:r>
      <w:r w:rsidRPr="00D974BD">
        <w:rPr>
          <w:i/>
          <w:iCs/>
        </w:rPr>
        <w:t>Biological Psychology, 42</w:t>
      </w:r>
      <w:r w:rsidRPr="00D974BD">
        <w:t>(1-2), 1</w:t>
      </w:r>
      <w:r>
        <w:t>-</w:t>
      </w:r>
      <w:r w:rsidRPr="00D974BD">
        <w:t xml:space="preserve">27. </w:t>
      </w:r>
      <w:r w:rsidR="003D51CC" w:rsidRPr="003D51CC">
        <w:t>https://doi.org/10.1016/0301-0511(95)05144-9</w:t>
      </w:r>
    </w:p>
    <w:p w14:paraId="676EF0A2" w14:textId="29AE910B" w:rsidR="003D51CC" w:rsidRPr="00D974BD" w:rsidRDefault="003D51CC" w:rsidP="003D51CC">
      <w:pPr>
        <w:spacing w:line="480" w:lineRule="auto"/>
        <w:ind w:left="567" w:hanging="567"/>
      </w:pPr>
      <w:r w:rsidRPr="003D51CC">
        <w:t>van Doorn, J., van den Bergh, D., Böhm, U.</w:t>
      </w:r>
      <w:r>
        <w:t xml:space="preserve">, </w:t>
      </w:r>
      <w:r w:rsidRPr="003D51CC">
        <w:t xml:space="preserve">Dablander, </w:t>
      </w:r>
      <w:r>
        <w:t xml:space="preserve">F., </w:t>
      </w:r>
      <w:r w:rsidRPr="003D51CC">
        <w:t xml:space="preserve">Derks, </w:t>
      </w:r>
      <w:r>
        <w:t xml:space="preserve">K., </w:t>
      </w:r>
      <w:r w:rsidRPr="003D51CC">
        <w:t xml:space="preserve">Draws, </w:t>
      </w:r>
      <w:r>
        <w:t xml:space="preserve">T., </w:t>
      </w:r>
      <w:r w:rsidRPr="003D51CC">
        <w:t>Etz,</w:t>
      </w:r>
      <w:r>
        <w:t xml:space="preserve"> A., </w:t>
      </w:r>
      <w:r w:rsidRPr="003D51CC">
        <w:t>Evans,</w:t>
      </w:r>
      <w:r>
        <w:t xml:space="preserve"> N.J., </w:t>
      </w:r>
      <w:r w:rsidRPr="003D51CC">
        <w:t xml:space="preserve">Gronau, </w:t>
      </w:r>
      <w:r>
        <w:t xml:space="preserve">Q.F., </w:t>
      </w:r>
      <w:r w:rsidRPr="003D51CC">
        <w:t xml:space="preserve">Haaf, </w:t>
      </w:r>
      <w:r>
        <w:t xml:space="preserve">J.M., </w:t>
      </w:r>
      <w:r w:rsidRPr="003D51CC">
        <w:t>Hinne,</w:t>
      </w:r>
      <w:r>
        <w:t xml:space="preserve"> M., </w:t>
      </w:r>
      <w:r w:rsidRPr="003D51CC">
        <w:t>Kucharský, Š</w:t>
      </w:r>
      <w:r>
        <w:t xml:space="preserve">., </w:t>
      </w:r>
      <w:r w:rsidRPr="003D51CC">
        <w:t>Ly,</w:t>
      </w:r>
      <w:r>
        <w:t xml:space="preserve"> A., </w:t>
      </w:r>
      <w:r w:rsidRPr="003D51CC">
        <w:t xml:space="preserve">Marsman, </w:t>
      </w:r>
      <w:r>
        <w:t xml:space="preserve">M., </w:t>
      </w:r>
      <w:r w:rsidRPr="003D51CC">
        <w:t xml:space="preserve">Matzke, </w:t>
      </w:r>
      <w:r>
        <w:t xml:space="preserve">D., </w:t>
      </w:r>
      <w:r w:rsidRPr="003D51CC">
        <w:t>Komarlu</w:t>
      </w:r>
      <w:r>
        <w:t xml:space="preserve">, A.R., </w:t>
      </w:r>
      <w:r w:rsidRPr="003D51CC">
        <w:t>Gupta,</w:t>
      </w:r>
      <w:r>
        <w:t xml:space="preserve"> N., </w:t>
      </w:r>
      <w:r w:rsidRPr="003D51CC">
        <w:t>Sarafoglou,</w:t>
      </w:r>
      <w:r>
        <w:t xml:space="preserve"> A.,</w:t>
      </w:r>
      <w:r w:rsidRPr="003D51CC">
        <w:t>Stefan</w:t>
      </w:r>
      <w:r>
        <w:t>, A.,</w:t>
      </w:r>
      <w:r w:rsidRPr="003D51CC">
        <w:t>Voelkel</w:t>
      </w:r>
      <w:r>
        <w:t>, J.G.,</w:t>
      </w:r>
      <w:r w:rsidRPr="003D51CC">
        <w:t xml:space="preserve"> &amp; </w:t>
      </w:r>
      <w:r w:rsidRPr="003D51CC">
        <w:lastRenderedPageBreak/>
        <w:t>Wagenmakers</w:t>
      </w:r>
      <w:r>
        <w:t xml:space="preserve">, E-J. (2021). </w:t>
      </w:r>
      <w:r w:rsidRPr="003D51CC">
        <w:t>The JASP guidelines for conducting and reporting a Bayesian analysis. </w:t>
      </w:r>
      <w:r w:rsidRPr="003D51CC">
        <w:rPr>
          <w:i/>
          <w:iCs/>
        </w:rPr>
        <w:t>Psychon</w:t>
      </w:r>
      <w:r>
        <w:rPr>
          <w:i/>
          <w:iCs/>
        </w:rPr>
        <w:t>omic</w:t>
      </w:r>
      <w:r w:rsidRPr="003D51CC">
        <w:rPr>
          <w:i/>
          <w:iCs/>
        </w:rPr>
        <w:t xml:space="preserve"> Bull</w:t>
      </w:r>
      <w:r>
        <w:rPr>
          <w:i/>
          <w:iCs/>
        </w:rPr>
        <w:t>etin &amp;</w:t>
      </w:r>
      <w:r w:rsidRPr="003D51CC">
        <w:rPr>
          <w:i/>
          <w:iCs/>
        </w:rPr>
        <w:t xml:space="preserve"> Rev</w:t>
      </w:r>
      <w:r>
        <w:rPr>
          <w:i/>
          <w:iCs/>
        </w:rPr>
        <w:t>iew,</w:t>
      </w:r>
      <w:r w:rsidRPr="003D51CC">
        <w:t> </w:t>
      </w:r>
      <w:r w:rsidRPr="003D51CC">
        <w:rPr>
          <w:i/>
          <w:iCs/>
        </w:rPr>
        <w:t>28,</w:t>
      </w:r>
      <w:r w:rsidRPr="003D51CC">
        <w:t> 813–82</w:t>
      </w:r>
      <w:r>
        <w:t>6.</w:t>
      </w:r>
      <w:r w:rsidRPr="003D51CC">
        <w:t xml:space="preserve"> https://doi.org/10.3758/s13423-020-01798-5</w:t>
      </w:r>
    </w:p>
    <w:p w14:paraId="4E99C5C7" w14:textId="77777777" w:rsidR="005B0CDE" w:rsidRDefault="005B0CDE" w:rsidP="005B0CDE">
      <w:pPr>
        <w:spacing w:line="480" w:lineRule="auto"/>
        <w:ind w:left="426" w:hanging="426"/>
        <w:rPr>
          <w:shd w:val="clear" w:color="auto" w:fill="FFFFFF"/>
        </w:rPr>
      </w:pPr>
      <w:r w:rsidRPr="00D974BD">
        <w:rPr>
          <w:color w:val="000000" w:themeColor="text1"/>
          <w:shd w:val="clear" w:color="auto" w:fill="FFFFFF"/>
        </w:rPr>
        <w:t>van Dyck, Z., Vögele, C., Blechert, J., Lutz, A. P., Schulz, A., &amp; Herbert, B. M. (2016). The Water Load Test as a measure of gastric interoception: Development of a two-stage protocol and application to a healthy female population. </w:t>
      </w:r>
      <w:r w:rsidRPr="00D974BD">
        <w:rPr>
          <w:i/>
          <w:color w:val="000000" w:themeColor="text1"/>
          <w:shd w:val="clear" w:color="auto" w:fill="FFFFFF"/>
        </w:rPr>
        <w:t>PLoS One</w:t>
      </w:r>
      <w:r w:rsidRPr="00D974BD">
        <w:rPr>
          <w:color w:val="000000" w:themeColor="text1"/>
          <w:shd w:val="clear" w:color="auto" w:fill="FFFFFF"/>
        </w:rPr>
        <w:t>,</w:t>
      </w:r>
      <w:r w:rsidRPr="00D974BD">
        <w:rPr>
          <w:i/>
          <w:color w:val="000000" w:themeColor="text1"/>
          <w:shd w:val="clear" w:color="auto" w:fill="FFFFFF"/>
        </w:rPr>
        <w:t> 11</w:t>
      </w:r>
      <w:r w:rsidRPr="00D974BD">
        <w:rPr>
          <w:iCs/>
          <w:color w:val="000000" w:themeColor="text1"/>
          <w:shd w:val="clear" w:color="auto" w:fill="FFFFFF"/>
        </w:rPr>
        <w:t>(9)</w:t>
      </w:r>
      <w:r w:rsidRPr="00D974BD">
        <w:rPr>
          <w:i/>
          <w:color w:val="000000" w:themeColor="text1"/>
          <w:shd w:val="clear" w:color="auto" w:fill="FFFFFF"/>
        </w:rPr>
        <w:t xml:space="preserve">, </w:t>
      </w:r>
      <w:r w:rsidRPr="00D974BD">
        <w:rPr>
          <w:color w:val="000000" w:themeColor="text1"/>
          <w:shd w:val="clear" w:color="auto" w:fill="FFFFFF"/>
        </w:rPr>
        <w:t xml:space="preserve">e0163574. </w:t>
      </w:r>
      <w:r w:rsidRPr="00207044">
        <w:t>https://doi.org/</w:t>
      </w:r>
      <w:r w:rsidRPr="00207044">
        <w:rPr>
          <w:shd w:val="clear" w:color="auto" w:fill="FFFFFF"/>
        </w:rPr>
        <w:t>10.1371/journal.pone.0163574</w:t>
      </w:r>
    </w:p>
    <w:p w14:paraId="0735BDEC" w14:textId="77777777" w:rsidR="005B0CDE" w:rsidRPr="00283542" w:rsidRDefault="005B0CDE" w:rsidP="005B0CDE">
      <w:pPr>
        <w:spacing w:line="480" w:lineRule="auto"/>
        <w:ind w:left="426" w:hanging="426"/>
        <w:rPr>
          <w:i/>
          <w:iCs/>
          <w:color w:val="000000" w:themeColor="text1"/>
          <w:shd w:val="clear" w:color="auto" w:fill="FFFFFF"/>
        </w:rPr>
      </w:pPr>
      <w:r>
        <w:rPr>
          <w:color w:val="000000" w:themeColor="text1"/>
          <w:shd w:val="clear" w:color="auto" w:fill="FFFFFF"/>
        </w:rPr>
        <w:t xml:space="preserve">Wolpert, N., Rebollo, I., &amp; Tallon-Baudry, C. (2020) Electrogastrography for psychophysiological research: Practical considerations, analysis pipeline, and normative data in a large sample. </w:t>
      </w:r>
      <w:r>
        <w:rPr>
          <w:i/>
          <w:iCs/>
          <w:color w:val="000000" w:themeColor="text1"/>
          <w:shd w:val="clear" w:color="auto" w:fill="FFFFFF"/>
        </w:rPr>
        <w:t xml:space="preserve">Psychophysiology. </w:t>
      </w:r>
      <w:r w:rsidRPr="00D974BD">
        <w:t>Advanced online publication.</w:t>
      </w:r>
      <w:r>
        <w:t xml:space="preserve"> </w:t>
      </w:r>
      <w:r w:rsidRPr="000C7BDF">
        <w:rPr>
          <w:color w:val="000000" w:themeColor="text1"/>
          <w:shd w:val="clear" w:color="auto" w:fill="FFFFFF"/>
        </w:rPr>
        <w:t>https://doi.org/10.1111/psyp.13599</w:t>
      </w:r>
    </w:p>
    <w:p w14:paraId="33C3B9D6" w14:textId="77777777" w:rsidR="005B0CDE" w:rsidRPr="004A5CC8" w:rsidRDefault="005B0CDE" w:rsidP="005B0CDE">
      <w:pPr>
        <w:spacing w:line="480" w:lineRule="auto"/>
        <w:ind w:left="426" w:hanging="426"/>
        <w:rPr>
          <w:color w:val="000000" w:themeColor="text1"/>
          <w:shd w:val="clear" w:color="auto" w:fill="FFFFFF"/>
        </w:rPr>
      </w:pPr>
      <w:r w:rsidRPr="004A5CC8">
        <w:rPr>
          <w:color w:val="000000" w:themeColor="text1"/>
          <w:shd w:val="clear" w:color="auto" w:fill="FFFFFF"/>
        </w:rPr>
        <w:t>Wood-Barcalow, N. L., Tylka, T. L., &amp; Augustus-Horvath, C. L. (2010). “But I like my body”: Positive body image characteristics and a holistic model for young-adult women. </w:t>
      </w:r>
      <w:r w:rsidRPr="004A5CC8">
        <w:rPr>
          <w:i/>
          <w:iCs/>
          <w:color w:val="000000" w:themeColor="text1"/>
          <w:shd w:val="clear" w:color="auto" w:fill="FFFFFF"/>
        </w:rPr>
        <w:t xml:space="preserve">Body </w:t>
      </w:r>
      <w:r>
        <w:rPr>
          <w:i/>
          <w:iCs/>
          <w:color w:val="000000" w:themeColor="text1"/>
          <w:shd w:val="clear" w:color="auto" w:fill="FFFFFF"/>
        </w:rPr>
        <w:t>I</w:t>
      </w:r>
      <w:r w:rsidRPr="004A5CC8">
        <w:rPr>
          <w:i/>
          <w:iCs/>
          <w:color w:val="000000" w:themeColor="text1"/>
          <w:shd w:val="clear" w:color="auto" w:fill="FFFFFF"/>
        </w:rPr>
        <w:t>mage</w:t>
      </w:r>
      <w:r w:rsidRPr="004A5CC8">
        <w:rPr>
          <w:color w:val="000000" w:themeColor="text1"/>
          <w:shd w:val="clear" w:color="auto" w:fill="FFFFFF"/>
        </w:rPr>
        <w:t>, </w:t>
      </w:r>
      <w:r w:rsidRPr="004A5CC8">
        <w:rPr>
          <w:i/>
          <w:iCs/>
          <w:color w:val="000000" w:themeColor="text1"/>
          <w:shd w:val="clear" w:color="auto" w:fill="FFFFFF"/>
        </w:rPr>
        <w:t>7</w:t>
      </w:r>
      <w:r w:rsidRPr="004A5CC8">
        <w:rPr>
          <w:color w:val="000000" w:themeColor="text1"/>
          <w:shd w:val="clear" w:color="auto" w:fill="FFFFFF"/>
        </w:rPr>
        <w:t>(2), 106-116.</w:t>
      </w:r>
      <w:r>
        <w:rPr>
          <w:color w:val="000000" w:themeColor="text1"/>
          <w:shd w:val="clear" w:color="auto" w:fill="FFFFFF"/>
        </w:rPr>
        <w:t xml:space="preserve"> </w:t>
      </w:r>
      <w:r w:rsidRPr="00E46D4A">
        <w:rPr>
          <w:color w:val="000000" w:themeColor="text1"/>
          <w:shd w:val="clear" w:color="auto" w:fill="FFFFFF"/>
        </w:rPr>
        <w:t>https://doi.org/10.1016/j.bodyim.2010.01.001</w:t>
      </w:r>
    </w:p>
    <w:p w14:paraId="1149CA08" w14:textId="3AE4EF11" w:rsidR="00870EAC" w:rsidRPr="00870EAC" w:rsidRDefault="005B0CDE" w:rsidP="00870EAC">
      <w:pPr>
        <w:spacing w:line="480" w:lineRule="auto"/>
        <w:ind w:left="426" w:hanging="426"/>
        <w:rPr>
          <w:color w:val="000000" w:themeColor="text1"/>
          <w:shd w:val="clear" w:color="auto" w:fill="FFFFFF"/>
        </w:rPr>
      </w:pPr>
      <w:r w:rsidRPr="00D974BD">
        <w:rPr>
          <w:color w:val="000000" w:themeColor="text1"/>
          <w:shd w:val="clear" w:color="auto" w:fill="FFFFFF"/>
        </w:rPr>
        <w:t xml:space="preserve">Yin, J., &amp; Chen, J. D. (2013). Electrogastrography: Methodology, validation and applications. </w:t>
      </w:r>
      <w:r w:rsidRPr="00D974BD">
        <w:rPr>
          <w:i/>
          <w:iCs/>
          <w:color w:val="000000" w:themeColor="text1"/>
          <w:shd w:val="clear" w:color="auto" w:fill="FFFFFF"/>
        </w:rPr>
        <w:t>Journal of Neurogastroenterology and Motility, 19</w:t>
      </w:r>
      <w:r w:rsidRPr="00D974BD">
        <w:rPr>
          <w:color w:val="000000" w:themeColor="text1"/>
          <w:shd w:val="clear" w:color="auto" w:fill="FFFFFF"/>
        </w:rPr>
        <w:t xml:space="preserve">(1), 5-17. </w:t>
      </w:r>
      <w:r w:rsidRPr="002566A3">
        <w:rPr>
          <w:color w:val="000000" w:themeColor="text1"/>
          <w:shd w:val="clear" w:color="auto" w:fill="FFFFFF"/>
        </w:rPr>
        <w:t>https://doi.org/10.5056/jnm.2013.19.1.</w:t>
      </w:r>
    </w:p>
    <w:p w14:paraId="56D853EB" w14:textId="61D95DA7" w:rsidR="00870EAC" w:rsidRDefault="00870EAC" w:rsidP="00870EAC">
      <w:pPr>
        <w:spacing w:line="480" w:lineRule="auto"/>
        <w:ind w:left="426" w:hanging="426"/>
        <w:rPr>
          <w:color w:val="000000" w:themeColor="text1"/>
          <w:shd w:val="clear" w:color="auto" w:fill="FFFFFF"/>
        </w:rPr>
      </w:pPr>
      <w:r w:rsidRPr="00870EAC">
        <w:rPr>
          <w:color w:val="000000" w:themeColor="text1"/>
          <w:shd w:val="clear" w:color="auto" w:fill="FFFFFF"/>
        </w:rPr>
        <w:t>Zamariola, G., Vlemincx, E., Corneille, O., &amp; Luminet, O. (2018). Relationship between interoceptive accuracy, interoceptive sensibility, and alexithymia. </w:t>
      </w:r>
      <w:r w:rsidRPr="00870EAC">
        <w:rPr>
          <w:i/>
          <w:iCs/>
          <w:color w:val="000000" w:themeColor="text1"/>
          <w:shd w:val="clear" w:color="auto" w:fill="FFFFFF"/>
        </w:rPr>
        <w:t>Personality and Individual Differences</w:t>
      </w:r>
      <w:r w:rsidRPr="00870EAC">
        <w:rPr>
          <w:color w:val="000000" w:themeColor="text1"/>
          <w:shd w:val="clear" w:color="auto" w:fill="FFFFFF"/>
        </w:rPr>
        <w:t>, </w:t>
      </w:r>
      <w:r w:rsidRPr="00870EAC">
        <w:rPr>
          <w:i/>
          <w:iCs/>
          <w:color w:val="000000" w:themeColor="text1"/>
          <w:shd w:val="clear" w:color="auto" w:fill="FFFFFF"/>
        </w:rPr>
        <w:t>125</w:t>
      </w:r>
      <w:r w:rsidRPr="00870EAC">
        <w:rPr>
          <w:color w:val="000000" w:themeColor="text1"/>
          <w:shd w:val="clear" w:color="auto" w:fill="FFFFFF"/>
        </w:rPr>
        <w:t>, 14-20.</w:t>
      </w:r>
      <w:r w:rsidRPr="00870EAC">
        <w:t xml:space="preserve"> </w:t>
      </w:r>
      <w:r w:rsidRPr="00870EAC">
        <w:rPr>
          <w:color w:val="000000" w:themeColor="text1"/>
          <w:shd w:val="clear" w:color="auto" w:fill="FFFFFF"/>
        </w:rPr>
        <w:t>https://doi.org/10.1016/j.paid.2017.12.024</w:t>
      </w:r>
    </w:p>
    <w:p w14:paraId="4910C1C0" w14:textId="77777777" w:rsidR="00870EAC" w:rsidRPr="00870EAC" w:rsidRDefault="00870EAC" w:rsidP="00870EAC">
      <w:pPr>
        <w:spacing w:line="480" w:lineRule="auto"/>
        <w:ind w:left="426" w:hanging="426"/>
        <w:rPr>
          <w:color w:val="000000" w:themeColor="text1"/>
          <w:shd w:val="clear" w:color="auto" w:fill="FFFFFF"/>
        </w:rPr>
      </w:pPr>
    </w:p>
    <w:p w14:paraId="2788D62B" w14:textId="0F4A2C06" w:rsidR="00870EAC" w:rsidRDefault="00671845" w:rsidP="00671845">
      <w:pPr>
        <w:pStyle w:val="Heading1"/>
        <w:jc w:val="left"/>
        <w:rPr>
          <w:shd w:val="clear" w:color="auto" w:fill="FFFFFF"/>
        </w:rPr>
        <w:sectPr w:rsidR="00870EAC" w:rsidSect="00E969C5">
          <w:footerReference w:type="even" r:id="rId11"/>
          <w:footerReference w:type="default" r:id="rId12"/>
          <w:pgSz w:w="11900" w:h="16840"/>
          <w:pgMar w:top="1440" w:right="1440" w:bottom="1440" w:left="1440" w:header="708" w:footer="708" w:gutter="0"/>
          <w:cols w:space="708"/>
          <w:docGrid w:linePitch="360"/>
        </w:sectPr>
      </w:pPr>
      <w:r>
        <w:rPr>
          <w:shd w:val="clear" w:color="auto" w:fill="FFFFFF"/>
        </w:rPr>
        <w:t>Tables and Figures</w:t>
      </w:r>
    </w:p>
    <w:p w14:paraId="38E4CF0F" w14:textId="28B91109" w:rsidR="0079138F" w:rsidRDefault="0079138F" w:rsidP="00E969C5"/>
    <w:p w14:paraId="6DFF1A37" w14:textId="31C96204" w:rsidR="00897193" w:rsidRDefault="00C16C29" w:rsidP="00897193">
      <w:pPr>
        <w:jc w:val="center"/>
        <w:rPr>
          <w:i/>
          <w:iCs/>
        </w:rPr>
      </w:pPr>
      <w:r w:rsidRPr="00C16C29">
        <w:rPr>
          <w:i/>
          <w:iCs/>
          <w:noProof/>
        </w:rPr>
        <w:drawing>
          <wp:inline distT="0" distB="0" distL="0" distR="0" wp14:anchorId="15C20F18" wp14:editId="222F043B">
            <wp:extent cx="6828812" cy="4627659"/>
            <wp:effectExtent l="0" t="0" r="3810" b="0"/>
            <wp:docPr id="1" name="Picture 1" descr="P19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193#yIS1"/>
                    <pic:cNvPicPr/>
                  </pic:nvPicPr>
                  <pic:blipFill rotWithShape="1">
                    <a:blip r:embed="rId13"/>
                    <a:srcRect l="15876" t="3986" r="7070" b="3188"/>
                    <a:stretch/>
                  </pic:blipFill>
                  <pic:spPr bwMode="auto">
                    <a:xfrm>
                      <a:off x="0" y="0"/>
                      <a:ext cx="6830550" cy="4628837"/>
                    </a:xfrm>
                    <a:prstGeom prst="rect">
                      <a:avLst/>
                    </a:prstGeom>
                    <a:ln>
                      <a:noFill/>
                    </a:ln>
                    <a:extLst>
                      <a:ext uri="{53640926-AAD7-44D8-BBD7-CCE9431645EC}">
                        <a14:shadowObscured xmlns:a14="http://schemas.microsoft.com/office/drawing/2010/main"/>
                      </a:ext>
                    </a:extLst>
                  </pic:spPr>
                </pic:pic>
              </a:graphicData>
            </a:graphic>
          </wp:inline>
        </w:drawing>
      </w:r>
    </w:p>
    <w:p w14:paraId="58370CFE" w14:textId="77777777" w:rsidR="002E1F51" w:rsidRDefault="002E1F51" w:rsidP="009D1087">
      <w:pPr>
        <w:rPr>
          <w:i/>
          <w:iCs/>
        </w:rPr>
      </w:pPr>
    </w:p>
    <w:p w14:paraId="15BA08AC" w14:textId="1A35E1F7" w:rsidR="009D1087" w:rsidRDefault="008D2947" w:rsidP="009D1087">
      <w:r w:rsidRPr="00D9029B">
        <w:rPr>
          <w:i/>
          <w:iCs/>
        </w:rPr>
        <w:t xml:space="preserve">Figure </w:t>
      </w:r>
      <w:r w:rsidR="00A0505D">
        <w:rPr>
          <w:i/>
          <w:iCs/>
        </w:rPr>
        <w:t>1</w:t>
      </w:r>
      <w:r w:rsidRPr="00D9029B">
        <w:t xml:space="preserve">. </w:t>
      </w:r>
      <w:r>
        <w:t xml:space="preserve"> </w:t>
      </w:r>
      <w:r w:rsidR="009D1087" w:rsidRPr="00C23CE5">
        <w:t>Top left: Topographical representation of the significant negative cluster for</w:t>
      </w:r>
      <w:r w:rsidR="009D1087">
        <w:t xml:space="preserve"> body shame</w:t>
      </w:r>
      <w:r w:rsidR="009D1087" w:rsidRPr="00C23CE5">
        <w:t>. Top right: The association between mean HEP amplitude across 300 – 34</w:t>
      </w:r>
      <w:r w:rsidR="009D1087">
        <w:t>0</w:t>
      </w:r>
      <w:r w:rsidR="009D1087" w:rsidRPr="00C23CE5">
        <w:t xml:space="preserve"> ms in the significant cluster and </w:t>
      </w:r>
      <w:r w:rsidR="009D1087">
        <w:t xml:space="preserve">body shame </w:t>
      </w:r>
      <w:r w:rsidR="009D1087" w:rsidRPr="00C23CE5">
        <w:t>scores. Bottom left: Topographical representation of the significant negative cluster for</w:t>
      </w:r>
      <w:r w:rsidR="009D1087">
        <w:t xml:space="preserve"> weight preoccupation</w:t>
      </w:r>
      <w:r w:rsidR="009D1087" w:rsidRPr="00C23CE5">
        <w:t>. Bottom right: The association between mean HEP amplitude across 300 – 34</w:t>
      </w:r>
      <w:r w:rsidR="009D1087">
        <w:t>4</w:t>
      </w:r>
      <w:r w:rsidR="009D1087" w:rsidRPr="00C23CE5">
        <w:t xml:space="preserve"> ms in the significant cluster and </w:t>
      </w:r>
      <w:r w:rsidR="009D1087">
        <w:t xml:space="preserve">weight preoccupation </w:t>
      </w:r>
      <w:r w:rsidR="009D1087" w:rsidRPr="00C23CE5">
        <w:t>scores.</w:t>
      </w:r>
      <w:r w:rsidR="00EB0A00">
        <w:t xml:space="preserve"> HEP = Heartbeat evoked potential.</w:t>
      </w:r>
    </w:p>
    <w:p w14:paraId="6CDC7E07" w14:textId="1CEB7E10" w:rsidR="008D2947" w:rsidRDefault="008D2947" w:rsidP="00D336CF"/>
    <w:p w14:paraId="6571510E" w14:textId="0A562BBE" w:rsidR="00863FC4" w:rsidRDefault="00863FC4" w:rsidP="00BC429C">
      <w:pPr>
        <w:spacing w:line="480" w:lineRule="auto"/>
      </w:pPr>
    </w:p>
    <w:p w14:paraId="3069D8A8" w14:textId="0FE87F88" w:rsidR="008D2947" w:rsidRDefault="00A62FB8" w:rsidP="00BC429C">
      <w:pPr>
        <w:spacing w:line="480" w:lineRule="auto"/>
      </w:pPr>
      <w:r>
        <w:t>Table 1</w:t>
      </w:r>
    </w:p>
    <w:p w14:paraId="6A799422" w14:textId="70710B2B" w:rsidR="002A256E" w:rsidRPr="00AA0E61" w:rsidRDefault="002A256E" w:rsidP="002A256E">
      <w:pPr>
        <w:spacing w:line="480" w:lineRule="auto"/>
        <w:rPr>
          <w:i/>
          <w:iCs/>
        </w:rPr>
      </w:pPr>
      <w:r>
        <w:rPr>
          <w:i/>
          <w:iCs/>
        </w:rPr>
        <w:t>Bayesian Pearson Correlations between the Modulation Index for Gastric-Alpha Phase-Amplitude Coupling</w:t>
      </w:r>
      <w:r w:rsidR="00D336CF">
        <w:rPr>
          <w:i/>
          <w:iCs/>
        </w:rPr>
        <w:t xml:space="preserve"> and </w:t>
      </w:r>
      <w:r>
        <w:rPr>
          <w:i/>
          <w:iCs/>
        </w:rPr>
        <w:t>All Body Image Variables</w:t>
      </w:r>
    </w:p>
    <w:tbl>
      <w:tblPr>
        <w:tblStyle w:val="PlainTable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302"/>
        <w:gridCol w:w="2859"/>
        <w:gridCol w:w="1991"/>
        <w:gridCol w:w="1991"/>
        <w:gridCol w:w="1991"/>
        <w:gridCol w:w="1991"/>
      </w:tblGrid>
      <w:tr w:rsidR="00A33670" w:rsidRPr="00A33670" w14:paraId="7D897659" w14:textId="77777777" w:rsidTr="00A336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5" w:type="pct"/>
            <w:tcBorders>
              <w:top w:val="single" w:sz="4" w:space="0" w:color="auto"/>
              <w:bottom w:val="single" w:sz="4" w:space="0" w:color="auto"/>
            </w:tcBorders>
          </w:tcPr>
          <w:p w14:paraId="725668A2" w14:textId="430E7AA3" w:rsidR="00A33670" w:rsidRPr="00A33670" w:rsidRDefault="00A33670" w:rsidP="003E2485">
            <w:pPr>
              <w:spacing w:line="480" w:lineRule="auto"/>
              <w:rPr>
                <w:b w:val="0"/>
                <w:bCs w:val="0"/>
              </w:rPr>
            </w:pPr>
            <w:r w:rsidRPr="00A33670">
              <w:rPr>
                <w:b w:val="0"/>
                <w:bCs w:val="0"/>
              </w:rPr>
              <w:t>Body image variable</w:t>
            </w:r>
          </w:p>
        </w:tc>
        <w:tc>
          <w:tcPr>
            <w:tcW w:w="108" w:type="pct"/>
            <w:tcBorders>
              <w:top w:val="single" w:sz="4" w:space="0" w:color="auto"/>
              <w:bottom w:val="single" w:sz="4" w:space="0" w:color="auto"/>
            </w:tcBorders>
          </w:tcPr>
          <w:p w14:paraId="45D716EB" w14:textId="77777777" w:rsidR="00A33670" w:rsidRPr="00A33670" w:rsidRDefault="00A33670" w:rsidP="003E2485">
            <w:pPr>
              <w:spacing w:line="480" w:lineRule="auto"/>
              <w:cnfStyle w:val="100000000000" w:firstRow="1" w:lastRow="0" w:firstColumn="0" w:lastColumn="0" w:oddVBand="0" w:evenVBand="0" w:oddHBand="0" w:evenHBand="0" w:firstRowFirstColumn="0" w:firstRowLastColumn="0" w:lastRowFirstColumn="0" w:lastRowLastColumn="0"/>
            </w:pPr>
          </w:p>
        </w:tc>
        <w:tc>
          <w:tcPr>
            <w:tcW w:w="1024" w:type="pct"/>
            <w:tcBorders>
              <w:top w:val="single" w:sz="4" w:space="0" w:color="auto"/>
              <w:bottom w:val="single" w:sz="4" w:space="0" w:color="auto"/>
            </w:tcBorders>
          </w:tcPr>
          <w:p w14:paraId="7BA76202" w14:textId="2F9D900D" w:rsidR="00A33670" w:rsidRPr="00A33670" w:rsidRDefault="00895647" w:rsidP="003E2485">
            <w:pPr>
              <w:spacing w:line="480"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gastric-alpha</w:t>
            </w:r>
            <w:r w:rsidR="00A33670" w:rsidRPr="00A33670">
              <w:rPr>
                <w:b w:val="0"/>
                <w:bCs w:val="0"/>
              </w:rPr>
              <w:t xml:space="preserve"> ROI</w:t>
            </w:r>
          </w:p>
        </w:tc>
        <w:tc>
          <w:tcPr>
            <w:tcW w:w="713" w:type="pct"/>
            <w:tcBorders>
              <w:top w:val="single" w:sz="4" w:space="0" w:color="auto"/>
              <w:bottom w:val="single" w:sz="4" w:space="0" w:color="auto"/>
            </w:tcBorders>
          </w:tcPr>
          <w:p w14:paraId="77F8FDD1" w14:textId="3730A717" w:rsidR="00A33670" w:rsidRPr="00A33670" w:rsidRDefault="00A33670" w:rsidP="003E2485">
            <w:pPr>
              <w:spacing w:line="480" w:lineRule="auto"/>
              <w:cnfStyle w:val="100000000000" w:firstRow="1" w:lastRow="0" w:firstColumn="0" w:lastColumn="0" w:oddVBand="0" w:evenVBand="0" w:oddHBand="0" w:evenHBand="0" w:firstRowFirstColumn="0" w:firstRowLastColumn="0" w:lastRowFirstColumn="0" w:lastRowLastColumn="0"/>
              <w:rPr>
                <w:b w:val="0"/>
                <w:bCs w:val="0"/>
                <w:i/>
                <w:iCs/>
              </w:rPr>
            </w:pPr>
            <w:r>
              <w:rPr>
                <w:b w:val="0"/>
                <w:bCs w:val="0"/>
              </w:rPr>
              <w:t xml:space="preserve">Pearson’s </w:t>
            </w:r>
            <w:r>
              <w:rPr>
                <w:b w:val="0"/>
                <w:bCs w:val="0"/>
                <w:i/>
                <w:iCs/>
              </w:rPr>
              <w:t>r</w:t>
            </w:r>
          </w:p>
        </w:tc>
        <w:tc>
          <w:tcPr>
            <w:tcW w:w="713" w:type="pct"/>
            <w:tcBorders>
              <w:top w:val="single" w:sz="4" w:space="0" w:color="auto"/>
              <w:bottom w:val="single" w:sz="4" w:space="0" w:color="auto"/>
            </w:tcBorders>
          </w:tcPr>
          <w:p w14:paraId="262E3B94" w14:textId="09CCC036" w:rsidR="00A33670" w:rsidRPr="00A33670" w:rsidRDefault="00A33670" w:rsidP="003E2485">
            <w:pPr>
              <w:spacing w:line="480"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BF</w:t>
            </w:r>
            <w:r w:rsidR="00537D8B">
              <w:rPr>
                <w:b w:val="0"/>
                <w:bCs w:val="0"/>
                <w:vertAlign w:val="subscript"/>
              </w:rPr>
              <w:t>10</w:t>
            </w:r>
          </w:p>
        </w:tc>
        <w:tc>
          <w:tcPr>
            <w:tcW w:w="713" w:type="pct"/>
            <w:tcBorders>
              <w:top w:val="single" w:sz="4" w:space="0" w:color="auto"/>
              <w:bottom w:val="single" w:sz="4" w:space="0" w:color="auto"/>
            </w:tcBorders>
          </w:tcPr>
          <w:p w14:paraId="56B071F5" w14:textId="0F9A8810" w:rsidR="00A33670" w:rsidRPr="00A33670" w:rsidRDefault="00A33670" w:rsidP="003E2485">
            <w:pPr>
              <w:spacing w:line="480"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Lower 95% CI</w:t>
            </w:r>
          </w:p>
        </w:tc>
        <w:tc>
          <w:tcPr>
            <w:tcW w:w="713" w:type="pct"/>
            <w:tcBorders>
              <w:top w:val="single" w:sz="4" w:space="0" w:color="auto"/>
              <w:bottom w:val="single" w:sz="4" w:space="0" w:color="auto"/>
            </w:tcBorders>
          </w:tcPr>
          <w:p w14:paraId="4A10B200" w14:textId="5FA7E4FE" w:rsidR="00A33670" w:rsidRPr="00A33670" w:rsidRDefault="00A33670" w:rsidP="003E2485">
            <w:pPr>
              <w:spacing w:line="480"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Upper 95% CI</w:t>
            </w:r>
          </w:p>
        </w:tc>
      </w:tr>
      <w:tr w:rsidR="00A33670" w:rsidRPr="00A33670" w14:paraId="5B49FEF5"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Borders>
              <w:top w:val="single" w:sz="4" w:space="0" w:color="auto"/>
            </w:tcBorders>
          </w:tcPr>
          <w:p w14:paraId="1D8E380F" w14:textId="46B0A9DF" w:rsidR="00A33670" w:rsidRPr="00A33670" w:rsidRDefault="00A33670" w:rsidP="001B00F5">
            <w:pPr>
              <w:spacing w:line="480" w:lineRule="auto"/>
              <w:rPr>
                <w:b w:val="0"/>
                <w:bCs w:val="0"/>
              </w:rPr>
            </w:pPr>
            <w:r>
              <w:rPr>
                <w:b w:val="0"/>
                <w:bCs w:val="0"/>
              </w:rPr>
              <w:t>Body appreciation</w:t>
            </w:r>
          </w:p>
        </w:tc>
        <w:tc>
          <w:tcPr>
            <w:tcW w:w="108" w:type="pct"/>
            <w:tcBorders>
              <w:top w:val="single" w:sz="4" w:space="0" w:color="auto"/>
            </w:tcBorders>
          </w:tcPr>
          <w:p w14:paraId="27F8EA42" w14:textId="632B3394" w:rsidR="00A33670" w:rsidRPr="00A33670" w:rsidRDefault="00A33670" w:rsidP="001B00F5">
            <w:pPr>
              <w:cnfStyle w:val="000000100000" w:firstRow="0" w:lastRow="0" w:firstColumn="0" w:lastColumn="0" w:oddVBand="0" w:evenVBand="0" w:oddHBand="1" w:evenHBand="0" w:firstRowFirstColumn="0" w:firstRowLastColumn="0" w:lastRowFirstColumn="0" w:lastRowLastColumn="0"/>
            </w:pPr>
            <w:r>
              <w:t>-</w:t>
            </w:r>
          </w:p>
        </w:tc>
        <w:tc>
          <w:tcPr>
            <w:tcW w:w="1024" w:type="pct"/>
            <w:tcBorders>
              <w:top w:val="single" w:sz="4" w:space="0" w:color="auto"/>
            </w:tcBorders>
          </w:tcPr>
          <w:p w14:paraId="77EA3EBA" w14:textId="194A239B" w:rsidR="00A33670" w:rsidRPr="00A33670" w:rsidRDefault="00A33670" w:rsidP="001B00F5">
            <w:pPr>
              <w:cnfStyle w:val="000000100000" w:firstRow="0" w:lastRow="0" w:firstColumn="0" w:lastColumn="0" w:oddVBand="0" w:evenVBand="0" w:oddHBand="1" w:evenHBand="0" w:firstRowFirstColumn="0" w:firstRowLastColumn="0" w:lastRowFirstColumn="0" w:lastRowLastColumn="0"/>
            </w:pPr>
            <w:r>
              <w:t>Left Frontal</w:t>
            </w:r>
          </w:p>
        </w:tc>
        <w:tc>
          <w:tcPr>
            <w:tcW w:w="713" w:type="pct"/>
            <w:tcBorders>
              <w:top w:val="single" w:sz="4" w:space="0" w:color="auto"/>
            </w:tcBorders>
          </w:tcPr>
          <w:p w14:paraId="74095783" w14:textId="2B99F926" w:rsidR="00A33670" w:rsidRPr="00A33670" w:rsidRDefault="00A33670" w:rsidP="00CF2126">
            <w:pPr>
              <w:cnfStyle w:val="000000100000" w:firstRow="0" w:lastRow="0" w:firstColumn="0" w:lastColumn="0" w:oddVBand="0" w:evenVBand="0" w:oddHBand="1" w:evenHBand="0" w:firstRowFirstColumn="0" w:firstRowLastColumn="0" w:lastRowFirstColumn="0" w:lastRowLastColumn="0"/>
            </w:pPr>
            <w:r>
              <w:t>&lt;.01</w:t>
            </w:r>
          </w:p>
        </w:tc>
        <w:tc>
          <w:tcPr>
            <w:tcW w:w="713" w:type="pct"/>
            <w:tcBorders>
              <w:top w:val="single" w:sz="4" w:space="0" w:color="auto"/>
            </w:tcBorders>
          </w:tcPr>
          <w:p w14:paraId="256F220B" w14:textId="06A2B76D" w:rsidR="00A33670" w:rsidRPr="00A33670" w:rsidRDefault="00443DC0" w:rsidP="00CF2126">
            <w:pPr>
              <w:cnfStyle w:val="000000100000" w:firstRow="0" w:lastRow="0" w:firstColumn="0" w:lastColumn="0" w:oddVBand="0" w:evenVBand="0" w:oddHBand="1" w:evenHBand="0" w:firstRowFirstColumn="0" w:firstRowLastColumn="0" w:lastRowFirstColumn="0" w:lastRowLastColumn="0"/>
            </w:pPr>
            <w:r>
              <w:t>0.21</w:t>
            </w:r>
          </w:p>
        </w:tc>
        <w:tc>
          <w:tcPr>
            <w:tcW w:w="713" w:type="pct"/>
            <w:tcBorders>
              <w:top w:val="single" w:sz="4" w:space="0" w:color="auto"/>
            </w:tcBorders>
          </w:tcPr>
          <w:p w14:paraId="3379D7BD" w14:textId="36DC4064" w:rsidR="00A33670" w:rsidRPr="00A33670" w:rsidRDefault="007B1D89" w:rsidP="00CF2126">
            <w:pPr>
              <w:cnfStyle w:val="000000100000" w:firstRow="0" w:lastRow="0" w:firstColumn="0" w:lastColumn="0" w:oddVBand="0" w:evenVBand="0" w:oddHBand="1" w:evenHBand="0" w:firstRowFirstColumn="0" w:firstRowLastColumn="0" w:lastRowFirstColumn="0" w:lastRowLastColumn="0"/>
            </w:pPr>
            <w:r>
              <w:t>.005</w:t>
            </w:r>
          </w:p>
        </w:tc>
        <w:tc>
          <w:tcPr>
            <w:tcW w:w="713" w:type="pct"/>
            <w:tcBorders>
              <w:top w:val="single" w:sz="4" w:space="0" w:color="auto"/>
            </w:tcBorders>
          </w:tcPr>
          <w:p w14:paraId="64563C09" w14:textId="11B1E63B" w:rsidR="00A33670" w:rsidRPr="00A33670" w:rsidRDefault="007B1D89" w:rsidP="00CF2126">
            <w:pPr>
              <w:cnfStyle w:val="000000100000" w:firstRow="0" w:lastRow="0" w:firstColumn="0" w:lastColumn="0" w:oddVBand="0" w:evenVBand="0" w:oddHBand="1" w:evenHBand="0" w:firstRowFirstColumn="0" w:firstRowLastColumn="0" w:lastRowFirstColumn="0" w:lastRowLastColumn="0"/>
            </w:pPr>
            <w:r>
              <w:t>.364</w:t>
            </w:r>
          </w:p>
        </w:tc>
      </w:tr>
      <w:tr w:rsidR="00A33670" w:rsidRPr="00A33670" w14:paraId="55CDB486"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tcPr>
          <w:p w14:paraId="4A821298" w14:textId="77777777" w:rsidR="00A33670" w:rsidRPr="00A33670" w:rsidRDefault="00A33670" w:rsidP="001B00F5">
            <w:pPr>
              <w:spacing w:line="480" w:lineRule="auto"/>
              <w:rPr>
                <w:b w:val="0"/>
                <w:bCs w:val="0"/>
              </w:rPr>
            </w:pPr>
          </w:p>
        </w:tc>
        <w:tc>
          <w:tcPr>
            <w:tcW w:w="108" w:type="pct"/>
          </w:tcPr>
          <w:p w14:paraId="0D52E1C2" w14:textId="0B6690A2" w:rsidR="00A33670" w:rsidRPr="00A33670" w:rsidRDefault="00A33670" w:rsidP="001B00F5">
            <w:pPr>
              <w:cnfStyle w:val="000000000000" w:firstRow="0" w:lastRow="0" w:firstColumn="0" w:lastColumn="0" w:oddVBand="0" w:evenVBand="0" w:oddHBand="0" w:evenHBand="0" w:firstRowFirstColumn="0" w:firstRowLastColumn="0" w:lastRowFirstColumn="0" w:lastRowLastColumn="0"/>
            </w:pPr>
            <w:r>
              <w:t>-</w:t>
            </w:r>
          </w:p>
        </w:tc>
        <w:tc>
          <w:tcPr>
            <w:tcW w:w="1024" w:type="pct"/>
          </w:tcPr>
          <w:p w14:paraId="7B103060" w14:textId="421A5290" w:rsidR="00A33670" w:rsidRPr="00A33670" w:rsidRDefault="00A33670" w:rsidP="001B00F5">
            <w:pPr>
              <w:cnfStyle w:val="000000000000" w:firstRow="0" w:lastRow="0" w:firstColumn="0" w:lastColumn="0" w:oddVBand="0" w:evenVBand="0" w:oddHBand="0" w:evenHBand="0" w:firstRowFirstColumn="0" w:firstRowLastColumn="0" w:lastRowFirstColumn="0" w:lastRowLastColumn="0"/>
            </w:pPr>
            <w:r>
              <w:t>Right Frontal</w:t>
            </w:r>
          </w:p>
        </w:tc>
        <w:tc>
          <w:tcPr>
            <w:tcW w:w="713" w:type="pct"/>
          </w:tcPr>
          <w:p w14:paraId="371CC6F1" w14:textId="03E459D5" w:rsidR="00A33670" w:rsidRPr="00A33670" w:rsidRDefault="00A33670" w:rsidP="001B00F5">
            <w:pPr>
              <w:cnfStyle w:val="000000000000" w:firstRow="0" w:lastRow="0" w:firstColumn="0" w:lastColumn="0" w:oddVBand="0" w:evenVBand="0" w:oddHBand="0" w:evenHBand="0" w:firstRowFirstColumn="0" w:firstRowLastColumn="0" w:lastRowFirstColumn="0" w:lastRowLastColumn="0"/>
            </w:pPr>
            <w:r>
              <w:t>-.15</w:t>
            </w:r>
          </w:p>
        </w:tc>
        <w:tc>
          <w:tcPr>
            <w:tcW w:w="713" w:type="pct"/>
          </w:tcPr>
          <w:p w14:paraId="6608CCF6" w14:textId="3689E994" w:rsidR="00A33670" w:rsidRPr="00A33670" w:rsidRDefault="00443DC0" w:rsidP="001B00F5">
            <w:pPr>
              <w:cnfStyle w:val="000000000000" w:firstRow="0" w:lastRow="0" w:firstColumn="0" w:lastColumn="0" w:oddVBand="0" w:evenVBand="0" w:oddHBand="0" w:evenHBand="0" w:firstRowFirstColumn="0" w:firstRowLastColumn="0" w:lastRowFirstColumn="0" w:lastRowLastColumn="0"/>
            </w:pPr>
            <w:r>
              <w:t>0.12</w:t>
            </w:r>
          </w:p>
        </w:tc>
        <w:tc>
          <w:tcPr>
            <w:tcW w:w="713" w:type="pct"/>
          </w:tcPr>
          <w:p w14:paraId="7AABE928" w14:textId="3A9F0E01" w:rsidR="00A33670" w:rsidRPr="00A33670" w:rsidRDefault="007B1D89" w:rsidP="001B00F5">
            <w:pPr>
              <w:cnfStyle w:val="000000000000" w:firstRow="0" w:lastRow="0" w:firstColumn="0" w:lastColumn="0" w:oddVBand="0" w:evenVBand="0" w:oddHBand="0" w:evenHBand="0" w:firstRowFirstColumn="0" w:firstRowLastColumn="0" w:lastRowFirstColumn="0" w:lastRowLastColumn="0"/>
            </w:pPr>
            <w:r>
              <w:t>.003</w:t>
            </w:r>
          </w:p>
        </w:tc>
        <w:tc>
          <w:tcPr>
            <w:tcW w:w="713" w:type="pct"/>
          </w:tcPr>
          <w:p w14:paraId="301CA409" w14:textId="31D9F5A7" w:rsidR="00A33670" w:rsidRPr="00A33670" w:rsidRDefault="007B1D89" w:rsidP="001B00F5">
            <w:pPr>
              <w:cnfStyle w:val="000000000000" w:firstRow="0" w:lastRow="0" w:firstColumn="0" w:lastColumn="0" w:oddVBand="0" w:evenVBand="0" w:oddHBand="0" w:evenHBand="0" w:firstRowFirstColumn="0" w:firstRowLastColumn="0" w:lastRowFirstColumn="0" w:lastRowLastColumn="0"/>
            </w:pPr>
            <w:r>
              <w:t>.285</w:t>
            </w:r>
          </w:p>
        </w:tc>
      </w:tr>
      <w:tr w:rsidR="00A33670" w:rsidRPr="00A33670" w14:paraId="18B9119F"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Pr>
          <w:p w14:paraId="40C6E71A" w14:textId="6802A4BD" w:rsidR="00A33670" w:rsidRPr="00A33670" w:rsidRDefault="00A33670" w:rsidP="00694306">
            <w:pPr>
              <w:spacing w:line="480" w:lineRule="auto"/>
              <w:rPr>
                <w:b w:val="0"/>
                <w:bCs w:val="0"/>
              </w:rPr>
            </w:pPr>
          </w:p>
        </w:tc>
        <w:tc>
          <w:tcPr>
            <w:tcW w:w="108" w:type="pct"/>
          </w:tcPr>
          <w:p w14:paraId="34F0781A" w14:textId="78C73E7C" w:rsidR="00A33670" w:rsidRPr="00A33670" w:rsidRDefault="00A33670" w:rsidP="00694306">
            <w:pPr>
              <w:cnfStyle w:val="000000100000" w:firstRow="0" w:lastRow="0" w:firstColumn="0" w:lastColumn="0" w:oddVBand="0" w:evenVBand="0" w:oddHBand="1" w:evenHBand="0" w:firstRowFirstColumn="0" w:firstRowLastColumn="0" w:lastRowFirstColumn="0" w:lastRowLastColumn="0"/>
            </w:pPr>
            <w:r>
              <w:t>-</w:t>
            </w:r>
          </w:p>
        </w:tc>
        <w:tc>
          <w:tcPr>
            <w:tcW w:w="1024" w:type="pct"/>
          </w:tcPr>
          <w:p w14:paraId="1A680B91" w14:textId="6D11FDB6" w:rsidR="00A33670" w:rsidRPr="00A33670" w:rsidRDefault="00A33670" w:rsidP="00694306">
            <w:pPr>
              <w:cnfStyle w:val="000000100000" w:firstRow="0" w:lastRow="0" w:firstColumn="0" w:lastColumn="0" w:oddVBand="0" w:evenVBand="0" w:oddHBand="1" w:evenHBand="0" w:firstRowFirstColumn="0" w:firstRowLastColumn="0" w:lastRowFirstColumn="0" w:lastRowLastColumn="0"/>
            </w:pPr>
            <w:r>
              <w:t xml:space="preserve">Left Centroparietal </w:t>
            </w:r>
          </w:p>
        </w:tc>
        <w:tc>
          <w:tcPr>
            <w:tcW w:w="713" w:type="pct"/>
          </w:tcPr>
          <w:p w14:paraId="299CB214" w14:textId="2FF93C2A" w:rsidR="00A33670" w:rsidRPr="00A33670" w:rsidRDefault="00A33670" w:rsidP="00CF2126">
            <w:pPr>
              <w:cnfStyle w:val="000000100000" w:firstRow="0" w:lastRow="0" w:firstColumn="0" w:lastColumn="0" w:oddVBand="0" w:evenVBand="0" w:oddHBand="1" w:evenHBand="0" w:firstRowFirstColumn="0" w:firstRowLastColumn="0" w:lastRowFirstColumn="0" w:lastRowLastColumn="0"/>
            </w:pPr>
            <w:r>
              <w:t>.29</w:t>
            </w:r>
          </w:p>
        </w:tc>
        <w:tc>
          <w:tcPr>
            <w:tcW w:w="713" w:type="pct"/>
          </w:tcPr>
          <w:p w14:paraId="7B6876BD" w14:textId="093A3680" w:rsidR="00A33670" w:rsidRPr="00A33670" w:rsidRDefault="00443DC0" w:rsidP="00CF2126">
            <w:pPr>
              <w:cnfStyle w:val="000000100000" w:firstRow="0" w:lastRow="0" w:firstColumn="0" w:lastColumn="0" w:oddVBand="0" w:evenVBand="0" w:oddHBand="1" w:evenHBand="0" w:firstRowFirstColumn="0" w:firstRowLastColumn="0" w:lastRowFirstColumn="0" w:lastRowLastColumn="0"/>
            </w:pPr>
            <w:r>
              <w:t>1.54</w:t>
            </w:r>
          </w:p>
        </w:tc>
        <w:tc>
          <w:tcPr>
            <w:tcW w:w="713" w:type="pct"/>
          </w:tcPr>
          <w:p w14:paraId="71A029D1" w14:textId="02E90666" w:rsidR="00A33670" w:rsidRPr="00A33670" w:rsidRDefault="007B1D89" w:rsidP="00CF2126">
            <w:pPr>
              <w:cnfStyle w:val="000000100000" w:firstRow="0" w:lastRow="0" w:firstColumn="0" w:lastColumn="0" w:oddVBand="0" w:evenVBand="0" w:oddHBand="1" w:evenHBand="0" w:firstRowFirstColumn="0" w:firstRowLastColumn="0" w:lastRowFirstColumn="0" w:lastRowLastColumn="0"/>
            </w:pPr>
            <w:r>
              <w:t>.032</w:t>
            </w:r>
          </w:p>
        </w:tc>
        <w:tc>
          <w:tcPr>
            <w:tcW w:w="713" w:type="pct"/>
          </w:tcPr>
          <w:p w14:paraId="28712C31" w14:textId="613B0FCC" w:rsidR="00A33670" w:rsidRPr="00A33670" w:rsidRDefault="007B1D89" w:rsidP="00CF2126">
            <w:pPr>
              <w:cnfStyle w:val="000000100000" w:firstRow="0" w:lastRow="0" w:firstColumn="0" w:lastColumn="0" w:oddVBand="0" w:evenVBand="0" w:oddHBand="1" w:evenHBand="0" w:firstRowFirstColumn="0" w:firstRowLastColumn="0" w:lastRowFirstColumn="0" w:lastRowLastColumn="0"/>
            </w:pPr>
            <w:r>
              <w:t>.552</w:t>
            </w:r>
          </w:p>
        </w:tc>
      </w:tr>
      <w:tr w:rsidR="00A33670" w:rsidRPr="00A33670" w14:paraId="0F0E1208"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shd w:val="clear" w:color="auto" w:fill="auto"/>
          </w:tcPr>
          <w:p w14:paraId="0561CBFC" w14:textId="77777777" w:rsidR="00A33670" w:rsidRPr="00A33670" w:rsidRDefault="00A33670" w:rsidP="00694306">
            <w:pPr>
              <w:spacing w:line="480" w:lineRule="auto"/>
              <w:rPr>
                <w:b w:val="0"/>
                <w:bCs w:val="0"/>
              </w:rPr>
            </w:pPr>
          </w:p>
        </w:tc>
        <w:tc>
          <w:tcPr>
            <w:tcW w:w="108" w:type="pct"/>
          </w:tcPr>
          <w:p w14:paraId="0D692325" w14:textId="0EB51EA0" w:rsidR="00A33670" w:rsidRPr="00A33670" w:rsidRDefault="00A33670" w:rsidP="00694306">
            <w:pPr>
              <w:cnfStyle w:val="000000000000" w:firstRow="0" w:lastRow="0" w:firstColumn="0" w:lastColumn="0" w:oddVBand="0" w:evenVBand="0" w:oddHBand="0" w:evenHBand="0" w:firstRowFirstColumn="0" w:firstRowLastColumn="0" w:lastRowFirstColumn="0" w:lastRowLastColumn="0"/>
            </w:pPr>
            <w:r>
              <w:t>-</w:t>
            </w:r>
          </w:p>
        </w:tc>
        <w:tc>
          <w:tcPr>
            <w:tcW w:w="1024" w:type="pct"/>
          </w:tcPr>
          <w:p w14:paraId="13DB35A7" w14:textId="6BE8E202" w:rsidR="00A33670" w:rsidRPr="00A33670" w:rsidRDefault="00A33670" w:rsidP="00694306">
            <w:pPr>
              <w:cnfStyle w:val="000000000000" w:firstRow="0" w:lastRow="0" w:firstColumn="0" w:lastColumn="0" w:oddVBand="0" w:evenVBand="0" w:oddHBand="0" w:evenHBand="0" w:firstRowFirstColumn="0" w:firstRowLastColumn="0" w:lastRowFirstColumn="0" w:lastRowLastColumn="0"/>
            </w:pPr>
            <w:r>
              <w:t>Right Centroparietal</w:t>
            </w:r>
          </w:p>
        </w:tc>
        <w:tc>
          <w:tcPr>
            <w:tcW w:w="713" w:type="pct"/>
          </w:tcPr>
          <w:p w14:paraId="5BA5F67F" w14:textId="040EA82B" w:rsidR="00A33670" w:rsidRPr="00A33670" w:rsidRDefault="00A33670" w:rsidP="00694306">
            <w:pPr>
              <w:cnfStyle w:val="000000000000" w:firstRow="0" w:lastRow="0" w:firstColumn="0" w:lastColumn="0" w:oddVBand="0" w:evenVBand="0" w:oddHBand="0" w:evenHBand="0" w:firstRowFirstColumn="0" w:firstRowLastColumn="0" w:lastRowFirstColumn="0" w:lastRowLastColumn="0"/>
            </w:pPr>
            <w:r>
              <w:t>.07</w:t>
            </w:r>
          </w:p>
        </w:tc>
        <w:tc>
          <w:tcPr>
            <w:tcW w:w="713" w:type="pct"/>
          </w:tcPr>
          <w:p w14:paraId="08EE5423" w14:textId="286B0EBB" w:rsidR="00A33670" w:rsidRPr="00A33670" w:rsidRDefault="00443DC0" w:rsidP="00694306">
            <w:pPr>
              <w:cnfStyle w:val="000000000000" w:firstRow="0" w:lastRow="0" w:firstColumn="0" w:lastColumn="0" w:oddVBand="0" w:evenVBand="0" w:oddHBand="0" w:evenHBand="0" w:firstRowFirstColumn="0" w:firstRowLastColumn="0" w:lastRowFirstColumn="0" w:lastRowLastColumn="0"/>
            </w:pPr>
            <w:r>
              <w:t>0.29</w:t>
            </w:r>
          </w:p>
        </w:tc>
        <w:tc>
          <w:tcPr>
            <w:tcW w:w="713" w:type="pct"/>
          </w:tcPr>
          <w:p w14:paraId="3A1E68B4" w14:textId="40A715DA" w:rsidR="00A33670" w:rsidRPr="00A33670" w:rsidRDefault="007B1D89" w:rsidP="00694306">
            <w:pPr>
              <w:cnfStyle w:val="000000000000" w:firstRow="0" w:lastRow="0" w:firstColumn="0" w:lastColumn="0" w:oddVBand="0" w:evenVBand="0" w:oddHBand="0" w:evenHBand="0" w:firstRowFirstColumn="0" w:firstRowLastColumn="0" w:lastRowFirstColumn="0" w:lastRowLastColumn="0"/>
            </w:pPr>
            <w:r>
              <w:t>.007</w:t>
            </w:r>
          </w:p>
        </w:tc>
        <w:tc>
          <w:tcPr>
            <w:tcW w:w="713" w:type="pct"/>
          </w:tcPr>
          <w:p w14:paraId="3BA39EC0" w14:textId="01A2E515" w:rsidR="00A33670" w:rsidRPr="00A33670" w:rsidRDefault="007B1D89" w:rsidP="00694306">
            <w:pPr>
              <w:cnfStyle w:val="000000000000" w:firstRow="0" w:lastRow="0" w:firstColumn="0" w:lastColumn="0" w:oddVBand="0" w:evenVBand="0" w:oddHBand="0" w:evenHBand="0" w:firstRowFirstColumn="0" w:firstRowLastColumn="0" w:lastRowFirstColumn="0" w:lastRowLastColumn="0"/>
            </w:pPr>
            <w:r>
              <w:t>.403</w:t>
            </w:r>
          </w:p>
        </w:tc>
      </w:tr>
      <w:tr w:rsidR="001E5457" w:rsidRPr="00A33670" w14:paraId="20E3E35E"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Pr>
          <w:p w14:paraId="0EE5AE9F" w14:textId="204F3854" w:rsidR="001E5457" w:rsidRPr="00A33670" w:rsidRDefault="001E5457" w:rsidP="001E5457">
            <w:pPr>
              <w:spacing w:line="480" w:lineRule="auto"/>
              <w:rPr>
                <w:b w:val="0"/>
                <w:bCs w:val="0"/>
              </w:rPr>
            </w:pPr>
            <w:r>
              <w:rPr>
                <w:b w:val="0"/>
                <w:bCs w:val="0"/>
              </w:rPr>
              <w:t>Functionality appreciation</w:t>
            </w:r>
          </w:p>
        </w:tc>
        <w:tc>
          <w:tcPr>
            <w:tcW w:w="108" w:type="pct"/>
          </w:tcPr>
          <w:p w14:paraId="69008EB2" w14:textId="5564921A"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w:t>
            </w:r>
          </w:p>
        </w:tc>
        <w:tc>
          <w:tcPr>
            <w:tcW w:w="1024" w:type="pct"/>
          </w:tcPr>
          <w:p w14:paraId="3D1CF5CE" w14:textId="6F10804C"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Left Frontal</w:t>
            </w:r>
          </w:p>
        </w:tc>
        <w:tc>
          <w:tcPr>
            <w:tcW w:w="713" w:type="pct"/>
          </w:tcPr>
          <w:p w14:paraId="1C68C389" w14:textId="25BAFA38"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.05</w:t>
            </w:r>
          </w:p>
        </w:tc>
        <w:tc>
          <w:tcPr>
            <w:tcW w:w="713" w:type="pct"/>
          </w:tcPr>
          <w:p w14:paraId="7A2213F7" w14:textId="5370A1AF"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0.27</w:t>
            </w:r>
          </w:p>
        </w:tc>
        <w:tc>
          <w:tcPr>
            <w:tcW w:w="713" w:type="pct"/>
          </w:tcPr>
          <w:p w14:paraId="0864E996" w14:textId="64FE18C6"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.007</w:t>
            </w:r>
          </w:p>
        </w:tc>
        <w:tc>
          <w:tcPr>
            <w:tcW w:w="713" w:type="pct"/>
          </w:tcPr>
          <w:p w14:paraId="2261E6E7" w14:textId="7FE4A535"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.396</w:t>
            </w:r>
          </w:p>
        </w:tc>
      </w:tr>
      <w:tr w:rsidR="001E5457" w:rsidRPr="00A33670" w14:paraId="4B22C07A"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tcPr>
          <w:p w14:paraId="5310BC76" w14:textId="77777777" w:rsidR="001E5457" w:rsidRPr="00A33670" w:rsidRDefault="001E5457" w:rsidP="001E5457">
            <w:pPr>
              <w:spacing w:line="480" w:lineRule="auto"/>
              <w:rPr>
                <w:b w:val="0"/>
                <w:bCs w:val="0"/>
              </w:rPr>
            </w:pPr>
          </w:p>
        </w:tc>
        <w:tc>
          <w:tcPr>
            <w:tcW w:w="108" w:type="pct"/>
          </w:tcPr>
          <w:p w14:paraId="279059E4" w14:textId="0E45CF35"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w:t>
            </w:r>
          </w:p>
        </w:tc>
        <w:tc>
          <w:tcPr>
            <w:tcW w:w="1024" w:type="pct"/>
          </w:tcPr>
          <w:p w14:paraId="441AE198" w14:textId="719C31FF"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Right Frontal</w:t>
            </w:r>
          </w:p>
        </w:tc>
        <w:tc>
          <w:tcPr>
            <w:tcW w:w="713" w:type="pct"/>
          </w:tcPr>
          <w:p w14:paraId="564D5F2E" w14:textId="0AAF007D"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.08</w:t>
            </w:r>
          </w:p>
        </w:tc>
        <w:tc>
          <w:tcPr>
            <w:tcW w:w="713" w:type="pct"/>
          </w:tcPr>
          <w:p w14:paraId="7149552E" w14:textId="6947558F"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0.31</w:t>
            </w:r>
          </w:p>
        </w:tc>
        <w:tc>
          <w:tcPr>
            <w:tcW w:w="713" w:type="pct"/>
          </w:tcPr>
          <w:p w14:paraId="2555AE03" w14:textId="030946D7"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.008</w:t>
            </w:r>
          </w:p>
        </w:tc>
        <w:tc>
          <w:tcPr>
            <w:tcW w:w="713" w:type="pct"/>
          </w:tcPr>
          <w:p w14:paraId="63017CEF" w14:textId="202D2B58"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.412</w:t>
            </w:r>
          </w:p>
        </w:tc>
      </w:tr>
      <w:tr w:rsidR="001E5457" w:rsidRPr="00A33670" w14:paraId="382161C4"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Pr>
          <w:p w14:paraId="0E5AB14C" w14:textId="39C53B0A" w:rsidR="001E5457" w:rsidRPr="00A33670" w:rsidRDefault="001E5457" w:rsidP="001E5457">
            <w:pPr>
              <w:spacing w:line="480" w:lineRule="auto"/>
              <w:rPr>
                <w:b w:val="0"/>
                <w:bCs w:val="0"/>
              </w:rPr>
            </w:pPr>
          </w:p>
        </w:tc>
        <w:tc>
          <w:tcPr>
            <w:tcW w:w="108" w:type="pct"/>
          </w:tcPr>
          <w:p w14:paraId="7E81CAEE" w14:textId="272ADCFA"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w:t>
            </w:r>
          </w:p>
        </w:tc>
        <w:tc>
          <w:tcPr>
            <w:tcW w:w="1024" w:type="pct"/>
          </w:tcPr>
          <w:p w14:paraId="27C43E4E" w14:textId="29534429"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 xml:space="preserve">Left Centroparietal </w:t>
            </w:r>
          </w:p>
        </w:tc>
        <w:tc>
          <w:tcPr>
            <w:tcW w:w="713" w:type="pct"/>
          </w:tcPr>
          <w:p w14:paraId="4850789E" w14:textId="352DA9B9"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.11</w:t>
            </w:r>
          </w:p>
        </w:tc>
        <w:tc>
          <w:tcPr>
            <w:tcW w:w="713" w:type="pct"/>
          </w:tcPr>
          <w:p w14:paraId="52300E3A" w14:textId="126276EC"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0.38</w:t>
            </w:r>
          </w:p>
        </w:tc>
        <w:tc>
          <w:tcPr>
            <w:tcW w:w="713" w:type="pct"/>
          </w:tcPr>
          <w:p w14:paraId="189EB631" w14:textId="15EF5098"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.009</w:t>
            </w:r>
          </w:p>
        </w:tc>
        <w:tc>
          <w:tcPr>
            <w:tcW w:w="713" w:type="pct"/>
          </w:tcPr>
          <w:p w14:paraId="1BC03797" w14:textId="24A9C667"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.434</w:t>
            </w:r>
          </w:p>
        </w:tc>
      </w:tr>
      <w:tr w:rsidR="001E5457" w:rsidRPr="00A33670" w14:paraId="4C2F817F"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tcPr>
          <w:p w14:paraId="357F2C39" w14:textId="77777777" w:rsidR="001E5457" w:rsidRPr="00A33670" w:rsidRDefault="001E5457" w:rsidP="001E5457">
            <w:pPr>
              <w:spacing w:line="480" w:lineRule="auto"/>
            </w:pPr>
          </w:p>
        </w:tc>
        <w:tc>
          <w:tcPr>
            <w:tcW w:w="108" w:type="pct"/>
          </w:tcPr>
          <w:p w14:paraId="0DCC8D88" w14:textId="326C298E"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w:t>
            </w:r>
          </w:p>
        </w:tc>
        <w:tc>
          <w:tcPr>
            <w:tcW w:w="1024" w:type="pct"/>
          </w:tcPr>
          <w:p w14:paraId="6AD05827" w14:textId="6A8E4582"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Right Centroparietal</w:t>
            </w:r>
          </w:p>
        </w:tc>
        <w:tc>
          <w:tcPr>
            <w:tcW w:w="713" w:type="pct"/>
          </w:tcPr>
          <w:p w14:paraId="55D2BB04" w14:textId="17505921"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-.06</w:t>
            </w:r>
          </w:p>
        </w:tc>
        <w:tc>
          <w:tcPr>
            <w:tcW w:w="713" w:type="pct"/>
          </w:tcPr>
          <w:p w14:paraId="105D6332" w14:textId="2E6E6233"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0.17</w:t>
            </w:r>
          </w:p>
        </w:tc>
        <w:tc>
          <w:tcPr>
            <w:tcW w:w="713" w:type="pct"/>
          </w:tcPr>
          <w:p w14:paraId="69B3275D" w14:textId="18F38A53"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.004</w:t>
            </w:r>
          </w:p>
        </w:tc>
        <w:tc>
          <w:tcPr>
            <w:tcW w:w="713" w:type="pct"/>
          </w:tcPr>
          <w:p w14:paraId="18FA0F74" w14:textId="67C5A723"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.331</w:t>
            </w:r>
          </w:p>
        </w:tc>
      </w:tr>
      <w:tr w:rsidR="001E5457" w:rsidRPr="00A33670" w14:paraId="3E6F2F55"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Pr>
          <w:p w14:paraId="3D109548" w14:textId="7318BC85" w:rsidR="001E5457" w:rsidRPr="00A33670" w:rsidRDefault="001E5457" w:rsidP="001E5457">
            <w:pPr>
              <w:spacing w:line="480" w:lineRule="auto"/>
              <w:rPr>
                <w:b w:val="0"/>
                <w:bCs w:val="0"/>
              </w:rPr>
            </w:pPr>
            <w:r w:rsidRPr="00A33670">
              <w:rPr>
                <w:b w:val="0"/>
                <w:bCs w:val="0"/>
              </w:rPr>
              <w:t>Body shame</w:t>
            </w:r>
          </w:p>
        </w:tc>
        <w:tc>
          <w:tcPr>
            <w:tcW w:w="108" w:type="pct"/>
          </w:tcPr>
          <w:p w14:paraId="403BB2B7" w14:textId="21AFFFF6"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rsidRPr="00A33670">
              <w:t>-</w:t>
            </w:r>
          </w:p>
        </w:tc>
        <w:tc>
          <w:tcPr>
            <w:tcW w:w="1024" w:type="pct"/>
          </w:tcPr>
          <w:p w14:paraId="4D43DBDD" w14:textId="14AF5D2B"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Left Frontal</w:t>
            </w:r>
          </w:p>
        </w:tc>
        <w:tc>
          <w:tcPr>
            <w:tcW w:w="713" w:type="pct"/>
          </w:tcPr>
          <w:p w14:paraId="3F568EC4" w14:textId="0E6232D2"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-.28</w:t>
            </w:r>
          </w:p>
        </w:tc>
        <w:tc>
          <w:tcPr>
            <w:tcW w:w="713" w:type="pct"/>
          </w:tcPr>
          <w:p w14:paraId="76AFDB1A" w14:textId="05551893"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1.38</w:t>
            </w:r>
          </w:p>
        </w:tc>
        <w:tc>
          <w:tcPr>
            <w:tcW w:w="713" w:type="pct"/>
          </w:tcPr>
          <w:p w14:paraId="537575D8" w14:textId="520E57FC"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-.544</w:t>
            </w:r>
          </w:p>
        </w:tc>
        <w:tc>
          <w:tcPr>
            <w:tcW w:w="713" w:type="pct"/>
          </w:tcPr>
          <w:p w14:paraId="5C36D3FB" w14:textId="3AF86EF6" w:rsidR="001E5457" w:rsidRPr="00A33670" w:rsidRDefault="00895647" w:rsidP="001E5457">
            <w:pPr>
              <w:cnfStyle w:val="000000100000" w:firstRow="0" w:lastRow="0" w:firstColumn="0" w:lastColumn="0" w:oddVBand="0" w:evenVBand="0" w:oddHBand="1" w:evenHBand="0" w:firstRowFirstColumn="0" w:firstRowLastColumn="0" w:lastRowFirstColumn="0" w:lastRowLastColumn="0"/>
            </w:pPr>
            <w:r>
              <w:t>-.030</w:t>
            </w:r>
          </w:p>
        </w:tc>
      </w:tr>
      <w:tr w:rsidR="001E5457" w:rsidRPr="00A33670" w14:paraId="5BD58CAA"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tcPr>
          <w:p w14:paraId="192B1193" w14:textId="77777777" w:rsidR="001E5457" w:rsidRPr="00A33670" w:rsidRDefault="001E5457" w:rsidP="001E5457">
            <w:pPr>
              <w:spacing w:line="480" w:lineRule="auto"/>
              <w:rPr>
                <w:b w:val="0"/>
                <w:bCs w:val="0"/>
              </w:rPr>
            </w:pPr>
          </w:p>
        </w:tc>
        <w:tc>
          <w:tcPr>
            <w:tcW w:w="108" w:type="pct"/>
          </w:tcPr>
          <w:p w14:paraId="244DEF5F" w14:textId="77FB3650"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rsidRPr="00A33670">
              <w:t>-</w:t>
            </w:r>
          </w:p>
        </w:tc>
        <w:tc>
          <w:tcPr>
            <w:tcW w:w="1024" w:type="pct"/>
          </w:tcPr>
          <w:p w14:paraId="5CE4E77A" w14:textId="606BEBCC"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Right Frontal</w:t>
            </w:r>
          </w:p>
        </w:tc>
        <w:tc>
          <w:tcPr>
            <w:tcW w:w="713" w:type="pct"/>
          </w:tcPr>
          <w:p w14:paraId="54911699" w14:textId="4CD5FE79"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-.25</w:t>
            </w:r>
          </w:p>
        </w:tc>
        <w:tc>
          <w:tcPr>
            <w:tcW w:w="713" w:type="pct"/>
          </w:tcPr>
          <w:p w14:paraId="5D1CDF45" w14:textId="4570FB86"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1.10</w:t>
            </w:r>
          </w:p>
        </w:tc>
        <w:tc>
          <w:tcPr>
            <w:tcW w:w="713" w:type="pct"/>
          </w:tcPr>
          <w:p w14:paraId="37AE454A" w14:textId="2E96216D"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w:t>
            </w:r>
            <w:r w:rsidR="00895647">
              <w:t>.</w:t>
            </w:r>
            <w:r>
              <w:t>528</w:t>
            </w:r>
          </w:p>
        </w:tc>
        <w:tc>
          <w:tcPr>
            <w:tcW w:w="713" w:type="pct"/>
          </w:tcPr>
          <w:p w14:paraId="33A4FEF3" w14:textId="6206D3CE" w:rsidR="001E5457" w:rsidRPr="00A33670" w:rsidRDefault="00895647" w:rsidP="001E5457">
            <w:pPr>
              <w:cnfStyle w:val="000000000000" w:firstRow="0" w:lastRow="0" w:firstColumn="0" w:lastColumn="0" w:oddVBand="0" w:evenVBand="0" w:oddHBand="0" w:evenHBand="0" w:firstRowFirstColumn="0" w:firstRowLastColumn="0" w:lastRowFirstColumn="0" w:lastRowLastColumn="0"/>
            </w:pPr>
            <w:r>
              <w:t>-.024</w:t>
            </w:r>
          </w:p>
        </w:tc>
      </w:tr>
      <w:tr w:rsidR="001E5457" w:rsidRPr="00A33670" w14:paraId="51D27374"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Pr>
          <w:p w14:paraId="3EA4766B" w14:textId="77777777" w:rsidR="001E5457" w:rsidRPr="00A33670" w:rsidRDefault="001E5457" w:rsidP="001E5457">
            <w:pPr>
              <w:spacing w:line="480" w:lineRule="auto"/>
              <w:rPr>
                <w:b w:val="0"/>
                <w:bCs w:val="0"/>
              </w:rPr>
            </w:pPr>
          </w:p>
        </w:tc>
        <w:tc>
          <w:tcPr>
            <w:tcW w:w="108" w:type="pct"/>
          </w:tcPr>
          <w:p w14:paraId="465FBD7D" w14:textId="7B5F92DF"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rsidRPr="00A33670">
              <w:t>-</w:t>
            </w:r>
          </w:p>
        </w:tc>
        <w:tc>
          <w:tcPr>
            <w:tcW w:w="1024" w:type="pct"/>
          </w:tcPr>
          <w:p w14:paraId="61F53D59" w14:textId="2319322F"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 xml:space="preserve">Left Centroparietal </w:t>
            </w:r>
          </w:p>
        </w:tc>
        <w:tc>
          <w:tcPr>
            <w:tcW w:w="713" w:type="pct"/>
          </w:tcPr>
          <w:p w14:paraId="183F707A" w14:textId="64D49DFE"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-.43</w:t>
            </w:r>
            <w:r w:rsidR="00E86A29">
              <w:t>*</w:t>
            </w:r>
          </w:p>
        </w:tc>
        <w:tc>
          <w:tcPr>
            <w:tcW w:w="713" w:type="pct"/>
          </w:tcPr>
          <w:p w14:paraId="54CAB66F" w14:textId="25A40C6E"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10.60</w:t>
            </w:r>
          </w:p>
        </w:tc>
        <w:tc>
          <w:tcPr>
            <w:tcW w:w="713" w:type="pct"/>
          </w:tcPr>
          <w:p w14:paraId="7FC5B06A" w14:textId="508D0B9E"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-.653</w:t>
            </w:r>
          </w:p>
        </w:tc>
        <w:tc>
          <w:tcPr>
            <w:tcW w:w="713" w:type="pct"/>
          </w:tcPr>
          <w:p w14:paraId="5E0DC885" w14:textId="7F650892" w:rsidR="001E5457" w:rsidRPr="00A33670" w:rsidRDefault="00895647" w:rsidP="001E5457">
            <w:pPr>
              <w:cnfStyle w:val="000000100000" w:firstRow="0" w:lastRow="0" w:firstColumn="0" w:lastColumn="0" w:oddVBand="0" w:evenVBand="0" w:oddHBand="1" w:evenHBand="0" w:firstRowFirstColumn="0" w:firstRowLastColumn="0" w:lastRowFirstColumn="0" w:lastRowLastColumn="0"/>
            </w:pPr>
            <w:r>
              <w:t>-.117</w:t>
            </w:r>
          </w:p>
        </w:tc>
      </w:tr>
      <w:tr w:rsidR="001E5457" w:rsidRPr="00A33670" w14:paraId="5CB17895"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tcPr>
          <w:p w14:paraId="77E76CA1" w14:textId="77777777" w:rsidR="001E5457" w:rsidRPr="00A33670" w:rsidRDefault="001E5457" w:rsidP="001E5457">
            <w:pPr>
              <w:spacing w:line="480" w:lineRule="auto"/>
              <w:rPr>
                <w:b w:val="0"/>
                <w:bCs w:val="0"/>
              </w:rPr>
            </w:pPr>
          </w:p>
        </w:tc>
        <w:tc>
          <w:tcPr>
            <w:tcW w:w="108" w:type="pct"/>
          </w:tcPr>
          <w:p w14:paraId="043F46E4" w14:textId="1C925FF0"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rsidRPr="00A33670">
              <w:t>-</w:t>
            </w:r>
          </w:p>
        </w:tc>
        <w:tc>
          <w:tcPr>
            <w:tcW w:w="1024" w:type="pct"/>
          </w:tcPr>
          <w:p w14:paraId="0A8F499C" w14:textId="576D8CCC"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Right Centroparietal</w:t>
            </w:r>
          </w:p>
        </w:tc>
        <w:tc>
          <w:tcPr>
            <w:tcW w:w="713" w:type="pct"/>
          </w:tcPr>
          <w:p w14:paraId="3607A2AA" w14:textId="5AC183DC"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-.16</w:t>
            </w:r>
          </w:p>
        </w:tc>
        <w:tc>
          <w:tcPr>
            <w:tcW w:w="713" w:type="pct"/>
          </w:tcPr>
          <w:p w14:paraId="5DF8280D" w14:textId="5796DE1D"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0.51</w:t>
            </w:r>
          </w:p>
        </w:tc>
        <w:tc>
          <w:tcPr>
            <w:tcW w:w="713" w:type="pct"/>
          </w:tcPr>
          <w:p w14:paraId="142561D4" w14:textId="4E038F01" w:rsidR="001E5457" w:rsidRPr="00A33670" w:rsidRDefault="00895647" w:rsidP="001E5457">
            <w:pPr>
              <w:cnfStyle w:val="000000000000" w:firstRow="0" w:lastRow="0" w:firstColumn="0" w:lastColumn="0" w:oddVBand="0" w:evenVBand="0" w:oddHBand="0" w:evenHBand="0" w:firstRowFirstColumn="0" w:firstRowLastColumn="0" w:lastRowFirstColumn="0" w:lastRowLastColumn="0"/>
            </w:pPr>
            <w:r>
              <w:t>-.464</w:t>
            </w:r>
          </w:p>
        </w:tc>
        <w:tc>
          <w:tcPr>
            <w:tcW w:w="713" w:type="pct"/>
          </w:tcPr>
          <w:p w14:paraId="7926B317" w14:textId="06EE4F4E" w:rsidR="001E5457" w:rsidRPr="00A33670" w:rsidRDefault="00895647" w:rsidP="001E5457">
            <w:pPr>
              <w:cnfStyle w:val="000000000000" w:firstRow="0" w:lastRow="0" w:firstColumn="0" w:lastColumn="0" w:oddVBand="0" w:evenVBand="0" w:oddHBand="0" w:evenHBand="0" w:firstRowFirstColumn="0" w:firstRowLastColumn="0" w:lastRowFirstColumn="0" w:lastRowLastColumn="0"/>
            </w:pPr>
            <w:r>
              <w:t>-.012</w:t>
            </w:r>
          </w:p>
        </w:tc>
      </w:tr>
      <w:tr w:rsidR="001E5457" w:rsidRPr="00A33670" w14:paraId="7A661002"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Pr>
          <w:p w14:paraId="65578DD5" w14:textId="024D7056" w:rsidR="001E5457" w:rsidRPr="00A33670" w:rsidRDefault="001E5457" w:rsidP="001E5457">
            <w:pPr>
              <w:spacing w:line="480" w:lineRule="auto"/>
              <w:rPr>
                <w:b w:val="0"/>
                <w:bCs w:val="0"/>
              </w:rPr>
            </w:pPr>
            <w:r w:rsidRPr="00A33670">
              <w:rPr>
                <w:b w:val="0"/>
                <w:bCs w:val="0"/>
              </w:rPr>
              <w:t>Weight preoccupation</w:t>
            </w:r>
          </w:p>
        </w:tc>
        <w:tc>
          <w:tcPr>
            <w:tcW w:w="108" w:type="pct"/>
          </w:tcPr>
          <w:p w14:paraId="6AE900EA" w14:textId="36773575"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rsidRPr="00A33670">
              <w:t>-</w:t>
            </w:r>
          </w:p>
        </w:tc>
        <w:tc>
          <w:tcPr>
            <w:tcW w:w="1024" w:type="pct"/>
          </w:tcPr>
          <w:p w14:paraId="07D4F75D" w14:textId="329164BE"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Left Frontal</w:t>
            </w:r>
          </w:p>
        </w:tc>
        <w:tc>
          <w:tcPr>
            <w:tcW w:w="713" w:type="pct"/>
          </w:tcPr>
          <w:p w14:paraId="1022630F" w14:textId="3A21A2A7"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-.11</w:t>
            </w:r>
          </w:p>
        </w:tc>
        <w:tc>
          <w:tcPr>
            <w:tcW w:w="713" w:type="pct"/>
          </w:tcPr>
          <w:p w14:paraId="123EF9BD" w14:textId="7C15400E"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0.38</w:t>
            </w:r>
          </w:p>
        </w:tc>
        <w:tc>
          <w:tcPr>
            <w:tcW w:w="713" w:type="pct"/>
          </w:tcPr>
          <w:p w14:paraId="14FF7F7C" w14:textId="7991F4B3" w:rsidR="001E5457" w:rsidRPr="00A33670" w:rsidRDefault="00895647" w:rsidP="001E5457">
            <w:pPr>
              <w:cnfStyle w:val="000000100000" w:firstRow="0" w:lastRow="0" w:firstColumn="0" w:lastColumn="0" w:oddVBand="0" w:evenVBand="0" w:oddHBand="1" w:evenHBand="0" w:firstRowFirstColumn="0" w:firstRowLastColumn="0" w:lastRowFirstColumn="0" w:lastRowLastColumn="0"/>
            </w:pPr>
            <w:r>
              <w:t>-.434</w:t>
            </w:r>
          </w:p>
        </w:tc>
        <w:tc>
          <w:tcPr>
            <w:tcW w:w="713" w:type="pct"/>
          </w:tcPr>
          <w:p w14:paraId="28CA77E3" w14:textId="3F9D0C51" w:rsidR="001E5457" w:rsidRPr="00A33670" w:rsidRDefault="00895647" w:rsidP="001E5457">
            <w:pPr>
              <w:cnfStyle w:val="000000100000" w:firstRow="0" w:lastRow="0" w:firstColumn="0" w:lastColumn="0" w:oddVBand="0" w:evenVBand="0" w:oddHBand="1" w:evenHBand="0" w:firstRowFirstColumn="0" w:firstRowLastColumn="0" w:lastRowFirstColumn="0" w:lastRowLastColumn="0"/>
            </w:pPr>
            <w:r>
              <w:t>-.009</w:t>
            </w:r>
          </w:p>
        </w:tc>
      </w:tr>
      <w:tr w:rsidR="001E5457" w:rsidRPr="00A33670" w14:paraId="28528222"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tcPr>
          <w:p w14:paraId="74E2AFDB" w14:textId="77777777" w:rsidR="001E5457" w:rsidRPr="00A33670" w:rsidRDefault="001E5457" w:rsidP="001E5457">
            <w:pPr>
              <w:spacing w:line="480" w:lineRule="auto"/>
              <w:rPr>
                <w:b w:val="0"/>
                <w:bCs w:val="0"/>
              </w:rPr>
            </w:pPr>
          </w:p>
        </w:tc>
        <w:tc>
          <w:tcPr>
            <w:tcW w:w="108" w:type="pct"/>
          </w:tcPr>
          <w:p w14:paraId="37814EA8" w14:textId="164A96FC"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rsidRPr="00A33670">
              <w:t>-</w:t>
            </w:r>
          </w:p>
        </w:tc>
        <w:tc>
          <w:tcPr>
            <w:tcW w:w="1024" w:type="pct"/>
          </w:tcPr>
          <w:p w14:paraId="76B364A9" w14:textId="3FA37D20"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Right Frontal</w:t>
            </w:r>
          </w:p>
        </w:tc>
        <w:tc>
          <w:tcPr>
            <w:tcW w:w="713" w:type="pct"/>
          </w:tcPr>
          <w:p w14:paraId="5B299B3B" w14:textId="6B23C13F"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-.12</w:t>
            </w:r>
          </w:p>
        </w:tc>
        <w:tc>
          <w:tcPr>
            <w:tcW w:w="713" w:type="pct"/>
          </w:tcPr>
          <w:p w14:paraId="66351FBE" w14:textId="0138D107"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0.40</w:t>
            </w:r>
          </w:p>
        </w:tc>
        <w:tc>
          <w:tcPr>
            <w:tcW w:w="713" w:type="pct"/>
          </w:tcPr>
          <w:p w14:paraId="1F0F98C9" w14:textId="6F6560F9" w:rsidR="001E5457" w:rsidRPr="00A33670" w:rsidRDefault="00895647" w:rsidP="001E5457">
            <w:pPr>
              <w:cnfStyle w:val="000000000000" w:firstRow="0" w:lastRow="0" w:firstColumn="0" w:lastColumn="0" w:oddVBand="0" w:evenVBand="0" w:oddHBand="0" w:evenHBand="0" w:firstRowFirstColumn="0" w:firstRowLastColumn="0" w:lastRowFirstColumn="0" w:lastRowLastColumn="0"/>
            </w:pPr>
            <w:r>
              <w:t>-.439</w:t>
            </w:r>
          </w:p>
        </w:tc>
        <w:tc>
          <w:tcPr>
            <w:tcW w:w="713" w:type="pct"/>
          </w:tcPr>
          <w:p w14:paraId="34652BEA" w14:textId="18DF0A5B" w:rsidR="001E5457" w:rsidRPr="00A33670" w:rsidRDefault="00895647" w:rsidP="001E5457">
            <w:pPr>
              <w:cnfStyle w:val="000000000000" w:firstRow="0" w:lastRow="0" w:firstColumn="0" w:lastColumn="0" w:oddVBand="0" w:evenVBand="0" w:oddHBand="0" w:evenHBand="0" w:firstRowFirstColumn="0" w:firstRowLastColumn="0" w:lastRowFirstColumn="0" w:lastRowLastColumn="0"/>
            </w:pPr>
            <w:r>
              <w:t>-.010</w:t>
            </w:r>
          </w:p>
        </w:tc>
      </w:tr>
      <w:tr w:rsidR="001E5457" w:rsidRPr="00A33670" w14:paraId="5F959AC9" w14:textId="77777777" w:rsidTr="00A33670">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1015" w:type="pct"/>
          </w:tcPr>
          <w:p w14:paraId="4CFA5F4F" w14:textId="77777777" w:rsidR="001E5457" w:rsidRPr="00A33670" w:rsidRDefault="001E5457" w:rsidP="001E5457">
            <w:pPr>
              <w:spacing w:line="480" w:lineRule="auto"/>
              <w:rPr>
                <w:b w:val="0"/>
                <w:bCs w:val="0"/>
              </w:rPr>
            </w:pPr>
          </w:p>
        </w:tc>
        <w:tc>
          <w:tcPr>
            <w:tcW w:w="108" w:type="pct"/>
          </w:tcPr>
          <w:p w14:paraId="3C27387C" w14:textId="468EEDFB"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rsidRPr="00A33670">
              <w:t>-</w:t>
            </w:r>
          </w:p>
        </w:tc>
        <w:tc>
          <w:tcPr>
            <w:tcW w:w="1024" w:type="pct"/>
          </w:tcPr>
          <w:p w14:paraId="47AEBE45" w14:textId="7BF6A50C" w:rsidR="001E5457" w:rsidRPr="00A33670" w:rsidRDefault="001E5457" w:rsidP="001E5457">
            <w:pPr>
              <w:cnfStyle w:val="000000100000" w:firstRow="0" w:lastRow="0" w:firstColumn="0" w:lastColumn="0" w:oddVBand="0" w:evenVBand="0" w:oddHBand="1" w:evenHBand="0" w:firstRowFirstColumn="0" w:firstRowLastColumn="0" w:lastRowFirstColumn="0" w:lastRowLastColumn="0"/>
            </w:pPr>
            <w:r>
              <w:t xml:space="preserve">Left Centroparietal </w:t>
            </w:r>
          </w:p>
        </w:tc>
        <w:tc>
          <w:tcPr>
            <w:tcW w:w="713" w:type="pct"/>
          </w:tcPr>
          <w:p w14:paraId="15C63303" w14:textId="4BBE08D7" w:rsidR="001E5457" w:rsidRPr="00A33670" w:rsidRDefault="00443DC0" w:rsidP="001E5457">
            <w:pPr>
              <w:cnfStyle w:val="000000100000" w:firstRow="0" w:lastRow="0" w:firstColumn="0" w:lastColumn="0" w:oddVBand="0" w:evenVBand="0" w:oddHBand="1" w:evenHBand="0" w:firstRowFirstColumn="0" w:firstRowLastColumn="0" w:lastRowFirstColumn="0" w:lastRowLastColumn="0"/>
            </w:pPr>
            <w:r>
              <w:t>-.54</w:t>
            </w:r>
            <w:r w:rsidR="00E86A29">
              <w:t>*</w:t>
            </w:r>
          </w:p>
        </w:tc>
        <w:tc>
          <w:tcPr>
            <w:tcW w:w="713" w:type="pct"/>
          </w:tcPr>
          <w:p w14:paraId="6F9FBAAD" w14:textId="0CEBECA9" w:rsidR="001E5457" w:rsidRPr="00A33670" w:rsidRDefault="007B1D89" w:rsidP="001E5457">
            <w:pPr>
              <w:cnfStyle w:val="000000100000" w:firstRow="0" w:lastRow="0" w:firstColumn="0" w:lastColumn="0" w:oddVBand="0" w:evenVBand="0" w:oddHBand="1" w:evenHBand="0" w:firstRowFirstColumn="0" w:firstRowLastColumn="0" w:lastRowFirstColumn="0" w:lastRowLastColumn="0"/>
            </w:pPr>
            <w:r>
              <w:t>84.94</w:t>
            </w:r>
          </w:p>
        </w:tc>
        <w:tc>
          <w:tcPr>
            <w:tcW w:w="713" w:type="pct"/>
          </w:tcPr>
          <w:p w14:paraId="5DC96EB7" w14:textId="1F462AAB" w:rsidR="001E5457" w:rsidRPr="00A33670" w:rsidRDefault="00895647" w:rsidP="001E5457">
            <w:pPr>
              <w:cnfStyle w:val="000000100000" w:firstRow="0" w:lastRow="0" w:firstColumn="0" w:lastColumn="0" w:oddVBand="0" w:evenVBand="0" w:oddHBand="1" w:evenHBand="0" w:firstRowFirstColumn="0" w:firstRowLastColumn="0" w:lastRowFirstColumn="0" w:lastRowLastColumn="0"/>
            </w:pPr>
            <w:r>
              <w:t>-.724</w:t>
            </w:r>
          </w:p>
        </w:tc>
        <w:tc>
          <w:tcPr>
            <w:tcW w:w="713" w:type="pct"/>
          </w:tcPr>
          <w:p w14:paraId="13A943AA" w14:textId="36489092" w:rsidR="001E5457" w:rsidRPr="00A33670" w:rsidRDefault="00895647" w:rsidP="001E5457">
            <w:pPr>
              <w:cnfStyle w:val="000000100000" w:firstRow="0" w:lastRow="0" w:firstColumn="0" w:lastColumn="0" w:oddVBand="0" w:evenVBand="0" w:oddHBand="1" w:evenHBand="0" w:firstRowFirstColumn="0" w:firstRowLastColumn="0" w:lastRowFirstColumn="0" w:lastRowLastColumn="0"/>
            </w:pPr>
            <w:r>
              <w:t>-.233</w:t>
            </w:r>
          </w:p>
        </w:tc>
      </w:tr>
      <w:tr w:rsidR="00537D8B" w:rsidRPr="00A33670" w14:paraId="09A1592E" w14:textId="77777777" w:rsidTr="00A33670">
        <w:trPr>
          <w:trHeight w:val="506"/>
        </w:trPr>
        <w:tc>
          <w:tcPr>
            <w:cnfStyle w:val="001000000000" w:firstRow="0" w:lastRow="0" w:firstColumn="1" w:lastColumn="0" w:oddVBand="0" w:evenVBand="0" w:oddHBand="0" w:evenHBand="0" w:firstRowFirstColumn="0" w:firstRowLastColumn="0" w:lastRowFirstColumn="0" w:lastRowLastColumn="0"/>
            <w:tcW w:w="1015" w:type="pct"/>
            <w:tcBorders>
              <w:bottom w:val="single" w:sz="4" w:space="0" w:color="auto"/>
            </w:tcBorders>
          </w:tcPr>
          <w:p w14:paraId="14BBBF4F" w14:textId="77777777" w:rsidR="001E5457" w:rsidRPr="00A33670" w:rsidRDefault="001E5457" w:rsidP="001E5457">
            <w:pPr>
              <w:spacing w:line="480" w:lineRule="auto"/>
              <w:rPr>
                <w:b w:val="0"/>
                <w:bCs w:val="0"/>
              </w:rPr>
            </w:pPr>
          </w:p>
        </w:tc>
        <w:tc>
          <w:tcPr>
            <w:tcW w:w="108" w:type="pct"/>
            <w:tcBorders>
              <w:bottom w:val="single" w:sz="4" w:space="0" w:color="auto"/>
            </w:tcBorders>
          </w:tcPr>
          <w:p w14:paraId="01A6F113" w14:textId="744C8501"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rsidRPr="00A33670">
              <w:t>-</w:t>
            </w:r>
          </w:p>
        </w:tc>
        <w:tc>
          <w:tcPr>
            <w:tcW w:w="1024" w:type="pct"/>
            <w:tcBorders>
              <w:bottom w:val="single" w:sz="4" w:space="0" w:color="auto"/>
            </w:tcBorders>
          </w:tcPr>
          <w:p w14:paraId="7C7B224B" w14:textId="27DE9F19" w:rsidR="001E5457" w:rsidRPr="00A33670" w:rsidRDefault="001E5457" w:rsidP="001E5457">
            <w:pPr>
              <w:cnfStyle w:val="000000000000" w:firstRow="0" w:lastRow="0" w:firstColumn="0" w:lastColumn="0" w:oddVBand="0" w:evenVBand="0" w:oddHBand="0" w:evenHBand="0" w:firstRowFirstColumn="0" w:firstRowLastColumn="0" w:lastRowFirstColumn="0" w:lastRowLastColumn="0"/>
            </w:pPr>
            <w:r>
              <w:t>Right Centroparietal</w:t>
            </w:r>
          </w:p>
        </w:tc>
        <w:tc>
          <w:tcPr>
            <w:tcW w:w="713" w:type="pct"/>
            <w:tcBorders>
              <w:bottom w:val="single" w:sz="4" w:space="0" w:color="auto"/>
            </w:tcBorders>
          </w:tcPr>
          <w:p w14:paraId="1ADF8086" w14:textId="4A66E296" w:rsidR="001E5457" w:rsidRPr="00A33670" w:rsidRDefault="00443DC0" w:rsidP="001E5457">
            <w:pPr>
              <w:cnfStyle w:val="000000000000" w:firstRow="0" w:lastRow="0" w:firstColumn="0" w:lastColumn="0" w:oddVBand="0" w:evenVBand="0" w:oddHBand="0" w:evenHBand="0" w:firstRowFirstColumn="0" w:firstRowLastColumn="0" w:lastRowFirstColumn="0" w:lastRowLastColumn="0"/>
            </w:pPr>
            <w:r>
              <w:t>-.24</w:t>
            </w:r>
          </w:p>
        </w:tc>
        <w:tc>
          <w:tcPr>
            <w:tcW w:w="713" w:type="pct"/>
            <w:tcBorders>
              <w:bottom w:val="single" w:sz="4" w:space="0" w:color="auto"/>
            </w:tcBorders>
          </w:tcPr>
          <w:p w14:paraId="0B525BA4" w14:textId="59DE852F" w:rsidR="001E5457" w:rsidRPr="00A33670" w:rsidRDefault="007B1D89" w:rsidP="001E5457">
            <w:pPr>
              <w:cnfStyle w:val="000000000000" w:firstRow="0" w:lastRow="0" w:firstColumn="0" w:lastColumn="0" w:oddVBand="0" w:evenVBand="0" w:oddHBand="0" w:evenHBand="0" w:firstRowFirstColumn="0" w:firstRowLastColumn="0" w:lastRowFirstColumn="0" w:lastRowLastColumn="0"/>
            </w:pPr>
            <w:r>
              <w:t>0.95</w:t>
            </w:r>
          </w:p>
        </w:tc>
        <w:tc>
          <w:tcPr>
            <w:tcW w:w="713" w:type="pct"/>
            <w:tcBorders>
              <w:bottom w:val="single" w:sz="4" w:space="0" w:color="auto"/>
            </w:tcBorders>
          </w:tcPr>
          <w:p w14:paraId="71925693" w14:textId="61DF9F7C" w:rsidR="001E5457" w:rsidRPr="00A33670" w:rsidRDefault="00895647" w:rsidP="001E5457">
            <w:pPr>
              <w:cnfStyle w:val="000000000000" w:firstRow="0" w:lastRow="0" w:firstColumn="0" w:lastColumn="0" w:oddVBand="0" w:evenVBand="0" w:oddHBand="0" w:evenHBand="0" w:firstRowFirstColumn="0" w:firstRowLastColumn="0" w:lastRowFirstColumn="0" w:lastRowLastColumn="0"/>
            </w:pPr>
            <w:r>
              <w:t>-.517</w:t>
            </w:r>
          </w:p>
        </w:tc>
        <w:tc>
          <w:tcPr>
            <w:tcW w:w="713" w:type="pct"/>
            <w:tcBorders>
              <w:bottom w:val="single" w:sz="4" w:space="0" w:color="auto"/>
            </w:tcBorders>
          </w:tcPr>
          <w:p w14:paraId="161047DB" w14:textId="5AF64F2E" w:rsidR="001E5457" w:rsidRPr="00A33670" w:rsidRDefault="00895647" w:rsidP="001E5457">
            <w:pPr>
              <w:cnfStyle w:val="000000000000" w:firstRow="0" w:lastRow="0" w:firstColumn="0" w:lastColumn="0" w:oddVBand="0" w:evenVBand="0" w:oddHBand="0" w:evenHBand="0" w:firstRowFirstColumn="0" w:firstRowLastColumn="0" w:lastRowFirstColumn="0" w:lastRowLastColumn="0"/>
            </w:pPr>
            <w:r>
              <w:t>-.021</w:t>
            </w:r>
          </w:p>
        </w:tc>
      </w:tr>
    </w:tbl>
    <w:p w14:paraId="363BBFB2" w14:textId="42181861" w:rsidR="00443DC0" w:rsidRPr="00D70C7E" w:rsidRDefault="00D70C7E" w:rsidP="00BC429C">
      <w:pPr>
        <w:spacing w:line="480" w:lineRule="auto"/>
      </w:pPr>
      <w:r>
        <w:rPr>
          <w:i/>
          <w:iCs/>
        </w:rPr>
        <w:t xml:space="preserve">Note. </w:t>
      </w:r>
      <w:r w:rsidR="00443DC0">
        <w:t>ROI = region of interest</w:t>
      </w:r>
      <w:r w:rsidR="00CB79B7">
        <w:t>; CI = credible interval</w:t>
      </w:r>
      <w:r w:rsidR="00F631BD">
        <w:t xml:space="preserve">. </w:t>
      </w:r>
      <w:r>
        <w:t xml:space="preserve">All </w:t>
      </w:r>
      <w:r>
        <w:rPr>
          <w:i/>
          <w:iCs/>
        </w:rPr>
        <w:t xml:space="preserve">ps </w:t>
      </w:r>
      <w:r>
        <w:t xml:space="preserve">are &gt; .05 except </w:t>
      </w:r>
      <w:r w:rsidR="008B26CD">
        <w:t xml:space="preserve">those marked </w:t>
      </w:r>
      <w:r w:rsidR="00CA2D45">
        <w:t>* which are &lt;.01.</w:t>
      </w:r>
      <w:r w:rsidR="00443DC0">
        <w:t xml:space="preserve"> For Body appreciation and functionality appreciation, the alternative hypothesis specifies that the correlations are positive. For body shame and weight preoccupation, the alternative hypothesis specifies that the correlations are negative. </w:t>
      </w:r>
    </w:p>
    <w:p w14:paraId="7A11681C" w14:textId="0EEE72DD" w:rsidR="008D2947" w:rsidRDefault="008D2947" w:rsidP="008D2947">
      <w:pPr>
        <w:spacing w:line="480" w:lineRule="auto"/>
      </w:pPr>
    </w:p>
    <w:p w14:paraId="717CB398" w14:textId="77777777" w:rsidR="00070841" w:rsidRDefault="00070841" w:rsidP="008D2947">
      <w:pPr>
        <w:spacing w:line="480" w:lineRule="auto"/>
        <w:rPr>
          <w:i/>
          <w:iCs/>
        </w:rPr>
        <w:sectPr w:rsidR="00070841" w:rsidSect="00E969C5">
          <w:pgSz w:w="16840" w:h="11900" w:orient="landscape"/>
          <w:pgMar w:top="1440" w:right="1440" w:bottom="1440" w:left="1440" w:header="708" w:footer="708" w:gutter="0"/>
          <w:cols w:space="708"/>
          <w:docGrid w:linePitch="360"/>
        </w:sectPr>
      </w:pPr>
    </w:p>
    <w:p w14:paraId="7B3D9F04" w14:textId="7A7BA5EE" w:rsidR="00070841" w:rsidRDefault="00952930" w:rsidP="00070841">
      <w:pPr>
        <w:spacing w:line="480" w:lineRule="auto"/>
        <w:jc w:val="center"/>
        <w:rPr>
          <w:i/>
          <w:iCs/>
        </w:rPr>
      </w:pPr>
      <w:r w:rsidRPr="00952930">
        <w:rPr>
          <w:i/>
          <w:iCs/>
          <w:noProof/>
        </w:rPr>
        <w:lastRenderedPageBreak/>
        <w:drawing>
          <wp:inline distT="0" distB="0" distL="0" distR="0" wp14:anchorId="74998C3A" wp14:editId="5E5430ED">
            <wp:extent cx="6518910" cy="4587903"/>
            <wp:effectExtent l="0" t="0" r="0" b="0"/>
            <wp:docPr id="3" name="Picture 3" descr="P33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P339#yIS1"/>
                    <pic:cNvPicPr/>
                  </pic:nvPicPr>
                  <pic:blipFill rotWithShape="1">
                    <a:blip r:embed="rId14"/>
                    <a:srcRect l="20900" t="3827" r="5546" b="4149"/>
                    <a:stretch/>
                  </pic:blipFill>
                  <pic:spPr bwMode="auto">
                    <a:xfrm>
                      <a:off x="0" y="0"/>
                      <a:ext cx="6520326" cy="4588900"/>
                    </a:xfrm>
                    <a:prstGeom prst="rect">
                      <a:avLst/>
                    </a:prstGeom>
                    <a:ln>
                      <a:noFill/>
                    </a:ln>
                    <a:extLst>
                      <a:ext uri="{53640926-AAD7-44D8-BBD7-CCE9431645EC}">
                        <a14:shadowObscured xmlns:a14="http://schemas.microsoft.com/office/drawing/2010/main"/>
                      </a:ext>
                    </a:extLst>
                  </pic:spPr>
                </pic:pic>
              </a:graphicData>
            </a:graphic>
          </wp:inline>
        </w:drawing>
      </w:r>
    </w:p>
    <w:p w14:paraId="180913F1" w14:textId="1DFC8C7B" w:rsidR="00EA49E1" w:rsidRDefault="008D2947" w:rsidP="00044030">
      <w:pPr>
        <w:spacing w:line="480" w:lineRule="auto"/>
      </w:pPr>
      <w:r>
        <w:rPr>
          <w:i/>
          <w:iCs/>
        </w:rPr>
        <w:t xml:space="preserve">Figure </w:t>
      </w:r>
      <w:r w:rsidR="00A0505D">
        <w:rPr>
          <w:i/>
          <w:iCs/>
        </w:rPr>
        <w:t>2</w:t>
      </w:r>
      <w:r>
        <w:rPr>
          <w:i/>
          <w:iCs/>
        </w:rPr>
        <w:t xml:space="preserve">. </w:t>
      </w:r>
      <w:r w:rsidR="00952930">
        <w:t xml:space="preserve">Left: Topographic maps indicating </w:t>
      </w:r>
      <w:r w:rsidR="00701453">
        <w:t>electrodes where significant gastric-alpha PAC was identified. Right: S</w:t>
      </w:r>
      <w:r w:rsidRPr="00D9029B">
        <w:t xml:space="preserve">catterplots to show the </w:t>
      </w:r>
      <w:r>
        <w:t>c</w:t>
      </w:r>
      <w:r w:rsidRPr="00D9029B">
        <w:t>orrelations between</w:t>
      </w:r>
      <w:r>
        <w:t xml:space="preserve"> the modulation index for gastric alpha phase-amplitude coupling </w:t>
      </w:r>
      <w:r w:rsidRPr="00D9029B">
        <w:t>and</w:t>
      </w:r>
      <w:r>
        <w:t xml:space="preserve"> </w:t>
      </w:r>
      <w:r w:rsidR="00701453">
        <w:t xml:space="preserve">body shame </w:t>
      </w:r>
      <w:r>
        <w:t>scores</w:t>
      </w:r>
      <w:r w:rsidR="00701453">
        <w:t xml:space="preserve"> (top)</w:t>
      </w:r>
      <w:r>
        <w:t xml:space="preserve"> and </w:t>
      </w:r>
      <w:r w:rsidR="00701453">
        <w:t xml:space="preserve">weight preoccupation </w:t>
      </w:r>
      <w:r>
        <w:t>scores</w:t>
      </w:r>
      <w:r w:rsidR="00701453">
        <w:t xml:space="preserve"> (bottom)</w:t>
      </w:r>
      <w:r w:rsidR="00EB0A00">
        <w:t xml:space="preserve">. </w:t>
      </w:r>
      <w:r>
        <w:t>MI = modulation index.</w:t>
      </w:r>
    </w:p>
    <w:p w14:paraId="6793B7A3" w14:textId="2E72C248" w:rsidR="000D4884" w:rsidRDefault="000469B5" w:rsidP="00671845">
      <w:pPr>
        <w:pStyle w:val="Heading1"/>
        <w:jc w:val="left"/>
      </w:pPr>
      <w:r>
        <w:lastRenderedPageBreak/>
        <w:t>Supplementary Materials</w:t>
      </w:r>
    </w:p>
    <w:p w14:paraId="1DD70A29" w14:textId="5DAD9C03" w:rsidR="00EA49E1" w:rsidRDefault="00EA49E1">
      <w:pPr>
        <w:rPr>
          <w:b/>
          <w:bCs/>
        </w:rPr>
      </w:pPr>
    </w:p>
    <w:p w14:paraId="7876B5EA" w14:textId="1E35068E" w:rsidR="00EA49E1" w:rsidRPr="00671845" w:rsidRDefault="00EA49E1" w:rsidP="00D336CF">
      <w:pPr>
        <w:spacing w:line="480" w:lineRule="auto"/>
      </w:pPr>
      <w:r>
        <w:t xml:space="preserve">Supplementary Table 1. </w:t>
      </w:r>
      <w:r>
        <w:rPr>
          <w:i/>
          <w:iCs/>
        </w:rPr>
        <w:t>B</w:t>
      </w:r>
      <w:r w:rsidR="00F7123C">
        <w:rPr>
          <w:i/>
          <w:iCs/>
        </w:rPr>
        <w:t>ayesian Pearson</w:t>
      </w:r>
      <w:r>
        <w:rPr>
          <w:i/>
          <w:iCs/>
        </w:rPr>
        <w:t xml:space="preserve"> Correlations between All Body Image Variables.</w:t>
      </w:r>
    </w:p>
    <w:tbl>
      <w:tblPr>
        <w:tblStyle w:val="PlainTable4"/>
        <w:tblW w:w="5000" w:type="pct"/>
        <w:tblLook w:val="04A0" w:firstRow="1" w:lastRow="0" w:firstColumn="1" w:lastColumn="0" w:noHBand="0" w:noVBand="1"/>
      </w:tblPr>
      <w:tblGrid>
        <w:gridCol w:w="2410"/>
        <w:gridCol w:w="424"/>
        <w:gridCol w:w="2549"/>
        <w:gridCol w:w="2147"/>
        <w:gridCol w:w="2147"/>
        <w:gridCol w:w="2144"/>
        <w:gridCol w:w="2139"/>
      </w:tblGrid>
      <w:tr w:rsidR="00B130D9" w:rsidRPr="00090702" w14:paraId="72F7B1F2" w14:textId="620AF0AD" w:rsidTr="00E458DE">
        <w:trPr>
          <w:cnfStyle w:val="100000000000" w:firstRow="1" w:lastRow="0" w:firstColumn="0" w:lastColumn="0" w:oddVBand="0" w:evenVBand="0" w:oddHBand="0"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863" w:type="pct"/>
            <w:tcBorders>
              <w:top w:val="single" w:sz="4" w:space="0" w:color="auto"/>
              <w:bottom w:val="single" w:sz="4" w:space="0" w:color="auto"/>
            </w:tcBorders>
          </w:tcPr>
          <w:p w14:paraId="7D2DD44E" w14:textId="77777777" w:rsidR="00B130D9" w:rsidRPr="00CA3DC0" w:rsidRDefault="00B130D9" w:rsidP="00B130D9">
            <w:pPr>
              <w:spacing w:line="360" w:lineRule="auto"/>
              <w:rPr>
                <w:b w:val="0"/>
                <w:bCs w:val="0"/>
                <w:color w:val="000000"/>
                <w:bdr w:val="none" w:sz="0" w:space="0" w:color="auto" w:frame="1"/>
              </w:rPr>
            </w:pPr>
            <w:bookmarkStart w:id="5" w:name="_Hlk75271611"/>
          </w:p>
        </w:tc>
        <w:tc>
          <w:tcPr>
            <w:tcW w:w="152" w:type="pct"/>
            <w:tcBorders>
              <w:top w:val="single" w:sz="4" w:space="0" w:color="auto"/>
              <w:bottom w:val="single" w:sz="4" w:space="0" w:color="auto"/>
            </w:tcBorders>
          </w:tcPr>
          <w:p w14:paraId="40E80B9A" w14:textId="77777777" w:rsidR="00B130D9" w:rsidRPr="00CA3DC0" w:rsidRDefault="00B130D9" w:rsidP="00B130D9">
            <w:pPr>
              <w:spacing w:line="360" w:lineRule="auto"/>
              <w:cnfStyle w:val="100000000000" w:firstRow="1" w:lastRow="0" w:firstColumn="0" w:lastColumn="0" w:oddVBand="0" w:evenVBand="0" w:oddHBand="0" w:evenHBand="0" w:firstRowFirstColumn="0" w:firstRowLastColumn="0" w:lastRowFirstColumn="0" w:lastRowLastColumn="0"/>
              <w:rPr>
                <w:b w:val="0"/>
                <w:bCs w:val="0"/>
              </w:rPr>
            </w:pPr>
          </w:p>
        </w:tc>
        <w:tc>
          <w:tcPr>
            <w:tcW w:w="913" w:type="pct"/>
            <w:tcBorders>
              <w:top w:val="single" w:sz="4" w:space="0" w:color="auto"/>
              <w:bottom w:val="single" w:sz="4" w:space="0" w:color="auto"/>
            </w:tcBorders>
          </w:tcPr>
          <w:p w14:paraId="6236AFBE" w14:textId="68C7A0CD" w:rsidR="00B130D9" w:rsidRPr="00CA3DC0" w:rsidRDefault="00B130D9" w:rsidP="00B130D9">
            <w:pPr>
              <w:spacing w:line="360" w:lineRule="auto"/>
              <w:cnfStyle w:val="100000000000" w:firstRow="1" w:lastRow="0" w:firstColumn="0" w:lastColumn="0" w:oddVBand="0" w:evenVBand="0" w:oddHBand="0" w:evenHBand="0" w:firstRowFirstColumn="0" w:firstRowLastColumn="0" w:lastRowFirstColumn="0" w:lastRowLastColumn="0"/>
              <w:rPr>
                <w:b w:val="0"/>
                <w:bCs w:val="0"/>
              </w:rPr>
            </w:pPr>
          </w:p>
        </w:tc>
        <w:tc>
          <w:tcPr>
            <w:tcW w:w="769" w:type="pct"/>
            <w:tcBorders>
              <w:top w:val="single" w:sz="4" w:space="0" w:color="auto"/>
              <w:bottom w:val="single" w:sz="4" w:space="0" w:color="auto"/>
            </w:tcBorders>
          </w:tcPr>
          <w:p w14:paraId="6700EC28" w14:textId="70FA7D62" w:rsidR="00B130D9" w:rsidRPr="00CA3DC0" w:rsidRDefault="00B130D9" w:rsidP="00B130D9">
            <w:pPr>
              <w:spacing w:line="360"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 xml:space="preserve">Pearson’s </w:t>
            </w:r>
            <w:r>
              <w:rPr>
                <w:b w:val="0"/>
                <w:bCs w:val="0"/>
                <w:i/>
                <w:iCs/>
              </w:rPr>
              <w:t>r</w:t>
            </w:r>
          </w:p>
        </w:tc>
        <w:tc>
          <w:tcPr>
            <w:tcW w:w="769" w:type="pct"/>
            <w:tcBorders>
              <w:top w:val="single" w:sz="4" w:space="0" w:color="auto"/>
              <w:bottom w:val="single" w:sz="4" w:space="0" w:color="auto"/>
            </w:tcBorders>
          </w:tcPr>
          <w:p w14:paraId="29709618" w14:textId="54A90C11" w:rsidR="00B130D9" w:rsidRPr="00CA3DC0" w:rsidRDefault="00B130D9" w:rsidP="00B130D9">
            <w:pPr>
              <w:spacing w:line="360" w:lineRule="auto"/>
              <w:ind w:left="199"/>
              <w:cnfStyle w:val="100000000000" w:firstRow="1" w:lastRow="0" w:firstColumn="0" w:lastColumn="0" w:oddVBand="0" w:evenVBand="0" w:oddHBand="0" w:evenHBand="0" w:firstRowFirstColumn="0" w:firstRowLastColumn="0" w:lastRowFirstColumn="0" w:lastRowLastColumn="0"/>
              <w:rPr>
                <w:b w:val="0"/>
                <w:bCs w:val="0"/>
              </w:rPr>
            </w:pPr>
            <w:r>
              <w:rPr>
                <w:b w:val="0"/>
                <w:bCs w:val="0"/>
              </w:rPr>
              <w:t>BF</w:t>
            </w:r>
            <w:r>
              <w:rPr>
                <w:b w:val="0"/>
                <w:bCs w:val="0"/>
                <w:vertAlign w:val="subscript"/>
              </w:rPr>
              <w:t>10</w:t>
            </w:r>
          </w:p>
        </w:tc>
        <w:tc>
          <w:tcPr>
            <w:tcW w:w="768" w:type="pct"/>
            <w:tcBorders>
              <w:top w:val="single" w:sz="4" w:space="0" w:color="auto"/>
              <w:bottom w:val="single" w:sz="4" w:space="0" w:color="auto"/>
            </w:tcBorders>
          </w:tcPr>
          <w:p w14:paraId="6734047D" w14:textId="7440BE91" w:rsidR="00B130D9" w:rsidRPr="00CA3DC0" w:rsidRDefault="00B130D9" w:rsidP="00B130D9">
            <w:pPr>
              <w:spacing w:line="360" w:lineRule="auto"/>
              <w:ind w:left="199"/>
              <w:cnfStyle w:val="100000000000" w:firstRow="1" w:lastRow="0" w:firstColumn="0" w:lastColumn="0" w:oddVBand="0" w:evenVBand="0" w:oddHBand="0" w:evenHBand="0" w:firstRowFirstColumn="0" w:firstRowLastColumn="0" w:lastRowFirstColumn="0" w:lastRowLastColumn="0"/>
              <w:rPr>
                <w:b w:val="0"/>
                <w:bCs w:val="0"/>
              </w:rPr>
            </w:pPr>
            <w:r>
              <w:rPr>
                <w:b w:val="0"/>
                <w:bCs w:val="0"/>
              </w:rPr>
              <w:t>Lower 95% CI</w:t>
            </w:r>
          </w:p>
        </w:tc>
        <w:tc>
          <w:tcPr>
            <w:tcW w:w="766" w:type="pct"/>
            <w:tcBorders>
              <w:top w:val="single" w:sz="4" w:space="0" w:color="auto"/>
              <w:bottom w:val="single" w:sz="4" w:space="0" w:color="auto"/>
            </w:tcBorders>
          </w:tcPr>
          <w:p w14:paraId="58C0085E" w14:textId="72DBAB12" w:rsidR="00B130D9" w:rsidRPr="00CA3DC0" w:rsidRDefault="00B130D9" w:rsidP="00B130D9">
            <w:pPr>
              <w:spacing w:line="360" w:lineRule="auto"/>
              <w:ind w:left="199"/>
              <w:cnfStyle w:val="100000000000" w:firstRow="1" w:lastRow="0" w:firstColumn="0" w:lastColumn="0" w:oddVBand="0" w:evenVBand="0" w:oddHBand="0" w:evenHBand="0" w:firstRowFirstColumn="0" w:firstRowLastColumn="0" w:lastRowFirstColumn="0" w:lastRowLastColumn="0"/>
              <w:rPr>
                <w:b w:val="0"/>
                <w:bCs w:val="0"/>
              </w:rPr>
            </w:pPr>
            <w:r>
              <w:rPr>
                <w:b w:val="0"/>
                <w:bCs w:val="0"/>
              </w:rPr>
              <w:t>Upper 95% CI</w:t>
            </w:r>
          </w:p>
        </w:tc>
      </w:tr>
      <w:bookmarkEnd w:id="5"/>
      <w:tr w:rsidR="00B130D9" w:rsidRPr="009B17B6" w14:paraId="24958CD3" w14:textId="5A0DF116" w:rsidTr="00E458DE">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863" w:type="pct"/>
            <w:tcBorders>
              <w:top w:val="single" w:sz="4" w:space="0" w:color="auto"/>
            </w:tcBorders>
            <w:hideMark/>
          </w:tcPr>
          <w:p w14:paraId="23728E1F" w14:textId="77777777" w:rsidR="00B130D9" w:rsidRPr="00B130D9" w:rsidRDefault="00B130D9" w:rsidP="00B130D9">
            <w:pPr>
              <w:spacing w:line="360" w:lineRule="auto"/>
              <w:rPr>
                <w:b w:val="0"/>
                <w:bCs w:val="0"/>
                <w:color w:val="000000"/>
              </w:rPr>
            </w:pPr>
            <w:r w:rsidRPr="00B130D9">
              <w:rPr>
                <w:b w:val="0"/>
                <w:bCs w:val="0"/>
                <w:color w:val="000000"/>
                <w:bdr w:val="none" w:sz="0" w:space="0" w:color="auto" w:frame="1"/>
              </w:rPr>
              <w:t>Body appreciation</w:t>
            </w:r>
          </w:p>
        </w:tc>
        <w:tc>
          <w:tcPr>
            <w:tcW w:w="152" w:type="pct"/>
            <w:tcBorders>
              <w:top w:val="single" w:sz="4" w:space="0" w:color="auto"/>
            </w:tcBorders>
          </w:tcPr>
          <w:p w14:paraId="3D3A2ED3" w14:textId="4105ECBD" w:rsidR="00B130D9" w:rsidRPr="00B130D9" w:rsidRDefault="00B130D9" w:rsidP="00B130D9">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sidRPr="00B130D9">
              <w:rPr>
                <w:color w:val="000000" w:themeColor="text1"/>
              </w:rPr>
              <w:t>-</w:t>
            </w:r>
          </w:p>
        </w:tc>
        <w:tc>
          <w:tcPr>
            <w:tcW w:w="913" w:type="pct"/>
            <w:tcBorders>
              <w:top w:val="single" w:sz="4" w:space="0" w:color="auto"/>
            </w:tcBorders>
          </w:tcPr>
          <w:p w14:paraId="7CC302D1" w14:textId="3231E755" w:rsidR="00B130D9" w:rsidRPr="00B130D9" w:rsidRDefault="00B130D9" w:rsidP="00B130D9">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sidRPr="00B130D9">
              <w:rPr>
                <w:color w:val="000000" w:themeColor="text1"/>
              </w:rPr>
              <w:t>Functionality appreciation</w:t>
            </w:r>
          </w:p>
        </w:tc>
        <w:tc>
          <w:tcPr>
            <w:tcW w:w="769" w:type="pct"/>
            <w:tcBorders>
              <w:top w:val="single" w:sz="4" w:space="0" w:color="auto"/>
            </w:tcBorders>
          </w:tcPr>
          <w:p w14:paraId="604FF7AC" w14:textId="17B01AEA" w:rsidR="00B130D9" w:rsidRPr="00CA3DC0" w:rsidRDefault="00E458DE" w:rsidP="00B130D9">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.38</w:t>
            </w:r>
            <w:r w:rsidR="00C939B5">
              <w:rPr>
                <w:color w:val="000000" w:themeColor="text1"/>
              </w:rPr>
              <w:t>*</w:t>
            </w:r>
          </w:p>
        </w:tc>
        <w:tc>
          <w:tcPr>
            <w:tcW w:w="769" w:type="pct"/>
            <w:tcBorders>
              <w:top w:val="single" w:sz="4" w:space="0" w:color="auto"/>
            </w:tcBorders>
          </w:tcPr>
          <w:p w14:paraId="76DD631D" w14:textId="6FED8C3A" w:rsidR="00B130D9" w:rsidRPr="00CA3DC0" w:rsidRDefault="00E458DE" w:rsidP="00B130D9">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4.85</w:t>
            </w:r>
          </w:p>
        </w:tc>
        <w:tc>
          <w:tcPr>
            <w:tcW w:w="768" w:type="pct"/>
            <w:tcBorders>
              <w:top w:val="single" w:sz="4" w:space="0" w:color="auto"/>
            </w:tcBorders>
          </w:tcPr>
          <w:p w14:paraId="118401E6" w14:textId="6BFF05FA" w:rsidR="00B130D9" w:rsidRPr="00CA3DC0" w:rsidRDefault="00E458DE" w:rsidP="00B130D9">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.076</w:t>
            </w:r>
          </w:p>
        </w:tc>
        <w:tc>
          <w:tcPr>
            <w:tcW w:w="766" w:type="pct"/>
            <w:tcBorders>
              <w:top w:val="single" w:sz="4" w:space="0" w:color="auto"/>
            </w:tcBorders>
          </w:tcPr>
          <w:p w14:paraId="63E6CB42" w14:textId="6788AD4F" w:rsidR="00B130D9" w:rsidRPr="00CA3DC0" w:rsidRDefault="00E458DE" w:rsidP="00B130D9">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.612</w:t>
            </w:r>
          </w:p>
        </w:tc>
      </w:tr>
      <w:tr w:rsidR="00E458DE" w:rsidRPr="009B17B6" w14:paraId="65D57C01" w14:textId="28107CE4" w:rsidTr="00E458DE">
        <w:trPr>
          <w:trHeight w:val="710"/>
        </w:trPr>
        <w:tc>
          <w:tcPr>
            <w:cnfStyle w:val="001000000000" w:firstRow="0" w:lastRow="0" w:firstColumn="1" w:lastColumn="0" w:oddVBand="0" w:evenVBand="0" w:oddHBand="0" w:evenHBand="0" w:firstRowFirstColumn="0" w:firstRowLastColumn="0" w:lastRowFirstColumn="0" w:lastRowLastColumn="0"/>
            <w:tcW w:w="863" w:type="pct"/>
          </w:tcPr>
          <w:p w14:paraId="56AA255C" w14:textId="58F517FB" w:rsidR="00E458DE" w:rsidRPr="00B130D9" w:rsidRDefault="00E458DE" w:rsidP="00E458DE">
            <w:pPr>
              <w:spacing w:line="360" w:lineRule="auto"/>
              <w:rPr>
                <w:b w:val="0"/>
                <w:bCs w:val="0"/>
                <w:color w:val="000000"/>
                <w:bdr w:val="none" w:sz="0" w:space="0" w:color="auto" w:frame="1"/>
              </w:rPr>
            </w:pPr>
            <w:r w:rsidRPr="00B130D9">
              <w:rPr>
                <w:b w:val="0"/>
                <w:bCs w:val="0"/>
                <w:color w:val="000000"/>
                <w:bdr w:val="none" w:sz="0" w:space="0" w:color="auto" w:frame="1"/>
              </w:rPr>
              <w:t xml:space="preserve">Body appreciation </w:t>
            </w:r>
          </w:p>
        </w:tc>
        <w:tc>
          <w:tcPr>
            <w:tcW w:w="152" w:type="pct"/>
          </w:tcPr>
          <w:p w14:paraId="586821E6" w14:textId="1B57EF52" w:rsidR="00E458DE" w:rsidRPr="00B130D9"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sidRPr="00B130D9">
              <w:rPr>
                <w:color w:val="000000" w:themeColor="text1"/>
              </w:rPr>
              <w:t>-</w:t>
            </w:r>
          </w:p>
        </w:tc>
        <w:tc>
          <w:tcPr>
            <w:tcW w:w="913" w:type="pct"/>
          </w:tcPr>
          <w:p w14:paraId="2DE9487A" w14:textId="3057CADD" w:rsidR="00E458DE" w:rsidRPr="00B130D9"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sidRPr="00B130D9">
              <w:rPr>
                <w:color w:val="000000" w:themeColor="text1"/>
              </w:rPr>
              <w:t>Body shame</w:t>
            </w:r>
          </w:p>
        </w:tc>
        <w:tc>
          <w:tcPr>
            <w:tcW w:w="769" w:type="pct"/>
          </w:tcPr>
          <w:p w14:paraId="698E3494" w14:textId="5A0544F2" w:rsidR="00E458DE" w:rsidRPr="00CA3DC0"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-.46</w:t>
            </w:r>
            <w:r w:rsidR="00C939B5">
              <w:rPr>
                <w:color w:val="000000" w:themeColor="text1"/>
              </w:rPr>
              <w:t>*</w:t>
            </w:r>
          </w:p>
        </w:tc>
        <w:tc>
          <w:tcPr>
            <w:tcW w:w="769" w:type="pct"/>
          </w:tcPr>
          <w:p w14:paraId="0F83FDD1" w14:textId="6B0E0F0A" w:rsidR="00E458DE" w:rsidRPr="00CA3DC0"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18.69</w:t>
            </w:r>
          </w:p>
        </w:tc>
        <w:tc>
          <w:tcPr>
            <w:tcW w:w="768" w:type="pct"/>
          </w:tcPr>
          <w:p w14:paraId="6FF18CB4" w14:textId="05EE1C0C" w:rsidR="00E458DE" w:rsidRPr="00CA3DC0" w:rsidRDefault="00187F2F"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-.669</w:t>
            </w:r>
          </w:p>
        </w:tc>
        <w:tc>
          <w:tcPr>
            <w:tcW w:w="766" w:type="pct"/>
          </w:tcPr>
          <w:p w14:paraId="1B940F79" w14:textId="036D25B4" w:rsidR="00E458DE" w:rsidRPr="00CA3DC0" w:rsidRDefault="00187F2F"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-.148</w:t>
            </w:r>
          </w:p>
        </w:tc>
      </w:tr>
      <w:tr w:rsidR="00E458DE" w:rsidRPr="009B17B6" w14:paraId="1D1116E9" w14:textId="1A2243DD" w:rsidTr="00E458DE">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863" w:type="pct"/>
            <w:hideMark/>
          </w:tcPr>
          <w:p w14:paraId="1848310E" w14:textId="476722E0" w:rsidR="00E458DE" w:rsidRPr="00B130D9" w:rsidRDefault="00E458DE" w:rsidP="00E458DE">
            <w:pPr>
              <w:spacing w:line="360" w:lineRule="auto"/>
              <w:rPr>
                <w:b w:val="0"/>
                <w:bCs w:val="0"/>
                <w:color w:val="000000"/>
              </w:rPr>
            </w:pPr>
            <w:r w:rsidRPr="00B130D9">
              <w:rPr>
                <w:b w:val="0"/>
                <w:bCs w:val="0"/>
                <w:color w:val="000000"/>
              </w:rPr>
              <w:t>Body appreciation</w:t>
            </w:r>
          </w:p>
        </w:tc>
        <w:tc>
          <w:tcPr>
            <w:tcW w:w="152" w:type="pct"/>
          </w:tcPr>
          <w:p w14:paraId="1BE83DC3" w14:textId="1784DC68" w:rsidR="00E458DE" w:rsidRPr="00B130D9"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sidRPr="00B130D9">
              <w:rPr>
                <w:color w:val="000000" w:themeColor="text1"/>
              </w:rPr>
              <w:t>-</w:t>
            </w:r>
          </w:p>
        </w:tc>
        <w:tc>
          <w:tcPr>
            <w:tcW w:w="913" w:type="pct"/>
          </w:tcPr>
          <w:p w14:paraId="248E949E" w14:textId="1D4C4422" w:rsidR="00E458DE" w:rsidRPr="00B130D9"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sidRPr="00B130D9">
              <w:rPr>
                <w:color w:val="000000" w:themeColor="text1"/>
              </w:rPr>
              <w:t>Weight preoccupation</w:t>
            </w:r>
          </w:p>
        </w:tc>
        <w:tc>
          <w:tcPr>
            <w:tcW w:w="769" w:type="pct"/>
          </w:tcPr>
          <w:p w14:paraId="0CE84386" w14:textId="1732CBC3" w:rsidR="00E458DE" w:rsidRPr="00CA3DC0"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-.42</w:t>
            </w:r>
            <w:r w:rsidR="00C939B5">
              <w:rPr>
                <w:color w:val="000000" w:themeColor="text1"/>
              </w:rPr>
              <w:t>*</w:t>
            </w:r>
          </w:p>
        </w:tc>
        <w:tc>
          <w:tcPr>
            <w:tcW w:w="769" w:type="pct"/>
          </w:tcPr>
          <w:p w14:paraId="45732227" w14:textId="04C99542" w:rsidR="00E458DE" w:rsidRPr="00CA3DC0"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8.70</w:t>
            </w:r>
          </w:p>
        </w:tc>
        <w:tc>
          <w:tcPr>
            <w:tcW w:w="768" w:type="pct"/>
          </w:tcPr>
          <w:p w14:paraId="152ED38E" w14:textId="184D06EF" w:rsidR="00E458DE" w:rsidRPr="00CA3DC0" w:rsidRDefault="00187F2F"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-.639</w:t>
            </w:r>
          </w:p>
        </w:tc>
        <w:tc>
          <w:tcPr>
            <w:tcW w:w="766" w:type="pct"/>
          </w:tcPr>
          <w:p w14:paraId="2F9243E3" w14:textId="51BE8D0A" w:rsidR="00E458DE" w:rsidRPr="00CA3DC0" w:rsidRDefault="00187F2F"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-.105</w:t>
            </w:r>
          </w:p>
        </w:tc>
      </w:tr>
      <w:tr w:rsidR="00E458DE" w:rsidRPr="009B17B6" w14:paraId="06BB63C8" w14:textId="194323B3" w:rsidTr="00E458DE">
        <w:trPr>
          <w:trHeight w:val="710"/>
        </w:trPr>
        <w:tc>
          <w:tcPr>
            <w:cnfStyle w:val="001000000000" w:firstRow="0" w:lastRow="0" w:firstColumn="1" w:lastColumn="0" w:oddVBand="0" w:evenVBand="0" w:oddHBand="0" w:evenHBand="0" w:firstRowFirstColumn="0" w:firstRowLastColumn="0" w:lastRowFirstColumn="0" w:lastRowLastColumn="0"/>
            <w:tcW w:w="863" w:type="pct"/>
          </w:tcPr>
          <w:p w14:paraId="7944CF15" w14:textId="30904311" w:rsidR="00E458DE" w:rsidRPr="00B130D9" w:rsidRDefault="00E458DE" w:rsidP="00E458DE">
            <w:pPr>
              <w:spacing w:line="360" w:lineRule="auto"/>
              <w:rPr>
                <w:b w:val="0"/>
                <w:bCs w:val="0"/>
                <w:color w:val="000000"/>
              </w:rPr>
            </w:pPr>
            <w:r w:rsidRPr="00B130D9">
              <w:rPr>
                <w:b w:val="0"/>
                <w:bCs w:val="0"/>
                <w:color w:val="000000"/>
              </w:rPr>
              <w:t>Functionality appreciation</w:t>
            </w:r>
          </w:p>
        </w:tc>
        <w:tc>
          <w:tcPr>
            <w:tcW w:w="152" w:type="pct"/>
          </w:tcPr>
          <w:p w14:paraId="5FC96245" w14:textId="5F083D6C" w:rsidR="00E458DE" w:rsidRPr="00B130D9"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sidRPr="00B130D9">
              <w:rPr>
                <w:color w:val="000000" w:themeColor="text1"/>
              </w:rPr>
              <w:t>-</w:t>
            </w:r>
          </w:p>
        </w:tc>
        <w:tc>
          <w:tcPr>
            <w:tcW w:w="913" w:type="pct"/>
          </w:tcPr>
          <w:p w14:paraId="4BCBE4D5" w14:textId="2C8076E9" w:rsidR="00E458DE" w:rsidRPr="00B130D9"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sidRPr="00B130D9">
              <w:rPr>
                <w:color w:val="000000" w:themeColor="text1"/>
              </w:rPr>
              <w:t>Body shame</w:t>
            </w:r>
          </w:p>
        </w:tc>
        <w:tc>
          <w:tcPr>
            <w:tcW w:w="769" w:type="pct"/>
          </w:tcPr>
          <w:p w14:paraId="68168B34" w14:textId="23EF17F2" w:rsidR="00E458DE" w:rsidRPr="00CA3DC0"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-.11</w:t>
            </w:r>
          </w:p>
        </w:tc>
        <w:tc>
          <w:tcPr>
            <w:tcW w:w="769" w:type="pct"/>
          </w:tcPr>
          <w:p w14:paraId="43E74333" w14:textId="23F890A7" w:rsidR="00E458DE" w:rsidRPr="00CA3DC0" w:rsidRDefault="00E458DE"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0.38</w:t>
            </w:r>
          </w:p>
        </w:tc>
        <w:tc>
          <w:tcPr>
            <w:tcW w:w="768" w:type="pct"/>
          </w:tcPr>
          <w:p w14:paraId="265E8182" w14:textId="47A60D9C" w:rsidR="00E458DE" w:rsidRPr="00CA3DC0" w:rsidRDefault="00187F2F"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-.429</w:t>
            </w:r>
          </w:p>
        </w:tc>
        <w:tc>
          <w:tcPr>
            <w:tcW w:w="766" w:type="pct"/>
          </w:tcPr>
          <w:p w14:paraId="3FBD4166" w14:textId="2012E617" w:rsidR="00E458DE" w:rsidRPr="00CA3DC0" w:rsidRDefault="00187F2F" w:rsidP="00E458DE">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-.009</w:t>
            </w:r>
          </w:p>
        </w:tc>
      </w:tr>
      <w:tr w:rsidR="00E458DE" w:rsidRPr="009B17B6" w14:paraId="018D4767" w14:textId="5A82C8CF" w:rsidTr="00EC69D1">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863" w:type="pct"/>
            <w:hideMark/>
          </w:tcPr>
          <w:p w14:paraId="33A89F91" w14:textId="1BA2ECE7" w:rsidR="00E458DE" w:rsidRPr="00B130D9" w:rsidRDefault="00E458DE" w:rsidP="00E458DE">
            <w:pPr>
              <w:spacing w:line="360" w:lineRule="auto"/>
              <w:rPr>
                <w:b w:val="0"/>
                <w:bCs w:val="0"/>
                <w:color w:val="000000"/>
              </w:rPr>
            </w:pPr>
            <w:r w:rsidRPr="00B130D9">
              <w:rPr>
                <w:b w:val="0"/>
                <w:bCs w:val="0"/>
                <w:color w:val="000000"/>
              </w:rPr>
              <w:t xml:space="preserve">Functionality appreciation </w:t>
            </w:r>
          </w:p>
        </w:tc>
        <w:tc>
          <w:tcPr>
            <w:tcW w:w="152" w:type="pct"/>
          </w:tcPr>
          <w:p w14:paraId="5CF9C340" w14:textId="5A29488D" w:rsidR="00E458DE" w:rsidRPr="00B130D9"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sidRPr="00B130D9">
              <w:rPr>
                <w:color w:val="000000" w:themeColor="text1"/>
              </w:rPr>
              <w:t>-</w:t>
            </w:r>
          </w:p>
        </w:tc>
        <w:tc>
          <w:tcPr>
            <w:tcW w:w="913" w:type="pct"/>
          </w:tcPr>
          <w:p w14:paraId="66FE5CFC" w14:textId="39B7DDDD" w:rsidR="00E458DE" w:rsidRPr="00B130D9"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Weight preoccupation</w:t>
            </w:r>
          </w:p>
        </w:tc>
        <w:tc>
          <w:tcPr>
            <w:tcW w:w="769" w:type="pct"/>
          </w:tcPr>
          <w:p w14:paraId="47420B2F" w14:textId="32456833" w:rsidR="00E458DE" w:rsidRPr="00CA3DC0"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-.05</w:t>
            </w:r>
          </w:p>
        </w:tc>
        <w:tc>
          <w:tcPr>
            <w:tcW w:w="769" w:type="pct"/>
          </w:tcPr>
          <w:p w14:paraId="4BB3E988" w14:textId="1CF1A1B3" w:rsidR="00E458DE" w:rsidRPr="00CA3DC0" w:rsidRDefault="00E458DE"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0.27</w:t>
            </w:r>
          </w:p>
        </w:tc>
        <w:tc>
          <w:tcPr>
            <w:tcW w:w="768" w:type="pct"/>
          </w:tcPr>
          <w:p w14:paraId="61E32123" w14:textId="36C83298" w:rsidR="00E458DE" w:rsidRPr="00CA3DC0" w:rsidRDefault="00187F2F"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-.390</w:t>
            </w:r>
          </w:p>
        </w:tc>
        <w:tc>
          <w:tcPr>
            <w:tcW w:w="766" w:type="pct"/>
          </w:tcPr>
          <w:p w14:paraId="665E9679" w14:textId="6606E65B" w:rsidR="00E458DE" w:rsidRPr="00CA3DC0" w:rsidRDefault="00187F2F" w:rsidP="00E458DE">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-.007</w:t>
            </w:r>
          </w:p>
        </w:tc>
      </w:tr>
      <w:tr w:rsidR="00EC69D1" w:rsidRPr="009B17B6" w14:paraId="7BB1F153" w14:textId="77777777" w:rsidTr="00E458DE">
        <w:trPr>
          <w:trHeight w:val="710"/>
        </w:trPr>
        <w:tc>
          <w:tcPr>
            <w:cnfStyle w:val="001000000000" w:firstRow="0" w:lastRow="0" w:firstColumn="1" w:lastColumn="0" w:oddVBand="0" w:evenVBand="0" w:oddHBand="0" w:evenHBand="0" w:firstRowFirstColumn="0" w:firstRowLastColumn="0" w:lastRowFirstColumn="0" w:lastRowLastColumn="0"/>
            <w:tcW w:w="863" w:type="pct"/>
            <w:tcBorders>
              <w:bottom w:val="single" w:sz="4" w:space="0" w:color="auto"/>
            </w:tcBorders>
          </w:tcPr>
          <w:p w14:paraId="27594A6C" w14:textId="64DC1268" w:rsidR="00EC69D1" w:rsidRPr="00B130D9" w:rsidRDefault="00EC69D1" w:rsidP="00EC69D1">
            <w:pPr>
              <w:spacing w:line="360" w:lineRule="auto"/>
              <w:rPr>
                <w:b w:val="0"/>
                <w:bCs w:val="0"/>
                <w:color w:val="000000"/>
              </w:rPr>
            </w:pPr>
            <w:r>
              <w:rPr>
                <w:b w:val="0"/>
                <w:bCs w:val="0"/>
                <w:color w:val="000000"/>
                <w:bdr w:val="none" w:sz="0" w:space="0" w:color="auto" w:frame="1"/>
              </w:rPr>
              <w:t>Body shame</w:t>
            </w:r>
          </w:p>
        </w:tc>
        <w:tc>
          <w:tcPr>
            <w:tcW w:w="152" w:type="pct"/>
            <w:tcBorders>
              <w:bottom w:val="single" w:sz="4" w:space="0" w:color="auto"/>
            </w:tcBorders>
          </w:tcPr>
          <w:p w14:paraId="2788CE14" w14:textId="69BB0455" w:rsidR="00EC69D1" w:rsidRPr="00B130D9" w:rsidRDefault="00EC69D1" w:rsidP="00EC69D1">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sidRPr="00B130D9">
              <w:rPr>
                <w:color w:val="000000" w:themeColor="text1"/>
              </w:rPr>
              <w:t>-</w:t>
            </w:r>
          </w:p>
        </w:tc>
        <w:tc>
          <w:tcPr>
            <w:tcW w:w="913" w:type="pct"/>
            <w:tcBorders>
              <w:bottom w:val="single" w:sz="4" w:space="0" w:color="auto"/>
            </w:tcBorders>
          </w:tcPr>
          <w:p w14:paraId="46569BA0" w14:textId="46A227F1" w:rsidR="00EC69D1" w:rsidRDefault="00EC69D1" w:rsidP="00EC69D1">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Weight preoccupation</w:t>
            </w:r>
          </w:p>
        </w:tc>
        <w:tc>
          <w:tcPr>
            <w:tcW w:w="769" w:type="pct"/>
            <w:tcBorders>
              <w:bottom w:val="single" w:sz="4" w:space="0" w:color="auto"/>
            </w:tcBorders>
          </w:tcPr>
          <w:p w14:paraId="039D121C" w14:textId="55E31414" w:rsidR="00EC69D1" w:rsidRDefault="00EC69D1" w:rsidP="00EC69D1">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.64**</w:t>
            </w:r>
          </w:p>
        </w:tc>
        <w:tc>
          <w:tcPr>
            <w:tcW w:w="769" w:type="pct"/>
            <w:tcBorders>
              <w:bottom w:val="single" w:sz="4" w:space="0" w:color="auto"/>
            </w:tcBorders>
          </w:tcPr>
          <w:p w14:paraId="3BCC6C80" w14:textId="038620B5" w:rsidR="00EC69D1" w:rsidRDefault="00EC69D1" w:rsidP="00EC69D1">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2222.72</w:t>
            </w:r>
          </w:p>
        </w:tc>
        <w:tc>
          <w:tcPr>
            <w:tcW w:w="768" w:type="pct"/>
            <w:tcBorders>
              <w:bottom w:val="single" w:sz="4" w:space="0" w:color="auto"/>
            </w:tcBorders>
          </w:tcPr>
          <w:p w14:paraId="2C6B4A69" w14:textId="4BA16046" w:rsidR="00EC69D1" w:rsidRDefault="00EC69D1" w:rsidP="00EC69D1">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.378</w:t>
            </w:r>
          </w:p>
        </w:tc>
        <w:tc>
          <w:tcPr>
            <w:tcW w:w="766" w:type="pct"/>
            <w:tcBorders>
              <w:bottom w:val="single" w:sz="4" w:space="0" w:color="auto"/>
            </w:tcBorders>
          </w:tcPr>
          <w:p w14:paraId="2B1264CE" w14:textId="08F730D4" w:rsidR="00EC69D1" w:rsidRDefault="00EC69D1" w:rsidP="00EC69D1">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.791</w:t>
            </w:r>
          </w:p>
        </w:tc>
      </w:tr>
    </w:tbl>
    <w:p w14:paraId="130B5D47" w14:textId="3FDAD574" w:rsidR="00E969C5" w:rsidRDefault="00EA49E1" w:rsidP="00E458DE">
      <w:pPr>
        <w:spacing w:line="480" w:lineRule="auto"/>
      </w:pPr>
      <w:r w:rsidRPr="00C939B5">
        <w:rPr>
          <w:i/>
          <w:iCs/>
        </w:rPr>
        <w:t xml:space="preserve">Note. </w:t>
      </w:r>
      <w:r w:rsidRPr="00C939B5">
        <w:t>*</w:t>
      </w:r>
      <w:r w:rsidRPr="00C939B5">
        <w:rPr>
          <w:i/>
          <w:iCs/>
        </w:rPr>
        <w:t xml:space="preserve">p </w:t>
      </w:r>
      <w:r w:rsidRPr="00C939B5">
        <w:t>&gt; .05, **</w:t>
      </w:r>
      <w:r w:rsidRPr="00C939B5">
        <w:rPr>
          <w:i/>
          <w:iCs/>
        </w:rPr>
        <w:t>p</w:t>
      </w:r>
      <w:r w:rsidRPr="00C939B5">
        <w:t xml:space="preserve"> &gt; .001</w:t>
      </w:r>
      <w:r w:rsidR="00E458DE" w:rsidRPr="00C939B5">
        <w:t>.</w:t>
      </w:r>
      <w:r w:rsidR="00E458DE">
        <w:t xml:space="preserve"> For Body appreciation and functionality appreciation, the alternative hypothesis specifies that the correlations are positive. For body shame and weight preoccupation, the alternative hypothesis specifies that the correlations are negative. For the correlations between the positive body image variables (body appreciation and functionality appreciation) and the negative body image variables (body shame and weight preoccupation), the alternative hypothesis specifies that the correlations are negative.</w:t>
      </w:r>
    </w:p>
    <w:p w14:paraId="290F1574" w14:textId="044CD81C" w:rsidR="00EA49E1" w:rsidRDefault="00F7123C" w:rsidP="00EA49E1">
      <w:pPr>
        <w:spacing w:line="480" w:lineRule="auto"/>
      </w:pPr>
      <w:r>
        <w:lastRenderedPageBreak/>
        <w:t>Supplementary Table 2.</w:t>
      </w:r>
    </w:p>
    <w:p w14:paraId="5CF9EA8F" w14:textId="3AB40643" w:rsidR="00F7123C" w:rsidRPr="00F631BD" w:rsidRDefault="00F7123C" w:rsidP="00EA49E1">
      <w:pPr>
        <w:spacing w:line="480" w:lineRule="auto"/>
      </w:pPr>
      <w:r>
        <w:rPr>
          <w:i/>
          <w:iCs/>
        </w:rPr>
        <w:t xml:space="preserve">Bayesian Pearson Correlations between </w:t>
      </w:r>
      <w:r w:rsidR="00F631BD">
        <w:rPr>
          <w:i/>
          <w:iCs/>
        </w:rPr>
        <w:t>the Modulation Index for Gastric-Alpha Phase-Amplitude Coupling and Mean Heartbeat Evoked Potential Amplitude.</w:t>
      </w:r>
    </w:p>
    <w:tbl>
      <w:tblPr>
        <w:tblStyle w:val="PlainTable4"/>
        <w:tblW w:w="5000" w:type="pct"/>
        <w:tblLook w:val="04A0" w:firstRow="1" w:lastRow="0" w:firstColumn="1" w:lastColumn="0" w:noHBand="0" w:noVBand="1"/>
      </w:tblPr>
      <w:tblGrid>
        <w:gridCol w:w="2595"/>
        <w:gridCol w:w="670"/>
        <w:gridCol w:w="2141"/>
        <w:gridCol w:w="2141"/>
        <w:gridCol w:w="2141"/>
        <w:gridCol w:w="2139"/>
        <w:gridCol w:w="2133"/>
      </w:tblGrid>
      <w:tr w:rsidR="00C939B5" w:rsidRPr="00090702" w14:paraId="63295BEF" w14:textId="446FE764" w:rsidTr="00C939B5">
        <w:trPr>
          <w:cnfStyle w:val="100000000000" w:firstRow="1" w:lastRow="0" w:firstColumn="0" w:lastColumn="0" w:oddVBand="0" w:evenVBand="0" w:oddHBand="0"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929" w:type="pct"/>
            <w:tcBorders>
              <w:top w:val="single" w:sz="4" w:space="0" w:color="auto"/>
              <w:bottom w:val="single" w:sz="4" w:space="0" w:color="auto"/>
            </w:tcBorders>
          </w:tcPr>
          <w:p w14:paraId="775E0AD1" w14:textId="5FC14AF3" w:rsidR="00C939B5" w:rsidRPr="00CA3DC0" w:rsidRDefault="00C939B5" w:rsidP="00C939B5">
            <w:pPr>
              <w:spacing w:line="360" w:lineRule="auto"/>
              <w:rPr>
                <w:b w:val="0"/>
                <w:bCs w:val="0"/>
                <w:color w:val="000000"/>
                <w:bdr w:val="none" w:sz="0" w:space="0" w:color="auto" w:frame="1"/>
              </w:rPr>
            </w:pPr>
            <w:r>
              <w:rPr>
                <w:b w:val="0"/>
                <w:bCs w:val="0"/>
                <w:color w:val="000000"/>
                <w:bdr w:val="none" w:sz="0" w:space="0" w:color="auto" w:frame="1"/>
              </w:rPr>
              <w:t>HEP ROI</w:t>
            </w:r>
          </w:p>
        </w:tc>
        <w:tc>
          <w:tcPr>
            <w:tcW w:w="240" w:type="pct"/>
            <w:tcBorders>
              <w:top w:val="single" w:sz="4" w:space="0" w:color="auto"/>
              <w:bottom w:val="single" w:sz="4" w:space="0" w:color="auto"/>
            </w:tcBorders>
          </w:tcPr>
          <w:p w14:paraId="6DD1D973" w14:textId="77777777" w:rsidR="00C939B5" w:rsidRPr="00CA3DC0" w:rsidRDefault="00C939B5" w:rsidP="00C939B5">
            <w:pPr>
              <w:spacing w:line="360" w:lineRule="auto"/>
              <w:cnfStyle w:val="100000000000" w:firstRow="1" w:lastRow="0" w:firstColumn="0" w:lastColumn="0" w:oddVBand="0" w:evenVBand="0" w:oddHBand="0" w:evenHBand="0" w:firstRowFirstColumn="0" w:firstRowLastColumn="0" w:lastRowFirstColumn="0" w:lastRowLastColumn="0"/>
              <w:rPr>
                <w:b w:val="0"/>
                <w:bCs w:val="0"/>
              </w:rPr>
            </w:pPr>
          </w:p>
        </w:tc>
        <w:tc>
          <w:tcPr>
            <w:tcW w:w="767" w:type="pct"/>
            <w:tcBorders>
              <w:top w:val="single" w:sz="4" w:space="0" w:color="auto"/>
              <w:bottom w:val="single" w:sz="4" w:space="0" w:color="auto"/>
            </w:tcBorders>
          </w:tcPr>
          <w:p w14:paraId="269015C7" w14:textId="2C9D3C0F" w:rsidR="00C939B5" w:rsidRPr="00CA3DC0" w:rsidRDefault="00C939B5" w:rsidP="00C939B5">
            <w:pPr>
              <w:spacing w:line="360"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Gastric-alpha ROI</w:t>
            </w:r>
          </w:p>
        </w:tc>
        <w:tc>
          <w:tcPr>
            <w:tcW w:w="767" w:type="pct"/>
            <w:tcBorders>
              <w:top w:val="single" w:sz="4" w:space="0" w:color="auto"/>
              <w:bottom w:val="single" w:sz="4" w:space="0" w:color="auto"/>
            </w:tcBorders>
          </w:tcPr>
          <w:p w14:paraId="00A036A8" w14:textId="54711880" w:rsidR="00C939B5" w:rsidRPr="00CA3DC0" w:rsidRDefault="00C939B5" w:rsidP="00C939B5">
            <w:pPr>
              <w:spacing w:line="360"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 xml:space="preserve">Pearson’s </w:t>
            </w:r>
            <w:r>
              <w:rPr>
                <w:b w:val="0"/>
                <w:bCs w:val="0"/>
                <w:i/>
                <w:iCs/>
              </w:rPr>
              <w:t>r</w:t>
            </w:r>
          </w:p>
        </w:tc>
        <w:tc>
          <w:tcPr>
            <w:tcW w:w="767" w:type="pct"/>
            <w:tcBorders>
              <w:top w:val="single" w:sz="4" w:space="0" w:color="auto"/>
              <w:bottom w:val="single" w:sz="4" w:space="0" w:color="auto"/>
            </w:tcBorders>
          </w:tcPr>
          <w:p w14:paraId="1D5D89D3" w14:textId="11C5C1D7" w:rsidR="00C939B5" w:rsidRPr="00CA3DC0" w:rsidRDefault="00C939B5" w:rsidP="00C939B5">
            <w:pPr>
              <w:spacing w:line="360" w:lineRule="auto"/>
              <w:ind w:left="199"/>
              <w:cnfStyle w:val="100000000000" w:firstRow="1" w:lastRow="0" w:firstColumn="0" w:lastColumn="0" w:oddVBand="0" w:evenVBand="0" w:oddHBand="0" w:evenHBand="0" w:firstRowFirstColumn="0" w:firstRowLastColumn="0" w:lastRowFirstColumn="0" w:lastRowLastColumn="0"/>
              <w:rPr>
                <w:b w:val="0"/>
                <w:bCs w:val="0"/>
              </w:rPr>
            </w:pPr>
            <w:r>
              <w:rPr>
                <w:b w:val="0"/>
                <w:bCs w:val="0"/>
              </w:rPr>
              <w:t>BF</w:t>
            </w:r>
            <w:r>
              <w:rPr>
                <w:b w:val="0"/>
                <w:bCs w:val="0"/>
                <w:vertAlign w:val="subscript"/>
              </w:rPr>
              <w:t>10</w:t>
            </w:r>
          </w:p>
        </w:tc>
        <w:tc>
          <w:tcPr>
            <w:tcW w:w="766" w:type="pct"/>
            <w:tcBorders>
              <w:top w:val="single" w:sz="4" w:space="0" w:color="auto"/>
              <w:bottom w:val="single" w:sz="4" w:space="0" w:color="auto"/>
            </w:tcBorders>
          </w:tcPr>
          <w:p w14:paraId="287D1F60" w14:textId="6AAA18B0" w:rsidR="00C939B5" w:rsidRPr="00CA3DC0" w:rsidRDefault="00C939B5" w:rsidP="00C939B5">
            <w:pPr>
              <w:spacing w:line="360" w:lineRule="auto"/>
              <w:ind w:left="193"/>
              <w:cnfStyle w:val="100000000000" w:firstRow="1" w:lastRow="0" w:firstColumn="0" w:lastColumn="0" w:oddVBand="0" w:evenVBand="0" w:oddHBand="0" w:evenHBand="0" w:firstRowFirstColumn="0" w:firstRowLastColumn="0" w:lastRowFirstColumn="0" w:lastRowLastColumn="0"/>
              <w:rPr>
                <w:b w:val="0"/>
                <w:bCs w:val="0"/>
              </w:rPr>
            </w:pPr>
            <w:r>
              <w:rPr>
                <w:b w:val="0"/>
                <w:bCs w:val="0"/>
              </w:rPr>
              <w:t>Lower 95% CI</w:t>
            </w:r>
          </w:p>
        </w:tc>
        <w:tc>
          <w:tcPr>
            <w:tcW w:w="764" w:type="pct"/>
            <w:tcBorders>
              <w:top w:val="single" w:sz="4" w:space="0" w:color="auto"/>
              <w:bottom w:val="single" w:sz="4" w:space="0" w:color="auto"/>
            </w:tcBorders>
          </w:tcPr>
          <w:p w14:paraId="140CB6FB" w14:textId="1A821200" w:rsidR="00C939B5" w:rsidRDefault="00C939B5" w:rsidP="00C939B5">
            <w:pPr>
              <w:spacing w:line="360" w:lineRule="auto"/>
              <w:ind w:left="193"/>
              <w:cnfStyle w:val="100000000000" w:firstRow="1" w:lastRow="0" w:firstColumn="0" w:lastColumn="0" w:oddVBand="0" w:evenVBand="0" w:oddHBand="0" w:evenHBand="0" w:firstRowFirstColumn="0" w:firstRowLastColumn="0" w:lastRowFirstColumn="0" w:lastRowLastColumn="0"/>
              <w:rPr>
                <w:b w:val="0"/>
                <w:bCs w:val="0"/>
              </w:rPr>
            </w:pPr>
            <w:r>
              <w:rPr>
                <w:b w:val="0"/>
                <w:bCs w:val="0"/>
              </w:rPr>
              <w:t>Upper 95% CI</w:t>
            </w:r>
          </w:p>
        </w:tc>
      </w:tr>
      <w:tr w:rsidR="00C939B5" w:rsidRPr="009B17B6" w14:paraId="76EFB54D" w14:textId="46D471E2" w:rsidTr="00C939B5">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929" w:type="pct"/>
            <w:tcBorders>
              <w:top w:val="single" w:sz="4" w:space="0" w:color="auto"/>
            </w:tcBorders>
            <w:hideMark/>
          </w:tcPr>
          <w:p w14:paraId="44B8CEE8" w14:textId="7FDE8B72" w:rsidR="00C939B5" w:rsidRPr="00CA3DC0" w:rsidRDefault="00C939B5" w:rsidP="00C939B5">
            <w:pPr>
              <w:spacing w:line="360" w:lineRule="auto"/>
              <w:rPr>
                <w:b w:val="0"/>
                <w:bCs w:val="0"/>
                <w:color w:val="000000"/>
              </w:rPr>
            </w:pPr>
            <w:r>
              <w:rPr>
                <w:b w:val="0"/>
                <w:bCs w:val="0"/>
                <w:color w:val="000000"/>
                <w:bdr w:val="none" w:sz="0" w:space="0" w:color="auto" w:frame="1"/>
              </w:rPr>
              <w:t>Body shame cluster</w:t>
            </w:r>
          </w:p>
        </w:tc>
        <w:tc>
          <w:tcPr>
            <w:tcW w:w="240" w:type="pct"/>
            <w:tcBorders>
              <w:top w:val="single" w:sz="4" w:space="0" w:color="auto"/>
            </w:tcBorders>
          </w:tcPr>
          <w:p w14:paraId="00E66BCF" w14:textId="21059A9E" w:rsidR="00C939B5" w:rsidRPr="00CA3DC0" w:rsidRDefault="00C939B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767" w:type="pct"/>
            <w:tcBorders>
              <w:top w:val="single" w:sz="4" w:space="0" w:color="auto"/>
            </w:tcBorders>
          </w:tcPr>
          <w:p w14:paraId="22C2894A" w14:textId="3C195B1E" w:rsidR="00C939B5" w:rsidRPr="001E5A60" w:rsidRDefault="00C939B5" w:rsidP="00C939B5">
            <w:pPr>
              <w:cnfStyle w:val="000000100000" w:firstRow="0" w:lastRow="0" w:firstColumn="0" w:lastColumn="0" w:oddVBand="0" w:evenVBand="0" w:oddHBand="1" w:evenHBand="0" w:firstRowFirstColumn="0" w:firstRowLastColumn="0" w:lastRowFirstColumn="0" w:lastRowLastColumn="0"/>
            </w:pPr>
            <w:r>
              <w:t>Left Frontal</w:t>
            </w:r>
          </w:p>
        </w:tc>
        <w:tc>
          <w:tcPr>
            <w:tcW w:w="767" w:type="pct"/>
            <w:tcBorders>
              <w:top w:val="single" w:sz="4" w:space="0" w:color="auto"/>
            </w:tcBorders>
          </w:tcPr>
          <w:p w14:paraId="1C19B25B" w14:textId="7B607A8A"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.06</w:t>
            </w:r>
          </w:p>
        </w:tc>
        <w:tc>
          <w:tcPr>
            <w:tcW w:w="767" w:type="pct"/>
            <w:tcBorders>
              <w:top w:val="single" w:sz="4" w:space="0" w:color="auto"/>
            </w:tcBorders>
          </w:tcPr>
          <w:p w14:paraId="20DBFD34" w14:textId="056151E7"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0.22</w:t>
            </w:r>
          </w:p>
        </w:tc>
        <w:tc>
          <w:tcPr>
            <w:tcW w:w="766" w:type="pct"/>
            <w:tcBorders>
              <w:top w:val="single" w:sz="4" w:space="0" w:color="auto"/>
            </w:tcBorders>
          </w:tcPr>
          <w:p w14:paraId="328D6F33" w14:textId="523BA679" w:rsidR="00C939B5" w:rsidRPr="001E5A60" w:rsidRDefault="00552DA5" w:rsidP="00C939B5">
            <w:pPr>
              <w:cnfStyle w:val="000000100000" w:firstRow="0" w:lastRow="0" w:firstColumn="0" w:lastColumn="0" w:oddVBand="0" w:evenVBand="0" w:oddHBand="1" w:evenHBand="0" w:firstRowFirstColumn="0" w:firstRowLastColumn="0" w:lastRowFirstColumn="0" w:lastRowLastColumn="0"/>
            </w:pPr>
            <w:r>
              <w:t>-.266</w:t>
            </w:r>
          </w:p>
        </w:tc>
        <w:tc>
          <w:tcPr>
            <w:tcW w:w="764" w:type="pct"/>
            <w:tcBorders>
              <w:top w:val="single" w:sz="4" w:space="0" w:color="auto"/>
            </w:tcBorders>
          </w:tcPr>
          <w:p w14:paraId="5F21B581" w14:textId="3D17DFFF" w:rsidR="00C939B5" w:rsidRDefault="00552DA5" w:rsidP="00C939B5">
            <w:pPr>
              <w:cnfStyle w:val="000000100000" w:firstRow="0" w:lastRow="0" w:firstColumn="0" w:lastColumn="0" w:oddVBand="0" w:evenVBand="0" w:oddHBand="1" w:evenHBand="0" w:firstRowFirstColumn="0" w:firstRowLastColumn="0" w:lastRowFirstColumn="0" w:lastRowLastColumn="0"/>
            </w:pPr>
            <w:r>
              <w:t>.373</w:t>
            </w:r>
          </w:p>
        </w:tc>
      </w:tr>
      <w:tr w:rsidR="00C939B5" w:rsidRPr="009B17B6" w14:paraId="7695A645" w14:textId="2B3CFDDE" w:rsidTr="00C939B5">
        <w:trPr>
          <w:trHeight w:val="710"/>
        </w:trPr>
        <w:tc>
          <w:tcPr>
            <w:cnfStyle w:val="001000000000" w:firstRow="0" w:lastRow="0" w:firstColumn="1" w:lastColumn="0" w:oddVBand="0" w:evenVBand="0" w:oddHBand="0" w:evenHBand="0" w:firstRowFirstColumn="0" w:firstRowLastColumn="0" w:lastRowFirstColumn="0" w:lastRowLastColumn="0"/>
            <w:tcW w:w="929" w:type="pct"/>
          </w:tcPr>
          <w:p w14:paraId="650B5540" w14:textId="77777777" w:rsidR="00C939B5" w:rsidRPr="00CA3DC0" w:rsidRDefault="00C939B5" w:rsidP="00C939B5">
            <w:pPr>
              <w:spacing w:line="360" w:lineRule="auto"/>
              <w:rPr>
                <w:color w:val="000000"/>
                <w:bdr w:val="none" w:sz="0" w:space="0" w:color="auto" w:frame="1"/>
              </w:rPr>
            </w:pPr>
          </w:p>
        </w:tc>
        <w:tc>
          <w:tcPr>
            <w:tcW w:w="240" w:type="pct"/>
          </w:tcPr>
          <w:p w14:paraId="7ED26DA9" w14:textId="6F095977" w:rsidR="00C939B5" w:rsidRPr="00CA3DC0"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767" w:type="pct"/>
          </w:tcPr>
          <w:p w14:paraId="69C5DE6F" w14:textId="33C9511C" w:rsidR="00C939B5" w:rsidRPr="00CA3DC0"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t>Right Frontal</w:t>
            </w:r>
          </w:p>
        </w:tc>
        <w:tc>
          <w:tcPr>
            <w:tcW w:w="767" w:type="pct"/>
          </w:tcPr>
          <w:p w14:paraId="66F333D8" w14:textId="5E7FC0EB"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.11</w:t>
            </w:r>
          </w:p>
        </w:tc>
        <w:tc>
          <w:tcPr>
            <w:tcW w:w="767" w:type="pct"/>
          </w:tcPr>
          <w:p w14:paraId="1B18D869" w14:textId="53F9E712"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0.25</w:t>
            </w:r>
          </w:p>
        </w:tc>
        <w:tc>
          <w:tcPr>
            <w:tcW w:w="766" w:type="pct"/>
          </w:tcPr>
          <w:p w14:paraId="2333000D" w14:textId="5F37B744"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-.226</w:t>
            </w:r>
          </w:p>
        </w:tc>
        <w:tc>
          <w:tcPr>
            <w:tcW w:w="764" w:type="pct"/>
          </w:tcPr>
          <w:p w14:paraId="5DE3E59E" w14:textId="04F8FD67" w:rsidR="00C939B5"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.409</w:t>
            </w:r>
          </w:p>
        </w:tc>
      </w:tr>
      <w:tr w:rsidR="00C939B5" w:rsidRPr="009B17B6" w14:paraId="08BCE650" w14:textId="0AECD28A" w:rsidTr="00C939B5">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929" w:type="pct"/>
            <w:hideMark/>
          </w:tcPr>
          <w:p w14:paraId="6618A411" w14:textId="56B41FF4" w:rsidR="00C939B5" w:rsidRPr="00CA3DC0" w:rsidRDefault="00C939B5" w:rsidP="00C939B5">
            <w:pPr>
              <w:spacing w:line="360" w:lineRule="auto"/>
              <w:rPr>
                <w:b w:val="0"/>
                <w:bCs w:val="0"/>
                <w:color w:val="000000"/>
              </w:rPr>
            </w:pPr>
          </w:p>
        </w:tc>
        <w:tc>
          <w:tcPr>
            <w:tcW w:w="240" w:type="pct"/>
          </w:tcPr>
          <w:p w14:paraId="5A5B1BE2" w14:textId="54BA21AA" w:rsidR="00C939B5" w:rsidRPr="00CA3DC0" w:rsidRDefault="00C939B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767" w:type="pct"/>
          </w:tcPr>
          <w:p w14:paraId="744982AB" w14:textId="4D397663" w:rsidR="00C939B5" w:rsidRPr="00825402" w:rsidRDefault="00C939B5" w:rsidP="00C939B5">
            <w:pPr>
              <w:cnfStyle w:val="000000100000" w:firstRow="0" w:lastRow="0" w:firstColumn="0" w:lastColumn="0" w:oddVBand="0" w:evenVBand="0" w:oddHBand="1" w:evenHBand="0" w:firstRowFirstColumn="0" w:firstRowLastColumn="0" w:lastRowFirstColumn="0" w:lastRowLastColumn="0"/>
            </w:pPr>
            <w:r>
              <w:t xml:space="preserve">Left Centroparietal </w:t>
            </w:r>
          </w:p>
        </w:tc>
        <w:tc>
          <w:tcPr>
            <w:tcW w:w="767" w:type="pct"/>
          </w:tcPr>
          <w:p w14:paraId="4326C498" w14:textId="7EAB3E86" w:rsidR="00C939B5" w:rsidRPr="00825402" w:rsidRDefault="00552DA5" w:rsidP="00C939B5">
            <w:pPr>
              <w:cnfStyle w:val="000000100000" w:firstRow="0" w:lastRow="0" w:firstColumn="0" w:lastColumn="0" w:oddVBand="0" w:evenVBand="0" w:oddHBand="1" w:evenHBand="0" w:firstRowFirstColumn="0" w:firstRowLastColumn="0" w:lastRowFirstColumn="0" w:lastRowLastColumn="0"/>
            </w:pPr>
            <w:r>
              <w:t>.16</w:t>
            </w:r>
          </w:p>
        </w:tc>
        <w:tc>
          <w:tcPr>
            <w:tcW w:w="767" w:type="pct"/>
          </w:tcPr>
          <w:p w14:paraId="4150D967" w14:textId="7C8F13AE" w:rsidR="00C939B5" w:rsidRPr="00825402" w:rsidRDefault="00552DA5" w:rsidP="00C939B5">
            <w:pPr>
              <w:cnfStyle w:val="000000100000" w:firstRow="0" w:lastRow="0" w:firstColumn="0" w:lastColumn="0" w:oddVBand="0" w:evenVBand="0" w:oddHBand="1" w:evenHBand="0" w:firstRowFirstColumn="0" w:firstRowLastColumn="0" w:lastRowFirstColumn="0" w:lastRowLastColumn="0"/>
            </w:pPr>
            <w:r>
              <w:t>0.32</w:t>
            </w:r>
          </w:p>
        </w:tc>
        <w:tc>
          <w:tcPr>
            <w:tcW w:w="766" w:type="pct"/>
          </w:tcPr>
          <w:p w14:paraId="55B12A9F" w14:textId="40C38906" w:rsidR="00C939B5" w:rsidRPr="00825402" w:rsidRDefault="00552DA5" w:rsidP="00C939B5">
            <w:pPr>
              <w:cnfStyle w:val="000000100000" w:firstRow="0" w:lastRow="0" w:firstColumn="0" w:lastColumn="0" w:oddVBand="0" w:evenVBand="0" w:oddHBand="1" w:evenHBand="0" w:firstRowFirstColumn="0" w:firstRowLastColumn="0" w:lastRowFirstColumn="0" w:lastRowLastColumn="0"/>
            </w:pPr>
            <w:r>
              <w:t>-.175</w:t>
            </w:r>
          </w:p>
        </w:tc>
        <w:tc>
          <w:tcPr>
            <w:tcW w:w="764" w:type="pct"/>
          </w:tcPr>
          <w:p w14:paraId="3A55C070" w14:textId="188A21F4" w:rsidR="00C939B5" w:rsidRDefault="00552DA5" w:rsidP="00C939B5">
            <w:pPr>
              <w:cnfStyle w:val="000000100000" w:firstRow="0" w:lastRow="0" w:firstColumn="0" w:lastColumn="0" w:oddVBand="0" w:evenVBand="0" w:oddHBand="1" w:evenHBand="0" w:firstRowFirstColumn="0" w:firstRowLastColumn="0" w:lastRowFirstColumn="0" w:lastRowLastColumn="0"/>
            </w:pPr>
            <w:r>
              <w:t>.452</w:t>
            </w:r>
          </w:p>
        </w:tc>
      </w:tr>
      <w:tr w:rsidR="00C939B5" w:rsidRPr="009B17B6" w14:paraId="7AC89892" w14:textId="06C46D65" w:rsidTr="00C939B5">
        <w:trPr>
          <w:trHeight w:val="710"/>
        </w:trPr>
        <w:tc>
          <w:tcPr>
            <w:cnfStyle w:val="001000000000" w:firstRow="0" w:lastRow="0" w:firstColumn="1" w:lastColumn="0" w:oddVBand="0" w:evenVBand="0" w:oddHBand="0" w:evenHBand="0" w:firstRowFirstColumn="0" w:firstRowLastColumn="0" w:lastRowFirstColumn="0" w:lastRowLastColumn="0"/>
            <w:tcW w:w="929" w:type="pct"/>
          </w:tcPr>
          <w:p w14:paraId="51DC48A7" w14:textId="77777777" w:rsidR="00C939B5" w:rsidRPr="00CA3DC0" w:rsidRDefault="00C939B5" w:rsidP="00C939B5">
            <w:pPr>
              <w:spacing w:line="360" w:lineRule="auto"/>
              <w:rPr>
                <w:color w:val="000000"/>
              </w:rPr>
            </w:pPr>
          </w:p>
        </w:tc>
        <w:tc>
          <w:tcPr>
            <w:tcW w:w="240" w:type="pct"/>
          </w:tcPr>
          <w:p w14:paraId="0ADC1459" w14:textId="03AA6548" w:rsidR="00C939B5" w:rsidRPr="00CA3DC0"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767" w:type="pct"/>
          </w:tcPr>
          <w:p w14:paraId="38056077" w14:textId="307F9E4A" w:rsidR="00C939B5" w:rsidRPr="00CA3DC0"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t>Right Centroparietal</w:t>
            </w:r>
          </w:p>
        </w:tc>
        <w:tc>
          <w:tcPr>
            <w:tcW w:w="767" w:type="pct"/>
          </w:tcPr>
          <w:p w14:paraId="41528FAB" w14:textId="42F56CC3"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-.04</w:t>
            </w:r>
          </w:p>
        </w:tc>
        <w:tc>
          <w:tcPr>
            <w:tcW w:w="767" w:type="pct"/>
          </w:tcPr>
          <w:p w14:paraId="175E762E" w14:textId="0625C7FD"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0.22</w:t>
            </w:r>
          </w:p>
        </w:tc>
        <w:tc>
          <w:tcPr>
            <w:tcW w:w="766" w:type="pct"/>
          </w:tcPr>
          <w:p w14:paraId="1DE87B22" w14:textId="39081149"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-.358</w:t>
            </w:r>
          </w:p>
        </w:tc>
        <w:tc>
          <w:tcPr>
            <w:tcW w:w="764" w:type="pct"/>
          </w:tcPr>
          <w:p w14:paraId="38A573F7" w14:textId="5F198F24" w:rsidR="00C939B5"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.282</w:t>
            </w:r>
          </w:p>
        </w:tc>
      </w:tr>
      <w:tr w:rsidR="00C939B5" w:rsidRPr="009B17B6" w14:paraId="2570626E" w14:textId="77777777" w:rsidTr="00C939B5">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929" w:type="pct"/>
          </w:tcPr>
          <w:p w14:paraId="3C5C3E80" w14:textId="573ACAB3" w:rsidR="00C939B5" w:rsidRPr="00CA3DC0" w:rsidRDefault="00C939B5" w:rsidP="00C939B5">
            <w:pPr>
              <w:spacing w:line="360" w:lineRule="auto"/>
              <w:rPr>
                <w:color w:val="000000"/>
              </w:rPr>
            </w:pPr>
            <w:r>
              <w:rPr>
                <w:b w:val="0"/>
                <w:bCs w:val="0"/>
                <w:color w:val="000000"/>
              </w:rPr>
              <w:t>Weight preoccupation cluster</w:t>
            </w:r>
          </w:p>
        </w:tc>
        <w:tc>
          <w:tcPr>
            <w:tcW w:w="240" w:type="pct"/>
          </w:tcPr>
          <w:p w14:paraId="39D69ADA" w14:textId="3AFC2B90" w:rsidR="00C939B5" w:rsidRPr="00CA3DC0" w:rsidRDefault="00C939B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767" w:type="pct"/>
          </w:tcPr>
          <w:p w14:paraId="78FF7BAD" w14:textId="3DBCD695" w:rsidR="00C939B5" w:rsidRDefault="00C939B5" w:rsidP="00C939B5">
            <w:pPr>
              <w:spacing w:line="360" w:lineRule="auto"/>
              <w:cnfStyle w:val="000000100000" w:firstRow="0" w:lastRow="0" w:firstColumn="0" w:lastColumn="0" w:oddVBand="0" w:evenVBand="0" w:oddHBand="1" w:evenHBand="0" w:firstRowFirstColumn="0" w:firstRowLastColumn="0" w:lastRowFirstColumn="0" w:lastRowLastColumn="0"/>
            </w:pPr>
            <w:r>
              <w:t>Left Frontal</w:t>
            </w:r>
          </w:p>
        </w:tc>
        <w:tc>
          <w:tcPr>
            <w:tcW w:w="767" w:type="pct"/>
          </w:tcPr>
          <w:p w14:paraId="7C389DEB" w14:textId="1A5A8CF0"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.11</w:t>
            </w:r>
          </w:p>
        </w:tc>
        <w:tc>
          <w:tcPr>
            <w:tcW w:w="767" w:type="pct"/>
          </w:tcPr>
          <w:p w14:paraId="230F4D2A" w14:textId="00AAFFD3"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0.26</w:t>
            </w:r>
          </w:p>
        </w:tc>
        <w:tc>
          <w:tcPr>
            <w:tcW w:w="766" w:type="pct"/>
          </w:tcPr>
          <w:p w14:paraId="1D10036D" w14:textId="67CC9238"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-.217</w:t>
            </w:r>
          </w:p>
        </w:tc>
        <w:tc>
          <w:tcPr>
            <w:tcW w:w="764" w:type="pct"/>
          </w:tcPr>
          <w:p w14:paraId="0A6024CC" w14:textId="2595EA5D" w:rsidR="00C939B5"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.417</w:t>
            </w:r>
          </w:p>
        </w:tc>
      </w:tr>
      <w:tr w:rsidR="00C939B5" w:rsidRPr="009B17B6" w14:paraId="7455DEF9" w14:textId="77777777" w:rsidTr="00C939B5">
        <w:trPr>
          <w:trHeight w:val="710"/>
        </w:trPr>
        <w:tc>
          <w:tcPr>
            <w:cnfStyle w:val="001000000000" w:firstRow="0" w:lastRow="0" w:firstColumn="1" w:lastColumn="0" w:oddVBand="0" w:evenVBand="0" w:oddHBand="0" w:evenHBand="0" w:firstRowFirstColumn="0" w:firstRowLastColumn="0" w:lastRowFirstColumn="0" w:lastRowLastColumn="0"/>
            <w:tcW w:w="929" w:type="pct"/>
          </w:tcPr>
          <w:p w14:paraId="50F96431" w14:textId="77777777" w:rsidR="00C939B5" w:rsidRPr="00CA3DC0" w:rsidRDefault="00C939B5" w:rsidP="00C939B5">
            <w:pPr>
              <w:spacing w:line="360" w:lineRule="auto"/>
              <w:rPr>
                <w:color w:val="000000"/>
              </w:rPr>
            </w:pPr>
          </w:p>
        </w:tc>
        <w:tc>
          <w:tcPr>
            <w:tcW w:w="240" w:type="pct"/>
          </w:tcPr>
          <w:p w14:paraId="0A858C2A" w14:textId="771FF3D3" w:rsidR="00C939B5" w:rsidRPr="00CA3DC0"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767" w:type="pct"/>
          </w:tcPr>
          <w:p w14:paraId="405EE200" w14:textId="1080D57E" w:rsidR="00C939B5"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pPr>
            <w:r>
              <w:t>Right Frontal</w:t>
            </w:r>
          </w:p>
        </w:tc>
        <w:tc>
          <w:tcPr>
            <w:tcW w:w="767" w:type="pct"/>
          </w:tcPr>
          <w:p w14:paraId="1311036D" w14:textId="021BB681"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.13</w:t>
            </w:r>
          </w:p>
        </w:tc>
        <w:tc>
          <w:tcPr>
            <w:tcW w:w="767" w:type="pct"/>
          </w:tcPr>
          <w:p w14:paraId="0EBD35E2" w14:textId="51D697CC"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0.28</w:t>
            </w:r>
          </w:p>
        </w:tc>
        <w:tc>
          <w:tcPr>
            <w:tcW w:w="766" w:type="pct"/>
          </w:tcPr>
          <w:p w14:paraId="0BC8C4F2" w14:textId="27E9129F"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-.201</w:t>
            </w:r>
          </w:p>
        </w:tc>
        <w:tc>
          <w:tcPr>
            <w:tcW w:w="764" w:type="pct"/>
          </w:tcPr>
          <w:p w14:paraId="303820FA" w14:textId="7E8C3421" w:rsidR="00C939B5"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.431</w:t>
            </w:r>
          </w:p>
        </w:tc>
      </w:tr>
      <w:tr w:rsidR="00C939B5" w:rsidRPr="009B17B6" w14:paraId="6AEB97EB" w14:textId="77777777" w:rsidTr="00C939B5">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929" w:type="pct"/>
          </w:tcPr>
          <w:p w14:paraId="40B8AEEF" w14:textId="77777777" w:rsidR="00C939B5" w:rsidRPr="00CA3DC0" w:rsidRDefault="00C939B5" w:rsidP="00C939B5">
            <w:pPr>
              <w:spacing w:line="360" w:lineRule="auto"/>
              <w:rPr>
                <w:color w:val="000000"/>
              </w:rPr>
            </w:pPr>
          </w:p>
        </w:tc>
        <w:tc>
          <w:tcPr>
            <w:tcW w:w="240" w:type="pct"/>
          </w:tcPr>
          <w:p w14:paraId="081BE038" w14:textId="1FD9CE8E" w:rsidR="00C939B5" w:rsidRPr="00CA3DC0" w:rsidRDefault="00C939B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767" w:type="pct"/>
          </w:tcPr>
          <w:p w14:paraId="30756C35" w14:textId="398B0190" w:rsidR="00C939B5" w:rsidRDefault="00C939B5" w:rsidP="00C939B5">
            <w:pPr>
              <w:spacing w:line="360" w:lineRule="auto"/>
              <w:cnfStyle w:val="000000100000" w:firstRow="0" w:lastRow="0" w:firstColumn="0" w:lastColumn="0" w:oddVBand="0" w:evenVBand="0" w:oddHBand="1" w:evenHBand="0" w:firstRowFirstColumn="0" w:firstRowLastColumn="0" w:lastRowFirstColumn="0" w:lastRowLastColumn="0"/>
            </w:pPr>
            <w:r>
              <w:t xml:space="preserve">Left Centroparietal </w:t>
            </w:r>
          </w:p>
        </w:tc>
        <w:tc>
          <w:tcPr>
            <w:tcW w:w="767" w:type="pct"/>
          </w:tcPr>
          <w:p w14:paraId="23C4F902" w14:textId="05EFE8ED"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.29</w:t>
            </w:r>
          </w:p>
        </w:tc>
        <w:tc>
          <w:tcPr>
            <w:tcW w:w="767" w:type="pct"/>
          </w:tcPr>
          <w:p w14:paraId="56918DB4" w14:textId="0E115391"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0.83</w:t>
            </w:r>
          </w:p>
        </w:tc>
        <w:tc>
          <w:tcPr>
            <w:tcW w:w="766" w:type="pct"/>
          </w:tcPr>
          <w:p w14:paraId="28F61346" w14:textId="351E79F5" w:rsidR="00C939B5" w:rsidRPr="00CA3DC0"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-.048</w:t>
            </w:r>
          </w:p>
        </w:tc>
        <w:tc>
          <w:tcPr>
            <w:tcW w:w="764" w:type="pct"/>
          </w:tcPr>
          <w:p w14:paraId="034E38F4" w14:textId="0F4DB3D8" w:rsidR="00C939B5" w:rsidRDefault="00552DA5" w:rsidP="00C939B5">
            <w:pPr>
              <w:spacing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.551</w:t>
            </w:r>
          </w:p>
        </w:tc>
      </w:tr>
      <w:tr w:rsidR="00C939B5" w:rsidRPr="009B17B6" w14:paraId="54D78FB4" w14:textId="77777777" w:rsidTr="00C939B5">
        <w:trPr>
          <w:trHeight w:val="710"/>
        </w:trPr>
        <w:tc>
          <w:tcPr>
            <w:cnfStyle w:val="001000000000" w:firstRow="0" w:lastRow="0" w:firstColumn="1" w:lastColumn="0" w:oddVBand="0" w:evenVBand="0" w:oddHBand="0" w:evenHBand="0" w:firstRowFirstColumn="0" w:firstRowLastColumn="0" w:lastRowFirstColumn="0" w:lastRowLastColumn="0"/>
            <w:tcW w:w="929" w:type="pct"/>
            <w:tcBorders>
              <w:bottom w:val="single" w:sz="4" w:space="0" w:color="auto"/>
            </w:tcBorders>
          </w:tcPr>
          <w:p w14:paraId="696A7117" w14:textId="77777777" w:rsidR="00C939B5" w:rsidRPr="00CA3DC0" w:rsidRDefault="00C939B5" w:rsidP="00C939B5">
            <w:pPr>
              <w:spacing w:line="360" w:lineRule="auto"/>
              <w:rPr>
                <w:color w:val="000000"/>
              </w:rPr>
            </w:pPr>
          </w:p>
        </w:tc>
        <w:tc>
          <w:tcPr>
            <w:tcW w:w="240" w:type="pct"/>
            <w:tcBorders>
              <w:bottom w:val="single" w:sz="4" w:space="0" w:color="auto"/>
            </w:tcBorders>
          </w:tcPr>
          <w:p w14:paraId="3381712C" w14:textId="01D5DC74" w:rsidR="00C939B5" w:rsidRPr="00CA3DC0"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767" w:type="pct"/>
            <w:tcBorders>
              <w:bottom w:val="single" w:sz="4" w:space="0" w:color="auto"/>
            </w:tcBorders>
          </w:tcPr>
          <w:p w14:paraId="07DF7B75" w14:textId="24C7D365" w:rsidR="00C939B5" w:rsidRDefault="00C939B5" w:rsidP="00C939B5">
            <w:pPr>
              <w:spacing w:line="360" w:lineRule="auto"/>
              <w:cnfStyle w:val="000000000000" w:firstRow="0" w:lastRow="0" w:firstColumn="0" w:lastColumn="0" w:oddVBand="0" w:evenVBand="0" w:oddHBand="0" w:evenHBand="0" w:firstRowFirstColumn="0" w:firstRowLastColumn="0" w:lastRowFirstColumn="0" w:lastRowLastColumn="0"/>
            </w:pPr>
            <w:r>
              <w:t>Right Centroparietal</w:t>
            </w:r>
          </w:p>
        </w:tc>
        <w:tc>
          <w:tcPr>
            <w:tcW w:w="767" w:type="pct"/>
            <w:tcBorders>
              <w:bottom w:val="single" w:sz="4" w:space="0" w:color="auto"/>
            </w:tcBorders>
          </w:tcPr>
          <w:p w14:paraId="238FDC25" w14:textId="1AF7729A"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.17</w:t>
            </w:r>
          </w:p>
        </w:tc>
        <w:tc>
          <w:tcPr>
            <w:tcW w:w="767" w:type="pct"/>
            <w:tcBorders>
              <w:bottom w:val="single" w:sz="4" w:space="0" w:color="auto"/>
            </w:tcBorders>
          </w:tcPr>
          <w:p w14:paraId="60FD4A76" w14:textId="48549E31"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0.33</w:t>
            </w:r>
          </w:p>
        </w:tc>
        <w:tc>
          <w:tcPr>
            <w:tcW w:w="766" w:type="pct"/>
            <w:tcBorders>
              <w:bottom w:val="single" w:sz="4" w:space="0" w:color="auto"/>
            </w:tcBorders>
          </w:tcPr>
          <w:p w14:paraId="701E7498" w14:textId="0F48504E" w:rsidR="00C939B5" w:rsidRPr="00CA3DC0"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-.166</w:t>
            </w:r>
          </w:p>
        </w:tc>
        <w:tc>
          <w:tcPr>
            <w:tcW w:w="764" w:type="pct"/>
            <w:tcBorders>
              <w:bottom w:val="single" w:sz="4" w:space="0" w:color="auto"/>
            </w:tcBorders>
          </w:tcPr>
          <w:p w14:paraId="5B6BE25A" w14:textId="5FB8FB7E" w:rsidR="00C939B5" w:rsidRDefault="00552DA5" w:rsidP="00C939B5">
            <w:pPr>
              <w:spacing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.460</w:t>
            </w:r>
          </w:p>
        </w:tc>
      </w:tr>
    </w:tbl>
    <w:p w14:paraId="6847061D" w14:textId="252FA433" w:rsidR="006867A8" w:rsidRDefault="001E5A60">
      <w:r w:rsidRPr="001E5A60">
        <w:rPr>
          <w:i/>
          <w:iCs/>
        </w:rPr>
        <w:t xml:space="preserve">Note. </w:t>
      </w:r>
      <w:r>
        <w:t>HEP = Heartbeat evoked potential</w:t>
      </w:r>
      <w:r w:rsidR="00C939B5">
        <w:t>; ROI = region of interest</w:t>
      </w:r>
      <w:r>
        <w:t xml:space="preserve">. All </w:t>
      </w:r>
      <w:r>
        <w:rPr>
          <w:i/>
          <w:iCs/>
        </w:rPr>
        <w:t>p</w:t>
      </w:r>
      <w:r w:rsidR="00E80A55">
        <w:rPr>
          <w:i/>
          <w:iCs/>
        </w:rPr>
        <w:t xml:space="preserve"> </w:t>
      </w:r>
      <w:r w:rsidR="00E80A55">
        <w:t>value</w:t>
      </w:r>
      <w:r>
        <w:t xml:space="preserve">s </w:t>
      </w:r>
      <w:r w:rsidR="00E80A55">
        <w:t>≥</w:t>
      </w:r>
      <w:r>
        <w:t xml:space="preserve"> .090.</w:t>
      </w:r>
      <w:r w:rsidR="00513AC8">
        <w:t xml:space="preserve"> </w:t>
      </w:r>
    </w:p>
    <w:p w14:paraId="191675D1" w14:textId="77777777" w:rsidR="006867A8" w:rsidRDefault="006867A8">
      <w:r>
        <w:br w:type="page"/>
      </w:r>
    </w:p>
    <w:p w14:paraId="78B51F8B" w14:textId="3606D075" w:rsidR="00EA49E1" w:rsidRDefault="006867A8" w:rsidP="00E80A55">
      <w:pPr>
        <w:spacing w:line="360" w:lineRule="auto"/>
      </w:pPr>
      <w:r>
        <w:lastRenderedPageBreak/>
        <w:t>Supplementary Table 3.</w:t>
      </w:r>
    </w:p>
    <w:p w14:paraId="1572691B" w14:textId="6CC5DEEA" w:rsidR="006867A8" w:rsidRDefault="006867A8" w:rsidP="00E80A55">
      <w:pPr>
        <w:spacing w:line="360" w:lineRule="auto"/>
      </w:pPr>
      <w:r>
        <w:rPr>
          <w:i/>
          <w:iCs/>
        </w:rPr>
        <w:t>Bayesian Pearson Correlations between Body Mass Index</w:t>
      </w:r>
      <w:r w:rsidR="002F7F93">
        <w:rPr>
          <w:i/>
          <w:iCs/>
        </w:rPr>
        <w:t>, Age, and the Body Image and Electrophysiological indices.</w:t>
      </w:r>
    </w:p>
    <w:tbl>
      <w:tblPr>
        <w:tblStyle w:val="PlainTable4"/>
        <w:tblW w:w="5000" w:type="pct"/>
        <w:tblLook w:val="04A0" w:firstRow="1" w:lastRow="0" w:firstColumn="1" w:lastColumn="0" w:noHBand="0" w:noVBand="1"/>
      </w:tblPr>
      <w:tblGrid>
        <w:gridCol w:w="1559"/>
        <w:gridCol w:w="297"/>
        <w:gridCol w:w="3574"/>
        <w:gridCol w:w="2136"/>
        <w:gridCol w:w="2136"/>
        <w:gridCol w:w="2133"/>
        <w:gridCol w:w="2125"/>
      </w:tblGrid>
      <w:tr w:rsidR="00BC2E31" w:rsidRPr="00090702" w14:paraId="2D335978" w14:textId="77777777" w:rsidTr="00BC2E31">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Borders>
              <w:top w:val="single" w:sz="4" w:space="0" w:color="auto"/>
              <w:bottom w:val="single" w:sz="4" w:space="0" w:color="auto"/>
            </w:tcBorders>
          </w:tcPr>
          <w:p w14:paraId="5A4833D8" w14:textId="02FB4EDE" w:rsidR="006867A8" w:rsidRPr="00CA3DC0" w:rsidRDefault="002F7F93" w:rsidP="00E80A55">
            <w:pPr>
              <w:spacing w:line="276" w:lineRule="auto"/>
              <w:rPr>
                <w:b w:val="0"/>
                <w:bCs w:val="0"/>
                <w:color w:val="000000"/>
                <w:bdr w:val="none" w:sz="0" w:space="0" w:color="auto" w:frame="1"/>
              </w:rPr>
            </w:pPr>
            <w:r>
              <w:rPr>
                <w:b w:val="0"/>
                <w:bCs w:val="0"/>
                <w:color w:val="000000"/>
                <w:bdr w:val="none" w:sz="0" w:space="0" w:color="auto" w:frame="1"/>
              </w:rPr>
              <w:t>Demographic variable</w:t>
            </w:r>
          </w:p>
        </w:tc>
        <w:tc>
          <w:tcPr>
            <w:tcW w:w="106" w:type="pct"/>
            <w:tcBorders>
              <w:top w:val="single" w:sz="4" w:space="0" w:color="auto"/>
              <w:bottom w:val="single" w:sz="4" w:space="0" w:color="auto"/>
            </w:tcBorders>
          </w:tcPr>
          <w:p w14:paraId="1EF9D7D0" w14:textId="77777777" w:rsidR="006867A8" w:rsidRPr="00CA3DC0" w:rsidRDefault="006867A8" w:rsidP="00E80A55">
            <w:pPr>
              <w:spacing w:line="276" w:lineRule="auto"/>
              <w:cnfStyle w:val="100000000000" w:firstRow="1" w:lastRow="0" w:firstColumn="0" w:lastColumn="0" w:oddVBand="0" w:evenVBand="0" w:oddHBand="0" w:evenHBand="0" w:firstRowFirstColumn="0" w:firstRowLastColumn="0" w:lastRowFirstColumn="0" w:lastRowLastColumn="0"/>
              <w:rPr>
                <w:b w:val="0"/>
                <w:bCs w:val="0"/>
              </w:rPr>
            </w:pPr>
          </w:p>
        </w:tc>
        <w:tc>
          <w:tcPr>
            <w:tcW w:w="1280" w:type="pct"/>
            <w:tcBorders>
              <w:top w:val="single" w:sz="4" w:space="0" w:color="auto"/>
              <w:bottom w:val="single" w:sz="4" w:space="0" w:color="auto"/>
            </w:tcBorders>
          </w:tcPr>
          <w:p w14:paraId="71D90114" w14:textId="4E2996E8" w:rsidR="006867A8" w:rsidRPr="00CA3DC0" w:rsidRDefault="002F7F93" w:rsidP="00E80A55">
            <w:pPr>
              <w:spacing w:line="276"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Study variable</w:t>
            </w:r>
          </w:p>
        </w:tc>
        <w:tc>
          <w:tcPr>
            <w:tcW w:w="765" w:type="pct"/>
            <w:tcBorders>
              <w:top w:val="single" w:sz="4" w:space="0" w:color="auto"/>
              <w:bottom w:val="single" w:sz="4" w:space="0" w:color="auto"/>
            </w:tcBorders>
          </w:tcPr>
          <w:p w14:paraId="2D0B5726" w14:textId="77777777" w:rsidR="006867A8" w:rsidRPr="00CA3DC0" w:rsidRDefault="006867A8" w:rsidP="00E80A55">
            <w:pPr>
              <w:spacing w:line="276"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 xml:space="preserve">Pearson’s </w:t>
            </w:r>
            <w:r>
              <w:rPr>
                <w:b w:val="0"/>
                <w:bCs w:val="0"/>
                <w:i/>
                <w:iCs/>
              </w:rPr>
              <w:t>r</w:t>
            </w:r>
          </w:p>
        </w:tc>
        <w:tc>
          <w:tcPr>
            <w:tcW w:w="765" w:type="pct"/>
            <w:tcBorders>
              <w:top w:val="single" w:sz="4" w:space="0" w:color="auto"/>
              <w:bottom w:val="single" w:sz="4" w:space="0" w:color="auto"/>
            </w:tcBorders>
          </w:tcPr>
          <w:p w14:paraId="271B2273" w14:textId="77777777" w:rsidR="006867A8" w:rsidRPr="00CA3DC0" w:rsidRDefault="006867A8" w:rsidP="00E80A55">
            <w:pPr>
              <w:spacing w:line="276" w:lineRule="auto"/>
              <w:ind w:left="199"/>
              <w:cnfStyle w:val="100000000000" w:firstRow="1" w:lastRow="0" w:firstColumn="0" w:lastColumn="0" w:oddVBand="0" w:evenVBand="0" w:oddHBand="0" w:evenHBand="0" w:firstRowFirstColumn="0" w:firstRowLastColumn="0" w:lastRowFirstColumn="0" w:lastRowLastColumn="0"/>
              <w:rPr>
                <w:b w:val="0"/>
                <w:bCs w:val="0"/>
              </w:rPr>
            </w:pPr>
            <w:r>
              <w:rPr>
                <w:b w:val="0"/>
                <w:bCs w:val="0"/>
              </w:rPr>
              <w:t>BF</w:t>
            </w:r>
            <w:r>
              <w:rPr>
                <w:b w:val="0"/>
                <w:bCs w:val="0"/>
                <w:vertAlign w:val="subscript"/>
              </w:rPr>
              <w:t>10</w:t>
            </w:r>
          </w:p>
        </w:tc>
        <w:tc>
          <w:tcPr>
            <w:tcW w:w="764" w:type="pct"/>
            <w:tcBorders>
              <w:top w:val="single" w:sz="4" w:space="0" w:color="auto"/>
              <w:bottom w:val="single" w:sz="4" w:space="0" w:color="auto"/>
            </w:tcBorders>
          </w:tcPr>
          <w:p w14:paraId="570560DB" w14:textId="77777777" w:rsidR="006867A8" w:rsidRPr="00CA3DC0" w:rsidRDefault="006867A8" w:rsidP="00E80A55">
            <w:pPr>
              <w:spacing w:line="276" w:lineRule="auto"/>
              <w:ind w:left="193"/>
              <w:cnfStyle w:val="100000000000" w:firstRow="1" w:lastRow="0" w:firstColumn="0" w:lastColumn="0" w:oddVBand="0" w:evenVBand="0" w:oddHBand="0" w:evenHBand="0" w:firstRowFirstColumn="0" w:firstRowLastColumn="0" w:lastRowFirstColumn="0" w:lastRowLastColumn="0"/>
              <w:rPr>
                <w:b w:val="0"/>
                <w:bCs w:val="0"/>
              </w:rPr>
            </w:pPr>
            <w:r>
              <w:rPr>
                <w:b w:val="0"/>
                <w:bCs w:val="0"/>
              </w:rPr>
              <w:t>Lower 95% CI</w:t>
            </w:r>
          </w:p>
        </w:tc>
        <w:tc>
          <w:tcPr>
            <w:tcW w:w="761" w:type="pct"/>
            <w:tcBorders>
              <w:top w:val="single" w:sz="4" w:space="0" w:color="auto"/>
              <w:bottom w:val="single" w:sz="4" w:space="0" w:color="auto"/>
            </w:tcBorders>
          </w:tcPr>
          <w:p w14:paraId="04618B8D" w14:textId="77777777" w:rsidR="006867A8" w:rsidRDefault="006867A8" w:rsidP="00E80A55">
            <w:pPr>
              <w:spacing w:line="276" w:lineRule="auto"/>
              <w:ind w:left="193"/>
              <w:cnfStyle w:val="100000000000" w:firstRow="1" w:lastRow="0" w:firstColumn="0" w:lastColumn="0" w:oddVBand="0" w:evenVBand="0" w:oddHBand="0" w:evenHBand="0" w:firstRowFirstColumn="0" w:firstRowLastColumn="0" w:lastRowFirstColumn="0" w:lastRowLastColumn="0"/>
              <w:rPr>
                <w:b w:val="0"/>
                <w:bCs w:val="0"/>
              </w:rPr>
            </w:pPr>
            <w:r>
              <w:rPr>
                <w:b w:val="0"/>
                <w:bCs w:val="0"/>
              </w:rPr>
              <w:t>Upper 95% CI</w:t>
            </w:r>
          </w:p>
        </w:tc>
      </w:tr>
      <w:tr w:rsidR="00BC2E31" w:rsidRPr="009B17B6" w14:paraId="441D8E82"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Borders>
              <w:top w:val="single" w:sz="4" w:space="0" w:color="auto"/>
            </w:tcBorders>
            <w:hideMark/>
          </w:tcPr>
          <w:p w14:paraId="25FC21BE" w14:textId="3384862C" w:rsidR="006867A8" w:rsidRPr="00CA3DC0" w:rsidRDefault="006867A8" w:rsidP="00E80A55">
            <w:pPr>
              <w:spacing w:line="276" w:lineRule="auto"/>
              <w:rPr>
                <w:b w:val="0"/>
                <w:bCs w:val="0"/>
                <w:color w:val="000000"/>
              </w:rPr>
            </w:pPr>
            <w:r>
              <w:rPr>
                <w:b w:val="0"/>
                <w:bCs w:val="0"/>
                <w:color w:val="000000"/>
                <w:bdr w:val="none" w:sz="0" w:space="0" w:color="auto" w:frame="1"/>
              </w:rPr>
              <w:t xml:space="preserve">Body </w:t>
            </w:r>
            <w:r w:rsidR="002F7F93">
              <w:rPr>
                <w:b w:val="0"/>
                <w:bCs w:val="0"/>
                <w:color w:val="000000"/>
                <w:bdr w:val="none" w:sz="0" w:space="0" w:color="auto" w:frame="1"/>
              </w:rPr>
              <w:t>mass index</w:t>
            </w:r>
          </w:p>
        </w:tc>
        <w:tc>
          <w:tcPr>
            <w:tcW w:w="106" w:type="pct"/>
            <w:tcBorders>
              <w:top w:val="single" w:sz="4" w:space="0" w:color="auto"/>
            </w:tcBorders>
          </w:tcPr>
          <w:p w14:paraId="54A744FF" w14:textId="77777777" w:rsidR="006867A8" w:rsidRPr="00CA3DC0" w:rsidRDefault="006867A8"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Borders>
              <w:top w:val="single" w:sz="4" w:space="0" w:color="auto"/>
            </w:tcBorders>
          </w:tcPr>
          <w:p w14:paraId="300ED5B6" w14:textId="1791F75D" w:rsidR="006867A8" w:rsidRPr="001E5A60" w:rsidRDefault="002F7F93" w:rsidP="00E80A55">
            <w:pPr>
              <w:spacing w:line="276" w:lineRule="auto"/>
              <w:cnfStyle w:val="000000100000" w:firstRow="0" w:lastRow="0" w:firstColumn="0" w:lastColumn="0" w:oddVBand="0" w:evenVBand="0" w:oddHBand="1" w:evenHBand="0" w:firstRowFirstColumn="0" w:firstRowLastColumn="0" w:lastRowFirstColumn="0" w:lastRowLastColumn="0"/>
            </w:pPr>
            <w:r>
              <w:t>Age</w:t>
            </w:r>
          </w:p>
        </w:tc>
        <w:tc>
          <w:tcPr>
            <w:tcW w:w="765" w:type="pct"/>
            <w:tcBorders>
              <w:top w:val="single" w:sz="4" w:space="0" w:color="auto"/>
            </w:tcBorders>
          </w:tcPr>
          <w:p w14:paraId="4429703F" w14:textId="3BF69B93" w:rsidR="006867A8" w:rsidRPr="00CA3DC0"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.12</w:t>
            </w:r>
          </w:p>
        </w:tc>
        <w:tc>
          <w:tcPr>
            <w:tcW w:w="765" w:type="pct"/>
            <w:tcBorders>
              <w:top w:val="single" w:sz="4" w:space="0" w:color="auto"/>
            </w:tcBorders>
          </w:tcPr>
          <w:p w14:paraId="04C40585" w14:textId="1ADB9DAA" w:rsidR="006867A8"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bdr w:val="none" w:sz="0" w:space="0" w:color="auto" w:frame="1"/>
              </w:rPr>
            </w:pPr>
            <w:r>
              <w:rPr>
                <w:color w:val="000000" w:themeColor="text1"/>
                <w:bdr w:val="none" w:sz="0" w:space="0" w:color="auto" w:frame="1"/>
              </w:rPr>
              <w:t>0.26</w:t>
            </w:r>
          </w:p>
        </w:tc>
        <w:tc>
          <w:tcPr>
            <w:tcW w:w="764" w:type="pct"/>
            <w:tcBorders>
              <w:top w:val="single" w:sz="4" w:space="0" w:color="auto"/>
            </w:tcBorders>
          </w:tcPr>
          <w:p w14:paraId="6F14709E" w14:textId="7F658A5B" w:rsidR="006867A8" w:rsidRPr="001E5A6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pPr>
            <w:r>
              <w:t>-.209</w:t>
            </w:r>
          </w:p>
        </w:tc>
        <w:tc>
          <w:tcPr>
            <w:tcW w:w="761" w:type="pct"/>
            <w:tcBorders>
              <w:top w:val="single" w:sz="4" w:space="0" w:color="auto"/>
            </w:tcBorders>
          </w:tcPr>
          <w:p w14:paraId="7E314B2A" w14:textId="19D2C56C" w:rsidR="006867A8"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pPr>
            <w:r>
              <w:t>.416</w:t>
            </w:r>
          </w:p>
        </w:tc>
      </w:tr>
      <w:tr w:rsidR="00BC2E31" w:rsidRPr="009B17B6" w14:paraId="13C445F5"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3CF0DBA2" w14:textId="77777777" w:rsidR="006867A8" w:rsidRPr="00CA3DC0" w:rsidRDefault="006867A8" w:rsidP="00E80A55">
            <w:pPr>
              <w:spacing w:line="276" w:lineRule="auto"/>
              <w:rPr>
                <w:color w:val="000000"/>
                <w:bdr w:val="none" w:sz="0" w:space="0" w:color="auto" w:frame="1"/>
              </w:rPr>
            </w:pPr>
          </w:p>
        </w:tc>
        <w:tc>
          <w:tcPr>
            <w:tcW w:w="106" w:type="pct"/>
          </w:tcPr>
          <w:p w14:paraId="7F26977C" w14:textId="77777777" w:rsidR="006867A8" w:rsidRPr="00CA3DC0" w:rsidRDefault="006867A8"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068E74C0" w14:textId="00061F81" w:rsidR="006867A8" w:rsidRPr="00CA3DC0" w:rsidRDefault="002F7F93"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Body appreciation</w:t>
            </w:r>
          </w:p>
        </w:tc>
        <w:tc>
          <w:tcPr>
            <w:tcW w:w="765" w:type="pct"/>
          </w:tcPr>
          <w:p w14:paraId="2221913D" w14:textId="2FFDFBF7" w:rsidR="006867A8" w:rsidRPr="00CA3DC0"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-.23</w:t>
            </w:r>
          </w:p>
        </w:tc>
        <w:tc>
          <w:tcPr>
            <w:tcW w:w="765" w:type="pct"/>
          </w:tcPr>
          <w:p w14:paraId="7CCDA06E" w14:textId="3EC78A72" w:rsidR="006867A8"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0.51</w:t>
            </w:r>
          </w:p>
        </w:tc>
        <w:tc>
          <w:tcPr>
            <w:tcW w:w="764" w:type="pct"/>
          </w:tcPr>
          <w:p w14:paraId="7790A2E7" w14:textId="1CFD42DE" w:rsidR="006867A8"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-.504</w:t>
            </w:r>
          </w:p>
        </w:tc>
        <w:tc>
          <w:tcPr>
            <w:tcW w:w="761" w:type="pct"/>
          </w:tcPr>
          <w:p w14:paraId="02C67D5F" w14:textId="036010FF" w:rsidR="006867A8"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.102</w:t>
            </w:r>
          </w:p>
        </w:tc>
      </w:tr>
      <w:tr w:rsidR="00BC2E31" w:rsidRPr="009B17B6" w14:paraId="1914281F"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hideMark/>
          </w:tcPr>
          <w:p w14:paraId="6BBC946E" w14:textId="77777777" w:rsidR="006867A8" w:rsidRPr="00CA3DC0" w:rsidRDefault="006867A8" w:rsidP="00E80A55">
            <w:pPr>
              <w:spacing w:line="276" w:lineRule="auto"/>
              <w:rPr>
                <w:b w:val="0"/>
                <w:bCs w:val="0"/>
                <w:color w:val="000000"/>
              </w:rPr>
            </w:pPr>
          </w:p>
        </w:tc>
        <w:tc>
          <w:tcPr>
            <w:tcW w:w="106" w:type="pct"/>
          </w:tcPr>
          <w:p w14:paraId="3C973B4B" w14:textId="77777777" w:rsidR="006867A8" w:rsidRPr="00CA3DC0" w:rsidRDefault="006867A8"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10CA857D" w14:textId="270F6333" w:rsidR="006867A8" w:rsidRPr="00825402" w:rsidRDefault="002F7F93" w:rsidP="00E80A55">
            <w:pPr>
              <w:spacing w:line="276" w:lineRule="auto"/>
              <w:cnfStyle w:val="000000100000" w:firstRow="0" w:lastRow="0" w:firstColumn="0" w:lastColumn="0" w:oddVBand="0" w:evenVBand="0" w:oddHBand="1" w:evenHBand="0" w:firstRowFirstColumn="0" w:firstRowLastColumn="0" w:lastRowFirstColumn="0" w:lastRowLastColumn="0"/>
            </w:pPr>
            <w:r>
              <w:t>Functionality appreciation</w:t>
            </w:r>
          </w:p>
        </w:tc>
        <w:tc>
          <w:tcPr>
            <w:tcW w:w="765" w:type="pct"/>
          </w:tcPr>
          <w:p w14:paraId="446FCCB3" w14:textId="0ADD07B0" w:rsidR="006867A8" w:rsidRPr="00825402"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pPr>
            <w:r>
              <w:t>-.05</w:t>
            </w:r>
          </w:p>
        </w:tc>
        <w:tc>
          <w:tcPr>
            <w:tcW w:w="765" w:type="pct"/>
          </w:tcPr>
          <w:p w14:paraId="100CC306" w14:textId="67977AD8" w:rsidR="006867A8" w:rsidRPr="00825402"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pPr>
            <w:r>
              <w:t>0.22</w:t>
            </w:r>
          </w:p>
        </w:tc>
        <w:tc>
          <w:tcPr>
            <w:tcW w:w="764" w:type="pct"/>
          </w:tcPr>
          <w:p w14:paraId="54A28868" w14:textId="2B82FFB7" w:rsidR="006867A8" w:rsidRPr="00825402"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pPr>
            <w:r>
              <w:t>-.358</w:t>
            </w:r>
          </w:p>
        </w:tc>
        <w:tc>
          <w:tcPr>
            <w:tcW w:w="761" w:type="pct"/>
          </w:tcPr>
          <w:p w14:paraId="7A57E5B4" w14:textId="29E64A43" w:rsidR="006867A8"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pPr>
            <w:r>
              <w:t>.273</w:t>
            </w:r>
          </w:p>
        </w:tc>
      </w:tr>
      <w:tr w:rsidR="002F7F93" w:rsidRPr="009B17B6" w14:paraId="67485FE7"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3553FF4F" w14:textId="77777777" w:rsidR="006867A8" w:rsidRPr="00CA3DC0" w:rsidRDefault="006867A8" w:rsidP="00E80A55">
            <w:pPr>
              <w:spacing w:line="276" w:lineRule="auto"/>
              <w:rPr>
                <w:color w:val="000000"/>
              </w:rPr>
            </w:pPr>
          </w:p>
        </w:tc>
        <w:tc>
          <w:tcPr>
            <w:tcW w:w="106" w:type="pct"/>
          </w:tcPr>
          <w:p w14:paraId="72764F90" w14:textId="77777777" w:rsidR="006867A8" w:rsidRPr="00CA3DC0" w:rsidRDefault="006867A8"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3FD74DA9" w14:textId="621E8D4A" w:rsidR="006867A8" w:rsidRPr="00CA3DC0" w:rsidRDefault="002F7F93"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Body shame</w:t>
            </w:r>
          </w:p>
        </w:tc>
        <w:tc>
          <w:tcPr>
            <w:tcW w:w="765" w:type="pct"/>
          </w:tcPr>
          <w:p w14:paraId="41CB1A18" w14:textId="531778B4" w:rsidR="006867A8" w:rsidRPr="00CA3DC0"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-.09</w:t>
            </w:r>
          </w:p>
        </w:tc>
        <w:tc>
          <w:tcPr>
            <w:tcW w:w="765" w:type="pct"/>
          </w:tcPr>
          <w:p w14:paraId="27B4F26C" w14:textId="79D1EC19" w:rsidR="006867A8"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0.23</w:t>
            </w:r>
          </w:p>
        </w:tc>
        <w:tc>
          <w:tcPr>
            <w:tcW w:w="764" w:type="pct"/>
          </w:tcPr>
          <w:p w14:paraId="63C4DBB2" w14:textId="725540CE" w:rsidR="006867A8"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-.388</w:t>
            </w:r>
          </w:p>
        </w:tc>
        <w:tc>
          <w:tcPr>
            <w:tcW w:w="761" w:type="pct"/>
          </w:tcPr>
          <w:p w14:paraId="122D19ED" w14:textId="73455881" w:rsidR="006867A8"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.241</w:t>
            </w:r>
          </w:p>
        </w:tc>
      </w:tr>
      <w:tr w:rsidR="00BC2E31" w:rsidRPr="009B17B6" w14:paraId="66BCF9A4"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0947B7FA" w14:textId="77777777" w:rsidR="002F7F93" w:rsidRPr="00CA3DC0" w:rsidRDefault="002F7F93" w:rsidP="00E80A55">
            <w:pPr>
              <w:spacing w:line="276" w:lineRule="auto"/>
              <w:rPr>
                <w:color w:val="000000"/>
              </w:rPr>
            </w:pPr>
          </w:p>
        </w:tc>
        <w:tc>
          <w:tcPr>
            <w:tcW w:w="106" w:type="pct"/>
          </w:tcPr>
          <w:p w14:paraId="1F69AB98" w14:textId="5FA0264D" w:rsidR="002F7F93"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33E89B6B" w14:textId="14C2A390" w:rsidR="002F7F93" w:rsidRDefault="002F7F93"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Weight preoccupation</w:t>
            </w:r>
          </w:p>
        </w:tc>
        <w:tc>
          <w:tcPr>
            <w:tcW w:w="765" w:type="pct"/>
          </w:tcPr>
          <w:p w14:paraId="7D9F305C" w14:textId="24B6548B" w:rsidR="002F7F93" w:rsidRPr="00CA3DC0"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.30</w:t>
            </w:r>
          </w:p>
        </w:tc>
        <w:tc>
          <w:tcPr>
            <w:tcW w:w="765" w:type="pct"/>
          </w:tcPr>
          <w:p w14:paraId="5F0F271E" w14:textId="6DEEC172" w:rsidR="002F7F93"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0.90</w:t>
            </w:r>
          </w:p>
        </w:tc>
        <w:tc>
          <w:tcPr>
            <w:tcW w:w="764" w:type="pct"/>
          </w:tcPr>
          <w:p w14:paraId="635C80BD" w14:textId="4DBEAEC7" w:rsidR="002F7F93"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-.038</w:t>
            </w:r>
          </w:p>
        </w:tc>
        <w:tc>
          <w:tcPr>
            <w:tcW w:w="761" w:type="pct"/>
          </w:tcPr>
          <w:p w14:paraId="6EC3C081" w14:textId="3BE38EED" w:rsidR="002F7F93"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.552</w:t>
            </w:r>
          </w:p>
        </w:tc>
      </w:tr>
      <w:tr w:rsidR="00BC2E31" w:rsidRPr="009B17B6" w14:paraId="7DD20870"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76D66658" w14:textId="77777777" w:rsidR="002F7F93" w:rsidRPr="00CA3DC0" w:rsidRDefault="002F7F93" w:rsidP="00E80A55">
            <w:pPr>
              <w:spacing w:line="276" w:lineRule="auto"/>
              <w:rPr>
                <w:color w:val="000000"/>
              </w:rPr>
            </w:pPr>
          </w:p>
        </w:tc>
        <w:tc>
          <w:tcPr>
            <w:tcW w:w="106" w:type="pct"/>
          </w:tcPr>
          <w:p w14:paraId="1A2133FC" w14:textId="1DEA4213" w:rsidR="002F7F93"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06D40153" w14:textId="7735F776" w:rsidR="002F7F93"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HEP body shame cluster</w:t>
            </w:r>
          </w:p>
        </w:tc>
        <w:tc>
          <w:tcPr>
            <w:tcW w:w="765" w:type="pct"/>
          </w:tcPr>
          <w:p w14:paraId="0E43782A" w14:textId="47A0FBC4" w:rsidR="002F7F93" w:rsidRPr="00CA3DC0"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-.08</w:t>
            </w:r>
          </w:p>
        </w:tc>
        <w:tc>
          <w:tcPr>
            <w:tcW w:w="765" w:type="pct"/>
          </w:tcPr>
          <w:p w14:paraId="4D65A0C6" w14:textId="450FB00D" w:rsidR="002F7F93"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0.23</w:t>
            </w:r>
          </w:p>
        </w:tc>
        <w:tc>
          <w:tcPr>
            <w:tcW w:w="764" w:type="pct"/>
          </w:tcPr>
          <w:p w14:paraId="4ED5AAA3" w14:textId="512BB862" w:rsidR="002F7F93"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-.381</w:t>
            </w:r>
          </w:p>
        </w:tc>
        <w:tc>
          <w:tcPr>
            <w:tcW w:w="761" w:type="pct"/>
          </w:tcPr>
          <w:p w14:paraId="76001FD4" w14:textId="51360C3A" w:rsidR="002F7F93"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.249</w:t>
            </w:r>
          </w:p>
        </w:tc>
      </w:tr>
      <w:tr w:rsidR="00BC2E31" w:rsidRPr="009B17B6" w14:paraId="3AAEFEAD"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0C3A3DF2" w14:textId="77777777" w:rsidR="002F7F93" w:rsidRPr="00CA3DC0" w:rsidRDefault="002F7F93" w:rsidP="00E80A55">
            <w:pPr>
              <w:spacing w:line="276" w:lineRule="auto"/>
              <w:rPr>
                <w:color w:val="000000"/>
              </w:rPr>
            </w:pPr>
          </w:p>
        </w:tc>
        <w:tc>
          <w:tcPr>
            <w:tcW w:w="106" w:type="pct"/>
          </w:tcPr>
          <w:p w14:paraId="3167361F" w14:textId="3EF58E2C" w:rsidR="002F7F93"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5F94087E" w14:textId="39E06A7D" w:rsidR="002F7F93"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HEP weight preoccupation cluster</w:t>
            </w:r>
          </w:p>
        </w:tc>
        <w:tc>
          <w:tcPr>
            <w:tcW w:w="765" w:type="pct"/>
          </w:tcPr>
          <w:p w14:paraId="4D16C3AE" w14:textId="4F27804B" w:rsidR="002F7F93" w:rsidRPr="00CA3DC0"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-.22</w:t>
            </w:r>
          </w:p>
        </w:tc>
        <w:tc>
          <w:tcPr>
            <w:tcW w:w="765" w:type="pct"/>
          </w:tcPr>
          <w:p w14:paraId="7D5DD85A" w14:textId="19C61BDF" w:rsidR="002F7F93"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0.46</w:t>
            </w:r>
          </w:p>
        </w:tc>
        <w:tc>
          <w:tcPr>
            <w:tcW w:w="764" w:type="pct"/>
          </w:tcPr>
          <w:p w14:paraId="1441F55A" w14:textId="06B1ED80" w:rsidR="002F7F93"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-.495</w:t>
            </w:r>
          </w:p>
        </w:tc>
        <w:tc>
          <w:tcPr>
            <w:tcW w:w="761" w:type="pct"/>
          </w:tcPr>
          <w:p w14:paraId="416E2C87" w14:textId="620FC152" w:rsidR="002F7F93"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.113</w:t>
            </w:r>
          </w:p>
        </w:tc>
      </w:tr>
      <w:tr w:rsidR="00BC2E31" w:rsidRPr="009B17B6" w14:paraId="56E88512"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2F67C90E" w14:textId="77777777" w:rsidR="00BC2E31" w:rsidRPr="00CA3DC0" w:rsidRDefault="00BC2E31" w:rsidP="00E80A55">
            <w:pPr>
              <w:spacing w:line="276" w:lineRule="auto"/>
              <w:rPr>
                <w:color w:val="000000"/>
              </w:rPr>
            </w:pPr>
          </w:p>
        </w:tc>
        <w:tc>
          <w:tcPr>
            <w:tcW w:w="106" w:type="pct"/>
          </w:tcPr>
          <w:p w14:paraId="3B98EE69" w14:textId="6D5BFB75"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74FF0131" w14:textId="6009B014"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t>PAC Left Frontal</w:t>
            </w:r>
          </w:p>
        </w:tc>
        <w:tc>
          <w:tcPr>
            <w:tcW w:w="765" w:type="pct"/>
          </w:tcPr>
          <w:p w14:paraId="75DDA6D7" w14:textId="24DBF0EC" w:rsidR="00BC2E31" w:rsidRPr="00CA3DC0"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.07</w:t>
            </w:r>
          </w:p>
        </w:tc>
        <w:tc>
          <w:tcPr>
            <w:tcW w:w="765" w:type="pct"/>
          </w:tcPr>
          <w:p w14:paraId="535671A0" w14:textId="37BF89AE"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0.23</w:t>
            </w:r>
          </w:p>
        </w:tc>
        <w:tc>
          <w:tcPr>
            <w:tcW w:w="764" w:type="pct"/>
          </w:tcPr>
          <w:p w14:paraId="3651FA24" w14:textId="25D492E8"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-.263</w:t>
            </w:r>
          </w:p>
        </w:tc>
        <w:tc>
          <w:tcPr>
            <w:tcW w:w="761" w:type="pct"/>
          </w:tcPr>
          <w:p w14:paraId="01F609F4" w14:textId="21648938"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.375</w:t>
            </w:r>
          </w:p>
        </w:tc>
      </w:tr>
      <w:tr w:rsidR="00BC2E31" w:rsidRPr="009B17B6" w14:paraId="52C61F3C"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7BF8B084" w14:textId="77777777" w:rsidR="00BC2E31" w:rsidRPr="00CA3DC0" w:rsidRDefault="00BC2E31" w:rsidP="00E80A55">
            <w:pPr>
              <w:spacing w:line="276" w:lineRule="auto"/>
              <w:rPr>
                <w:color w:val="000000"/>
              </w:rPr>
            </w:pPr>
          </w:p>
        </w:tc>
        <w:tc>
          <w:tcPr>
            <w:tcW w:w="106" w:type="pct"/>
          </w:tcPr>
          <w:p w14:paraId="0E98A640" w14:textId="7CCAB0A9"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112EA71D" w14:textId="660721E6"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t>PAC Right Frontal</w:t>
            </w:r>
          </w:p>
        </w:tc>
        <w:tc>
          <w:tcPr>
            <w:tcW w:w="765" w:type="pct"/>
          </w:tcPr>
          <w:p w14:paraId="45CDD069" w14:textId="0B1985F9" w:rsidR="00BC2E31" w:rsidRPr="00CA3DC0"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.16</w:t>
            </w:r>
          </w:p>
        </w:tc>
        <w:tc>
          <w:tcPr>
            <w:tcW w:w="765" w:type="pct"/>
          </w:tcPr>
          <w:p w14:paraId="03C133ED" w14:textId="62811C40"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0.32</w:t>
            </w:r>
          </w:p>
        </w:tc>
        <w:tc>
          <w:tcPr>
            <w:tcW w:w="764" w:type="pct"/>
          </w:tcPr>
          <w:p w14:paraId="25F1AE2B" w14:textId="64D0256C"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-.176</w:t>
            </w:r>
          </w:p>
        </w:tc>
        <w:tc>
          <w:tcPr>
            <w:tcW w:w="761" w:type="pct"/>
          </w:tcPr>
          <w:p w14:paraId="43B35B66" w14:textId="5D409EF2"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.452</w:t>
            </w:r>
          </w:p>
        </w:tc>
      </w:tr>
      <w:tr w:rsidR="00BC2E31" w:rsidRPr="009B17B6" w14:paraId="6A1B3B73"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5E9413B5" w14:textId="38D6FEAF" w:rsidR="00BC2E31" w:rsidRPr="00CA3DC0" w:rsidRDefault="00BC2E31" w:rsidP="00E80A55">
            <w:pPr>
              <w:spacing w:line="276" w:lineRule="auto"/>
              <w:rPr>
                <w:color w:val="000000"/>
              </w:rPr>
            </w:pPr>
          </w:p>
        </w:tc>
        <w:tc>
          <w:tcPr>
            <w:tcW w:w="106" w:type="pct"/>
          </w:tcPr>
          <w:p w14:paraId="71C4EB15" w14:textId="77777777" w:rsidR="00BC2E31" w:rsidRPr="00CA3DC0"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2A7B66C9" w14:textId="5F28C8D8"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pPr>
            <w:r>
              <w:t xml:space="preserve">PAC Left Centroparietal </w:t>
            </w:r>
          </w:p>
        </w:tc>
        <w:tc>
          <w:tcPr>
            <w:tcW w:w="765" w:type="pct"/>
          </w:tcPr>
          <w:p w14:paraId="5B23050F" w14:textId="0903EAE2" w:rsidR="00BC2E31" w:rsidRPr="00CA3DC0"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.07</w:t>
            </w:r>
          </w:p>
        </w:tc>
        <w:tc>
          <w:tcPr>
            <w:tcW w:w="765" w:type="pct"/>
          </w:tcPr>
          <w:p w14:paraId="6985FAB2" w14:textId="502EC103"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0.23</w:t>
            </w:r>
          </w:p>
        </w:tc>
        <w:tc>
          <w:tcPr>
            <w:tcW w:w="764" w:type="pct"/>
          </w:tcPr>
          <w:p w14:paraId="53EF6E3B" w14:textId="03993C7D"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-.255</w:t>
            </w:r>
          </w:p>
        </w:tc>
        <w:tc>
          <w:tcPr>
            <w:tcW w:w="761" w:type="pct"/>
          </w:tcPr>
          <w:p w14:paraId="2364B908" w14:textId="45D1E767"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.383</w:t>
            </w:r>
          </w:p>
        </w:tc>
      </w:tr>
      <w:tr w:rsidR="00BC2E31" w:rsidRPr="009B17B6" w14:paraId="2693DE88"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31C498EC" w14:textId="77777777" w:rsidR="00BC2E31" w:rsidRPr="00CA3DC0" w:rsidRDefault="00BC2E31" w:rsidP="00E80A55">
            <w:pPr>
              <w:spacing w:line="276" w:lineRule="auto"/>
              <w:rPr>
                <w:color w:val="000000"/>
              </w:rPr>
            </w:pPr>
          </w:p>
        </w:tc>
        <w:tc>
          <w:tcPr>
            <w:tcW w:w="106" w:type="pct"/>
          </w:tcPr>
          <w:p w14:paraId="5E2B7005" w14:textId="77777777" w:rsidR="00BC2E31" w:rsidRPr="00CA3DC0"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43756B4C" w14:textId="15EE7F52"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pPr>
            <w:r>
              <w:t>PAC Right Centroparietal</w:t>
            </w:r>
          </w:p>
        </w:tc>
        <w:tc>
          <w:tcPr>
            <w:tcW w:w="765" w:type="pct"/>
          </w:tcPr>
          <w:p w14:paraId="0AA229A4" w14:textId="0718DB42" w:rsidR="00BC2E31" w:rsidRPr="00CA3DC0"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.18</w:t>
            </w:r>
          </w:p>
        </w:tc>
        <w:tc>
          <w:tcPr>
            <w:tcW w:w="765" w:type="pct"/>
          </w:tcPr>
          <w:p w14:paraId="0A2422B1" w14:textId="259D03C2"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0.35</w:t>
            </w:r>
          </w:p>
        </w:tc>
        <w:tc>
          <w:tcPr>
            <w:tcW w:w="764" w:type="pct"/>
          </w:tcPr>
          <w:p w14:paraId="275396ED" w14:textId="0D6528F1"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-.160</w:t>
            </w:r>
          </w:p>
        </w:tc>
        <w:tc>
          <w:tcPr>
            <w:tcW w:w="761" w:type="pct"/>
          </w:tcPr>
          <w:p w14:paraId="4CD1C588" w14:textId="40BE48C7"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.465</w:t>
            </w:r>
          </w:p>
        </w:tc>
      </w:tr>
      <w:tr w:rsidR="00BC2E31" w:rsidRPr="009B17B6" w14:paraId="325B00AE"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11CCBF02" w14:textId="2AF5403D" w:rsidR="00BC2E31" w:rsidRPr="00CA3DC0" w:rsidRDefault="00BC2E31" w:rsidP="00E80A55">
            <w:pPr>
              <w:spacing w:line="276" w:lineRule="auto"/>
              <w:rPr>
                <w:color w:val="000000"/>
              </w:rPr>
            </w:pPr>
            <w:r>
              <w:rPr>
                <w:b w:val="0"/>
                <w:bCs w:val="0"/>
                <w:color w:val="000000"/>
              </w:rPr>
              <w:t>Age</w:t>
            </w:r>
          </w:p>
        </w:tc>
        <w:tc>
          <w:tcPr>
            <w:tcW w:w="106" w:type="pct"/>
          </w:tcPr>
          <w:p w14:paraId="76C85AA8" w14:textId="77777777" w:rsidR="00BC2E31" w:rsidRPr="00CA3DC0"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7F4AE24D" w14:textId="2B04C474"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pPr>
            <w:r>
              <w:rPr>
                <w:color w:val="000000" w:themeColor="text1"/>
              </w:rPr>
              <w:t>Body appreciation</w:t>
            </w:r>
          </w:p>
        </w:tc>
        <w:tc>
          <w:tcPr>
            <w:tcW w:w="765" w:type="pct"/>
          </w:tcPr>
          <w:p w14:paraId="76D8AD2A" w14:textId="6E748E5E"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-.03</w:t>
            </w:r>
          </w:p>
        </w:tc>
        <w:tc>
          <w:tcPr>
            <w:tcW w:w="765" w:type="pct"/>
          </w:tcPr>
          <w:p w14:paraId="71781493" w14:textId="4A1C9A99"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0.21</w:t>
            </w:r>
          </w:p>
        </w:tc>
        <w:tc>
          <w:tcPr>
            <w:tcW w:w="764" w:type="pct"/>
          </w:tcPr>
          <w:p w14:paraId="26BA3008" w14:textId="666AE966"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-.345</w:t>
            </w:r>
          </w:p>
        </w:tc>
        <w:tc>
          <w:tcPr>
            <w:tcW w:w="761" w:type="pct"/>
          </w:tcPr>
          <w:p w14:paraId="4FD17AA6" w14:textId="1954CFE6"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.287</w:t>
            </w:r>
          </w:p>
        </w:tc>
      </w:tr>
      <w:tr w:rsidR="00BC2E31" w:rsidRPr="009B17B6" w14:paraId="7311F3C6"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6835ECE6" w14:textId="77777777" w:rsidR="00BC2E31" w:rsidRPr="00CA3DC0" w:rsidRDefault="00BC2E31" w:rsidP="00E80A55">
            <w:pPr>
              <w:spacing w:line="276" w:lineRule="auto"/>
              <w:rPr>
                <w:color w:val="000000"/>
              </w:rPr>
            </w:pPr>
          </w:p>
        </w:tc>
        <w:tc>
          <w:tcPr>
            <w:tcW w:w="106" w:type="pct"/>
          </w:tcPr>
          <w:p w14:paraId="77CE1DA6" w14:textId="77777777" w:rsidR="00BC2E31" w:rsidRPr="00CA3DC0"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3954714D" w14:textId="70F15B12"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pPr>
            <w:r>
              <w:t>Functionality appreciation</w:t>
            </w:r>
          </w:p>
        </w:tc>
        <w:tc>
          <w:tcPr>
            <w:tcW w:w="765" w:type="pct"/>
          </w:tcPr>
          <w:p w14:paraId="778B6485" w14:textId="3267F35E"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-.20</w:t>
            </w:r>
          </w:p>
        </w:tc>
        <w:tc>
          <w:tcPr>
            <w:tcW w:w="765" w:type="pct"/>
          </w:tcPr>
          <w:p w14:paraId="399C4272" w14:textId="0DB09BF8"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0.40</w:t>
            </w:r>
          </w:p>
        </w:tc>
        <w:tc>
          <w:tcPr>
            <w:tcW w:w="764" w:type="pct"/>
          </w:tcPr>
          <w:p w14:paraId="3AADDA45" w14:textId="45142DFF"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-.479</w:t>
            </w:r>
          </w:p>
        </w:tc>
        <w:tc>
          <w:tcPr>
            <w:tcW w:w="761" w:type="pct"/>
          </w:tcPr>
          <w:p w14:paraId="3A9B4E27" w14:textId="4C877246"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.134</w:t>
            </w:r>
          </w:p>
        </w:tc>
      </w:tr>
      <w:tr w:rsidR="00BC2E31" w:rsidRPr="009B17B6" w14:paraId="6A0D84EF"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35DD8AD3" w14:textId="77777777" w:rsidR="00BC2E31" w:rsidRPr="00CA3DC0" w:rsidRDefault="00BC2E31" w:rsidP="00E80A55">
            <w:pPr>
              <w:spacing w:line="276" w:lineRule="auto"/>
              <w:rPr>
                <w:color w:val="000000"/>
              </w:rPr>
            </w:pPr>
          </w:p>
        </w:tc>
        <w:tc>
          <w:tcPr>
            <w:tcW w:w="106" w:type="pct"/>
          </w:tcPr>
          <w:p w14:paraId="0F237E8C" w14:textId="009D9FF1"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5FBA75AF" w14:textId="23B1C76D"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pPr>
            <w:r>
              <w:rPr>
                <w:color w:val="000000" w:themeColor="text1"/>
              </w:rPr>
              <w:t>Body shame</w:t>
            </w:r>
          </w:p>
        </w:tc>
        <w:tc>
          <w:tcPr>
            <w:tcW w:w="765" w:type="pct"/>
          </w:tcPr>
          <w:p w14:paraId="0F419697" w14:textId="1664E445"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.25</w:t>
            </w:r>
          </w:p>
        </w:tc>
        <w:tc>
          <w:tcPr>
            <w:tcW w:w="765" w:type="pct"/>
          </w:tcPr>
          <w:p w14:paraId="623AD46D" w14:textId="5DA8E252"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0.59</w:t>
            </w:r>
          </w:p>
        </w:tc>
        <w:tc>
          <w:tcPr>
            <w:tcW w:w="764" w:type="pct"/>
          </w:tcPr>
          <w:p w14:paraId="05F454EF" w14:textId="328971D6"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-.083</w:t>
            </w:r>
          </w:p>
        </w:tc>
        <w:tc>
          <w:tcPr>
            <w:tcW w:w="761" w:type="pct"/>
          </w:tcPr>
          <w:p w14:paraId="096B078E" w14:textId="53815E21"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.519</w:t>
            </w:r>
          </w:p>
        </w:tc>
      </w:tr>
      <w:tr w:rsidR="00BC2E31" w:rsidRPr="009B17B6" w14:paraId="07B753EF"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79CDFC4D" w14:textId="77777777" w:rsidR="00BC2E31" w:rsidRPr="00CA3DC0" w:rsidRDefault="00BC2E31" w:rsidP="00E80A55">
            <w:pPr>
              <w:spacing w:line="276" w:lineRule="auto"/>
              <w:rPr>
                <w:color w:val="000000"/>
              </w:rPr>
            </w:pPr>
          </w:p>
        </w:tc>
        <w:tc>
          <w:tcPr>
            <w:tcW w:w="106" w:type="pct"/>
          </w:tcPr>
          <w:p w14:paraId="6E551067" w14:textId="3A0D990C"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50633820" w14:textId="1F1BA23C"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Weight preoccupation</w:t>
            </w:r>
          </w:p>
        </w:tc>
        <w:tc>
          <w:tcPr>
            <w:tcW w:w="765" w:type="pct"/>
          </w:tcPr>
          <w:p w14:paraId="096D1572" w14:textId="386002FD"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w:t>
            </w:r>
          </w:p>
        </w:tc>
        <w:tc>
          <w:tcPr>
            <w:tcW w:w="765" w:type="pct"/>
          </w:tcPr>
          <w:p w14:paraId="38DC6685" w14:textId="40F78189"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0.21</w:t>
            </w:r>
          </w:p>
        </w:tc>
        <w:tc>
          <w:tcPr>
            <w:tcW w:w="764" w:type="pct"/>
          </w:tcPr>
          <w:p w14:paraId="7A55C751" w14:textId="02009D5C"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-.287</w:t>
            </w:r>
          </w:p>
        </w:tc>
        <w:tc>
          <w:tcPr>
            <w:tcW w:w="761" w:type="pct"/>
          </w:tcPr>
          <w:p w14:paraId="47CC67CF" w14:textId="0384815A"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.345</w:t>
            </w:r>
          </w:p>
        </w:tc>
      </w:tr>
      <w:tr w:rsidR="00BC2E31" w:rsidRPr="009B17B6" w14:paraId="6A8E6113"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26B92099" w14:textId="77777777" w:rsidR="00BC2E31" w:rsidRPr="00CA3DC0" w:rsidRDefault="00BC2E31" w:rsidP="00E80A55">
            <w:pPr>
              <w:spacing w:line="276" w:lineRule="auto"/>
              <w:rPr>
                <w:color w:val="000000"/>
              </w:rPr>
            </w:pPr>
          </w:p>
        </w:tc>
        <w:tc>
          <w:tcPr>
            <w:tcW w:w="106" w:type="pct"/>
          </w:tcPr>
          <w:p w14:paraId="27244807" w14:textId="36B5398D"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35EC0218" w14:textId="732EF67B"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HEP body shame cluster</w:t>
            </w:r>
          </w:p>
        </w:tc>
        <w:tc>
          <w:tcPr>
            <w:tcW w:w="765" w:type="pct"/>
          </w:tcPr>
          <w:p w14:paraId="3A192C7C" w14:textId="46A974C6"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.06</w:t>
            </w:r>
          </w:p>
        </w:tc>
        <w:tc>
          <w:tcPr>
            <w:tcW w:w="765" w:type="pct"/>
          </w:tcPr>
          <w:p w14:paraId="72CC5BBF" w14:textId="76DB4D91"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0.22</w:t>
            </w:r>
          </w:p>
        </w:tc>
        <w:tc>
          <w:tcPr>
            <w:tcW w:w="764" w:type="pct"/>
          </w:tcPr>
          <w:p w14:paraId="24E8B243" w14:textId="243BBB7A"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-.265</w:t>
            </w:r>
          </w:p>
        </w:tc>
        <w:tc>
          <w:tcPr>
            <w:tcW w:w="761" w:type="pct"/>
          </w:tcPr>
          <w:p w14:paraId="0E0B8232" w14:textId="49710AE1"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.366</w:t>
            </w:r>
          </w:p>
        </w:tc>
      </w:tr>
      <w:tr w:rsidR="00BC2E31" w:rsidRPr="009B17B6" w14:paraId="037712F0"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338D8809" w14:textId="77777777" w:rsidR="00BC2E31" w:rsidRPr="00CA3DC0" w:rsidRDefault="00BC2E31" w:rsidP="00E80A55">
            <w:pPr>
              <w:spacing w:line="276" w:lineRule="auto"/>
              <w:rPr>
                <w:color w:val="000000"/>
              </w:rPr>
            </w:pPr>
          </w:p>
        </w:tc>
        <w:tc>
          <w:tcPr>
            <w:tcW w:w="106" w:type="pct"/>
          </w:tcPr>
          <w:p w14:paraId="57A88621" w14:textId="616DB382"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772E770D" w14:textId="0A1E3F9B"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HEP weight preoccupation cluster</w:t>
            </w:r>
          </w:p>
        </w:tc>
        <w:tc>
          <w:tcPr>
            <w:tcW w:w="765" w:type="pct"/>
          </w:tcPr>
          <w:p w14:paraId="4C9A3079" w14:textId="067EA61C"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&lt;.01</w:t>
            </w:r>
          </w:p>
        </w:tc>
        <w:tc>
          <w:tcPr>
            <w:tcW w:w="765" w:type="pct"/>
          </w:tcPr>
          <w:p w14:paraId="52426A72" w14:textId="756112D6"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0.21</w:t>
            </w:r>
          </w:p>
        </w:tc>
        <w:tc>
          <w:tcPr>
            <w:tcW w:w="764" w:type="pct"/>
          </w:tcPr>
          <w:p w14:paraId="58FA851C" w14:textId="27CFB2C5"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-.319</w:t>
            </w:r>
          </w:p>
        </w:tc>
        <w:tc>
          <w:tcPr>
            <w:tcW w:w="761" w:type="pct"/>
          </w:tcPr>
          <w:p w14:paraId="1DD15A04" w14:textId="53D824DD"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.313</w:t>
            </w:r>
          </w:p>
        </w:tc>
      </w:tr>
      <w:tr w:rsidR="00BC2E31" w:rsidRPr="009B17B6" w14:paraId="1F6BA703"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118E61D3" w14:textId="77777777" w:rsidR="00BC2E31" w:rsidRPr="00CA3DC0" w:rsidRDefault="00BC2E31" w:rsidP="00E80A55">
            <w:pPr>
              <w:spacing w:line="276" w:lineRule="auto"/>
              <w:rPr>
                <w:color w:val="000000"/>
              </w:rPr>
            </w:pPr>
          </w:p>
        </w:tc>
        <w:tc>
          <w:tcPr>
            <w:tcW w:w="106" w:type="pct"/>
          </w:tcPr>
          <w:p w14:paraId="1E4B9919" w14:textId="488C6189"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553D0575" w14:textId="7FF2F0E2"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t>PAC Left Frontal</w:t>
            </w:r>
          </w:p>
        </w:tc>
        <w:tc>
          <w:tcPr>
            <w:tcW w:w="765" w:type="pct"/>
          </w:tcPr>
          <w:p w14:paraId="21074E3F" w14:textId="0FF83C8A"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-.09</w:t>
            </w:r>
          </w:p>
        </w:tc>
        <w:tc>
          <w:tcPr>
            <w:tcW w:w="765" w:type="pct"/>
          </w:tcPr>
          <w:p w14:paraId="30517A37" w14:textId="71BD3F7A"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0.24</w:t>
            </w:r>
          </w:p>
        </w:tc>
        <w:tc>
          <w:tcPr>
            <w:tcW w:w="764" w:type="pct"/>
          </w:tcPr>
          <w:p w14:paraId="40CA53B7" w14:textId="65C35D38"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-.392</w:t>
            </w:r>
          </w:p>
        </w:tc>
        <w:tc>
          <w:tcPr>
            <w:tcW w:w="761" w:type="pct"/>
          </w:tcPr>
          <w:p w14:paraId="2CFA751D" w14:textId="110B3D26"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.245</w:t>
            </w:r>
          </w:p>
        </w:tc>
      </w:tr>
      <w:tr w:rsidR="00BC2E31" w:rsidRPr="009B17B6" w14:paraId="27BBEFEE"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Pr>
          <w:p w14:paraId="7BF7704F" w14:textId="77777777" w:rsidR="00BC2E31" w:rsidRPr="00CA3DC0" w:rsidRDefault="00BC2E31" w:rsidP="00E80A55">
            <w:pPr>
              <w:spacing w:line="276" w:lineRule="auto"/>
              <w:rPr>
                <w:color w:val="000000"/>
              </w:rPr>
            </w:pPr>
          </w:p>
        </w:tc>
        <w:tc>
          <w:tcPr>
            <w:tcW w:w="106" w:type="pct"/>
          </w:tcPr>
          <w:p w14:paraId="5E9C7691" w14:textId="4C86A068"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Pr>
          <w:p w14:paraId="337D79DC" w14:textId="6FF05679"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pPr>
            <w:r>
              <w:t>PAC Right Frontal</w:t>
            </w:r>
          </w:p>
        </w:tc>
        <w:tc>
          <w:tcPr>
            <w:tcW w:w="765" w:type="pct"/>
          </w:tcPr>
          <w:p w14:paraId="6FB8B6F3" w14:textId="4916A278"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-.10</w:t>
            </w:r>
          </w:p>
        </w:tc>
        <w:tc>
          <w:tcPr>
            <w:tcW w:w="765" w:type="pct"/>
          </w:tcPr>
          <w:p w14:paraId="1C4F73CD" w14:textId="3827B12A"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0.25</w:t>
            </w:r>
          </w:p>
        </w:tc>
        <w:tc>
          <w:tcPr>
            <w:tcW w:w="764" w:type="pct"/>
          </w:tcPr>
          <w:p w14:paraId="2F1A4C20" w14:textId="63C9F925"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-.407</w:t>
            </w:r>
          </w:p>
        </w:tc>
        <w:tc>
          <w:tcPr>
            <w:tcW w:w="761" w:type="pct"/>
          </w:tcPr>
          <w:p w14:paraId="1EE73A7F" w14:textId="1BDDA92B"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.228</w:t>
            </w:r>
          </w:p>
        </w:tc>
      </w:tr>
      <w:tr w:rsidR="00BC2E31" w:rsidRPr="009B17B6" w14:paraId="2FA6218C" w14:textId="77777777" w:rsidTr="00BC2E31">
        <w:trPr>
          <w:trHeight w:val="20"/>
        </w:trPr>
        <w:tc>
          <w:tcPr>
            <w:cnfStyle w:val="001000000000" w:firstRow="0" w:lastRow="0" w:firstColumn="1" w:lastColumn="0" w:oddVBand="0" w:evenVBand="0" w:oddHBand="0" w:evenHBand="0" w:firstRowFirstColumn="0" w:firstRowLastColumn="0" w:lastRowFirstColumn="0" w:lastRowLastColumn="0"/>
            <w:tcW w:w="558" w:type="pct"/>
          </w:tcPr>
          <w:p w14:paraId="021CC724" w14:textId="77777777" w:rsidR="00BC2E31" w:rsidRPr="00CA3DC0" w:rsidRDefault="00BC2E31" w:rsidP="00E80A55">
            <w:pPr>
              <w:spacing w:line="276" w:lineRule="auto"/>
              <w:rPr>
                <w:color w:val="000000"/>
              </w:rPr>
            </w:pPr>
          </w:p>
        </w:tc>
        <w:tc>
          <w:tcPr>
            <w:tcW w:w="106" w:type="pct"/>
          </w:tcPr>
          <w:p w14:paraId="25105120" w14:textId="63C4953D"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w:t>
            </w:r>
          </w:p>
        </w:tc>
        <w:tc>
          <w:tcPr>
            <w:tcW w:w="1280" w:type="pct"/>
          </w:tcPr>
          <w:p w14:paraId="7E04F012" w14:textId="1361BDC5" w:rsidR="00BC2E31" w:rsidRDefault="00BC2E31" w:rsidP="00E80A55">
            <w:pPr>
              <w:spacing w:line="276" w:lineRule="auto"/>
              <w:cnfStyle w:val="000000000000" w:firstRow="0" w:lastRow="0" w:firstColumn="0" w:lastColumn="0" w:oddVBand="0" w:evenVBand="0" w:oddHBand="0" w:evenHBand="0" w:firstRowFirstColumn="0" w:firstRowLastColumn="0" w:lastRowFirstColumn="0" w:lastRowLastColumn="0"/>
            </w:pPr>
            <w:r>
              <w:t xml:space="preserve">PAC Left Centroparietal </w:t>
            </w:r>
          </w:p>
        </w:tc>
        <w:tc>
          <w:tcPr>
            <w:tcW w:w="765" w:type="pct"/>
          </w:tcPr>
          <w:p w14:paraId="1E7AE345" w14:textId="758F2733"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-.01</w:t>
            </w:r>
          </w:p>
        </w:tc>
        <w:tc>
          <w:tcPr>
            <w:tcW w:w="765" w:type="pct"/>
          </w:tcPr>
          <w:p w14:paraId="6B6D83F0" w14:textId="60866C3E"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0.21</w:t>
            </w:r>
          </w:p>
        </w:tc>
        <w:tc>
          <w:tcPr>
            <w:tcW w:w="764" w:type="pct"/>
          </w:tcPr>
          <w:p w14:paraId="636B7F07" w14:textId="5247F9DB" w:rsidR="00BC2E31" w:rsidRPr="00CA3DC0"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-.329</w:t>
            </w:r>
          </w:p>
        </w:tc>
        <w:tc>
          <w:tcPr>
            <w:tcW w:w="761" w:type="pct"/>
          </w:tcPr>
          <w:p w14:paraId="2DF51EAA" w14:textId="476CC8B5" w:rsidR="00BC2E31" w:rsidRDefault="001B5661" w:rsidP="00E80A55">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.311</w:t>
            </w:r>
          </w:p>
        </w:tc>
      </w:tr>
      <w:tr w:rsidR="00BC2E31" w:rsidRPr="009B17B6" w14:paraId="2A09ACB0" w14:textId="77777777" w:rsidTr="00BC2E3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8" w:type="pct"/>
            <w:tcBorders>
              <w:bottom w:val="single" w:sz="4" w:space="0" w:color="auto"/>
            </w:tcBorders>
          </w:tcPr>
          <w:p w14:paraId="6E7F37FA" w14:textId="77777777" w:rsidR="00BC2E31" w:rsidRPr="00CA3DC0" w:rsidRDefault="00BC2E31" w:rsidP="00E80A55">
            <w:pPr>
              <w:spacing w:line="276" w:lineRule="auto"/>
              <w:rPr>
                <w:color w:val="000000"/>
              </w:rPr>
            </w:pPr>
          </w:p>
        </w:tc>
        <w:tc>
          <w:tcPr>
            <w:tcW w:w="106" w:type="pct"/>
            <w:tcBorders>
              <w:bottom w:val="single" w:sz="4" w:space="0" w:color="auto"/>
            </w:tcBorders>
          </w:tcPr>
          <w:p w14:paraId="219361FD" w14:textId="079E2EBD"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w:t>
            </w:r>
          </w:p>
        </w:tc>
        <w:tc>
          <w:tcPr>
            <w:tcW w:w="1280" w:type="pct"/>
            <w:tcBorders>
              <w:bottom w:val="single" w:sz="4" w:space="0" w:color="auto"/>
            </w:tcBorders>
          </w:tcPr>
          <w:p w14:paraId="2E22FD9B" w14:textId="50329482" w:rsidR="00BC2E31" w:rsidRDefault="00BC2E31" w:rsidP="00E80A55">
            <w:pPr>
              <w:spacing w:line="276" w:lineRule="auto"/>
              <w:cnfStyle w:val="000000100000" w:firstRow="0" w:lastRow="0" w:firstColumn="0" w:lastColumn="0" w:oddVBand="0" w:evenVBand="0" w:oddHBand="1" w:evenHBand="0" w:firstRowFirstColumn="0" w:firstRowLastColumn="0" w:lastRowFirstColumn="0" w:lastRowLastColumn="0"/>
            </w:pPr>
            <w:r>
              <w:t>PAC Right Centroparietal</w:t>
            </w:r>
          </w:p>
        </w:tc>
        <w:tc>
          <w:tcPr>
            <w:tcW w:w="765" w:type="pct"/>
            <w:tcBorders>
              <w:bottom w:val="single" w:sz="4" w:space="0" w:color="auto"/>
            </w:tcBorders>
          </w:tcPr>
          <w:p w14:paraId="0F67DCDB" w14:textId="38C02D0F"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-.06</w:t>
            </w:r>
          </w:p>
        </w:tc>
        <w:tc>
          <w:tcPr>
            <w:tcW w:w="765" w:type="pct"/>
            <w:tcBorders>
              <w:bottom w:val="single" w:sz="4" w:space="0" w:color="auto"/>
            </w:tcBorders>
          </w:tcPr>
          <w:p w14:paraId="1E908438" w14:textId="125FCF3A"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0.22</w:t>
            </w:r>
          </w:p>
        </w:tc>
        <w:tc>
          <w:tcPr>
            <w:tcW w:w="764" w:type="pct"/>
            <w:tcBorders>
              <w:bottom w:val="single" w:sz="4" w:space="0" w:color="auto"/>
            </w:tcBorders>
          </w:tcPr>
          <w:p w14:paraId="292D16D6" w14:textId="38D1BB47" w:rsidR="00BC2E31" w:rsidRPr="00CA3DC0"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-.372</w:t>
            </w:r>
          </w:p>
        </w:tc>
        <w:tc>
          <w:tcPr>
            <w:tcW w:w="761" w:type="pct"/>
            <w:tcBorders>
              <w:bottom w:val="single" w:sz="4" w:space="0" w:color="auto"/>
            </w:tcBorders>
          </w:tcPr>
          <w:p w14:paraId="41D1D5F3" w14:textId="030243F2" w:rsidR="00BC2E31" w:rsidRDefault="001B5661" w:rsidP="00E80A55">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.267</w:t>
            </w:r>
          </w:p>
        </w:tc>
      </w:tr>
    </w:tbl>
    <w:p w14:paraId="11CF56F8" w14:textId="19BF5E0D" w:rsidR="006867A8" w:rsidRDefault="00E80A55">
      <w:r w:rsidRPr="001E5A60">
        <w:rPr>
          <w:i/>
          <w:iCs/>
        </w:rPr>
        <w:t xml:space="preserve">Note. </w:t>
      </w:r>
      <w:r>
        <w:t xml:space="preserve">HEP = Heartbeat evoked potential; PAC = phase-amplitude coupling. All </w:t>
      </w:r>
      <w:r>
        <w:rPr>
          <w:i/>
          <w:iCs/>
        </w:rPr>
        <w:t>p</w:t>
      </w:r>
      <w:r>
        <w:t xml:space="preserve">s ≥ .081. </w:t>
      </w:r>
    </w:p>
    <w:p w14:paraId="67C67C2A" w14:textId="52E279B9" w:rsidR="00D210E5" w:rsidRDefault="00D210E5" w:rsidP="00D210E5">
      <w:pPr>
        <w:spacing w:line="360" w:lineRule="auto"/>
      </w:pPr>
      <w:r>
        <w:lastRenderedPageBreak/>
        <w:t xml:space="preserve">Supplementary Table </w:t>
      </w:r>
      <w:r w:rsidR="00BC6A9D">
        <w:t>4</w:t>
      </w:r>
      <w:r>
        <w:t>.</w:t>
      </w:r>
    </w:p>
    <w:p w14:paraId="449650A4" w14:textId="2FE57596" w:rsidR="00D210E5" w:rsidRDefault="00D210E5" w:rsidP="00D210E5">
      <w:pPr>
        <w:spacing w:line="360" w:lineRule="auto"/>
      </w:pPr>
      <w:r>
        <w:rPr>
          <w:i/>
          <w:iCs/>
        </w:rPr>
        <w:t>Bayesian</w:t>
      </w:r>
      <w:r w:rsidR="00A3641A">
        <w:rPr>
          <w:i/>
          <w:iCs/>
        </w:rPr>
        <w:t xml:space="preserve"> Independent Samples t-Tests for all Variables Grouped by </w:t>
      </w:r>
      <w:r w:rsidR="00AF44E1">
        <w:rPr>
          <w:i/>
          <w:iCs/>
        </w:rPr>
        <w:t>Gender</w:t>
      </w:r>
    </w:p>
    <w:tbl>
      <w:tblPr>
        <w:tblStyle w:val="PlainTable4"/>
        <w:tblW w:w="5000" w:type="pct"/>
        <w:tblLook w:val="04A0" w:firstRow="1" w:lastRow="0" w:firstColumn="1" w:lastColumn="0" w:noHBand="0" w:noVBand="1"/>
      </w:tblPr>
      <w:tblGrid>
        <w:gridCol w:w="2700"/>
        <w:gridCol w:w="1611"/>
        <w:gridCol w:w="1611"/>
        <w:gridCol w:w="1611"/>
        <w:gridCol w:w="1611"/>
        <w:gridCol w:w="1608"/>
        <w:gridCol w:w="1608"/>
        <w:gridCol w:w="1600"/>
      </w:tblGrid>
      <w:tr w:rsidR="009B1DA0" w:rsidRPr="00090702" w14:paraId="61ACEFCB" w14:textId="77777777" w:rsidTr="009B1DA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7" w:type="pct"/>
            <w:tcBorders>
              <w:top w:val="single" w:sz="4" w:space="0" w:color="auto"/>
              <w:bottom w:val="single" w:sz="4" w:space="0" w:color="auto"/>
            </w:tcBorders>
          </w:tcPr>
          <w:p w14:paraId="13929E75" w14:textId="6B0528EF" w:rsidR="009B1DA0" w:rsidRPr="00CA3DC0" w:rsidRDefault="00E83E35" w:rsidP="009B1DA0">
            <w:pPr>
              <w:spacing w:line="276" w:lineRule="auto"/>
              <w:rPr>
                <w:b w:val="0"/>
                <w:bCs w:val="0"/>
              </w:rPr>
            </w:pPr>
            <w:r>
              <w:rPr>
                <w:b w:val="0"/>
                <w:bCs w:val="0"/>
              </w:rPr>
              <w:t>V</w:t>
            </w:r>
            <w:r w:rsidR="009B1DA0">
              <w:rPr>
                <w:b w:val="0"/>
                <w:bCs w:val="0"/>
              </w:rPr>
              <w:t>ariable</w:t>
            </w:r>
          </w:p>
        </w:tc>
        <w:tc>
          <w:tcPr>
            <w:tcW w:w="577" w:type="pct"/>
            <w:tcBorders>
              <w:top w:val="single" w:sz="4" w:space="0" w:color="auto"/>
              <w:bottom w:val="single" w:sz="4" w:space="0" w:color="auto"/>
            </w:tcBorders>
          </w:tcPr>
          <w:p w14:paraId="7AD5A174" w14:textId="7EDFBE8B" w:rsidR="009B1DA0" w:rsidRPr="00A3641A" w:rsidRDefault="009B1DA0" w:rsidP="009B1DA0">
            <w:pPr>
              <w:spacing w:line="276"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BF</w:t>
            </w:r>
            <w:r>
              <w:rPr>
                <w:b w:val="0"/>
                <w:bCs w:val="0"/>
                <w:vertAlign w:val="subscript"/>
              </w:rPr>
              <w:t>10</w:t>
            </w:r>
          </w:p>
        </w:tc>
        <w:tc>
          <w:tcPr>
            <w:tcW w:w="577" w:type="pct"/>
            <w:tcBorders>
              <w:top w:val="single" w:sz="4" w:space="0" w:color="auto"/>
              <w:bottom w:val="single" w:sz="4" w:space="0" w:color="auto"/>
            </w:tcBorders>
          </w:tcPr>
          <w:p w14:paraId="709FCCC2" w14:textId="689DDBD2" w:rsidR="009B1DA0" w:rsidRPr="00CA3DC0" w:rsidRDefault="009B1DA0" w:rsidP="009B1DA0">
            <w:pPr>
              <w:spacing w:line="276" w:lineRule="auto"/>
              <w:cnfStyle w:val="100000000000" w:firstRow="1" w:lastRow="0" w:firstColumn="0" w:lastColumn="0" w:oddVBand="0" w:evenVBand="0" w:oddHBand="0" w:evenHBand="0" w:firstRowFirstColumn="0" w:firstRowLastColumn="0" w:lastRowFirstColumn="0" w:lastRowLastColumn="0"/>
              <w:rPr>
                <w:b w:val="0"/>
                <w:bCs w:val="0"/>
              </w:rPr>
            </w:pPr>
            <w:r>
              <w:rPr>
                <w:b w:val="0"/>
                <w:bCs w:val="0"/>
              </w:rPr>
              <w:t xml:space="preserve">error % </w:t>
            </w:r>
          </w:p>
        </w:tc>
        <w:tc>
          <w:tcPr>
            <w:tcW w:w="577" w:type="pct"/>
            <w:tcBorders>
              <w:top w:val="single" w:sz="4" w:space="0" w:color="auto"/>
              <w:bottom w:val="single" w:sz="4" w:space="0" w:color="auto"/>
            </w:tcBorders>
          </w:tcPr>
          <w:p w14:paraId="37BBC113" w14:textId="73D2496C" w:rsidR="009B1DA0" w:rsidRPr="00F47075" w:rsidRDefault="009B1DA0" w:rsidP="00F47075">
            <w:pPr>
              <w:cnfStyle w:val="100000000000" w:firstRow="1" w:lastRow="0" w:firstColumn="0" w:lastColumn="0" w:oddVBand="0" w:evenVBand="0" w:oddHBand="0" w:evenHBand="0" w:firstRowFirstColumn="0" w:firstRowLastColumn="0" w:lastRowFirstColumn="0" w:lastRowLastColumn="0"/>
            </w:pPr>
            <w:r>
              <w:rPr>
                <w:b w:val="0"/>
                <w:bCs w:val="0"/>
              </w:rPr>
              <w:t>Median effect size</w:t>
            </w:r>
            <w:r w:rsidR="00F47075">
              <w:rPr>
                <w:b w:val="0"/>
                <w:bCs w:val="0"/>
              </w:rPr>
              <w:t xml:space="preserve"> </w:t>
            </w:r>
            <w:r w:rsidR="00F47075" w:rsidRPr="00F47075">
              <w:rPr>
                <w:b w:val="0"/>
                <w:bCs w:val="0"/>
              </w:rPr>
              <w:t>(δ)</w:t>
            </w:r>
          </w:p>
        </w:tc>
        <w:tc>
          <w:tcPr>
            <w:tcW w:w="577" w:type="pct"/>
            <w:tcBorders>
              <w:top w:val="single" w:sz="4" w:space="0" w:color="auto"/>
              <w:bottom w:val="single" w:sz="4" w:space="0" w:color="auto"/>
            </w:tcBorders>
          </w:tcPr>
          <w:p w14:paraId="1E712F09" w14:textId="33D266F0" w:rsidR="009B1DA0" w:rsidRDefault="009B1DA0" w:rsidP="009B1DA0">
            <w:pPr>
              <w:spacing w:line="276" w:lineRule="auto"/>
              <w:cnfStyle w:val="100000000000" w:firstRow="1" w:lastRow="0" w:firstColumn="0" w:lastColumn="0" w:oddVBand="0" w:evenVBand="0" w:oddHBand="0" w:evenHBand="0" w:firstRowFirstColumn="0" w:firstRowLastColumn="0" w:lastRowFirstColumn="0" w:lastRowLastColumn="0"/>
              <w:rPr>
                <w:b w:val="0"/>
                <w:bCs w:val="0"/>
                <w:i/>
                <w:iCs/>
              </w:rPr>
            </w:pPr>
            <w:r>
              <w:rPr>
                <w:b w:val="0"/>
                <w:bCs w:val="0"/>
              </w:rPr>
              <w:t>Lower 95% CI</w:t>
            </w:r>
          </w:p>
        </w:tc>
        <w:tc>
          <w:tcPr>
            <w:tcW w:w="576" w:type="pct"/>
            <w:tcBorders>
              <w:top w:val="single" w:sz="4" w:space="0" w:color="auto"/>
              <w:bottom w:val="single" w:sz="4" w:space="0" w:color="auto"/>
            </w:tcBorders>
          </w:tcPr>
          <w:p w14:paraId="3DF7B4B9" w14:textId="29C3D344" w:rsidR="009B1DA0" w:rsidRDefault="009B1DA0" w:rsidP="009B1DA0">
            <w:pPr>
              <w:spacing w:line="276" w:lineRule="auto"/>
              <w:cnfStyle w:val="100000000000" w:firstRow="1" w:lastRow="0" w:firstColumn="0" w:lastColumn="0" w:oddVBand="0" w:evenVBand="0" w:oddHBand="0" w:evenHBand="0" w:firstRowFirstColumn="0" w:firstRowLastColumn="0" w:lastRowFirstColumn="0" w:lastRowLastColumn="0"/>
              <w:rPr>
                <w:b w:val="0"/>
                <w:bCs w:val="0"/>
                <w:i/>
                <w:iCs/>
              </w:rPr>
            </w:pPr>
            <w:r>
              <w:rPr>
                <w:b w:val="0"/>
                <w:bCs w:val="0"/>
              </w:rPr>
              <w:t>Upper 95% CI</w:t>
            </w:r>
          </w:p>
        </w:tc>
        <w:tc>
          <w:tcPr>
            <w:tcW w:w="576" w:type="pct"/>
            <w:tcBorders>
              <w:top w:val="single" w:sz="4" w:space="0" w:color="auto"/>
              <w:bottom w:val="single" w:sz="4" w:space="0" w:color="auto"/>
            </w:tcBorders>
          </w:tcPr>
          <w:p w14:paraId="3D7F24CA" w14:textId="7BBDDDED" w:rsidR="009B1DA0" w:rsidRPr="00A3641A" w:rsidRDefault="009B1DA0" w:rsidP="009B1DA0">
            <w:pPr>
              <w:spacing w:line="276" w:lineRule="auto"/>
              <w:cnfStyle w:val="100000000000" w:firstRow="1" w:lastRow="0" w:firstColumn="0" w:lastColumn="0" w:oddVBand="0" w:evenVBand="0" w:oddHBand="0" w:evenHBand="0" w:firstRowFirstColumn="0" w:firstRowLastColumn="0" w:lastRowFirstColumn="0" w:lastRowLastColumn="0"/>
              <w:rPr>
                <w:b w:val="0"/>
                <w:bCs w:val="0"/>
                <w:i/>
                <w:iCs/>
              </w:rPr>
            </w:pPr>
            <w:r>
              <w:rPr>
                <w:b w:val="0"/>
                <w:bCs w:val="0"/>
                <w:i/>
                <w:iCs/>
              </w:rPr>
              <w:t>t</w:t>
            </w:r>
          </w:p>
        </w:tc>
        <w:tc>
          <w:tcPr>
            <w:tcW w:w="573" w:type="pct"/>
            <w:tcBorders>
              <w:top w:val="single" w:sz="4" w:space="0" w:color="auto"/>
              <w:bottom w:val="single" w:sz="4" w:space="0" w:color="auto"/>
            </w:tcBorders>
          </w:tcPr>
          <w:p w14:paraId="51B32C07" w14:textId="197F1B27" w:rsidR="009B1DA0" w:rsidRPr="00A3641A" w:rsidRDefault="009B1DA0" w:rsidP="009B1DA0">
            <w:pPr>
              <w:spacing w:line="276" w:lineRule="auto"/>
              <w:cnfStyle w:val="100000000000" w:firstRow="1" w:lastRow="0" w:firstColumn="0" w:lastColumn="0" w:oddVBand="0" w:evenVBand="0" w:oddHBand="0" w:evenHBand="0" w:firstRowFirstColumn="0" w:firstRowLastColumn="0" w:lastRowFirstColumn="0" w:lastRowLastColumn="0"/>
              <w:rPr>
                <w:b w:val="0"/>
                <w:bCs w:val="0"/>
                <w:i/>
                <w:iCs/>
              </w:rPr>
            </w:pPr>
            <w:r>
              <w:rPr>
                <w:b w:val="0"/>
                <w:bCs w:val="0"/>
                <w:i/>
                <w:iCs/>
              </w:rPr>
              <w:t>p</w:t>
            </w:r>
          </w:p>
        </w:tc>
      </w:tr>
      <w:tr w:rsidR="009B1DA0" w:rsidRPr="009B17B6" w14:paraId="0106F7E9" w14:textId="77777777" w:rsidTr="009B1DA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7" w:type="pct"/>
          </w:tcPr>
          <w:p w14:paraId="0A7B9D96" w14:textId="77777777" w:rsidR="009B1DA0" w:rsidRPr="00A3641A" w:rsidRDefault="009B1DA0" w:rsidP="009B1DA0">
            <w:pPr>
              <w:spacing w:line="276" w:lineRule="auto"/>
              <w:rPr>
                <w:b w:val="0"/>
                <w:bCs w:val="0"/>
                <w:color w:val="000000" w:themeColor="text1"/>
              </w:rPr>
            </w:pPr>
            <w:r w:rsidRPr="00A3641A">
              <w:rPr>
                <w:b w:val="0"/>
                <w:bCs w:val="0"/>
                <w:color w:val="000000" w:themeColor="text1"/>
              </w:rPr>
              <w:t>Body appreciation</w:t>
            </w:r>
          </w:p>
        </w:tc>
        <w:tc>
          <w:tcPr>
            <w:tcW w:w="577" w:type="pct"/>
          </w:tcPr>
          <w:p w14:paraId="43594521" w14:textId="30262E54"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0.33</w:t>
            </w:r>
          </w:p>
        </w:tc>
        <w:tc>
          <w:tcPr>
            <w:tcW w:w="577" w:type="pct"/>
          </w:tcPr>
          <w:p w14:paraId="52BDE152" w14:textId="4FBB2DF1"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0.01</w:t>
            </w:r>
          </w:p>
        </w:tc>
        <w:tc>
          <w:tcPr>
            <w:tcW w:w="577" w:type="pct"/>
          </w:tcPr>
          <w:p w14:paraId="2061DE07" w14:textId="02CCDD75"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-0.07</w:t>
            </w:r>
          </w:p>
        </w:tc>
        <w:tc>
          <w:tcPr>
            <w:tcW w:w="577" w:type="pct"/>
          </w:tcPr>
          <w:p w14:paraId="0C1B59E2" w14:textId="3840B192"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-0.65</w:t>
            </w:r>
          </w:p>
        </w:tc>
        <w:tc>
          <w:tcPr>
            <w:tcW w:w="576" w:type="pct"/>
          </w:tcPr>
          <w:p w14:paraId="5334CB10" w14:textId="5375AD72"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0.51</w:t>
            </w:r>
          </w:p>
        </w:tc>
        <w:tc>
          <w:tcPr>
            <w:tcW w:w="576" w:type="pct"/>
          </w:tcPr>
          <w:p w14:paraId="5979FAED" w14:textId="62DCFF23"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-0.26</w:t>
            </w:r>
          </w:p>
        </w:tc>
        <w:tc>
          <w:tcPr>
            <w:tcW w:w="573" w:type="pct"/>
          </w:tcPr>
          <w:p w14:paraId="379C44C5" w14:textId="08047B0F" w:rsidR="009B1DA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.798</w:t>
            </w:r>
          </w:p>
        </w:tc>
      </w:tr>
      <w:tr w:rsidR="009B1DA0" w:rsidRPr="009B17B6" w14:paraId="7CB5465C" w14:textId="77777777" w:rsidTr="009B1DA0">
        <w:trPr>
          <w:trHeight w:val="20"/>
        </w:trPr>
        <w:tc>
          <w:tcPr>
            <w:cnfStyle w:val="001000000000" w:firstRow="0" w:lastRow="0" w:firstColumn="1" w:lastColumn="0" w:oddVBand="0" w:evenVBand="0" w:oddHBand="0" w:evenHBand="0" w:firstRowFirstColumn="0" w:firstRowLastColumn="0" w:lastRowFirstColumn="0" w:lastRowLastColumn="0"/>
            <w:tcW w:w="967" w:type="pct"/>
          </w:tcPr>
          <w:p w14:paraId="06CAEDB7" w14:textId="77777777" w:rsidR="009B1DA0" w:rsidRPr="00A3641A" w:rsidRDefault="009B1DA0" w:rsidP="009B1DA0">
            <w:pPr>
              <w:spacing w:line="276" w:lineRule="auto"/>
              <w:rPr>
                <w:b w:val="0"/>
                <w:bCs w:val="0"/>
              </w:rPr>
            </w:pPr>
            <w:r w:rsidRPr="00A3641A">
              <w:rPr>
                <w:b w:val="0"/>
                <w:bCs w:val="0"/>
              </w:rPr>
              <w:t>Functionality appreciation</w:t>
            </w:r>
          </w:p>
        </w:tc>
        <w:tc>
          <w:tcPr>
            <w:tcW w:w="577" w:type="pct"/>
          </w:tcPr>
          <w:p w14:paraId="320E4C5D" w14:textId="75C3DAA3" w:rsidR="009B1DA0" w:rsidRPr="00825402"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pPr>
            <w:r>
              <w:t>0.36</w:t>
            </w:r>
          </w:p>
        </w:tc>
        <w:tc>
          <w:tcPr>
            <w:tcW w:w="577" w:type="pct"/>
          </w:tcPr>
          <w:p w14:paraId="69945F2E" w14:textId="5CAE2F31" w:rsidR="009B1DA0" w:rsidRPr="00825402"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pPr>
            <w:r>
              <w:t>0.01</w:t>
            </w:r>
          </w:p>
        </w:tc>
        <w:tc>
          <w:tcPr>
            <w:tcW w:w="577" w:type="pct"/>
          </w:tcPr>
          <w:p w14:paraId="4E23679E" w14:textId="3B008ACD"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pPr>
            <w:r>
              <w:t>-0.13</w:t>
            </w:r>
          </w:p>
        </w:tc>
        <w:tc>
          <w:tcPr>
            <w:tcW w:w="577" w:type="pct"/>
          </w:tcPr>
          <w:p w14:paraId="7CBED913" w14:textId="66820807"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pPr>
            <w:r>
              <w:t>-0.73</w:t>
            </w:r>
          </w:p>
        </w:tc>
        <w:tc>
          <w:tcPr>
            <w:tcW w:w="576" w:type="pct"/>
          </w:tcPr>
          <w:p w14:paraId="789544BB" w14:textId="6AFB0EAA"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pPr>
            <w:r>
              <w:t>0.44</w:t>
            </w:r>
          </w:p>
        </w:tc>
        <w:tc>
          <w:tcPr>
            <w:tcW w:w="576" w:type="pct"/>
          </w:tcPr>
          <w:p w14:paraId="7C1447EA" w14:textId="2B5F0D7D" w:rsidR="009B1DA0" w:rsidRPr="00825402"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pPr>
            <w:r>
              <w:t>-0.53</w:t>
            </w:r>
          </w:p>
        </w:tc>
        <w:tc>
          <w:tcPr>
            <w:tcW w:w="573" w:type="pct"/>
          </w:tcPr>
          <w:p w14:paraId="3117E4E7" w14:textId="11E47D03" w:rsidR="009B1DA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pPr>
            <w:r>
              <w:t>.600</w:t>
            </w:r>
          </w:p>
        </w:tc>
      </w:tr>
      <w:tr w:rsidR="009B1DA0" w:rsidRPr="009B17B6" w14:paraId="4475F84C" w14:textId="77777777" w:rsidTr="009B1DA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7" w:type="pct"/>
          </w:tcPr>
          <w:p w14:paraId="045C7789" w14:textId="77777777" w:rsidR="009B1DA0" w:rsidRPr="00A3641A" w:rsidRDefault="009B1DA0" w:rsidP="009B1DA0">
            <w:pPr>
              <w:spacing w:line="276" w:lineRule="auto"/>
              <w:rPr>
                <w:b w:val="0"/>
                <w:bCs w:val="0"/>
                <w:color w:val="000000" w:themeColor="text1"/>
              </w:rPr>
            </w:pPr>
            <w:r w:rsidRPr="00A3641A">
              <w:rPr>
                <w:b w:val="0"/>
                <w:bCs w:val="0"/>
                <w:color w:val="000000" w:themeColor="text1"/>
              </w:rPr>
              <w:t>Body shame</w:t>
            </w:r>
          </w:p>
        </w:tc>
        <w:tc>
          <w:tcPr>
            <w:tcW w:w="577" w:type="pct"/>
          </w:tcPr>
          <w:p w14:paraId="6A62774B" w14:textId="52D64903"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0.46</w:t>
            </w:r>
          </w:p>
        </w:tc>
        <w:tc>
          <w:tcPr>
            <w:tcW w:w="577" w:type="pct"/>
          </w:tcPr>
          <w:p w14:paraId="5E875EBF" w14:textId="2DDEA207"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0.01</w:t>
            </w:r>
          </w:p>
        </w:tc>
        <w:tc>
          <w:tcPr>
            <w:tcW w:w="577" w:type="pct"/>
          </w:tcPr>
          <w:p w14:paraId="3C94794B" w14:textId="329E5426"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0.24</w:t>
            </w:r>
          </w:p>
        </w:tc>
        <w:tc>
          <w:tcPr>
            <w:tcW w:w="577" w:type="pct"/>
          </w:tcPr>
          <w:p w14:paraId="071C2A52" w14:textId="70B3947C"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-0.33</w:t>
            </w:r>
          </w:p>
        </w:tc>
        <w:tc>
          <w:tcPr>
            <w:tcW w:w="576" w:type="pct"/>
          </w:tcPr>
          <w:p w14:paraId="2AA5B516" w14:textId="242015B0"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0.86</w:t>
            </w:r>
          </w:p>
        </w:tc>
        <w:tc>
          <w:tcPr>
            <w:tcW w:w="576" w:type="pct"/>
          </w:tcPr>
          <w:p w14:paraId="0A4AB1D0" w14:textId="117AAF59"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0.95</w:t>
            </w:r>
          </w:p>
        </w:tc>
        <w:tc>
          <w:tcPr>
            <w:tcW w:w="573" w:type="pct"/>
          </w:tcPr>
          <w:p w14:paraId="6E9425AB" w14:textId="3B548F00" w:rsidR="009B1DA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.348</w:t>
            </w:r>
          </w:p>
        </w:tc>
      </w:tr>
      <w:tr w:rsidR="009B1DA0" w:rsidRPr="009B17B6" w14:paraId="12CE393A" w14:textId="77777777" w:rsidTr="009B1DA0">
        <w:trPr>
          <w:trHeight w:val="20"/>
        </w:trPr>
        <w:tc>
          <w:tcPr>
            <w:cnfStyle w:val="001000000000" w:firstRow="0" w:lastRow="0" w:firstColumn="1" w:lastColumn="0" w:oddVBand="0" w:evenVBand="0" w:oddHBand="0" w:evenHBand="0" w:firstRowFirstColumn="0" w:firstRowLastColumn="0" w:lastRowFirstColumn="0" w:lastRowLastColumn="0"/>
            <w:tcW w:w="967" w:type="pct"/>
          </w:tcPr>
          <w:p w14:paraId="36233064" w14:textId="77777777" w:rsidR="009B1DA0" w:rsidRPr="00A3641A" w:rsidRDefault="009B1DA0" w:rsidP="009B1DA0">
            <w:pPr>
              <w:spacing w:line="276" w:lineRule="auto"/>
              <w:rPr>
                <w:b w:val="0"/>
                <w:bCs w:val="0"/>
                <w:color w:val="000000" w:themeColor="text1"/>
              </w:rPr>
            </w:pPr>
            <w:r w:rsidRPr="00A3641A">
              <w:rPr>
                <w:b w:val="0"/>
                <w:bCs w:val="0"/>
                <w:color w:val="000000" w:themeColor="text1"/>
              </w:rPr>
              <w:t>Weight preoccupation</w:t>
            </w:r>
          </w:p>
        </w:tc>
        <w:tc>
          <w:tcPr>
            <w:tcW w:w="577" w:type="pct"/>
          </w:tcPr>
          <w:p w14:paraId="7F042B7D" w14:textId="1F9948DD"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0.37</w:t>
            </w:r>
          </w:p>
        </w:tc>
        <w:tc>
          <w:tcPr>
            <w:tcW w:w="577" w:type="pct"/>
          </w:tcPr>
          <w:p w14:paraId="5E055F55" w14:textId="50FAC1CE"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t>0.01</w:t>
            </w:r>
          </w:p>
        </w:tc>
        <w:tc>
          <w:tcPr>
            <w:tcW w:w="577" w:type="pct"/>
          </w:tcPr>
          <w:p w14:paraId="7AFFFB36" w14:textId="3F828DFC"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0.15</w:t>
            </w:r>
          </w:p>
        </w:tc>
        <w:tc>
          <w:tcPr>
            <w:tcW w:w="577" w:type="pct"/>
          </w:tcPr>
          <w:p w14:paraId="5F480054" w14:textId="7DF90022"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-0.43</w:t>
            </w:r>
          </w:p>
        </w:tc>
        <w:tc>
          <w:tcPr>
            <w:tcW w:w="576" w:type="pct"/>
          </w:tcPr>
          <w:p w14:paraId="313082FA" w14:textId="0037BA68"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0.75</w:t>
            </w:r>
          </w:p>
        </w:tc>
        <w:tc>
          <w:tcPr>
            <w:tcW w:w="576" w:type="pct"/>
          </w:tcPr>
          <w:p w14:paraId="0F2722B6" w14:textId="3220D8F8"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0.57</w:t>
            </w:r>
          </w:p>
        </w:tc>
        <w:tc>
          <w:tcPr>
            <w:tcW w:w="573" w:type="pct"/>
          </w:tcPr>
          <w:p w14:paraId="6B6B69FF" w14:textId="1CD9983A" w:rsidR="009B1DA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.569</w:t>
            </w:r>
          </w:p>
        </w:tc>
      </w:tr>
      <w:tr w:rsidR="009B1DA0" w:rsidRPr="009B17B6" w14:paraId="2977E4F8" w14:textId="77777777" w:rsidTr="009B1DA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7" w:type="pct"/>
          </w:tcPr>
          <w:p w14:paraId="2CB7AB03" w14:textId="77777777" w:rsidR="009B1DA0" w:rsidRPr="00A3641A" w:rsidRDefault="009B1DA0" w:rsidP="009B1DA0">
            <w:pPr>
              <w:spacing w:line="276" w:lineRule="auto"/>
              <w:rPr>
                <w:b w:val="0"/>
                <w:bCs w:val="0"/>
                <w:color w:val="000000" w:themeColor="text1"/>
              </w:rPr>
            </w:pPr>
            <w:r w:rsidRPr="00A3641A">
              <w:rPr>
                <w:b w:val="0"/>
                <w:bCs w:val="0"/>
                <w:color w:val="000000" w:themeColor="text1"/>
              </w:rPr>
              <w:t>HEP body shame cluster</w:t>
            </w:r>
          </w:p>
        </w:tc>
        <w:tc>
          <w:tcPr>
            <w:tcW w:w="577" w:type="pct"/>
          </w:tcPr>
          <w:p w14:paraId="1D286DF4" w14:textId="7D7BB94A"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0.38</w:t>
            </w:r>
          </w:p>
        </w:tc>
        <w:tc>
          <w:tcPr>
            <w:tcW w:w="577" w:type="pct"/>
          </w:tcPr>
          <w:p w14:paraId="330EF7A4" w14:textId="7EFAFEF3"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0.01</w:t>
            </w:r>
          </w:p>
        </w:tc>
        <w:tc>
          <w:tcPr>
            <w:tcW w:w="577" w:type="pct"/>
          </w:tcPr>
          <w:p w14:paraId="6922E5AB" w14:textId="7F616970"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-0.16</w:t>
            </w:r>
          </w:p>
        </w:tc>
        <w:tc>
          <w:tcPr>
            <w:tcW w:w="577" w:type="pct"/>
          </w:tcPr>
          <w:p w14:paraId="3617CFD6" w14:textId="707E4B05"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-0.76</w:t>
            </w:r>
          </w:p>
        </w:tc>
        <w:tc>
          <w:tcPr>
            <w:tcW w:w="576" w:type="pct"/>
          </w:tcPr>
          <w:p w14:paraId="6091303F" w14:textId="796D1F42"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0.42</w:t>
            </w:r>
          </w:p>
        </w:tc>
        <w:tc>
          <w:tcPr>
            <w:tcW w:w="576" w:type="pct"/>
          </w:tcPr>
          <w:p w14:paraId="603F2BCA" w14:textId="2D1D8557"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-0.62</w:t>
            </w:r>
          </w:p>
        </w:tc>
        <w:tc>
          <w:tcPr>
            <w:tcW w:w="573" w:type="pct"/>
          </w:tcPr>
          <w:p w14:paraId="727FBCB8" w14:textId="63397680" w:rsidR="009B1DA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.538</w:t>
            </w:r>
          </w:p>
        </w:tc>
      </w:tr>
      <w:tr w:rsidR="009B1DA0" w:rsidRPr="009B17B6" w14:paraId="5162F4A8" w14:textId="77777777" w:rsidTr="009B1DA0">
        <w:trPr>
          <w:trHeight w:val="20"/>
        </w:trPr>
        <w:tc>
          <w:tcPr>
            <w:cnfStyle w:val="001000000000" w:firstRow="0" w:lastRow="0" w:firstColumn="1" w:lastColumn="0" w:oddVBand="0" w:evenVBand="0" w:oddHBand="0" w:evenHBand="0" w:firstRowFirstColumn="0" w:firstRowLastColumn="0" w:lastRowFirstColumn="0" w:lastRowLastColumn="0"/>
            <w:tcW w:w="967" w:type="pct"/>
          </w:tcPr>
          <w:p w14:paraId="13C38ACA" w14:textId="77777777" w:rsidR="009B1DA0" w:rsidRPr="00A3641A" w:rsidRDefault="009B1DA0" w:rsidP="009B1DA0">
            <w:pPr>
              <w:spacing w:line="276" w:lineRule="auto"/>
              <w:rPr>
                <w:b w:val="0"/>
                <w:bCs w:val="0"/>
                <w:color w:val="000000" w:themeColor="text1"/>
              </w:rPr>
            </w:pPr>
            <w:r w:rsidRPr="00A3641A">
              <w:rPr>
                <w:b w:val="0"/>
                <w:bCs w:val="0"/>
                <w:color w:val="000000" w:themeColor="text1"/>
              </w:rPr>
              <w:t>HEP weight preoccupation cluster</w:t>
            </w:r>
          </w:p>
        </w:tc>
        <w:tc>
          <w:tcPr>
            <w:tcW w:w="577" w:type="pct"/>
          </w:tcPr>
          <w:p w14:paraId="4FB011CB" w14:textId="20EF3E6A"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0.54</w:t>
            </w:r>
          </w:p>
        </w:tc>
        <w:tc>
          <w:tcPr>
            <w:tcW w:w="577" w:type="pct"/>
          </w:tcPr>
          <w:p w14:paraId="30A76B3E" w14:textId="7E13B4BF"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t>0.01</w:t>
            </w:r>
          </w:p>
        </w:tc>
        <w:tc>
          <w:tcPr>
            <w:tcW w:w="577" w:type="pct"/>
          </w:tcPr>
          <w:p w14:paraId="5DDC9462" w14:textId="3FEFE85D"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-0.30</w:t>
            </w:r>
          </w:p>
        </w:tc>
        <w:tc>
          <w:tcPr>
            <w:tcW w:w="577" w:type="pct"/>
          </w:tcPr>
          <w:p w14:paraId="2328A850" w14:textId="66F72F63"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-0.93</w:t>
            </w:r>
          </w:p>
        </w:tc>
        <w:tc>
          <w:tcPr>
            <w:tcW w:w="576" w:type="pct"/>
          </w:tcPr>
          <w:p w14:paraId="1735BA82" w14:textId="11C0AB3C" w:rsidR="009B1DA0" w:rsidRDefault="0025197A"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0.28</w:t>
            </w:r>
          </w:p>
        </w:tc>
        <w:tc>
          <w:tcPr>
            <w:tcW w:w="576" w:type="pct"/>
          </w:tcPr>
          <w:p w14:paraId="21CA02D7" w14:textId="3CF4D254"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-1.15</w:t>
            </w:r>
          </w:p>
        </w:tc>
        <w:tc>
          <w:tcPr>
            <w:tcW w:w="573" w:type="pct"/>
          </w:tcPr>
          <w:p w14:paraId="5DDBB95C" w14:textId="0B7DC048" w:rsidR="009B1DA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.256</w:t>
            </w:r>
          </w:p>
        </w:tc>
      </w:tr>
      <w:tr w:rsidR="009B1DA0" w:rsidRPr="009B17B6" w14:paraId="681EE415" w14:textId="77777777" w:rsidTr="009B1DA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7" w:type="pct"/>
          </w:tcPr>
          <w:p w14:paraId="6B4389C1" w14:textId="77777777" w:rsidR="009B1DA0" w:rsidRPr="00A3641A" w:rsidRDefault="009B1DA0" w:rsidP="009B1DA0">
            <w:pPr>
              <w:spacing w:line="276" w:lineRule="auto"/>
              <w:rPr>
                <w:b w:val="0"/>
                <w:bCs w:val="0"/>
                <w:color w:val="000000" w:themeColor="text1"/>
              </w:rPr>
            </w:pPr>
            <w:r w:rsidRPr="00A3641A">
              <w:rPr>
                <w:b w:val="0"/>
                <w:bCs w:val="0"/>
              </w:rPr>
              <w:t>PAC Left Frontal</w:t>
            </w:r>
          </w:p>
        </w:tc>
        <w:tc>
          <w:tcPr>
            <w:tcW w:w="577" w:type="pct"/>
          </w:tcPr>
          <w:p w14:paraId="1908AB40" w14:textId="64EEDC42"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0.38</w:t>
            </w:r>
          </w:p>
        </w:tc>
        <w:tc>
          <w:tcPr>
            <w:tcW w:w="577" w:type="pct"/>
          </w:tcPr>
          <w:p w14:paraId="7C9E6CB8" w14:textId="375F3E31"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0.02</w:t>
            </w:r>
          </w:p>
        </w:tc>
        <w:tc>
          <w:tcPr>
            <w:tcW w:w="577" w:type="pct"/>
          </w:tcPr>
          <w:p w14:paraId="05699160" w14:textId="7BAEBA6E"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-0.15</w:t>
            </w:r>
          </w:p>
        </w:tc>
        <w:tc>
          <w:tcPr>
            <w:tcW w:w="577" w:type="pct"/>
          </w:tcPr>
          <w:p w14:paraId="14AEB1FD" w14:textId="4C46D058"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-0.76</w:t>
            </w:r>
          </w:p>
        </w:tc>
        <w:tc>
          <w:tcPr>
            <w:tcW w:w="576" w:type="pct"/>
          </w:tcPr>
          <w:p w14:paraId="670AE11A" w14:textId="531EBE52" w:rsidR="009B1DA0" w:rsidRDefault="0025197A"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0.44</w:t>
            </w:r>
          </w:p>
        </w:tc>
        <w:tc>
          <w:tcPr>
            <w:tcW w:w="576" w:type="pct"/>
          </w:tcPr>
          <w:p w14:paraId="64BDD111" w14:textId="0340C67A"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-0.57</w:t>
            </w:r>
          </w:p>
        </w:tc>
        <w:tc>
          <w:tcPr>
            <w:tcW w:w="573" w:type="pct"/>
          </w:tcPr>
          <w:p w14:paraId="610A6DB0" w14:textId="3D47E65D" w:rsidR="009B1DA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.571</w:t>
            </w:r>
          </w:p>
        </w:tc>
      </w:tr>
      <w:tr w:rsidR="009B1DA0" w:rsidRPr="009B17B6" w14:paraId="5134D573" w14:textId="77777777" w:rsidTr="009B1DA0">
        <w:trPr>
          <w:trHeight w:val="20"/>
        </w:trPr>
        <w:tc>
          <w:tcPr>
            <w:cnfStyle w:val="001000000000" w:firstRow="0" w:lastRow="0" w:firstColumn="1" w:lastColumn="0" w:oddVBand="0" w:evenVBand="0" w:oddHBand="0" w:evenHBand="0" w:firstRowFirstColumn="0" w:firstRowLastColumn="0" w:lastRowFirstColumn="0" w:lastRowLastColumn="0"/>
            <w:tcW w:w="967" w:type="pct"/>
          </w:tcPr>
          <w:p w14:paraId="7B543053" w14:textId="77777777" w:rsidR="009B1DA0" w:rsidRPr="00A3641A" w:rsidRDefault="009B1DA0" w:rsidP="009B1DA0">
            <w:pPr>
              <w:spacing w:line="276" w:lineRule="auto"/>
              <w:rPr>
                <w:b w:val="0"/>
                <w:bCs w:val="0"/>
                <w:color w:val="000000" w:themeColor="text1"/>
              </w:rPr>
            </w:pPr>
            <w:r w:rsidRPr="00A3641A">
              <w:rPr>
                <w:b w:val="0"/>
                <w:bCs w:val="0"/>
              </w:rPr>
              <w:t>PAC Right Frontal</w:t>
            </w:r>
          </w:p>
        </w:tc>
        <w:tc>
          <w:tcPr>
            <w:tcW w:w="577" w:type="pct"/>
          </w:tcPr>
          <w:p w14:paraId="67CECA79" w14:textId="46193A02"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0.33</w:t>
            </w:r>
          </w:p>
        </w:tc>
        <w:tc>
          <w:tcPr>
            <w:tcW w:w="577" w:type="pct"/>
          </w:tcPr>
          <w:p w14:paraId="033A7A93" w14:textId="0A1D2327"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0.02</w:t>
            </w:r>
          </w:p>
        </w:tc>
        <w:tc>
          <w:tcPr>
            <w:tcW w:w="577" w:type="pct"/>
          </w:tcPr>
          <w:p w14:paraId="5AE285CF" w14:textId="762C181D" w:rsidR="009B1DA0" w:rsidRDefault="00E83E35"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-0.01</w:t>
            </w:r>
          </w:p>
        </w:tc>
        <w:tc>
          <w:tcPr>
            <w:tcW w:w="577" w:type="pct"/>
          </w:tcPr>
          <w:p w14:paraId="4585BF6C" w14:textId="3F611119" w:rsidR="009B1DA0" w:rsidRDefault="00E83E35"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-0.60</w:t>
            </w:r>
          </w:p>
        </w:tc>
        <w:tc>
          <w:tcPr>
            <w:tcW w:w="576" w:type="pct"/>
          </w:tcPr>
          <w:p w14:paraId="3F4DD5BB" w14:textId="7CB8D3E6" w:rsidR="009B1DA0" w:rsidRDefault="00E83E35"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0.58</w:t>
            </w:r>
          </w:p>
        </w:tc>
        <w:tc>
          <w:tcPr>
            <w:tcW w:w="576" w:type="pct"/>
          </w:tcPr>
          <w:p w14:paraId="757CFB1E" w14:textId="276A97CA"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-0.04</w:t>
            </w:r>
          </w:p>
        </w:tc>
        <w:tc>
          <w:tcPr>
            <w:tcW w:w="573" w:type="pct"/>
          </w:tcPr>
          <w:p w14:paraId="56BAA410" w14:textId="5EECFD0B" w:rsidR="009B1DA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.967</w:t>
            </w:r>
          </w:p>
        </w:tc>
      </w:tr>
      <w:tr w:rsidR="009B1DA0" w:rsidRPr="009B17B6" w14:paraId="72039681" w14:textId="77777777" w:rsidTr="009B1DA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67" w:type="pct"/>
          </w:tcPr>
          <w:p w14:paraId="475C5ACE" w14:textId="77777777" w:rsidR="009B1DA0" w:rsidRPr="00A3641A" w:rsidRDefault="009B1DA0" w:rsidP="009B1DA0">
            <w:pPr>
              <w:spacing w:line="276" w:lineRule="auto"/>
              <w:rPr>
                <w:b w:val="0"/>
                <w:bCs w:val="0"/>
              </w:rPr>
            </w:pPr>
            <w:r w:rsidRPr="00A3641A">
              <w:rPr>
                <w:b w:val="0"/>
                <w:bCs w:val="0"/>
              </w:rPr>
              <w:t xml:space="preserve">PAC Left Centroparietal </w:t>
            </w:r>
          </w:p>
        </w:tc>
        <w:tc>
          <w:tcPr>
            <w:tcW w:w="577" w:type="pct"/>
          </w:tcPr>
          <w:p w14:paraId="3D145BC4" w14:textId="15D44154"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0.34</w:t>
            </w:r>
          </w:p>
        </w:tc>
        <w:tc>
          <w:tcPr>
            <w:tcW w:w="577" w:type="pct"/>
          </w:tcPr>
          <w:p w14:paraId="51113A41" w14:textId="073420A0"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0.02</w:t>
            </w:r>
          </w:p>
        </w:tc>
        <w:tc>
          <w:tcPr>
            <w:tcW w:w="577" w:type="pct"/>
          </w:tcPr>
          <w:p w14:paraId="549BCDD5" w14:textId="2438E2F1" w:rsidR="009B1DA0" w:rsidRDefault="00E83E35"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0.06</w:t>
            </w:r>
          </w:p>
        </w:tc>
        <w:tc>
          <w:tcPr>
            <w:tcW w:w="577" w:type="pct"/>
          </w:tcPr>
          <w:p w14:paraId="161AE78E" w14:textId="7FE41CD3" w:rsidR="009B1DA0" w:rsidRDefault="00E83E35"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-0.53</w:t>
            </w:r>
          </w:p>
        </w:tc>
        <w:tc>
          <w:tcPr>
            <w:tcW w:w="576" w:type="pct"/>
          </w:tcPr>
          <w:p w14:paraId="215DA7E1" w14:textId="2C407D01" w:rsidR="009B1DA0" w:rsidRDefault="00E83E35"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0.66</w:t>
            </w:r>
          </w:p>
        </w:tc>
        <w:tc>
          <w:tcPr>
            <w:tcW w:w="576" w:type="pct"/>
          </w:tcPr>
          <w:p w14:paraId="1CF4B777" w14:textId="280D4D5D" w:rsidR="009B1DA0" w:rsidRPr="00CA3DC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0.23</w:t>
            </w:r>
          </w:p>
        </w:tc>
        <w:tc>
          <w:tcPr>
            <w:tcW w:w="573" w:type="pct"/>
          </w:tcPr>
          <w:p w14:paraId="732F20A0" w14:textId="0FFC77C8" w:rsidR="009B1DA0" w:rsidRDefault="009B1DA0" w:rsidP="009B1DA0">
            <w:pPr>
              <w:spacing w:line="276" w:lineRule="auto"/>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.819</w:t>
            </w:r>
          </w:p>
        </w:tc>
      </w:tr>
      <w:tr w:rsidR="009B1DA0" w:rsidRPr="009B17B6" w14:paraId="07FC6C74" w14:textId="77777777" w:rsidTr="009B1DA0">
        <w:trPr>
          <w:trHeight w:val="20"/>
        </w:trPr>
        <w:tc>
          <w:tcPr>
            <w:cnfStyle w:val="001000000000" w:firstRow="0" w:lastRow="0" w:firstColumn="1" w:lastColumn="0" w:oddVBand="0" w:evenVBand="0" w:oddHBand="0" w:evenHBand="0" w:firstRowFirstColumn="0" w:firstRowLastColumn="0" w:lastRowFirstColumn="0" w:lastRowLastColumn="0"/>
            <w:tcW w:w="967" w:type="pct"/>
            <w:tcBorders>
              <w:bottom w:val="single" w:sz="4" w:space="0" w:color="auto"/>
            </w:tcBorders>
          </w:tcPr>
          <w:p w14:paraId="139F8BF0" w14:textId="77777777" w:rsidR="009B1DA0" w:rsidRPr="00A3641A" w:rsidRDefault="009B1DA0" w:rsidP="009B1DA0">
            <w:pPr>
              <w:spacing w:line="276" w:lineRule="auto"/>
              <w:rPr>
                <w:b w:val="0"/>
                <w:bCs w:val="0"/>
              </w:rPr>
            </w:pPr>
            <w:r w:rsidRPr="00A3641A">
              <w:rPr>
                <w:b w:val="0"/>
                <w:bCs w:val="0"/>
              </w:rPr>
              <w:t>PAC Right Centroparietal</w:t>
            </w:r>
          </w:p>
        </w:tc>
        <w:tc>
          <w:tcPr>
            <w:tcW w:w="577" w:type="pct"/>
            <w:tcBorders>
              <w:bottom w:val="single" w:sz="4" w:space="0" w:color="auto"/>
            </w:tcBorders>
          </w:tcPr>
          <w:p w14:paraId="6AC83FFD" w14:textId="43971C00"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0.40</w:t>
            </w:r>
          </w:p>
        </w:tc>
        <w:tc>
          <w:tcPr>
            <w:tcW w:w="577" w:type="pct"/>
            <w:tcBorders>
              <w:bottom w:val="single" w:sz="4" w:space="0" w:color="auto"/>
            </w:tcBorders>
          </w:tcPr>
          <w:p w14:paraId="1F4BC9E5" w14:textId="5CDBC2F6"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0.02</w:t>
            </w:r>
          </w:p>
        </w:tc>
        <w:tc>
          <w:tcPr>
            <w:tcW w:w="577" w:type="pct"/>
            <w:tcBorders>
              <w:bottom w:val="single" w:sz="4" w:space="0" w:color="auto"/>
            </w:tcBorders>
          </w:tcPr>
          <w:p w14:paraId="089CAC80" w14:textId="31768BDC" w:rsidR="009B1DA0" w:rsidRDefault="00E83E35"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-0.18</w:t>
            </w:r>
          </w:p>
        </w:tc>
        <w:tc>
          <w:tcPr>
            <w:tcW w:w="577" w:type="pct"/>
            <w:tcBorders>
              <w:bottom w:val="single" w:sz="4" w:space="0" w:color="auto"/>
            </w:tcBorders>
          </w:tcPr>
          <w:p w14:paraId="14844C45" w14:textId="2EDD0CA2" w:rsidR="009B1DA0" w:rsidRDefault="00E83E35"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-0.80</w:t>
            </w:r>
          </w:p>
        </w:tc>
        <w:tc>
          <w:tcPr>
            <w:tcW w:w="576" w:type="pct"/>
            <w:tcBorders>
              <w:bottom w:val="single" w:sz="4" w:space="0" w:color="auto"/>
            </w:tcBorders>
          </w:tcPr>
          <w:p w14:paraId="4E50D188" w14:textId="43C136EC" w:rsidR="009B1DA0" w:rsidRDefault="00E83E35"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0.40</w:t>
            </w:r>
          </w:p>
        </w:tc>
        <w:tc>
          <w:tcPr>
            <w:tcW w:w="576" w:type="pct"/>
            <w:tcBorders>
              <w:bottom w:val="single" w:sz="4" w:space="0" w:color="auto"/>
            </w:tcBorders>
          </w:tcPr>
          <w:p w14:paraId="398D08C5" w14:textId="20FE13F8" w:rsidR="009B1DA0" w:rsidRPr="00CA3DC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-0.70</w:t>
            </w:r>
          </w:p>
        </w:tc>
        <w:tc>
          <w:tcPr>
            <w:tcW w:w="573" w:type="pct"/>
            <w:tcBorders>
              <w:bottom w:val="single" w:sz="4" w:space="0" w:color="auto"/>
            </w:tcBorders>
          </w:tcPr>
          <w:p w14:paraId="72963858" w14:textId="33947C48" w:rsidR="009B1DA0" w:rsidRDefault="009B1DA0" w:rsidP="009B1DA0">
            <w:pPr>
              <w:spacing w:line="276" w:lineRule="auto"/>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.488</w:t>
            </w:r>
          </w:p>
        </w:tc>
      </w:tr>
    </w:tbl>
    <w:p w14:paraId="79D94194" w14:textId="2AB350A1" w:rsidR="00D210E5" w:rsidRPr="001E5A60" w:rsidRDefault="00D210E5" w:rsidP="00D210E5">
      <w:r w:rsidRPr="001E5A60">
        <w:rPr>
          <w:i/>
          <w:iCs/>
        </w:rPr>
        <w:t xml:space="preserve">Note. </w:t>
      </w:r>
      <w:r>
        <w:t xml:space="preserve">HEP = Heartbeat evoked potential; PAC = phase-amplitude coupling. </w:t>
      </w:r>
      <w:r w:rsidR="0025197A" w:rsidRPr="0025197A">
        <w:t xml:space="preserve">The </w:t>
      </w:r>
      <w:r w:rsidR="00F47075">
        <w:t xml:space="preserve">prior was defined by a Cauchy distribution centred on an effect size of zero, with a width of </w:t>
      </w:r>
      <w:r w:rsidR="0025197A" w:rsidRPr="0025197A">
        <w:t xml:space="preserve">0.707 </w:t>
      </w:r>
      <w:r w:rsidR="0025197A">
        <w:t>(</w:t>
      </w:r>
      <w:r w:rsidR="0025197A" w:rsidRPr="0025197A">
        <w:t xml:space="preserve">default </w:t>
      </w:r>
      <w:r w:rsidR="0025197A">
        <w:t>setting</w:t>
      </w:r>
      <w:r w:rsidR="00F47075">
        <w:t xml:space="preserve"> </w:t>
      </w:r>
      <w:r w:rsidR="0025197A" w:rsidRPr="0025197A">
        <w:t>in JASP</w:t>
      </w:r>
      <w:r w:rsidR="00F47075">
        <w:t>)</w:t>
      </w:r>
      <w:r w:rsidR="0025197A">
        <w:t>.</w:t>
      </w:r>
    </w:p>
    <w:p w14:paraId="0F91CF32" w14:textId="54EA580C" w:rsidR="00F9143E" w:rsidRDefault="00F9143E">
      <w:r>
        <w:br w:type="page"/>
      </w:r>
    </w:p>
    <w:p w14:paraId="4D20FBD3" w14:textId="753E4AE8" w:rsidR="00F9143E" w:rsidRDefault="00F9143E" w:rsidP="00226393">
      <w:pPr>
        <w:spacing w:line="480" w:lineRule="auto"/>
      </w:pPr>
      <w:r>
        <w:lastRenderedPageBreak/>
        <w:t>Supplementary Figure 1</w:t>
      </w:r>
    </w:p>
    <w:p w14:paraId="11922984" w14:textId="1536E00F" w:rsidR="00F9143E" w:rsidRPr="00226393" w:rsidRDefault="00226393" w:rsidP="00226393">
      <w:pPr>
        <w:spacing w:line="480" w:lineRule="auto"/>
        <w:rPr>
          <w:i/>
          <w:iCs/>
        </w:rPr>
      </w:pPr>
      <w:r w:rsidRPr="00226393">
        <w:rPr>
          <w:i/>
          <w:iCs/>
        </w:rPr>
        <w:t>Visualisations of the Prior and Posterior Distributions and the Bayes Factor Robustness Check for the Bayesian Correlation between Body Shame and the HEP Body Shame Cluster</w:t>
      </w:r>
    </w:p>
    <w:p w14:paraId="0236BEDD" w14:textId="3013BD52" w:rsidR="00F9143E" w:rsidRPr="00F9143E" w:rsidRDefault="00226393" w:rsidP="00226393">
      <w:pPr>
        <w:jc w:val="center"/>
      </w:pPr>
      <w:r w:rsidRPr="00226393">
        <w:rPr>
          <w:noProof/>
        </w:rPr>
        <w:drawing>
          <wp:inline distT="0" distB="0" distL="0" distR="0" wp14:anchorId="0052AF43" wp14:editId="7CA99CD0">
            <wp:extent cx="8864600" cy="3920066"/>
            <wp:effectExtent l="0" t="0" r="0" b="4445"/>
            <wp:docPr id="5" name="Picture 5" descr="P76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P761#yIS1"/>
                    <pic:cNvPicPr/>
                  </pic:nvPicPr>
                  <pic:blipFill rotWithShape="1">
                    <a:blip r:embed="rId15"/>
                    <a:srcRect t="6623" b="14767"/>
                    <a:stretch/>
                  </pic:blipFill>
                  <pic:spPr bwMode="auto">
                    <a:xfrm>
                      <a:off x="0" y="0"/>
                      <a:ext cx="8864600" cy="3920066"/>
                    </a:xfrm>
                    <a:prstGeom prst="rect">
                      <a:avLst/>
                    </a:prstGeom>
                    <a:ln>
                      <a:noFill/>
                    </a:ln>
                    <a:extLst>
                      <a:ext uri="{53640926-AAD7-44D8-BBD7-CCE9431645EC}">
                        <a14:shadowObscured xmlns:a14="http://schemas.microsoft.com/office/drawing/2010/main"/>
                      </a:ext>
                    </a:extLst>
                  </pic:spPr>
                </pic:pic>
              </a:graphicData>
            </a:graphic>
          </wp:inline>
        </w:drawing>
      </w:r>
    </w:p>
    <w:p w14:paraId="121F3A0D" w14:textId="6D98D2D8" w:rsidR="00EF0295" w:rsidRDefault="00EF0295">
      <w:r>
        <w:rPr>
          <w:i/>
          <w:iCs/>
        </w:rPr>
        <w:t xml:space="preserve">Note. </w:t>
      </w:r>
      <w:r>
        <w:t>HEP = Heartbeat Evoked Potential</w:t>
      </w:r>
      <w:r>
        <w:br w:type="page"/>
      </w:r>
    </w:p>
    <w:p w14:paraId="4BAC29A6" w14:textId="626A5EAB" w:rsidR="00EF0295" w:rsidRDefault="00EF0295" w:rsidP="00EF0295">
      <w:pPr>
        <w:spacing w:line="480" w:lineRule="auto"/>
      </w:pPr>
      <w:r>
        <w:lastRenderedPageBreak/>
        <w:t>Supplementary Figure 2</w:t>
      </w:r>
    </w:p>
    <w:p w14:paraId="26C6B074" w14:textId="4DF7730A" w:rsidR="00EF0295" w:rsidRPr="00226393" w:rsidRDefault="00EF0295" w:rsidP="00EF0295">
      <w:pPr>
        <w:spacing w:line="480" w:lineRule="auto"/>
        <w:rPr>
          <w:i/>
          <w:iCs/>
        </w:rPr>
      </w:pPr>
      <w:r w:rsidRPr="00226393">
        <w:rPr>
          <w:i/>
          <w:iCs/>
        </w:rPr>
        <w:t xml:space="preserve">Visualisations of the Prior and Posterior Distributions and the Bayes Factor Robustness Check for the Bayesian Correlation between </w:t>
      </w:r>
      <w:r>
        <w:rPr>
          <w:i/>
          <w:iCs/>
        </w:rPr>
        <w:t>Weight Preoccupation</w:t>
      </w:r>
      <w:r w:rsidRPr="00226393">
        <w:rPr>
          <w:i/>
          <w:iCs/>
        </w:rPr>
        <w:t xml:space="preserve"> and the HEP </w:t>
      </w:r>
      <w:r>
        <w:rPr>
          <w:i/>
          <w:iCs/>
        </w:rPr>
        <w:t>Weight Preoccupation</w:t>
      </w:r>
      <w:r w:rsidRPr="00226393">
        <w:rPr>
          <w:i/>
          <w:iCs/>
        </w:rPr>
        <w:t xml:space="preserve"> Cluster</w:t>
      </w:r>
    </w:p>
    <w:p w14:paraId="06001181" w14:textId="50C4872E" w:rsidR="00F9143E" w:rsidRDefault="00EF0295" w:rsidP="00EF0295">
      <w:pPr>
        <w:jc w:val="center"/>
      </w:pPr>
      <w:r w:rsidRPr="00EF0295">
        <w:rPr>
          <w:noProof/>
        </w:rPr>
        <w:drawing>
          <wp:inline distT="0" distB="0" distL="0" distR="0" wp14:anchorId="152070F8" wp14:editId="2106775E">
            <wp:extent cx="8863798" cy="3843866"/>
            <wp:effectExtent l="0" t="0" r="1270" b="4445"/>
            <wp:docPr id="6" name="Picture 6" descr="P76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P765#yIS1"/>
                    <pic:cNvPicPr/>
                  </pic:nvPicPr>
                  <pic:blipFill rotWithShape="1">
                    <a:blip r:embed="rId16"/>
                    <a:srcRect t="6282" b="16628"/>
                    <a:stretch/>
                  </pic:blipFill>
                  <pic:spPr bwMode="auto">
                    <a:xfrm>
                      <a:off x="0" y="0"/>
                      <a:ext cx="8864600" cy="3844214"/>
                    </a:xfrm>
                    <a:prstGeom prst="rect">
                      <a:avLst/>
                    </a:prstGeom>
                    <a:ln>
                      <a:noFill/>
                    </a:ln>
                    <a:extLst>
                      <a:ext uri="{53640926-AAD7-44D8-BBD7-CCE9431645EC}">
                        <a14:shadowObscured xmlns:a14="http://schemas.microsoft.com/office/drawing/2010/main"/>
                      </a:ext>
                    </a:extLst>
                  </pic:spPr>
                </pic:pic>
              </a:graphicData>
            </a:graphic>
          </wp:inline>
        </w:drawing>
      </w:r>
    </w:p>
    <w:p w14:paraId="1E82C728" w14:textId="0437AA02" w:rsidR="00EF0295" w:rsidRDefault="00EF0295">
      <w:r>
        <w:rPr>
          <w:i/>
          <w:iCs/>
        </w:rPr>
        <w:t xml:space="preserve">Note. </w:t>
      </w:r>
      <w:r>
        <w:t>HEP = Heartbeat Evoked Potential</w:t>
      </w:r>
    </w:p>
    <w:p w14:paraId="6681BB9B" w14:textId="1A0721F2" w:rsidR="00EF0295" w:rsidRDefault="00EF0295">
      <w:r>
        <w:br w:type="page"/>
      </w:r>
    </w:p>
    <w:p w14:paraId="18280BCA" w14:textId="6B78C70C" w:rsidR="00FC79AB" w:rsidRDefault="00FC79AB" w:rsidP="00FC79AB">
      <w:pPr>
        <w:spacing w:line="480" w:lineRule="auto"/>
      </w:pPr>
      <w:r>
        <w:lastRenderedPageBreak/>
        <w:t>Supplementary Figure 3</w:t>
      </w:r>
    </w:p>
    <w:p w14:paraId="53591455" w14:textId="34B9FDB5" w:rsidR="00FC79AB" w:rsidRPr="00226393" w:rsidRDefault="00FC79AB" w:rsidP="00FC79AB">
      <w:pPr>
        <w:spacing w:line="480" w:lineRule="auto"/>
        <w:rPr>
          <w:i/>
          <w:iCs/>
        </w:rPr>
      </w:pPr>
      <w:r w:rsidRPr="00226393">
        <w:rPr>
          <w:i/>
          <w:iCs/>
        </w:rPr>
        <w:t>Visualisations of the Prior and Posterior Distributions and the Bayes Factor Robustness Check for the Bayesian Correlation between</w:t>
      </w:r>
      <w:r>
        <w:rPr>
          <w:i/>
          <w:iCs/>
        </w:rPr>
        <w:t xml:space="preserve"> Weight Preoccupation</w:t>
      </w:r>
      <w:r w:rsidRPr="00226393">
        <w:rPr>
          <w:i/>
          <w:iCs/>
        </w:rPr>
        <w:t xml:space="preserve"> and </w:t>
      </w:r>
      <w:r>
        <w:rPr>
          <w:i/>
          <w:iCs/>
        </w:rPr>
        <w:t>the MI for Gastric-Alpha PAC in the Left Centroparietal ROI.</w:t>
      </w:r>
    </w:p>
    <w:p w14:paraId="6CFFFA89" w14:textId="64FE5E9F" w:rsidR="00EF0295" w:rsidRDefault="00FC79AB">
      <w:r w:rsidRPr="00FC79AB">
        <w:rPr>
          <w:noProof/>
        </w:rPr>
        <w:drawing>
          <wp:inline distT="0" distB="0" distL="0" distR="0" wp14:anchorId="2775F78B" wp14:editId="73046AF3">
            <wp:extent cx="8864195" cy="3810000"/>
            <wp:effectExtent l="0" t="0" r="635" b="0"/>
            <wp:docPr id="8" name="Picture 8" descr="P77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770#yIS1"/>
                    <pic:cNvPicPr/>
                  </pic:nvPicPr>
                  <pic:blipFill rotWithShape="1">
                    <a:blip r:embed="rId17"/>
                    <a:srcRect t="6961" b="16631"/>
                    <a:stretch/>
                  </pic:blipFill>
                  <pic:spPr bwMode="auto">
                    <a:xfrm>
                      <a:off x="0" y="0"/>
                      <a:ext cx="8864600" cy="3810174"/>
                    </a:xfrm>
                    <a:prstGeom prst="rect">
                      <a:avLst/>
                    </a:prstGeom>
                    <a:ln>
                      <a:noFill/>
                    </a:ln>
                    <a:extLst>
                      <a:ext uri="{53640926-AAD7-44D8-BBD7-CCE9431645EC}">
                        <a14:shadowObscured xmlns:a14="http://schemas.microsoft.com/office/drawing/2010/main"/>
                      </a:ext>
                    </a:extLst>
                  </pic:spPr>
                </pic:pic>
              </a:graphicData>
            </a:graphic>
          </wp:inline>
        </w:drawing>
      </w:r>
    </w:p>
    <w:p w14:paraId="0D80E97C" w14:textId="4399F1B3" w:rsidR="00FC79AB" w:rsidRDefault="00FC79AB">
      <w:r>
        <w:rPr>
          <w:i/>
          <w:iCs/>
        </w:rPr>
        <w:t xml:space="preserve">Note. </w:t>
      </w:r>
      <w:r>
        <w:t>MI = Modulation Index, PAC = Phase-amplitude coupling, ROI = Region of interest</w:t>
      </w:r>
    </w:p>
    <w:p w14:paraId="03DA269D" w14:textId="63080C8E" w:rsidR="00FC79AB" w:rsidRDefault="00FC79AB">
      <w:r>
        <w:br w:type="page"/>
      </w:r>
    </w:p>
    <w:p w14:paraId="310348D4" w14:textId="07B75CE0" w:rsidR="00FC79AB" w:rsidRDefault="00FC79AB" w:rsidP="00FC79AB">
      <w:pPr>
        <w:spacing w:line="480" w:lineRule="auto"/>
      </w:pPr>
      <w:r>
        <w:lastRenderedPageBreak/>
        <w:t>Supplementary Figure 4</w:t>
      </w:r>
    </w:p>
    <w:p w14:paraId="660DA91B" w14:textId="77777777" w:rsidR="00FC79AB" w:rsidRPr="00226393" w:rsidRDefault="00FC79AB" w:rsidP="00FC79AB">
      <w:pPr>
        <w:spacing w:line="480" w:lineRule="auto"/>
        <w:rPr>
          <w:i/>
          <w:iCs/>
        </w:rPr>
      </w:pPr>
      <w:r w:rsidRPr="00226393">
        <w:rPr>
          <w:i/>
          <w:iCs/>
        </w:rPr>
        <w:t>Visualisations of the Prior and Posterior Distributions and the Bayes Factor Robustness Check for the Bayesian Correlation between</w:t>
      </w:r>
      <w:r>
        <w:rPr>
          <w:i/>
          <w:iCs/>
        </w:rPr>
        <w:t xml:space="preserve"> Body Shame</w:t>
      </w:r>
      <w:r w:rsidRPr="00226393">
        <w:rPr>
          <w:i/>
          <w:iCs/>
        </w:rPr>
        <w:t xml:space="preserve"> and </w:t>
      </w:r>
      <w:r>
        <w:rPr>
          <w:i/>
          <w:iCs/>
        </w:rPr>
        <w:t>the MI for Gastric-Alpha PAC in the Left Centroparietal ROI.</w:t>
      </w:r>
    </w:p>
    <w:p w14:paraId="351D6493" w14:textId="77777777" w:rsidR="00FC79AB" w:rsidRDefault="00FC79AB" w:rsidP="00FC79AB">
      <w:pPr>
        <w:jc w:val="center"/>
      </w:pPr>
      <w:r w:rsidRPr="00EF0295">
        <w:rPr>
          <w:noProof/>
        </w:rPr>
        <w:drawing>
          <wp:inline distT="0" distB="0" distL="0" distR="0" wp14:anchorId="0607C701" wp14:editId="6C47F389">
            <wp:extent cx="8864600" cy="3733800"/>
            <wp:effectExtent l="0" t="0" r="0" b="0"/>
            <wp:docPr id="9" name="Picture 9" descr="P77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775#yIS1"/>
                    <pic:cNvPicPr/>
                  </pic:nvPicPr>
                  <pic:blipFill rotWithShape="1">
                    <a:blip r:embed="rId18"/>
                    <a:srcRect t="7640" b="17484"/>
                    <a:stretch/>
                  </pic:blipFill>
                  <pic:spPr bwMode="auto">
                    <a:xfrm>
                      <a:off x="0" y="0"/>
                      <a:ext cx="8864600" cy="3733800"/>
                    </a:xfrm>
                    <a:prstGeom prst="rect">
                      <a:avLst/>
                    </a:prstGeom>
                    <a:ln>
                      <a:noFill/>
                    </a:ln>
                    <a:extLst>
                      <a:ext uri="{53640926-AAD7-44D8-BBD7-CCE9431645EC}">
                        <a14:shadowObscured xmlns:a14="http://schemas.microsoft.com/office/drawing/2010/main"/>
                      </a:ext>
                    </a:extLst>
                  </pic:spPr>
                </pic:pic>
              </a:graphicData>
            </a:graphic>
          </wp:inline>
        </w:drawing>
      </w:r>
    </w:p>
    <w:p w14:paraId="43A8273B" w14:textId="77777777" w:rsidR="00FC79AB" w:rsidRDefault="00FC79AB" w:rsidP="00FC79AB">
      <w:r>
        <w:rPr>
          <w:i/>
          <w:iCs/>
        </w:rPr>
        <w:t xml:space="preserve">Note. </w:t>
      </w:r>
      <w:r>
        <w:t>MI = Modulation Index, PAC = Phase-amplitude coupling, ROI = Region of interest</w:t>
      </w:r>
    </w:p>
    <w:p w14:paraId="46D69447" w14:textId="129FE7E7" w:rsidR="00FC79AB" w:rsidRPr="00EF0295" w:rsidRDefault="00FC79AB"/>
    <w:sectPr w:rsidR="00FC79AB" w:rsidRPr="00EF0295" w:rsidSect="00C6149D">
      <w:pgSz w:w="16840" w:h="11900" w:orient="landscape"/>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7DAF5B" w14:textId="77777777" w:rsidR="00F027C6" w:rsidRDefault="00F027C6" w:rsidP="00F57DC6">
      <w:r>
        <w:separator/>
      </w:r>
    </w:p>
  </w:endnote>
  <w:endnote w:type="continuationSeparator" w:id="0">
    <w:p w14:paraId="17E32502" w14:textId="77777777" w:rsidR="00F027C6" w:rsidRDefault="00F027C6" w:rsidP="00F57D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Helvetica">
    <w:panose1 w:val="020B0604020202020204"/>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Helvetica Neue">
    <w:altName w:val="Helvetica Neue"/>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2124167"/>
      <w:docPartObj>
        <w:docPartGallery w:val="Page Numbers (Bottom of Page)"/>
        <w:docPartUnique/>
      </w:docPartObj>
    </w:sdtPr>
    <w:sdtEndPr>
      <w:rPr>
        <w:rStyle w:val="PageNumber"/>
      </w:rPr>
    </w:sdtEndPr>
    <w:sdtContent>
      <w:p w14:paraId="587EB5F2" w14:textId="5A1E7041" w:rsidR="00260AEF" w:rsidRDefault="00260AEF" w:rsidP="00660B4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4EA78E" w14:textId="77777777" w:rsidR="00260AEF" w:rsidRDefault="00260AEF" w:rsidP="00D336C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65491142"/>
      <w:docPartObj>
        <w:docPartGallery w:val="Page Numbers (Bottom of Page)"/>
        <w:docPartUnique/>
      </w:docPartObj>
    </w:sdtPr>
    <w:sdtEndPr>
      <w:rPr>
        <w:rStyle w:val="PageNumber"/>
      </w:rPr>
    </w:sdtEndPr>
    <w:sdtContent>
      <w:p w14:paraId="728DF06A" w14:textId="39B53033" w:rsidR="00260AEF" w:rsidRDefault="00260AEF" w:rsidP="00660B4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A9D608E" w14:textId="77777777" w:rsidR="00260AEF" w:rsidRDefault="00260AEF" w:rsidP="00D336C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AE9F35" w14:textId="77777777" w:rsidR="00F027C6" w:rsidRDefault="00F027C6" w:rsidP="00F57DC6">
      <w:r>
        <w:separator/>
      </w:r>
    </w:p>
  </w:footnote>
  <w:footnote w:type="continuationSeparator" w:id="0">
    <w:p w14:paraId="288C4AF1" w14:textId="77777777" w:rsidR="00F027C6" w:rsidRDefault="00F027C6" w:rsidP="00F57D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68AD77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B316CBB8"/>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704FED0"/>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8512AB64"/>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93F81FC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D861C7C"/>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5F4486E"/>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A24C20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3364A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4A6806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498F2743"/>
    <w:multiLevelType w:val="hybridMultilevel"/>
    <w:tmpl w:val="C9DA37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9233477"/>
    <w:multiLevelType w:val="hybridMultilevel"/>
    <w:tmpl w:val="F006C8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CwMDK1NLa0NDezMDFU0lEKTi0uzszPAykwqgUAR1Gg6iwAAAA="/>
  </w:docVars>
  <w:rsids>
    <w:rsidRoot w:val="00A5594E"/>
    <w:rsid w:val="00000E40"/>
    <w:rsid w:val="00014FA8"/>
    <w:rsid w:val="00015982"/>
    <w:rsid w:val="000320D4"/>
    <w:rsid w:val="0003757B"/>
    <w:rsid w:val="000417C3"/>
    <w:rsid w:val="00043014"/>
    <w:rsid w:val="00044030"/>
    <w:rsid w:val="0004520B"/>
    <w:rsid w:val="00045A0B"/>
    <w:rsid w:val="000469B5"/>
    <w:rsid w:val="00057915"/>
    <w:rsid w:val="00064F95"/>
    <w:rsid w:val="0006706A"/>
    <w:rsid w:val="00070841"/>
    <w:rsid w:val="00071667"/>
    <w:rsid w:val="000740ED"/>
    <w:rsid w:val="000749CB"/>
    <w:rsid w:val="00074A29"/>
    <w:rsid w:val="00080386"/>
    <w:rsid w:val="0008219C"/>
    <w:rsid w:val="00082481"/>
    <w:rsid w:val="000876AA"/>
    <w:rsid w:val="00087C96"/>
    <w:rsid w:val="0009042B"/>
    <w:rsid w:val="00090458"/>
    <w:rsid w:val="000915D7"/>
    <w:rsid w:val="00093715"/>
    <w:rsid w:val="00094601"/>
    <w:rsid w:val="00094B93"/>
    <w:rsid w:val="000A202F"/>
    <w:rsid w:val="000B4132"/>
    <w:rsid w:val="000B5D75"/>
    <w:rsid w:val="000C0394"/>
    <w:rsid w:val="000D1C19"/>
    <w:rsid w:val="000D2E45"/>
    <w:rsid w:val="000D362E"/>
    <w:rsid w:val="000D44ED"/>
    <w:rsid w:val="000D4884"/>
    <w:rsid w:val="000D76BE"/>
    <w:rsid w:val="000D7805"/>
    <w:rsid w:val="000E602C"/>
    <w:rsid w:val="000E62C7"/>
    <w:rsid w:val="000E6ECC"/>
    <w:rsid w:val="000F14B1"/>
    <w:rsid w:val="000F63E6"/>
    <w:rsid w:val="00103561"/>
    <w:rsid w:val="001068EA"/>
    <w:rsid w:val="001176D0"/>
    <w:rsid w:val="00122D70"/>
    <w:rsid w:val="00131419"/>
    <w:rsid w:val="0013386E"/>
    <w:rsid w:val="0013718C"/>
    <w:rsid w:val="00143D48"/>
    <w:rsid w:val="00144CAA"/>
    <w:rsid w:val="00145C0B"/>
    <w:rsid w:val="00145FFC"/>
    <w:rsid w:val="001521F5"/>
    <w:rsid w:val="001577CA"/>
    <w:rsid w:val="00162EC7"/>
    <w:rsid w:val="00170108"/>
    <w:rsid w:val="001706BA"/>
    <w:rsid w:val="00183869"/>
    <w:rsid w:val="0018687C"/>
    <w:rsid w:val="00187F2F"/>
    <w:rsid w:val="00190D62"/>
    <w:rsid w:val="001951DB"/>
    <w:rsid w:val="0019630A"/>
    <w:rsid w:val="00197069"/>
    <w:rsid w:val="00197BB4"/>
    <w:rsid w:val="001A26A3"/>
    <w:rsid w:val="001A423E"/>
    <w:rsid w:val="001A43DA"/>
    <w:rsid w:val="001B00F5"/>
    <w:rsid w:val="001B54EA"/>
    <w:rsid w:val="001B5661"/>
    <w:rsid w:val="001B62A9"/>
    <w:rsid w:val="001B72B6"/>
    <w:rsid w:val="001D75AF"/>
    <w:rsid w:val="001E5457"/>
    <w:rsid w:val="001E5A60"/>
    <w:rsid w:val="001F4C6E"/>
    <w:rsid w:val="00202E28"/>
    <w:rsid w:val="00204C3A"/>
    <w:rsid w:val="00204F54"/>
    <w:rsid w:val="00210D65"/>
    <w:rsid w:val="00211255"/>
    <w:rsid w:val="0021660C"/>
    <w:rsid w:val="00216BB0"/>
    <w:rsid w:val="0021782C"/>
    <w:rsid w:val="0022089C"/>
    <w:rsid w:val="00225AC2"/>
    <w:rsid w:val="00226393"/>
    <w:rsid w:val="0022720F"/>
    <w:rsid w:val="00227A3D"/>
    <w:rsid w:val="00235A99"/>
    <w:rsid w:val="00235A9B"/>
    <w:rsid w:val="002364CC"/>
    <w:rsid w:val="00240643"/>
    <w:rsid w:val="0024767F"/>
    <w:rsid w:val="0025026A"/>
    <w:rsid w:val="00250993"/>
    <w:rsid w:val="0025197A"/>
    <w:rsid w:val="00255481"/>
    <w:rsid w:val="00260608"/>
    <w:rsid w:val="00260AEF"/>
    <w:rsid w:val="002631FB"/>
    <w:rsid w:val="00272D76"/>
    <w:rsid w:val="0027596D"/>
    <w:rsid w:val="00280172"/>
    <w:rsid w:val="00291605"/>
    <w:rsid w:val="00291E9F"/>
    <w:rsid w:val="00292FC2"/>
    <w:rsid w:val="00293B73"/>
    <w:rsid w:val="002A256E"/>
    <w:rsid w:val="002A4648"/>
    <w:rsid w:val="002A478D"/>
    <w:rsid w:val="002B4B8D"/>
    <w:rsid w:val="002C11D3"/>
    <w:rsid w:val="002C4F19"/>
    <w:rsid w:val="002E0A6C"/>
    <w:rsid w:val="002E1F51"/>
    <w:rsid w:val="002E659F"/>
    <w:rsid w:val="002F1642"/>
    <w:rsid w:val="002F5EC7"/>
    <w:rsid w:val="002F7F93"/>
    <w:rsid w:val="00302417"/>
    <w:rsid w:val="00306819"/>
    <w:rsid w:val="003079D1"/>
    <w:rsid w:val="0031274C"/>
    <w:rsid w:val="0031277C"/>
    <w:rsid w:val="00315CB9"/>
    <w:rsid w:val="003163F5"/>
    <w:rsid w:val="003228C5"/>
    <w:rsid w:val="00326D32"/>
    <w:rsid w:val="00332F95"/>
    <w:rsid w:val="00334FB8"/>
    <w:rsid w:val="003352C2"/>
    <w:rsid w:val="0033613E"/>
    <w:rsid w:val="003368F2"/>
    <w:rsid w:val="0033690A"/>
    <w:rsid w:val="00336D1C"/>
    <w:rsid w:val="00343F9C"/>
    <w:rsid w:val="0034480E"/>
    <w:rsid w:val="0034616F"/>
    <w:rsid w:val="00347613"/>
    <w:rsid w:val="00351373"/>
    <w:rsid w:val="0035178E"/>
    <w:rsid w:val="00352B00"/>
    <w:rsid w:val="00360849"/>
    <w:rsid w:val="0036196B"/>
    <w:rsid w:val="00363384"/>
    <w:rsid w:val="003642BD"/>
    <w:rsid w:val="00364990"/>
    <w:rsid w:val="00366C1C"/>
    <w:rsid w:val="003672D5"/>
    <w:rsid w:val="00370CA1"/>
    <w:rsid w:val="0037205D"/>
    <w:rsid w:val="00372FFC"/>
    <w:rsid w:val="00377EEF"/>
    <w:rsid w:val="0038408E"/>
    <w:rsid w:val="00396EB3"/>
    <w:rsid w:val="003A37E2"/>
    <w:rsid w:val="003B6BF7"/>
    <w:rsid w:val="003D19D8"/>
    <w:rsid w:val="003D24D0"/>
    <w:rsid w:val="003D51CC"/>
    <w:rsid w:val="003D5E42"/>
    <w:rsid w:val="003E01F3"/>
    <w:rsid w:val="003E05B0"/>
    <w:rsid w:val="003E2485"/>
    <w:rsid w:val="003E3095"/>
    <w:rsid w:val="003F6B16"/>
    <w:rsid w:val="00401CF1"/>
    <w:rsid w:val="00407748"/>
    <w:rsid w:val="0041222D"/>
    <w:rsid w:val="0041732D"/>
    <w:rsid w:val="00420AA9"/>
    <w:rsid w:val="00426445"/>
    <w:rsid w:val="0043196D"/>
    <w:rsid w:val="004424E1"/>
    <w:rsid w:val="00443DC0"/>
    <w:rsid w:val="0044518B"/>
    <w:rsid w:val="004523DE"/>
    <w:rsid w:val="00461583"/>
    <w:rsid w:val="0046291A"/>
    <w:rsid w:val="004673D3"/>
    <w:rsid w:val="00474A26"/>
    <w:rsid w:val="00476F6D"/>
    <w:rsid w:val="00482E09"/>
    <w:rsid w:val="0048477F"/>
    <w:rsid w:val="004847B5"/>
    <w:rsid w:val="004865C8"/>
    <w:rsid w:val="00490A11"/>
    <w:rsid w:val="00491E56"/>
    <w:rsid w:val="00492C14"/>
    <w:rsid w:val="004A4B91"/>
    <w:rsid w:val="004A4FD0"/>
    <w:rsid w:val="004B2AC9"/>
    <w:rsid w:val="004C0419"/>
    <w:rsid w:val="004C1C95"/>
    <w:rsid w:val="004C60D7"/>
    <w:rsid w:val="004C7FAB"/>
    <w:rsid w:val="004D4C5F"/>
    <w:rsid w:val="004D6091"/>
    <w:rsid w:val="004D64A1"/>
    <w:rsid w:val="004E6708"/>
    <w:rsid w:val="004F3022"/>
    <w:rsid w:val="00500409"/>
    <w:rsid w:val="0050334B"/>
    <w:rsid w:val="00504DE7"/>
    <w:rsid w:val="00510C62"/>
    <w:rsid w:val="00513AC8"/>
    <w:rsid w:val="0051466B"/>
    <w:rsid w:val="00516890"/>
    <w:rsid w:val="00520349"/>
    <w:rsid w:val="00536677"/>
    <w:rsid w:val="00537D8B"/>
    <w:rsid w:val="00552DA5"/>
    <w:rsid w:val="00553F3B"/>
    <w:rsid w:val="0056122B"/>
    <w:rsid w:val="0056581D"/>
    <w:rsid w:val="00572766"/>
    <w:rsid w:val="00575CAA"/>
    <w:rsid w:val="00586772"/>
    <w:rsid w:val="005A0BF6"/>
    <w:rsid w:val="005A2500"/>
    <w:rsid w:val="005B00A3"/>
    <w:rsid w:val="005B0392"/>
    <w:rsid w:val="005B0CDE"/>
    <w:rsid w:val="005B137A"/>
    <w:rsid w:val="005C5799"/>
    <w:rsid w:val="005D2D09"/>
    <w:rsid w:val="005E03BC"/>
    <w:rsid w:val="005E1211"/>
    <w:rsid w:val="005E5676"/>
    <w:rsid w:val="005F3A41"/>
    <w:rsid w:val="00604645"/>
    <w:rsid w:val="00606238"/>
    <w:rsid w:val="00613E75"/>
    <w:rsid w:val="00613FD0"/>
    <w:rsid w:val="006305DE"/>
    <w:rsid w:val="00634FC9"/>
    <w:rsid w:val="0064420A"/>
    <w:rsid w:val="00645EA3"/>
    <w:rsid w:val="0064768A"/>
    <w:rsid w:val="00650806"/>
    <w:rsid w:val="006509CD"/>
    <w:rsid w:val="00656B79"/>
    <w:rsid w:val="00660B4F"/>
    <w:rsid w:val="00663859"/>
    <w:rsid w:val="00670F2E"/>
    <w:rsid w:val="00671845"/>
    <w:rsid w:val="006726AA"/>
    <w:rsid w:val="0067353A"/>
    <w:rsid w:val="00674761"/>
    <w:rsid w:val="006867A8"/>
    <w:rsid w:val="00694001"/>
    <w:rsid w:val="00694306"/>
    <w:rsid w:val="006960D1"/>
    <w:rsid w:val="00696304"/>
    <w:rsid w:val="006A69E6"/>
    <w:rsid w:val="006B052D"/>
    <w:rsid w:val="006B2DC3"/>
    <w:rsid w:val="006B4AA9"/>
    <w:rsid w:val="006B53F3"/>
    <w:rsid w:val="006B5D2A"/>
    <w:rsid w:val="006C6FFF"/>
    <w:rsid w:val="006E6E3C"/>
    <w:rsid w:val="006F33C6"/>
    <w:rsid w:val="006F4B38"/>
    <w:rsid w:val="00700F19"/>
    <w:rsid w:val="00701453"/>
    <w:rsid w:val="007022EE"/>
    <w:rsid w:val="00710835"/>
    <w:rsid w:val="007150B0"/>
    <w:rsid w:val="00724899"/>
    <w:rsid w:val="00724C00"/>
    <w:rsid w:val="00724D79"/>
    <w:rsid w:val="00725910"/>
    <w:rsid w:val="0073560F"/>
    <w:rsid w:val="0073760D"/>
    <w:rsid w:val="00737ACF"/>
    <w:rsid w:val="00737CBE"/>
    <w:rsid w:val="00745474"/>
    <w:rsid w:val="0074576A"/>
    <w:rsid w:val="00750871"/>
    <w:rsid w:val="007531E0"/>
    <w:rsid w:val="00761C63"/>
    <w:rsid w:val="00763193"/>
    <w:rsid w:val="00764D46"/>
    <w:rsid w:val="007712ED"/>
    <w:rsid w:val="007714F1"/>
    <w:rsid w:val="00774097"/>
    <w:rsid w:val="00774ED6"/>
    <w:rsid w:val="00777874"/>
    <w:rsid w:val="0079138F"/>
    <w:rsid w:val="007951E9"/>
    <w:rsid w:val="00795234"/>
    <w:rsid w:val="00795C65"/>
    <w:rsid w:val="007A03BA"/>
    <w:rsid w:val="007A253E"/>
    <w:rsid w:val="007A3B49"/>
    <w:rsid w:val="007A542A"/>
    <w:rsid w:val="007A64AB"/>
    <w:rsid w:val="007A6877"/>
    <w:rsid w:val="007B10B7"/>
    <w:rsid w:val="007B1D89"/>
    <w:rsid w:val="007B2AB9"/>
    <w:rsid w:val="007C3E49"/>
    <w:rsid w:val="007C56B1"/>
    <w:rsid w:val="007D1E1C"/>
    <w:rsid w:val="007D250B"/>
    <w:rsid w:val="007D27AB"/>
    <w:rsid w:val="007D5666"/>
    <w:rsid w:val="007E35B1"/>
    <w:rsid w:val="007E466B"/>
    <w:rsid w:val="007E5756"/>
    <w:rsid w:val="007E5D7E"/>
    <w:rsid w:val="007E60D7"/>
    <w:rsid w:val="007E75C2"/>
    <w:rsid w:val="007F203C"/>
    <w:rsid w:val="007F727C"/>
    <w:rsid w:val="00810B6E"/>
    <w:rsid w:val="008126E7"/>
    <w:rsid w:val="00814FFB"/>
    <w:rsid w:val="00816E7C"/>
    <w:rsid w:val="008204DB"/>
    <w:rsid w:val="008215FE"/>
    <w:rsid w:val="0082375E"/>
    <w:rsid w:val="00825402"/>
    <w:rsid w:val="00825862"/>
    <w:rsid w:val="00831888"/>
    <w:rsid w:val="008333CE"/>
    <w:rsid w:val="0083624E"/>
    <w:rsid w:val="0084309A"/>
    <w:rsid w:val="00844541"/>
    <w:rsid w:val="00845609"/>
    <w:rsid w:val="00854A11"/>
    <w:rsid w:val="00857C8F"/>
    <w:rsid w:val="00863FC4"/>
    <w:rsid w:val="0087033F"/>
    <w:rsid w:val="00870A21"/>
    <w:rsid w:val="00870EAC"/>
    <w:rsid w:val="00880C9F"/>
    <w:rsid w:val="0088264B"/>
    <w:rsid w:val="00885769"/>
    <w:rsid w:val="00895647"/>
    <w:rsid w:val="00897193"/>
    <w:rsid w:val="00897AEC"/>
    <w:rsid w:val="008A2611"/>
    <w:rsid w:val="008B0A9E"/>
    <w:rsid w:val="008B1516"/>
    <w:rsid w:val="008B1B82"/>
    <w:rsid w:val="008B228A"/>
    <w:rsid w:val="008B26CD"/>
    <w:rsid w:val="008B597D"/>
    <w:rsid w:val="008C1867"/>
    <w:rsid w:val="008C4643"/>
    <w:rsid w:val="008D14FA"/>
    <w:rsid w:val="008D2947"/>
    <w:rsid w:val="008D2D67"/>
    <w:rsid w:val="008E659D"/>
    <w:rsid w:val="008E700B"/>
    <w:rsid w:val="008F1914"/>
    <w:rsid w:val="008F2839"/>
    <w:rsid w:val="008F33E0"/>
    <w:rsid w:val="0090141A"/>
    <w:rsid w:val="00906277"/>
    <w:rsid w:val="00907BE1"/>
    <w:rsid w:val="00912432"/>
    <w:rsid w:val="009153C0"/>
    <w:rsid w:val="00925E4D"/>
    <w:rsid w:val="00933CEC"/>
    <w:rsid w:val="009369F6"/>
    <w:rsid w:val="00936AF9"/>
    <w:rsid w:val="00940929"/>
    <w:rsid w:val="0095262B"/>
    <w:rsid w:val="00952930"/>
    <w:rsid w:val="009601C9"/>
    <w:rsid w:val="00960DA3"/>
    <w:rsid w:val="009677DB"/>
    <w:rsid w:val="00977F2A"/>
    <w:rsid w:val="00987F4A"/>
    <w:rsid w:val="00991470"/>
    <w:rsid w:val="00991ABE"/>
    <w:rsid w:val="009920C4"/>
    <w:rsid w:val="009931C9"/>
    <w:rsid w:val="0099610C"/>
    <w:rsid w:val="009A49FA"/>
    <w:rsid w:val="009B0BCC"/>
    <w:rsid w:val="009B1DA0"/>
    <w:rsid w:val="009B2FDC"/>
    <w:rsid w:val="009B497A"/>
    <w:rsid w:val="009B5289"/>
    <w:rsid w:val="009C3DD8"/>
    <w:rsid w:val="009D1087"/>
    <w:rsid w:val="009D52EB"/>
    <w:rsid w:val="009D5BB8"/>
    <w:rsid w:val="009E21E1"/>
    <w:rsid w:val="009F345D"/>
    <w:rsid w:val="00A03196"/>
    <w:rsid w:val="00A0505D"/>
    <w:rsid w:val="00A0740F"/>
    <w:rsid w:val="00A12A78"/>
    <w:rsid w:val="00A12AE8"/>
    <w:rsid w:val="00A12C8F"/>
    <w:rsid w:val="00A135B0"/>
    <w:rsid w:val="00A228EF"/>
    <w:rsid w:val="00A258A1"/>
    <w:rsid w:val="00A26DCA"/>
    <w:rsid w:val="00A3184C"/>
    <w:rsid w:val="00A33670"/>
    <w:rsid w:val="00A35A5E"/>
    <w:rsid w:val="00A3641A"/>
    <w:rsid w:val="00A44272"/>
    <w:rsid w:val="00A45304"/>
    <w:rsid w:val="00A46177"/>
    <w:rsid w:val="00A5129C"/>
    <w:rsid w:val="00A5594E"/>
    <w:rsid w:val="00A6043D"/>
    <w:rsid w:val="00A62FB8"/>
    <w:rsid w:val="00A751FE"/>
    <w:rsid w:val="00A75FF6"/>
    <w:rsid w:val="00A82652"/>
    <w:rsid w:val="00A82D6D"/>
    <w:rsid w:val="00A84D78"/>
    <w:rsid w:val="00A91991"/>
    <w:rsid w:val="00A93A72"/>
    <w:rsid w:val="00AA08B3"/>
    <w:rsid w:val="00AA0A87"/>
    <w:rsid w:val="00AB3833"/>
    <w:rsid w:val="00AB4B51"/>
    <w:rsid w:val="00AC00D6"/>
    <w:rsid w:val="00AC1AA3"/>
    <w:rsid w:val="00AC4287"/>
    <w:rsid w:val="00AC6486"/>
    <w:rsid w:val="00AD03E4"/>
    <w:rsid w:val="00AE4A55"/>
    <w:rsid w:val="00AF44E1"/>
    <w:rsid w:val="00AF636D"/>
    <w:rsid w:val="00B0123F"/>
    <w:rsid w:val="00B0244C"/>
    <w:rsid w:val="00B045D7"/>
    <w:rsid w:val="00B07E81"/>
    <w:rsid w:val="00B07F7A"/>
    <w:rsid w:val="00B10339"/>
    <w:rsid w:val="00B130D9"/>
    <w:rsid w:val="00B16916"/>
    <w:rsid w:val="00B17B25"/>
    <w:rsid w:val="00B232C9"/>
    <w:rsid w:val="00B3257D"/>
    <w:rsid w:val="00B33502"/>
    <w:rsid w:val="00B34C33"/>
    <w:rsid w:val="00B371EB"/>
    <w:rsid w:val="00B51395"/>
    <w:rsid w:val="00B557CA"/>
    <w:rsid w:val="00B5609F"/>
    <w:rsid w:val="00B602E3"/>
    <w:rsid w:val="00BA05E6"/>
    <w:rsid w:val="00BB0192"/>
    <w:rsid w:val="00BB34BB"/>
    <w:rsid w:val="00BB5104"/>
    <w:rsid w:val="00BB63BD"/>
    <w:rsid w:val="00BC2E31"/>
    <w:rsid w:val="00BC2F22"/>
    <w:rsid w:val="00BC429C"/>
    <w:rsid w:val="00BC6A9D"/>
    <w:rsid w:val="00BD0B55"/>
    <w:rsid w:val="00BD1D57"/>
    <w:rsid w:val="00BD72CD"/>
    <w:rsid w:val="00BD7CBD"/>
    <w:rsid w:val="00BE5654"/>
    <w:rsid w:val="00BF3906"/>
    <w:rsid w:val="00BF4210"/>
    <w:rsid w:val="00BF529F"/>
    <w:rsid w:val="00C01B11"/>
    <w:rsid w:val="00C048A4"/>
    <w:rsid w:val="00C06700"/>
    <w:rsid w:val="00C0756E"/>
    <w:rsid w:val="00C077B2"/>
    <w:rsid w:val="00C1141F"/>
    <w:rsid w:val="00C12397"/>
    <w:rsid w:val="00C1568A"/>
    <w:rsid w:val="00C16C29"/>
    <w:rsid w:val="00C175EC"/>
    <w:rsid w:val="00C2238A"/>
    <w:rsid w:val="00C23CE5"/>
    <w:rsid w:val="00C27259"/>
    <w:rsid w:val="00C3653C"/>
    <w:rsid w:val="00C41AE7"/>
    <w:rsid w:val="00C44741"/>
    <w:rsid w:val="00C447A2"/>
    <w:rsid w:val="00C46790"/>
    <w:rsid w:val="00C46D06"/>
    <w:rsid w:val="00C61020"/>
    <w:rsid w:val="00C6149D"/>
    <w:rsid w:val="00C6211D"/>
    <w:rsid w:val="00C633B0"/>
    <w:rsid w:val="00C6706C"/>
    <w:rsid w:val="00C67E17"/>
    <w:rsid w:val="00C70181"/>
    <w:rsid w:val="00C775EB"/>
    <w:rsid w:val="00C80163"/>
    <w:rsid w:val="00C81824"/>
    <w:rsid w:val="00C81C6F"/>
    <w:rsid w:val="00C84B2C"/>
    <w:rsid w:val="00C8718A"/>
    <w:rsid w:val="00C87CB8"/>
    <w:rsid w:val="00C90951"/>
    <w:rsid w:val="00C92A61"/>
    <w:rsid w:val="00C939B5"/>
    <w:rsid w:val="00C93DA2"/>
    <w:rsid w:val="00C93F3C"/>
    <w:rsid w:val="00C974AE"/>
    <w:rsid w:val="00CA0CA4"/>
    <w:rsid w:val="00CA2D45"/>
    <w:rsid w:val="00CA2F65"/>
    <w:rsid w:val="00CA3DC0"/>
    <w:rsid w:val="00CB405F"/>
    <w:rsid w:val="00CB6CC6"/>
    <w:rsid w:val="00CB79B7"/>
    <w:rsid w:val="00CB7ACD"/>
    <w:rsid w:val="00CC097D"/>
    <w:rsid w:val="00CC1D27"/>
    <w:rsid w:val="00CC271B"/>
    <w:rsid w:val="00CC2C35"/>
    <w:rsid w:val="00CC3DE2"/>
    <w:rsid w:val="00CD1EB1"/>
    <w:rsid w:val="00CD502B"/>
    <w:rsid w:val="00CE01AB"/>
    <w:rsid w:val="00CE601C"/>
    <w:rsid w:val="00CF1B83"/>
    <w:rsid w:val="00CF1EA4"/>
    <w:rsid w:val="00CF2126"/>
    <w:rsid w:val="00CF349C"/>
    <w:rsid w:val="00CF66AC"/>
    <w:rsid w:val="00CF725D"/>
    <w:rsid w:val="00D05895"/>
    <w:rsid w:val="00D0798C"/>
    <w:rsid w:val="00D13EEA"/>
    <w:rsid w:val="00D14EF7"/>
    <w:rsid w:val="00D202FF"/>
    <w:rsid w:val="00D20306"/>
    <w:rsid w:val="00D210E5"/>
    <w:rsid w:val="00D2280E"/>
    <w:rsid w:val="00D246A4"/>
    <w:rsid w:val="00D24874"/>
    <w:rsid w:val="00D248B3"/>
    <w:rsid w:val="00D25129"/>
    <w:rsid w:val="00D30E48"/>
    <w:rsid w:val="00D336CF"/>
    <w:rsid w:val="00D35BC0"/>
    <w:rsid w:val="00D4037D"/>
    <w:rsid w:val="00D41ADA"/>
    <w:rsid w:val="00D52817"/>
    <w:rsid w:val="00D555AC"/>
    <w:rsid w:val="00D60C72"/>
    <w:rsid w:val="00D70728"/>
    <w:rsid w:val="00D70C7E"/>
    <w:rsid w:val="00D774B2"/>
    <w:rsid w:val="00D80100"/>
    <w:rsid w:val="00D86E46"/>
    <w:rsid w:val="00D91BCC"/>
    <w:rsid w:val="00D94107"/>
    <w:rsid w:val="00D94B6E"/>
    <w:rsid w:val="00DA5403"/>
    <w:rsid w:val="00DA5EF8"/>
    <w:rsid w:val="00DA6615"/>
    <w:rsid w:val="00DA6E1F"/>
    <w:rsid w:val="00DA770B"/>
    <w:rsid w:val="00DB4C6B"/>
    <w:rsid w:val="00DB6C98"/>
    <w:rsid w:val="00DC2433"/>
    <w:rsid w:val="00DC289B"/>
    <w:rsid w:val="00DC2DE1"/>
    <w:rsid w:val="00DC4C46"/>
    <w:rsid w:val="00DC73F2"/>
    <w:rsid w:val="00DD44D9"/>
    <w:rsid w:val="00DE06FE"/>
    <w:rsid w:val="00DE18B0"/>
    <w:rsid w:val="00DE1C8D"/>
    <w:rsid w:val="00DE4267"/>
    <w:rsid w:val="00DE4729"/>
    <w:rsid w:val="00DF5BBF"/>
    <w:rsid w:val="00E108FF"/>
    <w:rsid w:val="00E11330"/>
    <w:rsid w:val="00E124FE"/>
    <w:rsid w:val="00E14992"/>
    <w:rsid w:val="00E23FCD"/>
    <w:rsid w:val="00E31F39"/>
    <w:rsid w:val="00E3325F"/>
    <w:rsid w:val="00E34CDA"/>
    <w:rsid w:val="00E35C57"/>
    <w:rsid w:val="00E37F51"/>
    <w:rsid w:val="00E42FCB"/>
    <w:rsid w:val="00E458DE"/>
    <w:rsid w:val="00E51BBB"/>
    <w:rsid w:val="00E54F02"/>
    <w:rsid w:val="00E60CFB"/>
    <w:rsid w:val="00E6549A"/>
    <w:rsid w:val="00E7102F"/>
    <w:rsid w:val="00E71A02"/>
    <w:rsid w:val="00E72EDB"/>
    <w:rsid w:val="00E7304D"/>
    <w:rsid w:val="00E80A55"/>
    <w:rsid w:val="00E83E35"/>
    <w:rsid w:val="00E84DCE"/>
    <w:rsid w:val="00E86A29"/>
    <w:rsid w:val="00E87356"/>
    <w:rsid w:val="00E87D90"/>
    <w:rsid w:val="00E969C5"/>
    <w:rsid w:val="00E96D83"/>
    <w:rsid w:val="00EA4183"/>
    <w:rsid w:val="00EA43B5"/>
    <w:rsid w:val="00EA49E1"/>
    <w:rsid w:val="00EA6F85"/>
    <w:rsid w:val="00EB0A00"/>
    <w:rsid w:val="00EB1EF8"/>
    <w:rsid w:val="00EC3ABE"/>
    <w:rsid w:val="00EC69D1"/>
    <w:rsid w:val="00EE007C"/>
    <w:rsid w:val="00EE09E1"/>
    <w:rsid w:val="00EE1840"/>
    <w:rsid w:val="00EE383F"/>
    <w:rsid w:val="00EE4ECF"/>
    <w:rsid w:val="00EE74CC"/>
    <w:rsid w:val="00EF0295"/>
    <w:rsid w:val="00EF20D8"/>
    <w:rsid w:val="00EF7D55"/>
    <w:rsid w:val="00F027C6"/>
    <w:rsid w:val="00F13C5B"/>
    <w:rsid w:val="00F1665D"/>
    <w:rsid w:val="00F202E7"/>
    <w:rsid w:val="00F25381"/>
    <w:rsid w:val="00F33101"/>
    <w:rsid w:val="00F4163D"/>
    <w:rsid w:val="00F45C44"/>
    <w:rsid w:val="00F46444"/>
    <w:rsid w:val="00F47075"/>
    <w:rsid w:val="00F47C4E"/>
    <w:rsid w:val="00F51082"/>
    <w:rsid w:val="00F51715"/>
    <w:rsid w:val="00F52B92"/>
    <w:rsid w:val="00F53881"/>
    <w:rsid w:val="00F546B0"/>
    <w:rsid w:val="00F566EC"/>
    <w:rsid w:val="00F57DC6"/>
    <w:rsid w:val="00F60B32"/>
    <w:rsid w:val="00F6137F"/>
    <w:rsid w:val="00F631BD"/>
    <w:rsid w:val="00F67B37"/>
    <w:rsid w:val="00F7123C"/>
    <w:rsid w:val="00F7658C"/>
    <w:rsid w:val="00F77806"/>
    <w:rsid w:val="00F8209D"/>
    <w:rsid w:val="00F82AE7"/>
    <w:rsid w:val="00F90E4A"/>
    <w:rsid w:val="00F9143E"/>
    <w:rsid w:val="00F9518E"/>
    <w:rsid w:val="00FA1112"/>
    <w:rsid w:val="00FA313C"/>
    <w:rsid w:val="00FB0811"/>
    <w:rsid w:val="00FB77AE"/>
    <w:rsid w:val="00FC416C"/>
    <w:rsid w:val="00FC550F"/>
    <w:rsid w:val="00FC79AB"/>
    <w:rsid w:val="00FD2CA3"/>
    <w:rsid w:val="00FD3C03"/>
    <w:rsid w:val="00FD7902"/>
    <w:rsid w:val="00FE0D49"/>
    <w:rsid w:val="00FE1734"/>
    <w:rsid w:val="00FE5191"/>
    <w:rsid w:val="00FF740A"/>
    <w:rsid w:val="0134E75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38CF69"/>
  <w15:chartTrackingRefBased/>
  <w15:docId w15:val="{92334DF4-695C-AE45-A10A-1D96D84858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Main text"/>
    <w:qFormat/>
    <w:rsid w:val="00A5594E"/>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366C1C"/>
    <w:pPr>
      <w:spacing w:line="480" w:lineRule="auto"/>
      <w:jc w:val="center"/>
      <w:outlineLvl w:val="0"/>
    </w:pPr>
    <w:rPr>
      <w:b/>
      <w:bCs/>
    </w:rPr>
  </w:style>
  <w:style w:type="paragraph" w:styleId="Heading2">
    <w:name w:val="heading 2"/>
    <w:basedOn w:val="Normal"/>
    <w:next w:val="Normal"/>
    <w:link w:val="Heading2Char"/>
    <w:uiPriority w:val="9"/>
    <w:unhideWhenUsed/>
    <w:qFormat/>
    <w:rsid w:val="00366C1C"/>
    <w:pPr>
      <w:spacing w:line="480" w:lineRule="auto"/>
      <w:outlineLvl w:val="1"/>
    </w:pPr>
    <w:rPr>
      <w:b/>
      <w:bCs/>
    </w:rPr>
  </w:style>
  <w:style w:type="paragraph" w:styleId="Heading3">
    <w:name w:val="heading 3"/>
    <w:basedOn w:val="Normal"/>
    <w:next w:val="Normal"/>
    <w:link w:val="Heading3Char"/>
    <w:uiPriority w:val="9"/>
    <w:semiHidden/>
    <w:unhideWhenUsed/>
    <w:qFormat/>
    <w:rsid w:val="00C1141F"/>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C1141F"/>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link w:val="Heading5Char"/>
    <w:uiPriority w:val="9"/>
    <w:qFormat/>
    <w:rsid w:val="00F9143E"/>
    <w:pPr>
      <w:spacing w:before="100" w:beforeAutospacing="1" w:after="100" w:afterAutospacing="1"/>
      <w:outlineLvl w:val="4"/>
    </w:pPr>
    <w:rPr>
      <w:b/>
      <w:bCs/>
      <w:sz w:val="20"/>
      <w:szCs w:val="20"/>
    </w:rPr>
  </w:style>
  <w:style w:type="paragraph" w:styleId="Heading6">
    <w:name w:val="heading 6"/>
    <w:basedOn w:val="Normal"/>
    <w:next w:val="Normal"/>
    <w:link w:val="Heading6Char"/>
    <w:uiPriority w:val="9"/>
    <w:semiHidden/>
    <w:unhideWhenUsed/>
    <w:qFormat/>
    <w:rsid w:val="00C1141F"/>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C1141F"/>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C1141F"/>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1141F"/>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5594E"/>
    <w:pPr>
      <w:autoSpaceDN w:val="0"/>
      <w:textAlignment w:val="baseline"/>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A5594E"/>
    <w:pPr>
      <w:spacing w:before="100" w:beforeAutospacing="1" w:after="100" w:afterAutospacing="1"/>
    </w:pPr>
    <w:rPr>
      <w:lang w:eastAsia="en-US"/>
    </w:rPr>
  </w:style>
  <w:style w:type="character" w:styleId="Emphasis">
    <w:name w:val="Emphasis"/>
    <w:basedOn w:val="DefaultParagraphFont"/>
    <w:uiPriority w:val="20"/>
    <w:qFormat/>
    <w:rsid w:val="00A5594E"/>
    <w:rPr>
      <w:i/>
      <w:iCs/>
    </w:rPr>
  </w:style>
  <w:style w:type="paragraph" w:customStyle="1" w:styleId="BodyA">
    <w:name w:val="Body A"/>
    <w:rsid w:val="00A5594E"/>
    <w:pPr>
      <w:pBdr>
        <w:top w:val="nil"/>
        <w:left w:val="nil"/>
        <w:bottom w:val="nil"/>
        <w:right w:val="nil"/>
        <w:between w:val="nil"/>
        <w:bar w:val="nil"/>
      </w:pBdr>
    </w:pPr>
    <w:rPr>
      <w:rFonts w:ascii="Helvetica" w:eastAsia="Arial Unicode MS" w:hAnsi="Helvetica" w:cs="Arial Unicode MS"/>
      <w:color w:val="000000"/>
      <w:sz w:val="22"/>
      <w:szCs w:val="22"/>
      <w:u w:color="000000"/>
      <w:bdr w:val="nil"/>
      <w:lang w:val="en-US" w:eastAsia="en-GB"/>
    </w:rPr>
  </w:style>
  <w:style w:type="paragraph" w:styleId="ListParagraph">
    <w:name w:val="List Paragraph"/>
    <w:basedOn w:val="Normal"/>
    <w:uiPriority w:val="34"/>
    <w:qFormat/>
    <w:rsid w:val="000320D4"/>
    <w:pPr>
      <w:ind w:left="720"/>
      <w:contextualSpacing/>
    </w:pPr>
  </w:style>
  <w:style w:type="character" w:styleId="Hyperlink">
    <w:name w:val="Hyperlink"/>
    <w:basedOn w:val="DefaultParagraphFont"/>
    <w:uiPriority w:val="99"/>
    <w:unhideWhenUsed/>
    <w:rsid w:val="005B0CDE"/>
    <w:rPr>
      <w:color w:val="0000FF"/>
      <w:u w:val="single"/>
    </w:rPr>
  </w:style>
  <w:style w:type="character" w:customStyle="1" w:styleId="apple-converted-space">
    <w:name w:val="apple-converted-space"/>
    <w:basedOn w:val="DefaultParagraphFont"/>
    <w:rsid w:val="005B0CDE"/>
  </w:style>
  <w:style w:type="character" w:styleId="CommentReference">
    <w:name w:val="annotation reference"/>
    <w:basedOn w:val="DefaultParagraphFont"/>
    <w:uiPriority w:val="99"/>
    <w:semiHidden/>
    <w:unhideWhenUsed/>
    <w:rsid w:val="005B0CDE"/>
    <w:rPr>
      <w:sz w:val="16"/>
      <w:szCs w:val="16"/>
    </w:rPr>
  </w:style>
  <w:style w:type="paragraph" w:styleId="CommentText">
    <w:name w:val="annotation text"/>
    <w:basedOn w:val="Normal"/>
    <w:link w:val="CommentTextChar"/>
    <w:uiPriority w:val="99"/>
    <w:semiHidden/>
    <w:unhideWhenUsed/>
    <w:rsid w:val="005B0CDE"/>
    <w:rPr>
      <w:sz w:val="20"/>
      <w:szCs w:val="20"/>
    </w:rPr>
  </w:style>
  <w:style w:type="character" w:customStyle="1" w:styleId="CommentTextChar">
    <w:name w:val="Comment Text Char"/>
    <w:basedOn w:val="DefaultParagraphFont"/>
    <w:link w:val="CommentText"/>
    <w:uiPriority w:val="99"/>
    <w:semiHidden/>
    <w:rsid w:val="005B0CD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5B0CDE"/>
    <w:rPr>
      <w:b/>
      <w:bCs/>
    </w:rPr>
  </w:style>
  <w:style w:type="character" w:customStyle="1" w:styleId="CommentSubjectChar">
    <w:name w:val="Comment Subject Char"/>
    <w:basedOn w:val="CommentTextChar"/>
    <w:link w:val="CommentSubject"/>
    <w:uiPriority w:val="99"/>
    <w:semiHidden/>
    <w:rsid w:val="005B0CD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5B0CDE"/>
    <w:rPr>
      <w:sz w:val="18"/>
      <w:szCs w:val="18"/>
    </w:rPr>
  </w:style>
  <w:style w:type="character" w:customStyle="1" w:styleId="BalloonTextChar">
    <w:name w:val="Balloon Text Char"/>
    <w:basedOn w:val="DefaultParagraphFont"/>
    <w:link w:val="BalloonText"/>
    <w:uiPriority w:val="99"/>
    <w:semiHidden/>
    <w:rsid w:val="005B0CDE"/>
    <w:rPr>
      <w:rFonts w:ascii="Times New Roman" w:eastAsia="Times New Roman" w:hAnsi="Times New Roman" w:cs="Times New Roman"/>
      <w:sz w:val="18"/>
      <w:szCs w:val="18"/>
      <w:lang w:eastAsia="en-GB"/>
    </w:rPr>
  </w:style>
  <w:style w:type="paragraph" w:styleId="Revision">
    <w:name w:val="Revision"/>
    <w:hidden/>
    <w:uiPriority w:val="99"/>
    <w:semiHidden/>
    <w:rsid w:val="00DA6E1F"/>
    <w:rPr>
      <w:rFonts w:ascii="Times New Roman" w:eastAsia="Times New Roman" w:hAnsi="Times New Roman" w:cs="Times New Roman"/>
      <w:lang w:eastAsia="en-GB"/>
    </w:rPr>
  </w:style>
  <w:style w:type="character" w:customStyle="1" w:styleId="Menzionenonrisolta1">
    <w:name w:val="Menzione non risolta1"/>
    <w:basedOn w:val="DefaultParagraphFont"/>
    <w:uiPriority w:val="99"/>
    <w:semiHidden/>
    <w:unhideWhenUsed/>
    <w:rsid w:val="007E60D7"/>
    <w:rPr>
      <w:color w:val="605E5C"/>
      <w:shd w:val="clear" w:color="auto" w:fill="E1DFDD"/>
    </w:rPr>
  </w:style>
  <w:style w:type="character" w:styleId="PlaceholderText">
    <w:name w:val="Placeholder Text"/>
    <w:basedOn w:val="DefaultParagraphFont"/>
    <w:uiPriority w:val="99"/>
    <w:semiHidden/>
    <w:rsid w:val="00B51395"/>
    <w:rPr>
      <w:color w:val="808080"/>
    </w:rPr>
  </w:style>
  <w:style w:type="character" w:styleId="UnresolvedMention">
    <w:name w:val="Unresolved Mention"/>
    <w:basedOn w:val="DefaultParagraphFont"/>
    <w:uiPriority w:val="99"/>
    <w:semiHidden/>
    <w:unhideWhenUsed/>
    <w:rsid w:val="001B72B6"/>
    <w:rPr>
      <w:color w:val="605E5C"/>
      <w:shd w:val="clear" w:color="auto" w:fill="E1DFDD"/>
    </w:rPr>
  </w:style>
  <w:style w:type="character" w:styleId="FollowedHyperlink">
    <w:name w:val="FollowedHyperlink"/>
    <w:basedOn w:val="DefaultParagraphFont"/>
    <w:uiPriority w:val="99"/>
    <w:semiHidden/>
    <w:unhideWhenUsed/>
    <w:rsid w:val="003B6BF7"/>
    <w:rPr>
      <w:color w:val="954F72" w:themeColor="followedHyperlink"/>
      <w:u w:val="single"/>
    </w:rPr>
  </w:style>
  <w:style w:type="paragraph" w:styleId="Footer">
    <w:name w:val="footer"/>
    <w:basedOn w:val="Normal"/>
    <w:link w:val="FooterChar"/>
    <w:uiPriority w:val="99"/>
    <w:unhideWhenUsed/>
    <w:rsid w:val="00F57DC6"/>
    <w:pPr>
      <w:tabs>
        <w:tab w:val="center" w:pos="4513"/>
        <w:tab w:val="right" w:pos="9026"/>
      </w:tabs>
    </w:pPr>
  </w:style>
  <w:style w:type="character" w:customStyle="1" w:styleId="FooterChar">
    <w:name w:val="Footer Char"/>
    <w:basedOn w:val="DefaultParagraphFont"/>
    <w:link w:val="Footer"/>
    <w:uiPriority w:val="99"/>
    <w:rsid w:val="00F57DC6"/>
    <w:rPr>
      <w:rFonts w:ascii="Times New Roman" w:eastAsia="Times New Roman" w:hAnsi="Times New Roman" w:cs="Times New Roman"/>
      <w:lang w:eastAsia="en-GB"/>
    </w:rPr>
  </w:style>
  <w:style w:type="character" w:styleId="PageNumber">
    <w:name w:val="page number"/>
    <w:basedOn w:val="DefaultParagraphFont"/>
    <w:uiPriority w:val="99"/>
    <w:semiHidden/>
    <w:unhideWhenUsed/>
    <w:rsid w:val="00F57DC6"/>
  </w:style>
  <w:style w:type="table" w:styleId="TableGridLight">
    <w:name w:val="Grid Table Light"/>
    <w:basedOn w:val="TableNormal"/>
    <w:uiPriority w:val="40"/>
    <w:rsid w:val="009601C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9601C9"/>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4">
    <w:name w:val="Plain Table 4"/>
    <w:basedOn w:val="TableNormal"/>
    <w:uiPriority w:val="44"/>
    <w:rsid w:val="00CA3D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5Char">
    <w:name w:val="Heading 5 Char"/>
    <w:basedOn w:val="DefaultParagraphFont"/>
    <w:link w:val="Heading5"/>
    <w:uiPriority w:val="9"/>
    <w:rsid w:val="00F9143E"/>
    <w:rPr>
      <w:rFonts w:ascii="Times New Roman" w:eastAsia="Times New Roman" w:hAnsi="Times New Roman" w:cs="Times New Roman"/>
      <w:b/>
      <w:bCs/>
      <w:sz w:val="20"/>
      <w:szCs w:val="20"/>
      <w:lang w:eastAsia="en-GB"/>
    </w:rPr>
  </w:style>
  <w:style w:type="paragraph" w:styleId="Title">
    <w:name w:val="Title"/>
    <w:basedOn w:val="Normal"/>
    <w:next w:val="Normal"/>
    <w:link w:val="TitleChar"/>
    <w:uiPriority w:val="10"/>
    <w:qFormat/>
    <w:rsid w:val="00366C1C"/>
    <w:pPr>
      <w:spacing w:line="480" w:lineRule="auto"/>
      <w:jc w:val="center"/>
    </w:pPr>
  </w:style>
  <w:style w:type="character" w:customStyle="1" w:styleId="TitleChar">
    <w:name w:val="Title Char"/>
    <w:basedOn w:val="DefaultParagraphFont"/>
    <w:link w:val="Title"/>
    <w:uiPriority w:val="10"/>
    <w:rsid w:val="00366C1C"/>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366C1C"/>
    <w:rPr>
      <w:rFonts w:ascii="Times New Roman" w:eastAsia="Times New Roman" w:hAnsi="Times New Roman" w:cs="Times New Roman"/>
      <w:b/>
      <w:bCs/>
      <w:lang w:eastAsia="en-GB"/>
    </w:rPr>
  </w:style>
  <w:style w:type="character" w:customStyle="1" w:styleId="Heading2Char">
    <w:name w:val="Heading 2 Char"/>
    <w:basedOn w:val="DefaultParagraphFont"/>
    <w:link w:val="Heading2"/>
    <w:uiPriority w:val="9"/>
    <w:rsid w:val="00366C1C"/>
    <w:rPr>
      <w:rFonts w:ascii="Times New Roman" w:eastAsia="Times New Roman" w:hAnsi="Times New Roman" w:cs="Times New Roman"/>
      <w:b/>
      <w:bCs/>
      <w:lang w:eastAsia="en-GB"/>
    </w:rPr>
  </w:style>
  <w:style w:type="paragraph" w:styleId="Bibliography">
    <w:name w:val="Bibliography"/>
    <w:basedOn w:val="Normal"/>
    <w:next w:val="Normal"/>
    <w:uiPriority w:val="37"/>
    <w:semiHidden/>
    <w:unhideWhenUsed/>
    <w:rsid w:val="00C1141F"/>
  </w:style>
  <w:style w:type="paragraph" w:styleId="BlockText">
    <w:name w:val="Block Text"/>
    <w:basedOn w:val="Normal"/>
    <w:uiPriority w:val="99"/>
    <w:semiHidden/>
    <w:unhideWhenUsed/>
    <w:rsid w:val="00C1141F"/>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paragraph" w:styleId="BodyText">
    <w:name w:val="Body Text"/>
    <w:basedOn w:val="Normal"/>
    <w:link w:val="BodyTextChar"/>
    <w:uiPriority w:val="99"/>
    <w:semiHidden/>
    <w:unhideWhenUsed/>
    <w:rsid w:val="00C1141F"/>
    <w:pPr>
      <w:spacing w:after="120"/>
    </w:pPr>
  </w:style>
  <w:style w:type="character" w:customStyle="1" w:styleId="BodyTextChar">
    <w:name w:val="Body Text Char"/>
    <w:basedOn w:val="DefaultParagraphFont"/>
    <w:link w:val="BodyText"/>
    <w:uiPriority w:val="99"/>
    <w:semiHidden/>
    <w:rsid w:val="00C1141F"/>
    <w:rPr>
      <w:rFonts w:ascii="Times New Roman" w:eastAsia="Times New Roman" w:hAnsi="Times New Roman" w:cs="Times New Roman"/>
      <w:lang w:eastAsia="en-GB"/>
    </w:rPr>
  </w:style>
  <w:style w:type="paragraph" w:styleId="BodyText2">
    <w:name w:val="Body Text 2"/>
    <w:basedOn w:val="Normal"/>
    <w:link w:val="BodyText2Char"/>
    <w:uiPriority w:val="99"/>
    <w:semiHidden/>
    <w:unhideWhenUsed/>
    <w:rsid w:val="00C1141F"/>
    <w:pPr>
      <w:spacing w:after="120" w:line="480" w:lineRule="auto"/>
    </w:pPr>
  </w:style>
  <w:style w:type="character" w:customStyle="1" w:styleId="BodyText2Char">
    <w:name w:val="Body Text 2 Char"/>
    <w:basedOn w:val="DefaultParagraphFont"/>
    <w:link w:val="BodyText2"/>
    <w:uiPriority w:val="99"/>
    <w:semiHidden/>
    <w:rsid w:val="00C1141F"/>
    <w:rPr>
      <w:rFonts w:ascii="Times New Roman" w:eastAsia="Times New Roman" w:hAnsi="Times New Roman" w:cs="Times New Roman"/>
      <w:lang w:eastAsia="en-GB"/>
    </w:rPr>
  </w:style>
  <w:style w:type="paragraph" w:styleId="BodyText3">
    <w:name w:val="Body Text 3"/>
    <w:basedOn w:val="Normal"/>
    <w:link w:val="BodyText3Char"/>
    <w:uiPriority w:val="99"/>
    <w:semiHidden/>
    <w:unhideWhenUsed/>
    <w:rsid w:val="00C1141F"/>
    <w:pPr>
      <w:spacing w:after="120"/>
    </w:pPr>
    <w:rPr>
      <w:sz w:val="16"/>
      <w:szCs w:val="16"/>
    </w:rPr>
  </w:style>
  <w:style w:type="character" w:customStyle="1" w:styleId="BodyText3Char">
    <w:name w:val="Body Text 3 Char"/>
    <w:basedOn w:val="DefaultParagraphFont"/>
    <w:link w:val="BodyText3"/>
    <w:uiPriority w:val="99"/>
    <w:semiHidden/>
    <w:rsid w:val="00C1141F"/>
    <w:rPr>
      <w:rFonts w:ascii="Times New Roman" w:eastAsia="Times New Roman" w:hAnsi="Times New Roman" w:cs="Times New Roman"/>
      <w:sz w:val="16"/>
      <w:szCs w:val="16"/>
      <w:lang w:eastAsia="en-GB"/>
    </w:rPr>
  </w:style>
  <w:style w:type="paragraph" w:styleId="BodyTextFirstIndent">
    <w:name w:val="Body Text First Indent"/>
    <w:basedOn w:val="BodyText"/>
    <w:link w:val="BodyTextFirstIndentChar"/>
    <w:uiPriority w:val="99"/>
    <w:semiHidden/>
    <w:unhideWhenUsed/>
    <w:rsid w:val="00C1141F"/>
    <w:pPr>
      <w:spacing w:after="0"/>
      <w:ind w:firstLine="360"/>
    </w:pPr>
  </w:style>
  <w:style w:type="character" w:customStyle="1" w:styleId="BodyTextFirstIndentChar">
    <w:name w:val="Body Text First Indent Char"/>
    <w:basedOn w:val="BodyTextChar"/>
    <w:link w:val="BodyTextFirstIndent"/>
    <w:uiPriority w:val="99"/>
    <w:semiHidden/>
    <w:rsid w:val="00C1141F"/>
    <w:rPr>
      <w:rFonts w:ascii="Times New Roman" w:eastAsia="Times New Roman" w:hAnsi="Times New Roman" w:cs="Times New Roman"/>
      <w:lang w:eastAsia="en-GB"/>
    </w:rPr>
  </w:style>
  <w:style w:type="paragraph" w:styleId="BodyTextIndent">
    <w:name w:val="Body Text Indent"/>
    <w:basedOn w:val="Normal"/>
    <w:link w:val="BodyTextIndentChar"/>
    <w:uiPriority w:val="99"/>
    <w:semiHidden/>
    <w:unhideWhenUsed/>
    <w:rsid w:val="00C1141F"/>
    <w:pPr>
      <w:spacing w:after="120"/>
      <w:ind w:left="283"/>
    </w:pPr>
  </w:style>
  <w:style w:type="character" w:customStyle="1" w:styleId="BodyTextIndentChar">
    <w:name w:val="Body Text Indent Char"/>
    <w:basedOn w:val="DefaultParagraphFont"/>
    <w:link w:val="BodyTextIndent"/>
    <w:uiPriority w:val="99"/>
    <w:semiHidden/>
    <w:rsid w:val="00C1141F"/>
    <w:rPr>
      <w:rFonts w:ascii="Times New Roman" w:eastAsia="Times New Roman" w:hAnsi="Times New Roman" w:cs="Times New Roman"/>
      <w:lang w:eastAsia="en-GB"/>
    </w:rPr>
  </w:style>
  <w:style w:type="paragraph" w:styleId="BodyTextFirstIndent2">
    <w:name w:val="Body Text First Indent 2"/>
    <w:basedOn w:val="BodyTextIndent"/>
    <w:link w:val="BodyTextFirstIndent2Char"/>
    <w:uiPriority w:val="99"/>
    <w:semiHidden/>
    <w:unhideWhenUsed/>
    <w:rsid w:val="00C1141F"/>
    <w:pPr>
      <w:spacing w:after="0"/>
      <w:ind w:left="360" w:firstLine="360"/>
    </w:pPr>
  </w:style>
  <w:style w:type="character" w:customStyle="1" w:styleId="BodyTextFirstIndent2Char">
    <w:name w:val="Body Text First Indent 2 Char"/>
    <w:basedOn w:val="BodyTextIndentChar"/>
    <w:link w:val="BodyTextFirstIndent2"/>
    <w:uiPriority w:val="99"/>
    <w:semiHidden/>
    <w:rsid w:val="00C1141F"/>
    <w:rPr>
      <w:rFonts w:ascii="Times New Roman" w:eastAsia="Times New Roman" w:hAnsi="Times New Roman" w:cs="Times New Roman"/>
      <w:lang w:eastAsia="en-GB"/>
    </w:rPr>
  </w:style>
  <w:style w:type="paragraph" w:styleId="BodyTextIndent2">
    <w:name w:val="Body Text Indent 2"/>
    <w:basedOn w:val="Normal"/>
    <w:link w:val="BodyTextIndent2Char"/>
    <w:uiPriority w:val="99"/>
    <w:semiHidden/>
    <w:unhideWhenUsed/>
    <w:rsid w:val="00C1141F"/>
    <w:pPr>
      <w:spacing w:after="120" w:line="480" w:lineRule="auto"/>
      <w:ind w:left="283"/>
    </w:pPr>
  </w:style>
  <w:style w:type="character" w:customStyle="1" w:styleId="BodyTextIndent2Char">
    <w:name w:val="Body Text Indent 2 Char"/>
    <w:basedOn w:val="DefaultParagraphFont"/>
    <w:link w:val="BodyTextIndent2"/>
    <w:uiPriority w:val="99"/>
    <w:semiHidden/>
    <w:rsid w:val="00C1141F"/>
    <w:rPr>
      <w:rFonts w:ascii="Times New Roman" w:eastAsia="Times New Roman" w:hAnsi="Times New Roman" w:cs="Times New Roman"/>
      <w:lang w:eastAsia="en-GB"/>
    </w:rPr>
  </w:style>
  <w:style w:type="paragraph" w:styleId="BodyTextIndent3">
    <w:name w:val="Body Text Indent 3"/>
    <w:basedOn w:val="Normal"/>
    <w:link w:val="BodyTextIndent3Char"/>
    <w:uiPriority w:val="99"/>
    <w:semiHidden/>
    <w:unhideWhenUsed/>
    <w:rsid w:val="00C1141F"/>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1141F"/>
    <w:rPr>
      <w:rFonts w:ascii="Times New Roman" w:eastAsia="Times New Roman" w:hAnsi="Times New Roman" w:cs="Times New Roman"/>
      <w:sz w:val="16"/>
      <w:szCs w:val="16"/>
      <w:lang w:eastAsia="en-GB"/>
    </w:rPr>
  </w:style>
  <w:style w:type="paragraph" w:styleId="Caption">
    <w:name w:val="caption"/>
    <w:basedOn w:val="Normal"/>
    <w:next w:val="Normal"/>
    <w:uiPriority w:val="35"/>
    <w:semiHidden/>
    <w:unhideWhenUsed/>
    <w:qFormat/>
    <w:rsid w:val="00C1141F"/>
    <w:pPr>
      <w:spacing w:after="200"/>
    </w:pPr>
    <w:rPr>
      <w:i/>
      <w:iCs/>
      <w:color w:val="44546A" w:themeColor="text2"/>
      <w:sz w:val="18"/>
      <w:szCs w:val="18"/>
    </w:rPr>
  </w:style>
  <w:style w:type="paragraph" w:styleId="Closing">
    <w:name w:val="Closing"/>
    <w:basedOn w:val="Normal"/>
    <w:link w:val="ClosingChar"/>
    <w:uiPriority w:val="99"/>
    <w:semiHidden/>
    <w:unhideWhenUsed/>
    <w:rsid w:val="00C1141F"/>
    <w:pPr>
      <w:ind w:left="4252"/>
    </w:pPr>
  </w:style>
  <w:style w:type="character" w:customStyle="1" w:styleId="ClosingChar">
    <w:name w:val="Closing Char"/>
    <w:basedOn w:val="DefaultParagraphFont"/>
    <w:link w:val="Closing"/>
    <w:uiPriority w:val="99"/>
    <w:semiHidden/>
    <w:rsid w:val="00C1141F"/>
    <w:rPr>
      <w:rFonts w:ascii="Times New Roman" w:eastAsia="Times New Roman" w:hAnsi="Times New Roman" w:cs="Times New Roman"/>
      <w:lang w:eastAsia="en-GB"/>
    </w:rPr>
  </w:style>
  <w:style w:type="paragraph" w:styleId="Date">
    <w:name w:val="Date"/>
    <w:basedOn w:val="Normal"/>
    <w:next w:val="Normal"/>
    <w:link w:val="DateChar"/>
    <w:uiPriority w:val="99"/>
    <w:semiHidden/>
    <w:unhideWhenUsed/>
    <w:rsid w:val="00C1141F"/>
  </w:style>
  <w:style w:type="character" w:customStyle="1" w:styleId="DateChar">
    <w:name w:val="Date Char"/>
    <w:basedOn w:val="DefaultParagraphFont"/>
    <w:link w:val="Date"/>
    <w:uiPriority w:val="99"/>
    <w:semiHidden/>
    <w:rsid w:val="00C1141F"/>
    <w:rPr>
      <w:rFonts w:ascii="Times New Roman" w:eastAsia="Times New Roman" w:hAnsi="Times New Roman" w:cs="Times New Roman"/>
      <w:lang w:eastAsia="en-GB"/>
    </w:rPr>
  </w:style>
  <w:style w:type="paragraph" w:styleId="DocumentMap">
    <w:name w:val="Document Map"/>
    <w:basedOn w:val="Normal"/>
    <w:link w:val="DocumentMapChar"/>
    <w:uiPriority w:val="99"/>
    <w:semiHidden/>
    <w:unhideWhenUsed/>
    <w:rsid w:val="00C1141F"/>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1141F"/>
    <w:rPr>
      <w:rFonts w:ascii="Segoe UI" w:eastAsia="Times New Roman" w:hAnsi="Segoe UI" w:cs="Segoe UI"/>
      <w:sz w:val="16"/>
      <w:szCs w:val="16"/>
      <w:lang w:eastAsia="en-GB"/>
    </w:rPr>
  </w:style>
  <w:style w:type="paragraph" w:styleId="E-mailSignature">
    <w:name w:val="E-mail Signature"/>
    <w:basedOn w:val="Normal"/>
    <w:link w:val="E-mailSignatureChar"/>
    <w:uiPriority w:val="99"/>
    <w:semiHidden/>
    <w:unhideWhenUsed/>
    <w:rsid w:val="00C1141F"/>
  </w:style>
  <w:style w:type="character" w:customStyle="1" w:styleId="E-mailSignatureChar">
    <w:name w:val="E-mail Signature Char"/>
    <w:basedOn w:val="DefaultParagraphFont"/>
    <w:link w:val="E-mailSignature"/>
    <w:uiPriority w:val="99"/>
    <w:semiHidden/>
    <w:rsid w:val="00C1141F"/>
    <w:rPr>
      <w:rFonts w:ascii="Times New Roman" w:eastAsia="Times New Roman" w:hAnsi="Times New Roman" w:cs="Times New Roman"/>
      <w:lang w:eastAsia="en-GB"/>
    </w:rPr>
  </w:style>
  <w:style w:type="paragraph" w:styleId="EndnoteText">
    <w:name w:val="endnote text"/>
    <w:basedOn w:val="Normal"/>
    <w:link w:val="EndnoteTextChar"/>
    <w:uiPriority w:val="99"/>
    <w:semiHidden/>
    <w:unhideWhenUsed/>
    <w:rsid w:val="00C1141F"/>
    <w:rPr>
      <w:sz w:val="20"/>
      <w:szCs w:val="20"/>
    </w:rPr>
  </w:style>
  <w:style w:type="character" w:customStyle="1" w:styleId="EndnoteTextChar">
    <w:name w:val="Endnote Text Char"/>
    <w:basedOn w:val="DefaultParagraphFont"/>
    <w:link w:val="EndnoteText"/>
    <w:uiPriority w:val="99"/>
    <w:semiHidden/>
    <w:rsid w:val="00C1141F"/>
    <w:rPr>
      <w:rFonts w:ascii="Times New Roman" w:eastAsia="Times New Roman" w:hAnsi="Times New Roman" w:cs="Times New Roman"/>
      <w:sz w:val="20"/>
      <w:szCs w:val="20"/>
      <w:lang w:eastAsia="en-GB"/>
    </w:rPr>
  </w:style>
  <w:style w:type="paragraph" w:styleId="EnvelopeAddress">
    <w:name w:val="envelope address"/>
    <w:basedOn w:val="Normal"/>
    <w:uiPriority w:val="99"/>
    <w:semiHidden/>
    <w:unhideWhenUsed/>
    <w:rsid w:val="00C1141F"/>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C1141F"/>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C1141F"/>
    <w:rPr>
      <w:sz w:val="20"/>
      <w:szCs w:val="20"/>
    </w:rPr>
  </w:style>
  <w:style w:type="character" w:customStyle="1" w:styleId="FootnoteTextChar">
    <w:name w:val="Footnote Text Char"/>
    <w:basedOn w:val="DefaultParagraphFont"/>
    <w:link w:val="FootnoteText"/>
    <w:uiPriority w:val="99"/>
    <w:semiHidden/>
    <w:rsid w:val="00C1141F"/>
    <w:rPr>
      <w:rFonts w:ascii="Times New Roman" w:eastAsia="Times New Roman" w:hAnsi="Times New Roman" w:cs="Times New Roman"/>
      <w:sz w:val="20"/>
      <w:szCs w:val="20"/>
      <w:lang w:eastAsia="en-GB"/>
    </w:rPr>
  </w:style>
  <w:style w:type="paragraph" w:styleId="Header">
    <w:name w:val="header"/>
    <w:basedOn w:val="Normal"/>
    <w:link w:val="HeaderChar"/>
    <w:uiPriority w:val="99"/>
    <w:unhideWhenUsed/>
    <w:rsid w:val="00C1141F"/>
    <w:pPr>
      <w:tabs>
        <w:tab w:val="center" w:pos="4513"/>
        <w:tab w:val="right" w:pos="9026"/>
      </w:tabs>
    </w:pPr>
  </w:style>
  <w:style w:type="character" w:customStyle="1" w:styleId="HeaderChar">
    <w:name w:val="Header Char"/>
    <w:basedOn w:val="DefaultParagraphFont"/>
    <w:link w:val="Header"/>
    <w:uiPriority w:val="99"/>
    <w:rsid w:val="00C1141F"/>
    <w:rPr>
      <w:rFonts w:ascii="Times New Roman" w:eastAsia="Times New Roman" w:hAnsi="Times New Roman" w:cs="Times New Roman"/>
      <w:lang w:eastAsia="en-GB"/>
    </w:rPr>
  </w:style>
  <w:style w:type="character" w:customStyle="1" w:styleId="Heading3Char">
    <w:name w:val="Heading 3 Char"/>
    <w:basedOn w:val="DefaultParagraphFont"/>
    <w:link w:val="Heading3"/>
    <w:uiPriority w:val="9"/>
    <w:semiHidden/>
    <w:rsid w:val="00C1141F"/>
    <w:rPr>
      <w:rFonts w:asciiTheme="majorHAnsi" w:eastAsiaTheme="majorEastAsia" w:hAnsiTheme="majorHAnsi" w:cstheme="majorBidi"/>
      <w:color w:val="1F3763" w:themeColor="accent1" w:themeShade="7F"/>
      <w:lang w:eastAsia="en-GB"/>
    </w:rPr>
  </w:style>
  <w:style w:type="character" w:customStyle="1" w:styleId="Heading4Char">
    <w:name w:val="Heading 4 Char"/>
    <w:basedOn w:val="DefaultParagraphFont"/>
    <w:link w:val="Heading4"/>
    <w:uiPriority w:val="9"/>
    <w:semiHidden/>
    <w:rsid w:val="00C1141F"/>
    <w:rPr>
      <w:rFonts w:asciiTheme="majorHAnsi" w:eastAsiaTheme="majorEastAsia" w:hAnsiTheme="majorHAnsi" w:cstheme="majorBidi"/>
      <w:i/>
      <w:iCs/>
      <w:color w:val="2F5496" w:themeColor="accent1" w:themeShade="BF"/>
      <w:lang w:eastAsia="en-GB"/>
    </w:rPr>
  </w:style>
  <w:style w:type="character" w:customStyle="1" w:styleId="Heading6Char">
    <w:name w:val="Heading 6 Char"/>
    <w:basedOn w:val="DefaultParagraphFont"/>
    <w:link w:val="Heading6"/>
    <w:uiPriority w:val="9"/>
    <w:semiHidden/>
    <w:rsid w:val="00C1141F"/>
    <w:rPr>
      <w:rFonts w:asciiTheme="majorHAnsi" w:eastAsiaTheme="majorEastAsia" w:hAnsiTheme="majorHAnsi" w:cstheme="majorBidi"/>
      <w:color w:val="1F3763" w:themeColor="accent1" w:themeShade="7F"/>
      <w:lang w:eastAsia="en-GB"/>
    </w:rPr>
  </w:style>
  <w:style w:type="character" w:customStyle="1" w:styleId="Heading7Char">
    <w:name w:val="Heading 7 Char"/>
    <w:basedOn w:val="DefaultParagraphFont"/>
    <w:link w:val="Heading7"/>
    <w:uiPriority w:val="9"/>
    <w:semiHidden/>
    <w:rsid w:val="00C1141F"/>
    <w:rPr>
      <w:rFonts w:asciiTheme="majorHAnsi" w:eastAsiaTheme="majorEastAsia" w:hAnsiTheme="majorHAnsi" w:cstheme="majorBidi"/>
      <w:i/>
      <w:iCs/>
      <w:color w:val="1F3763" w:themeColor="accent1" w:themeShade="7F"/>
      <w:lang w:eastAsia="en-GB"/>
    </w:rPr>
  </w:style>
  <w:style w:type="character" w:customStyle="1" w:styleId="Heading8Char">
    <w:name w:val="Heading 8 Char"/>
    <w:basedOn w:val="DefaultParagraphFont"/>
    <w:link w:val="Heading8"/>
    <w:uiPriority w:val="9"/>
    <w:semiHidden/>
    <w:rsid w:val="00C1141F"/>
    <w:rPr>
      <w:rFonts w:asciiTheme="majorHAnsi" w:eastAsiaTheme="majorEastAsia" w:hAnsiTheme="majorHAnsi" w:cstheme="majorBidi"/>
      <w:color w:val="272727" w:themeColor="text1" w:themeTint="D8"/>
      <w:sz w:val="21"/>
      <w:szCs w:val="21"/>
      <w:lang w:eastAsia="en-GB"/>
    </w:rPr>
  </w:style>
  <w:style w:type="character" w:customStyle="1" w:styleId="Heading9Char">
    <w:name w:val="Heading 9 Char"/>
    <w:basedOn w:val="DefaultParagraphFont"/>
    <w:link w:val="Heading9"/>
    <w:uiPriority w:val="9"/>
    <w:semiHidden/>
    <w:rsid w:val="00C1141F"/>
    <w:rPr>
      <w:rFonts w:asciiTheme="majorHAnsi" w:eastAsiaTheme="majorEastAsia" w:hAnsiTheme="majorHAnsi" w:cstheme="majorBidi"/>
      <w:i/>
      <w:iCs/>
      <w:color w:val="272727" w:themeColor="text1" w:themeTint="D8"/>
      <w:sz w:val="21"/>
      <w:szCs w:val="21"/>
      <w:lang w:eastAsia="en-GB"/>
    </w:rPr>
  </w:style>
  <w:style w:type="paragraph" w:styleId="HTMLAddress">
    <w:name w:val="HTML Address"/>
    <w:basedOn w:val="Normal"/>
    <w:link w:val="HTMLAddressChar"/>
    <w:uiPriority w:val="99"/>
    <w:semiHidden/>
    <w:unhideWhenUsed/>
    <w:rsid w:val="00C1141F"/>
    <w:rPr>
      <w:i/>
      <w:iCs/>
    </w:rPr>
  </w:style>
  <w:style w:type="character" w:customStyle="1" w:styleId="HTMLAddressChar">
    <w:name w:val="HTML Address Char"/>
    <w:basedOn w:val="DefaultParagraphFont"/>
    <w:link w:val="HTMLAddress"/>
    <w:uiPriority w:val="99"/>
    <w:semiHidden/>
    <w:rsid w:val="00C1141F"/>
    <w:rPr>
      <w:rFonts w:ascii="Times New Roman" w:eastAsia="Times New Roman" w:hAnsi="Times New Roman" w:cs="Times New Roman"/>
      <w:i/>
      <w:iCs/>
      <w:lang w:eastAsia="en-GB"/>
    </w:rPr>
  </w:style>
  <w:style w:type="paragraph" w:styleId="HTMLPreformatted">
    <w:name w:val="HTML Preformatted"/>
    <w:basedOn w:val="Normal"/>
    <w:link w:val="HTMLPreformattedChar"/>
    <w:uiPriority w:val="99"/>
    <w:semiHidden/>
    <w:unhideWhenUsed/>
    <w:rsid w:val="00C1141F"/>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C1141F"/>
    <w:rPr>
      <w:rFonts w:ascii="Consolas" w:eastAsia="Times New Roman" w:hAnsi="Consolas" w:cs="Times New Roman"/>
      <w:sz w:val="20"/>
      <w:szCs w:val="20"/>
      <w:lang w:eastAsia="en-GB"/>
    </w:rPr>
  </w:style>
  <w:style w:type="paragraph" w:styleId="Index1">
    <w:name w:val="index 1"/>
    <w:basedOn w:val="Normal"/>
    <w:next w:val="Normal"/>
    <w:autoRedefine/>
    <w:uiPriority w:val="99"/>
    <w:semiHidden/>
    <w:unhideWhenUsed/>
    <w:rsid w:val="00C1141F"/>
    <w:pPr>
      <w:ind w:left="240" w:hanging="240"/>
    </w:pPr>
  </w:style>
  <w:style w:type="paragraph" w:styleId="Index2">
    <w:name w:val="index 2"/>
    <w:basedOn w:val="Normal"/>
    <w:next w:val="Normal"/>
    <w:autoRedefine/>
    <w:uiPriority w:val="99"/>
    <w:semiHidden/>
    <w:unhideWhenUsed/>
    <w:rsid w:val="00C1141F"/>
    <w:pPr>
      <w:ind w:left="480" w:hanging="240"/>
    </w:pPr>
  </w:style>
  <w:style w:type="paragraph" w:styleId="Index3">
    <w:name w:val="index 3"/>
    <w:basedOn w:val="Normal"/>
    <w:next w:val="Normal"/>
    <w:autoRedefine/>
    <w:uiPriority w:val="99"/>
    <w:semiHidden/>
    <w:unhideWhenUsed/>
    <w:rsid w:val="00C1141F"/>
    <w:pPr>
      <w:ind w:left="720" w:hanging="240"/>
    </w:pPr>
  </w:style>
  <w:style w:type="paragraph" w:styleId="Index4">
    <w:name w:val="index 4"/>
    <w:basedOn w:val="Normal"/>
    <w:next w:val="Normal"/>
    <w:autoRedefine/>
    <w:uiPriority w:val="99"/>
    <w:semiHidden/>
    <w:unhideWhenUsed/>
    <w:rsid w:val="00C1141F"/>
    <w:pPr>
      <w:ind w:left="960" w:hanging="240"/>
    </w:pPr>
  </w:style>
  <w:style w:type="paragraph" w:styleId="Index5">
    <w:name w:val="index 5"/>
    <w:basedOn w:val="Normal"/>
    <w:next w:val="Normal"/>
    <w:autoRedefine/>
    <w:uiPriority w:val="99"/>
    <w:semiHidden/>
    <w:unhideWhenUsed/>
    <w:rsid w:val="00C1141F"/>
    <w:pPr>
      <w:ind w:left="1200" w:hanging="240"/>
    </w:pPr>
  </w:style>
  <w:style w:type="paragraph" w:styleId="Index6">
    <w:name w:val="index 6"/>
    <w:basedOn w:val="Normal"/>
    <w:next w:val="Normal"/>
    <w:autoRedefine/>
    <w:uiPriority w:val="99"/>
    <w:semiHidden/>
    <w:unhideWhenUsed/>
    <w:rsid w:val="00C1141F"/>
    <w:pPr>
      <w:ind w:left="1440" w:hanging="240"/>
    </w:pPr>
  </w:style>
  <w:style w:type="paragraph" w:styleId="Index7">
    <w:name w:val="index 7"/>
    <w:basedOn w:val="Normal"/>
    <w:next w:val="Normal"/>
    <w:autoRedefine/>
    <w:uiPriority w:val="99"/>
    <w:semiHidden/>
    <w:unhideWhenUsed/>
    <w:rsid w:val="00C1141F"/>
    <w:pPr>
      <w:ind w:left="1680" w:hanging="240"/>
    </w:pPr>
  </w:style>
  <w:style w:type="paragraph" w:styleId="Index8">
    <w:name w:val="index 8"/>
    <w:basedOn w:val="Normal"/>
    <w:next w:val="Normal"/>
    <w:autoRedefine/>
    <w:uiPriority w:val="99"/>
    <w:semiHidden/>
    <w:unhideWhenUsed/>
    <w:rsid w:val="00C1141F"/>
    <w:pPr>
      <w:ind w:left="1920" w:hanging="240"/>
    </w:pPr>
  </w:style>
  <w:style w:type="paragraph" w:styleId="Index9">
    <w:name w:val="index 9"/>
    <w:basedOn w:val="Normal"/>
    <w:next w:val="Normal"/>
    <w:autoRedefine/>
    <w:uiPriority w:val="99"/>
    <w:semiHidden/>
    <w:unhideWhenUsed/>
    <w:rsid w:val="00C1141F"/>
    <w:pPr>
      <w:ind w:left="2160" w:hanging="240"/>
    </w:pPr>
  </w:style>
  <w:style w:type="paragraph" w:styleId="IndexHeading">
    <w:name w:val="index heading"/>
    <w:basedOn w:val="Normal"/>
    <w:next w:val="Index1"/>
    <w:uiPriority w:val="99"/>
    <w:semiHidden/>
    <w:unhideWhenUsed/>
    <w:rsid w:val="00C1141F"/>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1141F"/>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C1141F"/>
    <w:rPr>
      <w:rFonts w:ascii="Times New Roman" w:eastAsia="Times New Roman" w:hAnsi="Times New Roman" w:cs="Times New Roman"/>
      <w:i/>
      <w:iCs/>
      <w:color w:val="4472C4" w:themeColor="accent1"/>
      <w:lang w:eastAsia="en-GB"/>
    </w:rPr>
  </w:style>
  <w:style w:type="paragraph" w:styleId="List">
    <w:name w:val="List"/>
    <w:basedOn w:val="Normal"/>
    <w:uiPriority w:val="99"/>
    <w:semiHidden/>
    <w:unhideWhenUsed/>
    <w:rsid w:val="00C1141F"/>
    <w:pPr>
      <w:ind w:left="283" w:hanging="283"/>
      <w:contextualSpacing/>
    </w:pPr>
  </w:style>
  <w:style w:type="paragraph" w:styleId="List2">
    <w:name w:val="List 2"/>
    <w:basedOn w:val="Normal"/>
    <w:uiPriority w:val="99"/>
    <w:semiHidden/>
    <w:unhideWhenUsed/>
    <w:rsid w:val="00C1141F"/>
    <w:pPr>
      <w:ind w:left="566" w:hanging="283"/>
      <w:contextualSpacing/>
    </w:pPr>
  </w:style>
  <w:style w:type="paragraph" w:styleId="List3">
    <w:name w:val="List 3"/>
    <w:basedOn w:val="Normal"/>
    <w:uiPriority w:val="99"/>
    <w:semiHidden/>
    <w:unhideWhenUsed/>
    <w:rsid w:val="00C1141F"/>
    <w:pPr>
      <w:ind w:left="849" w:hanging="283"/>
      <w:contextualSpacing/>
    </w:pPr>
  </w:style>
  <w:style w:type="paragraph" w:styleId="List4">
    <w:name w:val="List 4"/>
    <w:basedOn w:val="Normal"/>
    <w:uiPriority w:val="99"/>
    <w:semiHidden/>
    <w:unhideWhenUsed/>
    <w:rsid w:val="00C1141F"/>
    <w:pPr>
      <w:ind w:left="1132" w:hanging="283"/>
      <w:contextualSpacing/>
    </w:pPr>
  </w:style>
  <w:style w:type="paragraph" w:styleId="List5">
    <w:name w:val="List 5"/>
    <w:basedOn w:val="Normal"/>
    <w:uiPriority w:val="99"/>
    <w:semiHidden/>
    <w:unhideWhenUsed/>
    <w:rsid w:val="00C1141F"/>
    <w:pPr>
      <w:ind w:left="1415" w:hanging="283"/>
      <w:contextualSpacing/>
    </w:pPr>
  </w:style>
  <w:style w:type="paragraph" w:styleId="ListBullet">
    <w:name w:val="List Bullet"/>
    <w:basedOn w:val="Normal"/>
    <w:uiPriority w:val="99"/>
    <w:semiHidden/>
    <w:unhideWhenUsed/>
    <w:rsid w:val="00C1141F"/>
    <w:pPr>
      <w:numPr>
        <w:numId w:val="3"/>
      </w:numPr>
      <w:contextualSpacing/>
    </w:pPr>
  </w:style>
  <w:style w:type="paragraph" w:styleId="ListBullet2">
    <w:name w:val="List Bullet 2"/>
    <w:basedOn w:val="Normal"/>
    <w:uiPriority w:val="99"/>
    <w:semiHidden/>
    <w:unhideWhenUsed/>
    <w:rsid w:val="00C1141F"/>
    <w:pPr>
      <w:numPr>
        <w:numId w:val="4"/>
      </w:numPr>
      <w:contextualSpacing/>
    </w:pPr>
  </w:style>
  <w:style w:type="paragraph" w:styleId="ListBullet3">
    <w:name w:val="List Bullet 3"/>
    <w:basedOn w:val="Normal"/>
    <w:uiPriority w:val="99"/>
    <w:semiHidden/>
    <w:unhideWhenUsed/>
    <w:rsid w:val="00C1141F"/>
    <w:pPr>
      <w:numPr>
        <w:numId w:val="5"/>
      </w:numPr>
      <w:contextualSpacing/>
    </w:pPr>
  </w:style>
  <w:style w:type="paragraph" w:styleId="ListBullet4">
    <w:name w:val="List Bullet 4"/>
    <w:basedOn w:val="Normal"/>
    <w:uiPriority w:val="99"/>
    <w:semiHidden/>
    <w:unhideWhenUsed/>
    <w:rsid w:val="00C1141F"/>
    <w:pPr>
      <w:numPr>
        <w:numId w:val="6"/>
      </w:numPr>
      <w:contextualSpacing/>
    </w:pPr>
  </w:style>
  <w:style w:type="paragraph" w:styleId="ListBullet5">
    <w:name w:val="List Bullet 5"/>
    <w:basedOn w:val="Normal"/>
    <w:uiPriority w:val="99"/>
    <w:semiHidden/>
    <w:unhideWhenUsed/>
    <w:rsid w:val="00C1141F"/>
    <w:pPr>
      <w:numPr>
        <w:numId w:val="7"/>
      </w:numPr>
      <w:contextualSpacing/>
    </w:pPr>
  </w:style>
  <w:style w:type="paragraph" w:styleId="ListContinue">
    <w:name w:val="List Continue"/>
    <w:basedOn w:val="Normal"/>
    <w:uiPriority w:val="99"/>
    <w:semiHidden/>
    <w:unhideWhenUsed/>
    <w:rsid w:val="00C1141F"/>
    <w:pPr>
      <w:spacing w:after="120"/>
      <w:ind w:left="283"/>
      <w:contextualSpacing/>
    </w:pPr>
  </w:style>
  <w:style w:type="paragraph" w:styleId="ListContinue2">
    <w:name w:val="List Continue 2"/>
    <w:basedOn w:val="Normal"/>
    <w:uiPriority w:val="99"/>
    <w:semiHidden/>
    <w:unhideWhenUsed/>
    <w:rsid w:val="00C1141F"/>
    <w:pPr>
      <w:spacing w:after="120"/>
      <w:ind w:left="566"/>
      <w:contextualSpacing/>
    </w:pPr>
  </w:style>
  <w:style w:type="paragraph" w:styleId="ListContinue3">
    <w:name w:val="List Continue 3"/>
    <w:basedOn w:val="Normal"/>
    <w:uiPriority w:val="99"/>
    <w:semiHidden/>
    <w:unhideWhenUsed/>
    <w:rsid w:val="00C1141F"/>
    <w:pPr>
      <w:spacing w:after="120"/>
      <w:ind w:left="849"/>
      <w:contextualSpacing/>
    </w:pPr>
  </w:style>
  <w:style w:type="paragraph" w:styleId="ListContinue4">
    <w:name w:val="List Continue 4"/>
    <w:basedOn w:val="Normal"/>
    <w:uiPriority w:val="99"/>
    <w:semiHidden/>
    <w:unhideWhenUsed/>
    <w:rsid w:val="00C1141F"/>
    <w:pPr>
      <w:spacing w:after="120"/>
      <w:ind w:left="1132"/>
      <w:contextualSpacing/>
    </w:pPr>
  </w:style>
  <w:style w:type="paragraph" w:styleId="ListContinue5">
    <w:name w:val="List Continue 5"/>
    <w:basedOn w:val="Normal"/>
    <w:uiPriority w:val="99"/>
    <w:semiHidden/>
    <w:unhideWhenUsed/>
    <w:rsid w:val="00C1141F"/>
    <w:pPr>
      <w:spacing w:after="120"/>
      <w:ind w:left="1415"/>
      <w:contextualSpacing/>
    </w:pPr>
  </w:style>
  <w:style w:type="paragraph" w:styleId="ListNumber">
    <w:name w:val="List Number"/>
    <w:basedOn w:val="Normal"/>
    <w:uiPriority w:val="99"/>
    <w:semiHidden/>
    <w:unhideWhenUsed/>
    <w:rsid w:val="00C1141F"/>
    <w:pPr>
      <w:numPr>
        <w:numId w:val="8"/>
      </w:numPr>
      <w:contextualSpacing/>
    </w:pPr>
  </w:style>
  <w:style w:type="paragraph" w:styleId="ListNumber2">
    <w:name w:val="List Number 2"/>
    <w:basedOn w:val="Normal"/>
    <w:uiPriority w:val="99"/>
    <w:semiHidden/>
    <w:unhideWhenUsed/>
    <w:rsid w:val="00C1141F"/>
    <w:pPr>
      <w:numPr>
        <w:numId w:val="9"/>
      </w:numPr>
      <w:contextualSpacing/>
    </w:pPr>
  </w:style>
  <w:style w:type="paragraph" w:styleId="ListNumber3">
    <w:name w:val="List Number 3"/>
    <w:basedOn w:val="Normal"/>
    <w:uiPriority w:val="99"/>
    <w:semiHidden/>
    <w:unhideWhenUsed/>
    <w:rsid w:val="00C1141F"/>
    <w:pPr>
      <w:numPr>
        <w:numId w:val="10"/>
      </w:numPr>
      <w:contextualSpacing/>
    </w:pPr>
  </w:style>
  <w:style w:type="paragraph" w:styleId="ListNumber4">
    <w:name w:val="List Number 4"/>
    <w:basedOn w:val="Normal"/>
    <w:uiPriority w:val="99"/>
    <w:semiHidden/>
    <w:unhideWhenUsed/>
    <w:rsid w:val="00C1141F"/>
    <w:pPr>
      <w:numPr>
        <w:numId w:val="11"/>
      </w:numPr>
      <w:contextualSpacing/>
    </w:pPr>
  </w:style>
  <w:style w:type="paragraph" w:styleId="ListNumber5">
    <w:name w:val="List Number 5"/>
    <w:basedOn w:val="Normal"/>
    <w:uiPriority w:val="99"/>
    <w:semiHidden/>
    <w:unhideWhenUsed/>
    <w:rsid w:val="00C1141F"/>
    <w:pPr>
      <w:numPr>
        <w:numId w:val="12"/>
      </w:numPr>
      <w:contextualSpacing/>
    </w:pPr>
  </w:style>
  <w:style w:type="paragraph" w:styleId="MacroText">
    <w:name w:val="macro"/>
    <w:link w:val="MacroTextChar"/>
    <w:uiPriority w:val="99"/>
    <w:semiHidden/>
    <w:unhideWhenUsed/>
    <w:rsid w:val="00C1141F"/>
    <w:pPr>
      <w:tabs>
        <w:tab w:val="left" w:pos="480"/>
        <w:tab w:val="left" w:pos="960"/>
        <w:tab w:val="left" w:pos="1440"/>
        <w:tab w:val="left" w:pos="1920"/>
        <w:tab w:val="left" w:pos="2400"/>
        <w:tab w:val="left" w:pos="2880"/>
        <w:tab w:val="left" w:pos="3360"/>
        <w:tab w:val="left" w:pos="3840"/>
        <w:tab w:val="left" w:pos="4320"/>
      </w:tabs>
    </w:pPr>
    <w:rPr>
      <w:rFonts w:ascii="Consolas" w:eastAsia="Times New Roman" w:hAnsi="Consolas" w:cs="Times New Roman"/>
      <w:sz w:val="20"/>
      <w:szCs w:val="20"/>
      <w:lang w:eastAsia="en-GB"/>
    </w:rPr>
  </w:style>
  <w:style w:type="character" w:customStyle="1" w:styleId="MacroTextChar">
    <w:name w:val="Macro Text Char"/>
    <w:basedOn w:val="DefaultParagraphFont"/>
    <w:link w:val="MacroText"/>
    <w:uiPriority w:val="99"/>
    <w:semiHidden/>
    <w:rsid w:val="00C1141F"/>
    <w:rPr>
      <w:rFonts w:ascii="Consolas" w:eastAsia="Times New Roman" w:hAnsi="Consolas" w:cs="Times New Roman"/>
      <w:sz w:val="20"/>
      <w:szCs w:val="20"/>
      <w:lang w:eastAsia="en-GB"/>
    </w:rPr>
  </w:style>
  <w:style w:type="paragraph" w:styleId="MessageHeader">
    <w:name w:val="Message Header"/>
    <w:basedOn w:val="Normal"/>
    <w:link w:val="MessageHeaderChar"/>
    <w:uiPriority w:val="99"/>
    <w:semiHidden/>
    <w:unhideWhenUsed/>
    <w:rsid w:val="00C1141F"/>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C1141F"/>
    <w:rPr>
      <w:rFonts w:asciiTheme="majorHAnsi" w:eastAsiaTheme="majorEastAsia" w:hAnsiTheme="majorHAnsi" w:cstheme="majorBidi"/>
      <w:shd w:val="pct20" w:color="auto" w:fill="auto"/>
      <w:lang w:eastAsia="en-GB"/>
    </w:rPr>
  </w:style>
  <w:style w:type="paragraph" w:styleId="NoSpacing">
    <w:name w:val="No Spacing"/>
    <w:uiPriority w:val="1"/>
    <w:qFormat/>
    <w:rsid w:val="00C1141F"/>
    <w:rPr>
      <w:rFonts w:ascii="Times New Roman" w:eastAsia="Times New Roman" w:hAnsi="Times New Roman" w:cs="Times New Roman"/>
      <w:lang w:eastAsia="en-GB"/>
    </w:rPr>
  </w:style>
  <w:style w:type="paragraph" w:styleId="NormalIndent">
    <w:name w:val="Normal Indent"/>
    <w:basedOn w:val="Normal"/>
    <w:uiPriority w:val="99"/>
    <w:semiHidden/>
    <w:unhideWhenUsed/>
    <w:rsid w:val="00C1141F"/>
    <w:pPr>
      <w:ind w:left="720"/>
    </w:pPr>
  </w:style>
  <w:style w:type="paragraph" w:styleId="NoteHeading">
    <w:name w:val="Note Heading"/>
    <w:basedOn w:val="Normal"/>
    <w:next w:val="Normal"/>
    <w:link w:val="NoteHeadingChar"/>
    <w:uiPriority w:val="99"/>
    <w:semiHidden/>
    <w:unhideWhenUsed/>
    <w:rsid w:val="00C1141F"/>
  </w:style>
  <w:style w:type="character" w:customStyle="1" w:styleId="NoteHeadingChar">
    <w:name w:val="Note Heading Char"/>
    <w:basedOn w:val="DefaultParagraphFont"/>
    <w:link w:val="NoteHeading"/>
    <w:uiPriority w:val="99"/>
    <w:semiHidden/>
    <w:rsid w:val="00C1141F"/>
    <w:rPr>
      <w:rFonts w:ascii="Times New Roman" w:eastAsia="Times New Roman" w:hAnsi="Times New Roman" w:cs="Times New Roman"/>
      <w:lang w:eastAsia="en-GB"/>
    </w:rPr>
  </w:style>
  <w:style w:type="paragraph" w:styleId="PlainText">
    <w:name w:val="Plain Text"/>
    <w:basedOn w:val="Normal"/>
    <w:link w:val="PlainTextChar"/>
    <w:uiPriority w:val="99"/>
    <w:semiHidden/>
    <w:unhideWhenUsed/>
    <w:rsid w:val="00C1141F"/>
    <w:rPr>
      <w:rFonts w:ascii="Consolas" w:hAnsi="Consolas"/>
      <w:sz w:val="21"/>
      <w:szCs w:val="21"/>
    </w:rPr>
  </w:style>
  <w:style w:type="character" w:customStyle="1" w:styleId="PlainTextChar">
    <w:name w:val="Plain Text Char"/>
    <w:basedOn w:val="DefaultParagraphFont"/>
    <w:link w:val="PlainText"/>
    <w:uiPriority w:val="99"/>
    <w:semiHidden/>
    <w:rsid w:val="00C1141F"/>
    <w:rPr>
      <w:rFonts w:ascii="Consolas" w:eastAsia="Times New Roman" w:hAnsi="Consolas" w:cs="Times New Roman"/>
      <w:sz w:val="21"/>
      <w:szCs w:val="21"/>
      <w:lang w:eastAsia="en-GB"/>
    </w:rPr>
  </w:style>
  <w:style w:type="paragraph" w:styleId="Quote">
    <w:name w:val="Quote"/>
    <w:basedOn w:val="Normal"/>
    <w:next w:val="Normal"/>
    <w:link w:val="QuoteChar"/>
    <w:uiPriority w:val="29"/>
    <w:qFormat/>
    <w:rsid w:val="00C1141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1141F"/>
    <w:rPr>
      <w:rFonts w:ascii="Times New Roman" w:eastAsia="Times New Roman" w:hAnsi="Times New Roman" w:cs="Times New Roman"/>
      <w:i/>
      <w:iCs/>
      <w:color w:val="404040" w:themeColor="text1" w:themeTint="BF"/>
      <w:lang w:eastAsia="en-GB"/>
    </w:rPr>
  </w:style>
  <w:style w:type="paragraph" w:styleId="Salutation">
    <w:name w:val="Salutation"/>
    <w:basedOn w:val="Normal"/>
    <w:next w:val="Normal"/>
    <w:link w:val="SalutationChar"/>
    <w:uiPriority w:val="99"/>
    <w:semiHidden/>
    <w:unhideWhenUsed/>
    <w:rsid w:val="00C1141F"/>
  </w:style>
  <w:style w:type="character" w:customStyle="1" w:styleId="SalutationChar">
    <w:name w:val="Salutation Char"/>
    <w:basedOn w:val="DefaultParagraphFont"/>
    <w:link w:val="Salutation"/>
    <w:uiPriority w:val="99"/>
    <w:semiHidden/>
    <w:rsid w:val="00C1141F"/>
    <w:rPr>
      <w:rFonts w:ascii="Times New Roman" w:eastAsia="Times New Roman" w:hAnsi="Times New Roman" w:cs="Times New Roman"/>
      <w:lang w:eastAsia="en-GB"/>
    </w:rPr>
  </w:style>
  <w:style w:type="paragraph" w:styleId="Signature">
    <w:name w:val="Signature"/>
    <w:basedOn w:val="Normal"/>
    <w:link w:val="SignatureChar"/>
    <w:uiPriority w:val="99"/>
    <w:semiHidden/>
    <w:unhideWhenUsed/>
    <w:rsid w:val="00C1141F"/>
    <w:pPr>
      <w:ind w:left="4252"/>
    </w:pPr>
  </w:style>
  <w:style w:type="character" w:customStyle="1" w:styleId="SignatureChar">
    <w:name w:val="Signature Char"/>
    <w:basedOn w:val="DefaultParagraphFont"/>
    <w:link w:val="Signature"/>
    <w:uiPriority w:val="99"/>
    <w:semiHidden/>
    <w:rsid w:val="00C1141F"/>
    <w:rPr>
      <w:rFonts w:ascii="Times New Roman" w:eastAsia="Times New Roman" w:hAnsi="Times New Roman" w:cs="Times New Roman"/>
      <w:lang w:eastAsia="en-GB"/>
    </w:rPr>
  </w:style>
  <w:style w:type="paragraph" w:styleId="Subtitle">
    <w:name w:val="Subtitle"/>
    <w:basedOn w:val="Normal"/>
    <w:next w:val="Normal"/>
    <w:link w:val="SubtitleChar"/>
    <w:uiPriority w:val="11"/>
    <w:qFormat/>
    <w:rsid w:val="00C1141F"/>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C1141F"/>
    <w:rPr>
      <w:rFonts w:eastAsiaTheme="minorEastAsia"/>
      <w:color w:val="5A5A5A" w:themeColor="text1" w:themeTint="A5"/>
      <w:spacing w:val="15"/>
      <w:sz w:val="22"/>
      <w:szCs w:val="22"/>
      <w:lang w:eastAsia="en-GB"/>
    </w:rPr>
  </w:style>
  <w:style w:type="paragraph" w:styleId="TableofAuthorities">
    <w:name w:val="table of authorities"/>
    <w:basedOn w:val="Normal"/>
    <w:next w:val="Normal"/>
    <w:uiPriority w:val="99"/>
    <w:semiHidden/>
    <w:unhideWhenUsed/>
    <w:rsid w:val="00C1141F"/>
    <w:pPr>
      <w:ind w:left="240" w:hanging="240"/>
    </w:pPr>
  </w:style>
  <w:style w:type="paragraph" w:styleId="TableofFigures">
    <w:name w:val="table of figures"/>
    <w:basedOn w:val="Normal"/>
    <w:next w:val="Normal"/>
    <w:uiPriority w:val="99"/>
    <w:semiHidden/>
    <w:unhideWhenUsed/>
    <w:rsid w:val="00C1141F"/>
  </w:style>
  <w:style w:type="paragraph" w:styleId="TOAHeading">
    <w:name w:val="toa heading"/>
    <w:basedOn w:val="Normal"/>
    <w:next w:val="Normal"/>
    <w:uiPriority w:val="99"/>
    <w:semiHidden/>
    <w:unhideWhenUsed/>
    <w:rsid w:val="00C1141F"/>
    <w:pPr>
      <w:spacing w:before="120"/>
    </w:pPr>
    <w:rPr>
      <w:rFonts w:asciiTheme="majorHAnsi" w:eastAsiaTheme="majorEastAsia" w:hAnsiTheme="majorHAnsi" w:cstheme="majorBidi"/>
      <w:b/>
      <w:bCs/>
    </w:rPr>
  </w:style>
  <w:style w:type="paragraph" w:styleId="TOC1">
    <w:name w:val="toc 1"/>
    <w:basedOn w:val="Normal"/>
    <w:next w:val="Normal"/>
    <w:autoRedefine/>
    <w:uiPriority w:val="39"/>
    <w:semiHidden/>
    <w:unhideWhenUsed/>
    <w:rsid w:val="00C1141F"/>
    <w:pPr>
      <w:spacing w:after="100"/>
    </w:pPr>
  </w:style>
  <w:style w:type="paragraph" w:styleId="TOC2">
    <w:name w:val="toc 2"/>
    <w:basedOn w:val="Normal"/>
    <w:next w:val="Normal"/>
    <w:autoRedefine/>
    <w:uiPriority w:val="39"/>
    <w:semiHidden/>
    <w:unhideWhenUsed/>
    <w:rsid w:val="00C1141F"/>
    <w:pPr>
      <w:spacing w:after="100"/>
      <w:ind w:left="240"/>
    </w:pPr>
  </w:style>
  <w:style w:type="paragraph" w:styleId="TOC3">
    <w:name w:val="toc 3"/>
    <w:basedOn w:val="Normal"/>
    <w:next w:val="Normal"/>
    <w:autoRedefine/>
    <w:uiPriority w:val="39"/>
    <w:semiHidden/>
    <w:unhideWhenUsed/>
    <w:rsid w:val="00C1141F"/>
    <w:pPr>
      <w:spacing w:after="100"/>
      <w:ind w:left="480"/>
    </w:pPr>
  </w:style>
  <w:style w:type="paragraph" w:styleId="TOC4">
    <w:name w:val="toc 4"/>
    <w:basedOn w:val="Normal"/>
    <w:next w:val="Normal"/>
    <w:autoRedefine/>
    <w:uiPriority w:val="39"/>
    <w:semiHidden/>
    <w:unhideWhenUsed/>
    <w:rsid w:val="00C1141F"/>
    <w:pPr>
      <w:spacing w:after="100"/>
      <w:ind w:left="720"/>
    </w:pPr>
  </w:style>
  <w:style w:type="paragraph" w:styleId="TOC5">
    <w:name w:val="toc 5"/>
    <w:basedOn w:val="Normal"/>
    <w:next w:val="Normal"/>
    <w:autoRedefine/>
    <w:uiPriority w:val="39"/>
    <w:semiHidden/>
    <w:unhideWhenUsed/>
    <w:rsid w:val="00C1141F"/>
    <w:pPr>
      <w:spacing w:after="100"/>
      <w:ind w:left="960"/>
    </w:pPr>
  </w:style>
  <w:style w:type="paragraph" w:styleId="TOC6">
    <w:name w:val="toc 6"/>
    <w:basedOn w:val="Normal"/>
    <w:next w:val="Normal"/>
    <w:autoRedefine/>
    <w:uiPriority w:val="39"/>
    <w:semiHidden/>
    <w:unhideWhenUsed/>
    <w:rsid w:val="00C1141F"/>
    <w:pPr>
      <w:spacing w:after="100"/>
      <w:ind w:left="1200"/>
    </w:pPr>
  </w:style>
  <w:style w:type="paragraph" w:styleId="TOC7">
    <w:name w:val="toc 7"/>
    <w:basedOn w:val="Normal"/>
    <w:next w:val="Normal"/>
    <w:autoRedefine/>
    <w:uiPriority w:val="39"/>
    <w:semiHidden/>
    <w:unhideWhenUsed/>
    <w:rsid w:val="00C1141F"/>
    <w:pPr>
      <w:spacing w:after="100"/>
      <w:ind w:left="1440"/>
    </w:pPr>
  </w:style>
  <w:style w:type="paragraph" w:styleId="TOC8">
    <w:name w:val="toc 8"/>
    <w:basedOn w:val="Normal"/>
    <w:next w:val="Normal"/>
    <w:autoRedefine/>
    <w:uiPriority w:val="39"/>
    <w:semiHidden/>
    <w:unhideWhenUsed/>
    <w:rsid w:val="00C1141F"/>
    <w:pPr>
      <w:spacing w:after="100"/>
      <w:ind w:left="1680"/>
    </w:pPr>
  </w:style>
  <w:style w:type="paragraph" w:styleId="TOC9">
    <w:name w:val="toc 9"/>
    <w:basedOn w:val="Normal"/>
    <w:next w:val="Normal"/>
    <w:autoRedefine/>
    <w:uiPriority w:val="39"/>
    <w:semiHidden/>
    <w:unhideWhenUsed/>
    <w:rsid w:val="00C1141F"/>
    <w:pPr>
      <w:spacing w:after="100"/>
      <w:ind w:left="1920"/>
    </w:pPr>
  </w:style>
  <w:style w:type="paragraph" w:styleId="TOCHeading">
    <w:name w:val="TOC Heading"/>
    <w:basedOn w:val="Heading1"/>
    <w:next w:val="Normal"/>
    <w:uiPriority w:val="39"/>
    <w:semiHidden/>
    <w:unhideWhenUsed/>
    <w:qFormat/>
    <w:rsid w:val="00C1141F"/>
    <w:pPr>
      <w:keepNext/>
      <w:keepLines/>
      <w:spacing w:before="240" w:line="240" w:lineRule="auto"/>
      <w:jc w:val="left"/>
      <w:outlineLvl w:val="9"/>
    </w:pPr>
    <w:rPr>
      <w:rFonts w:asciiTheme="majorHAnsi" w:eastAsiaTheme="majorEastAsia" w:hAnsiTheme="majorHAnsi" w:cstheme="majorBidi"/>
      <w:b w:val="0"/>
      <w:bCs w:val="0"/>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674897">
      <w:bodyDiv w:val="1"/>
      <w:marLeft w:val="0"/>
      <w:marRight w:val="0"/>
      <w:marTop w:val="0"/>
      <w:marBottom w:val="0"/>
      <w:divBdr>
        <w:top w:val="none" w:sz="0" w:space="0" w:color="auto"/>
        <w:left w:val="none" w:sz="0" w:space="0" w:color="auto"/>
        <w:bottom w:val="none" w:sz="0" w:space="0" w:color="auto"/>
        <w:right w:val="none" w:sz="0" w:space="0" w:color="auto"/>
      </w:divBdr>
    </w:div>
    <w:div w:id="166671536">
      <w:bodyDiv w:val="1"/>
      <w:marLeft w:val="0"/>
      <w:marRight w:val="0"/>
      <w:marTop w:val="0"/>
      <w:marBottom w:val="0"/>
      <w:divBdr>
        <w:top w:val="none" w:sz="0" w:space="0" w:color="auto"/>
        <w:left w:val="none" w:sz="0" w:space="0" w:color="auto"/>
        <w:bottom w:val="none" w:sz="0" w:space="0" w:color="auto"/>
        <w:right w:val="none" w:sz="0" w:space="0" w:color="auto"/>
      </w:divBdr>
      <w:divsChild>
        <w:div w:id="595094345">
          <w:marLeft w:val="0"/>
          <w:marRight w:val="108"/>
          <w:marTop w:val="108"/>
          <w:marBottom w:val="108"/>
          <w:divBdr>
            <w:top w:val="none" w:sz="0" w:space="0" w:color="auto"/>
            <w:left w:val="none" w:sz="0" w:space="0" w:color="auto"/>
            <w:bottom w:val="none" w:sz="0" w:space="0" w:color="auto"/>
            <w:right w:val="none" w:sz="0" w:space="0" w:color="auto"/>
          </w:divBdr>
          <w:divsChild>
            <w:div w:id="359287417">
              <w:marLeft w:val="0"/>
              <w:marRight w:val="0"/>
              <w:marTop w:val="0"/>
              <w:marBottom w:val="0"/>
              <w:divBdr>
                <w:top w:val="none" w:sz="0" w:space="0" w:color="auto"/>
                <w:left w:val="none" w:sz="0" w:space="0" w:color="auto"/>
                <w:bottom w:val="none" w:sz="0" w:space="0" w:color="auto"/>
                <w:right w:val="none" w:sz="0" w:space="0" w:color="auto"/>
              </w:divBdr>
              <w:divsChild>
                <w:div w:id="82925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057381">
      <w:bodyDiv w:val="1"/>
      <w:marLeft w:val="0"/>
      <w:marRight w:val="0"/>
      <w:marTop w:val="0"/>
      <w:marBottom w:val="0"/>
      <w:divBdr>
        <w:top w:val="none" w:sz="0" w:space="0" w:color="auto"/>
        <w:left w:val="none" w:sz="0" w:space="0" w:color="auto"/>
        <w:bottom w:val="none" w:sz="0" w:space="0" w:color="auto"/>
        <w:right w:val="none" w:sz="0" w:space="0" w:color="auto"/>
      </w:divBdr>
      <w:divsChild>
        <w:div w:id="166022023">
          <w:marLeft w:val="0"/>
          <w:marRight w:val="108"/>
          <w:marTop w:val="18"/>
          <w:marBottom w:val="108"/>
          <w:divBdr>
            <w:top w:val="none" w:sz="0" w:space="0" w:color="auto"/>
            <w:left w:val="none" w:sz="0" w:space="0" w:color="auto"/>
            <w:bottom w:val="none" w:sz="0" w:space="0" w:color="auto"/>
            <w:right w:val="none" w:sz="0" w:space="0" w:color="auto"/>
          </w:divBdr>
          <w:divsChild>
            <w:div w:id="1968966974">
              <w:marLeft w:val="0"/>
              <w:marRight w:val="0"/>
              <w:marTop w:val="0"/>
              <w:marBottom w:val="0"/>
              <w:divBdr>
                <w:top w:val="none" w:sz="0" w:space="0" w:color="auto"/>
                <w:left w:val="none" w:sz="0" w:space="0" w:color="auto"/>
                <w:bottom w:val="none" w:sz="0" w:space="0" w:color="auto"/>
                <w:right w:val="none" w:sz="0" w:space="0" w:color="auto"/>
              </w:divBdr>
              <w:divsChild>
                <w:div w:id="1189373308">
                  <w:marLeft w:val="0"/>
                  <w:marRight w:val="0"/>
                  <w:marTop w:val="0"/>
                  <w:marBottom w:val="0"/>
                  <w:divBdr>
                    <w:top w:val="none" w:sz="0" w:space="0" w:color="auto"/>
                    <w:left w:val="none" w:sz="0" w:space="0" w:color="auto"/>
                    <w:bottom w:val="none" w:sz="0" w:space="0" w:color="auto"/>
                    <w:right w:val="none" w:sz="0" w:space="0" w:color="auto"/>
                  </w:divBdr>
                  <w:divsChild>
                    <w:div w:id="1043558849">
                      <w:marLeft w:val="0"/>
                      <w:marRight w:val="0"/>
                      <w:marTop w:val="0"/>
                      <w:marBottom w:val="0"/>
                      <w:divBdr>
                        <w:top w:val="none" w:sz="0" w:space="0" w:color="auto"/>
                        <w:left w:val="none" w:sz="0" w:space="0" w:color="auto"/>
                        <w:bottom w:val="none" w:sz="0" w:space="0" w:color="auto"/>
                        <w:right w:val="none" w:sz="0" w:space="0" w:color="auto"/>
                      </w:divBdr>
                      <w:divsChild>
                        <w:div w:id="1132211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3791900">
      <w:bodyDiv w:val="1"/>
      <w:marLeft w:val="0"/>
      <w:marRight w:val="0"/>
      <w:marTop w:val="0"/>
      <w:marBottom w:val="0"/>
      <w:divBdr>
        <w:top w:val="none" w:sz="0" w:space="0" w:color="auto"/>
        <w:left w:val="none" w:sz="0" w:space="0" w:color="auto"/>
        <w:bottom w:val="none" w:sz="0" w:space="0" w:color="auto"/>
        <w:right w:val="none" w:sz="0" w:space="0" w:color="auto"/>
      </w:divBdr>
    </w:div>
    <w:div w:id="459108204">
      <w:bodyDiv w:val="1"/>
      <w:marLeft w:val="0"/>
      <w:marRight w:val="0"/>
      <w:marTop w:val="0"/>
      <w:marBottom w:val="0"/>
      <w:divBdr>
        <w:top w:val="none" w:sz="0" w:space="0" w:color="auto"/>
        <w:left w:val="none" w:sz="0" w:space="0" w:color="auto"/>
        <w:bottom w:val="none" w:sz="0" w:space="0" w:color="auto"/>
        <w:right w:val="none" w:sz="0" w:space="0" w:color="auto"/>
      </w:divBdr>
    </w:div>
    <w:div w:id="497814843">
      <w:bodyDiv w:val="1"/>
      <w:marLeft w:val="0"/>
      <w:marRight w:val="0"/>
      <w:marTop w:val="0"/>
      <w:marBottom w:val="0"/>
      <w:divBdr>
        <w:top w:val="none" w:sz="0" w:space="0" w:color="auto"/>
        <w:left w:val="none" w:sz="0" w:space="0" w:color="auto"/>
        <w:bottom w:val="none" w:sz="0" w:space="0" w:color="auto"/>
        <w:right w:val="none" w:sz="0" w:space="0" w:color="auto"/>
      </w:divBdr>
    </w:div>
    <w:div w:id="535847418">
      <w:bodyDiv w:val="1"/>
      <w:marLeft w:val="0"/>
      <w:marRight w:val="0"/>
      <w:marTop w:val="0"/>
      <w:marBottom w:val="0"/>
      <w:divBdr>
        <w:top w:val="none" w:sz="0" w:space="0" w:color="auto"/>
        <w:left w:val="none" w:sz="0" w:space="0" w:color="auto"/>
        <w:bottom w:val="none" w:sz="0" w:space="0" w:color="auto"/>
        <w:right w:val="none" w:sz="0" w:space="0" w:color="auto"/>
      </w:divBdr>
    </w:div>
    <w:div w:id="612710681">
      <w:bodyDiv w:val="1"/>
      <w:marLeft w:val="0"/>
      <w:marRight w:val="0"/>
      <w:marTop w:val="0"/>
      <w:marBottom w:val="0"/>
      <w:divBdr>
        <w:top w:val="none" w:sz="0" w:space="0" w:color="auto"/>
        <w:left w:val="none" w:sz="0" w:space="0" w:color="auto"/>
        <w:bottom w:val="none" w:sz="0" w:space="0" w:color="auto"/>
        <w:right w:val="none" w:sz="0" w:space="0" w:color="auto"/>
      </w:divBdr>
    </w:div>
    <w:div w:id="644701012">
      <w:bodyDiv w:val="1"/>
      <w:marLeft w:val="0"/>
      <w:marRight w:val="0"/>
      <w:marTop w:val="0"/>
      <w:marBottom w:val="0"/>
      <w:divBdr>
        <w:top w:val="none" w:sz="0" w:space="0" w:color="auto"/>
        <w:left w:val="none" w:sz="0" w:space="0" w:color="auto"/>
        <w:bottom w:val="none" w:sz="0" w:space="0" w:color="auto"/>
        <w:right w:val="none" w:sz="0" w:space="0" w:color="auto"/>
      </w:divBdr>
    </w:div>
    <w:div w:id="703679821">
      <w:bodyDiv w:val="1"/>
      <w:marLeft w:val="0"/>
      <w:marRight w:val="0"/>
      <w:marTop w:val="0"/>
      <w:marBottom w:val="0"/>
      <w:divBdr>
        <w:top w:val="none" w:sz="0" w:space="0" w:color="auto"/>
        <w:left w:val="none" w:sz="0" w:space="0" w:color="auto"/>
        <w:bottom w:val="none" w:sz="0" w:space="0" w:color="auto"/>
        <w:right w:val="none" w:sz="0" w:space="0" w:color="auto"/>
      </w:divBdr>
    </w:div>
    <w:div w:id="726029672">
      <w:bodyDiv w:val="1"/>
      <w:marLeft w:val="0"/>
      <w:marRight w:val="0"/>
      <w:marTop w:val="0"/>
      <w:marBottom w:val="0"/>
      <w:divBdr>
        <w:top w:val="none" w:sz="0" w:space="0" w:color="auto"/>
        <w:left w:val="none" w:sz="0" w:space="0" w:color="auto"/>
        <w:bottom w:val="none" w:sz="0" w:space="0" w:color="auto"/>
        <w:right w:val="none" w:sz="0" w:space="0" w:color="auto"/>
      </w:divBdr>
    </w:div>
    <w:div w:id="737628524">
      <w:bodyDiv w:val="1"/>
      <w:marLeft w:val="0"/>
      <w:marRight w:val="0"/>
      <w:marTop w:val="0"/>
      <w:marBottom w:val="0"/>
      <w:divBdr>
        <w:top w:val="none" w:sz="0" w:space="0" w:color="auto"/>
        <w:left w:val="none" w:sz="0" w:space="0" w:color="auto"/>
        <w:bottom w:val="none" w:sz="0" w:space="0" w:color="auto"/>
        <w:right w:val="none" w:sz="0" w:space="0" w:color="auto"/>
      </w:divBdr>
    </w:div>
    <w:div w:id="768817783">
      <w:bodyDiv w:val="1"/>
      <w:marLeft w:val="0"/>
      <w:marRight w:val="0"/>
      <w:marTop w:val="0"/>
      <w:marBottom w:val="0"/>
      <w:divBdr>
        <w:top w:val="none" w:sz="0" w:space="0" w:color="auto"/>
        <w:left w:val="none" w:sz="0" w:space="0" w:color="auto"/>
        <w:bottom w:val="none" w:sz="0" w:space="0" w:color="auto"/>
        <w:right w:val="none" w:sz="0" w:space="0" w:color="auto"/>
      </w:divBdr>
    </w:div>
    <w:div w:id="796484882">
      <w:bodyDiv w:val="1"/>
      <w:marLeft w:val="0"/>
      <w:marRight w:val="0"/>
      <w:marTop w:val="0"/>
      <w:marBottom w:val="0"/>
      <w:divBdr>
        <w:top w:val="none" w:sz="0" w:space="0" w:color="auto"/>
        <w:left w:val="none" w:sz="0" w:space="0" w:color="auto"/>
        <w:bottom w:val="none" w:sz="0" w:space="0" w:color="auto"/>
        <w:right w:val="none" w:sz="0" w:space="0" w:color="auto"/>
      </w:divBdr>
    </w:div>
    <w:div w:id="985818244">
      <w:bodyDiv w:val="1"/>
      <w:marLeft w:val="0"/>
      <w:marRight w:val="0"/>
      <w:marTop w:val="0"/>
      <w:marBottom w:val="0"/>
      <w:divBdr>
        <w:top w:val="none" w:sz="0" w:space="0" w:color="auto"/>
        <w:left w:val="none" w:sz="0" w:space="0" w:color="auto"/>
        <w:bottom w:val="none" w:sz="0" w:space="0" w:color="auto"/>
        <w:right w:val="none" w:sz="0" w:space="0" w:color="auto"/>
      </w:divBdr>
    </w:div>
    <w:div w:id="1288196474">
      <w:bodyDiv w:val="1"/>
      <w:marLeft w:val="0"/>
      <w:marRight w:val="0"/>
      <w:marTop w:val="0"/>
      <w:marBottom w:val="0"/>
      <w:divBdr>
        <w:top w:val="none" w:sz="0" w:space="0" w:color="auto"/>
        <w:left w:val="none" w:sz="0" w:space="0" w:color="auto"/>
        <w:bottom w:val="none" w:sz="0" w:space="0" w:color="auto"/>
        <w:right w:val="none" w:sz="0" w:space="0" w:color="auto"/>
      </w:divBdr>
      <w:divsChild>
        <w:div w:id="1572498415">
          <w:marLeft w:val="0"/>
          <w:marRight w:val="108"/>
          <w:marTop w:val="108"/>
          <w:marBottom w:val="108"/>
          <w:divBdr>
            <w:top w:val="none" w:sz="0" w:space="0" w:color="auto"/>
            <w:left w:val="none" w:sz="0" w:space="0" w:color="auto"/>
            <w:bottom w:val="none" w:sz="0" w:space="0" w:color="auto"/>
            <w:right w:val="none" w:sz="0" w:space="0" w:color="auto"/>
          </w:divBdr>
          <w:divsChild>
            <w:div w:id="1648978260">
              <w:marLeft w:val="0"/>
              <w:marRight w:val="0"/>
              <w:marTop w:val="0"/>
              <w:marBottom w:val="0"/>
              <w:divBdr>
                <w:top w:val="none" w:sz="0" w:space="0" w:color="auto"/>
                <w:left w:val="none" w:sz="0" w:space="0" w:color="auto"/>
                <w:bottom w:val="none" w:sz="0" w:space="0" w:color="auto"/>
                <w:right w:val="none" w:sz="0" w:space="0" w:color="auto"/>
              </w:divBdr>
              <w:divsChild>
                <w:div w:id="1214007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044952">
      <w:bodyDiv w:val="1"/>
      <w:marLeft w:val="0"/>
      <w:marRight w:val="0"/>
      <w:marTop w:val="0"/>
      <w:marBottom w:val="0"/>
      <w:divBdr>
        <w:top w:val="none" w:sz="0" w:space="0" w:color="auto"/>
        <w:left w:val="none" w:sz="0" w:space="0" w:color="auto"/>
        <w:bottom w:val="none" w:sz="0" w:space="0" w:color="auto"/>
        <w:right w:val="none" w:sz="0" w:space="0" w:color="auto"/>
      </w:divBdr>
    </w:div>
    <w:div w:id="1353729186">
      <w:bodyDiv w:val="1"/>
      <w:marLeft w:val="0"/>
      <w:marRight w:val="0"/>
      <w:marTop w:val="0"/>
      <w:marBottom w:val="0"/>
      <w:divBdr>
        <w:top w:val="none" w:sz="0" w:space="0" w:color="auto"/>
        <w:left w:val="none" w:sz="0" w:space="0" w:color="auto"/>
        <w:bottom w:val="none" w:sz="0" w:space="0" w:color="auto"/>
        <w:right w:val="none" w:sz="0" w:space="0" w:color="auto"/>
      </w:divBdr>
    </w:div>
    <w:div w:id="1785493082">
      <w:bodyDiv w:val="1"/>
      <w:marLeft w:val="0"/>
      <w:marRight w:val="0"/>
      <w:marTop w:val="0"/>
      <w:marBottom w:val="0"/>
      <w:divBdr>
        <w:top w:val="none" w:sz="0" w:space="0" w:color="auto"/>
        <w:left w:val="none" w:sz="0" w:space="0" w:color="auto"/>
        <w:bottom w:val="none" w:sz="0" w:space="0" w:color="auto"/>
        <w:right w:val="none" w:sz="0" w:space="0" w:color="auto"/>
      </w:divBdr>
    </w:div>
    <w:div w:id="1793934254">
      <w:bodyDiv w:val="1"/>
      <w:marLeft w:val="0"/>
      <w:marRight w:val="0"/>
      <w:marTop w:val="0"/>
      <w:marBottom w:val="0"/>
      <w:divBdr>
        <w:top w:val="none" w:sz="0" w:space="0" w:color="auto"/>
        <w:left w:val="none" w:sz="0" w:space="0" w:color="auto"/>
        <w:bottom w:val="none" w:sz="0" w:space="0" w:color="auto"/>
        <w:right w:val="none" w:sz="0" w:space="0" w:color="auto"/>
      </w:divBdr>
    </w:div>
    <w:div w:id="1916239365">
      <w:bodyDiv w:val="1"/>
      <w:marLeft w:val="0"/>
      <w:marRight w:val="0"/>
      <w:marTop w:val="0"/>
      <w:marBottom w:val="0"/>
      <w:divBdr>
        <w:top w:val="none" w:sz="0" w:space="0" w:color="auto"/>
        <w:left w:val="none" w:sz="0" w:space="0" w:color="auto"/>
        <w:bottom w:val="none" w:sz="0" w:space="0" w:color="auto"/>
        <w:right w:val="none" w:sz="0" w:space="0" w:color="auto"/>
      </w:divBdr>
    </w:div>
    <w:div w:id="1949580787">
      <w:bodyDiv w:val="1"/>
      <w:marLeft w:val="0"/>
      <w:marRight w:val="0"/>
      <w:marTop w:val="0"/>
      <w:marBottom w:val="0"/>
      <w:divBdr>
        <w:top w:val="none" w:sz="0" w:space="0" w:color="auto"/>
        <w:left w:val="none" w:sz="0" w:space="0" w:color="auto"/>
        <w:bottom w:val="none" w:sz="0" w:space="0" w:color="auto"/>
        <w:right w:val="none" w:sz="0" w:space="0" w:color="auto"/>
      </w:divBdr>
    </w:div>
    <w:div w:id="2058046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igshare.com/s/1f6cbac9f0baf6a8c931" TargetMode="External"/><Relationship Id="rId13" Type="http://schemas.openxmlformats.org/officeDocument/2006/relationships/image" Target="media/image1.emf"/><Relationship Id="rId18"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emf"/><Relationship Id="rId10" Type="http://schemas.openxmlformats.org/officeDocument/2006/relationships/hyperlink" Target="http://www.body-images.com/"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figshare.com/s/cc0173190db7d1035c2d" TargetMode="Externa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0A1962-91AA-4528-ABAF-474A86AC0C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4446</TotalTime>
  <Pages>51</Pages>
  <Words>11328</Words>
  <Characters>68155</Characters>
  <Application>Microsoft Office Word</Application>
  <DocSecurity>0</DocSecurity>
  <Lines>1479</Lines>
  <Paragraphs>626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Jenny Todd</dc:creator>
  <cp:keywords/>
  <dc:description/>
  <cp:lastModifiedBy>Blanshard, Lisa</cp:lastModifiedBy>
  <cp:revision>61</cp:revision>
  <cp:lastPrinted>2021-07-09T16:02:00Z</cp:lastPrinted>
  <dcterms:created xsi:type="dcterms:W3CDTF">2021-05-04T12:53:00Z</dcterms:created>
  <dcterms:modified xsi:type="dcterms:W3CDTF">2021-07-09T16:02:00Z</dcterms:modified>
</cp:coreProperties>
</file>