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6C060" w14:textId="77777777" w:rsidR="00A86E9F" w:rsidRPr="006453D9" w:rsidRDefault="001A32C0" w:rsidP="00C24116">
      <w:pPr>
        <w:pStyle w:val="MDPI11articletype"/>
      </w:pPr>
      <w:r>
        <w:t>Article</w:t>
      </w:r>
    </w:p>
    <w:p w14:paraId="33EEEF9A" w14:textId="2B8D7CF5" w:rsidR="00A86E9F" w:rsidRPr="008B4A2A" w:rsidRDefault="001A32C0" w:rsidP="00C24116">
      <w:pPr>
        <w:pStyle w:val="MDPI12title"/>
      </w:pPr>
      <w:r w:rsidRPr="008B4A2A">
        <w:t xml:space="preserve">Association between </w:t>
      </w:r>
      <w:r w:rsidR="00221631" w:rsidRPr="008B4A2A">
        <w:t xml:space="preserve">Physical Activity </w:t>
      </w:r>
      <w:r w:rsidRPr="008B4A2A">
        <w:t xml:space="preserve">and </w:t>
      </w:r>
      <w:r w:rsidR="00221631" w:rsidRPr="008B4A2A">
        <w:t xml:space="preserve">Comorbidities </w:t>
      </w:r>
      <w:r w:rsidRPr="008B4A2A">
        <w:t xml:space="preserve">in Spanish </w:t>
      </w:r>
      <w:r w:rsidR="00221631" w:rsidRPr="008B4A2A">
        <w:t xml:space="preserve">People </w:t>
      </w:r>
      <w:r w:rsidRPr="008B4A2A">
        <w:t xml:space="preserve">with </w:t>
      </w:r>
      <w:r w:rsidR="00221631" w:rsidRPr="008B4A2A">
        <w:t>Asthma</w:t>
      </w:r>
      <w:r w:rsidRPr="008B4A2A">
        <w:t xml:space="preserve">-COPD </w:t>
      </w:r>
      <w:r w:rsidR="00221631" w:rsidRPr="008B4A2A">
        <w:t>Overlap</w:t>
      </w:r>
    </w:p>
    <w:p w14:paraId="4BEEA8CB" w14:textId="77777777" w:rsidR="00B142DB" w:rsidRPr="008B4A2A" w:rsidRDefault="001A32C0" w:rsidP="00C24116">
      <w:pPr>
        <w:pStyle w:val="MDPI13authornames"/>
      </w:pPr>
      <w:r w:rsidRPr="008B4A2A">
        <w:t>Sheila Sánchez Castillo</w:t>
      </w:r>
      <w:r w:rsidRPr="008B4A2A">
        <w:rPr>
          <w:vertAlign w:val="superscript"/>
        </w:rPr>
        <w:t>1</w:t>
      </w:r>
      <w:r w:rsidR="00BF06B6" w:rsidRPr="008B4A2A">
        <w:rPr>
          <w:rFonts w:eastAsia="SimSun" w:cs="SimSun"/>
          <w:vertAlign w:val="superscript"/>
          <w:lang w:eastAsia="zh-CN"/>
        </w:rPr>
        <w:t>,</w:t>
      </w:r>
      <w:r w:rsidRPr="008B4A2A">
        <w:t>*, Lee Smith</w:t>
      </w:r>
      <w:r w:rsidR="00BF06B6" w:rsidRPr="008B4A2A">
        <w:t xml:space="preserve"> </w:t>
      </w:r>
      <w:r w:rsidRPr="008B4A2A">
        <w:rPr>
          <w:vertAlign w:val="superscript"/>
        </w:rPr>
        <w:t>2</w:t>
      </w:r>
      <w:r w:rsidRPr="008B4A2A">
        <w:t>, Arturo Díaz Suárez</w:t>
      </w:r>
      <w:r w:rsidR="00BF06B6" w:rsidRPr="008B4A2A">
        <w:t xml:space="preserve"> </w:t>
      </w:r>
      <w:r w:rsidRPr="008B4A2A">
        <w:rPr>
          <w:vertAlign w:val="superscript"/>
        </w:rPr>
        <w:t>3</w:t>
      </w:r>
      <w:r w:rsidRPr="008B4A2A">
        <w:t xml:space="preserve"> and Guillermo Felipe López Sánchez</w:t>
      </w:r>
      <w:r w:rsidR="00BF06B6" w:rsidRPr="008B4A2A">
        <w:t xml:space="preserve"> </w:t>
      </w:r>
      <w:r w:rsidRPr="008B4A2A">
        <w:rPr>
          <w:vertAlign w:val="superscript"/>
        </w:rPr>
        <w:t>4</w:t>
      </w:r>
      <w:r w:rsidR="00BF06B6" w:rsidRPr="008B4A2A">
        <w:rPr>
          <w:vertAlign w:val="superscript"/>
        </w:rPr>
        <w:t>,</w:t>
      </w:r>
      <w:r w:rsidRPr="008B4A2A">
        <w:t>*</w:t>
      </w:r>
    </w:p>
    <w:p w14:paraId="27C94414" w14:textId="730180AC" w:rsidR="001A32C0" w:rsidRPr="008B4A2A" w:rsidRDefault="00AA684A" w:rsidP="00221631">
      <w:pPr>
        <w:pStyle w:val="MDPI16affiliation"/>
      </w:pPr>
      <w:r w:rsidRPr="008B4A2A">
        <w:rPr>
          <w:vertAlign w:val="superscript"/>
        </w:rPr>
        <w:t>1</w:t>
      </w:r>
      <w:r w:rsidR="00A86E9F" w:rsidRPr="008B4A2A">
        <w:tab/>
      </w:r>
      <w:r w:rsidR="001A32C0" w:rsidRPr="008B4A2A">
        <w:t>Faculty of Sport Sciences, University of Murcia, San Javier (Murcia), Spain</w:t>
      </w:r>
    </w:p>
    <w:p w14:paraId="6F457BB8" w14:textId="77777777" w:rsidR="001A32C0" w:rsidRPr="008B4A2A" w:rsidRDefault="001A32C0" w:rsidP="00C24116">
      <w:pPr>
        <w:pStyle w:val="MDPI16affiliation"/>
      </w:pPr>
      <w:r w:rsidRPr="008B4A2A">
        <w:rPr>
          <w:vertAlign w:val="superscript"/>
        </w:rPr>
        <w:t>2</w:t>
      </w:r>
      <w:r w:rsidRPr="008B4A2A">
        <w:tab/>
        <w:t>The Cambridge Centre for Sport and Exercise Sciences, Anglia Ruskin University, Cambridge, UK; Lee.Smith@anglia.ac.uk</w:t>
      </w:r>
    </w:p>
    <w:p w14:paraId="57A8347C" w14:textId="46D0B735" w:rsidR="001A32C0" w:rsidRPr="008B4A2A" w:rsidRDefault="001A32C0" w:rsidP="00C24116">
      <w:pPr>
        <w:pStyle w:val="MDPI16affiliation"/>
      </w:pPr>
      <w:r w:rsidRPr="008B4A2A">
        <w:rPr>
          <w:vertAlign w:val="superscript"/>
        </w:rPr>
        <w:t>3</w:t>
      </w:r>
      <w:r w:rsidRPr="008B4A2A">
        <w:tab/>
        <w:t>Faculty of Sport Sciences, University of Murcia, San Javier (Murcia), Spain; ardiaz@um.es</w:t>
      </w:r>
    </w:p>
    <w:p w14:paraId="6AF24F96" w14:textId="37EAAB57" w:rsidR="00A86E9F" w:rsidRPr="008B4A2A" w:rsidRDefault="001A32C0" w:rsidP="00221631">
      <w:pPr>
        <w:pStyle w:val="MDPI16affiliation"/>
      </w:pPr>
      <w:r w:rsidRPr="008B4A2A">
        <w:rPr>
          <w:vertAlign w:val="superscript"/>
        </w:rPr>
        <w:t>4</w:t>
      </w:r>
      <w:r w:rsidRPr="008B4A2A">
        <w:tab/>
        <w:t>Faculty of Sport Sciences, University of Murcia</w:t>
      </w:r>
      <w:bookmarkStart w:id="0" w:name="_GoBack"/>
      <w:bookmarkEnd w:id="0"/>
      <w:r w:rsidRPr="008B4A2A">
        <w:t>, San Javier (Murcia), Spain</w:t>
      </w:r>
    </w:p>
    <w:p w14:paraId="6CE425D3" w14:textId="0477E677" w:rsidR="00A86E9F" w:rsidRPr="008B4A2A" w:rsidRDefault="00C24116" w:rsidP="00C24116">
      <w:pPr>
        <w:pStyle w:val="MDPI16affiliation"/>
        <w:rPr>
          <w:lang w:val="en-GB"/>
        </w:rPr>
      </w:pPr>
      <w:r w:rsidRPr="008B4A2A">
        <w:rPr>
          <w:b/>
          <w:lang w:val="en-GB"/>
        </w:rPr>
        <w:t>*</w:t>
      </w:r>
      <w:r w:rsidRPr="008B4A2A">
        <w:rPr>
          <w:lang w:val="en-GB"/>
        </w:rPr>
        <w:tab/>
        <w:t xml:space="preserve">Correspondence: </w:t>
      </w:r>
      <w:r w:rsidR="001A32C0" w:rsidRPr="008B4A2A">
        <w:rPr>
          <w:lang w:val="en-GB"/>
        </w:rPr>
        <w:t>Sheila.sanchez1@um.es (S.S.C</w:t>
      </w:r>
      <w:r w:rsidR="00221631" w:rsidRPr="008B4A2A">
        <w:rPr>
          <w:lang w:val="en-GB"/>
        </w:rPr>
        <w:t>.</w:t>
      </w:r>
      <w:r w:rsidR="001A32C0" w:rsidRPr="008B4A2A">
        <w:rPr>
          <w:lang w:val="en-GB"/>
        </w:rPr>
        <w:t>); gfls@um.es (G.F.L.S</w:t>
      </w:r>
      <w:r w:rsidR="00221631" w:rsidRPr="008B4A2A">
        <w:rPr>
          <w:lang w:val="en-GB"/>
        </w:rPr>
        <w:t>.</w:t>
      </w:r>
      <w:r w:rsidR="001A32C0" w:rsidRPr="008B4A2A">
        <w:rPr>
          <w:lang w:val="en-GB"/>
        </w:rPr>
        <w:t>)</w:t>
      </w:r>
    </w:p>
    <w:tbl>
      <w:tblPr>
        <w:tblStyle w:val="MDPITable"/>
        <w:tblpPr w:leftFromText="198" w:rightFromText="198" w:vertAnchor="page" w:horzAnchor="margin" w:tblpY="8844"/>
        <w:tblW w:w="2409" w:type="dxa"/>
        <w:tblLayout w:type="fixed"/>
        <w:tblLook w:val="04A0" w:firstRow="1" w:lastRow="0" w:firstColumn="1" w:lastColumn="0" w:noHBand="0" w:noVBand="1"/>
      </w:tblPr>
      <w:tblGrid>
        <w:gridCol w:w="2409"/>
      </w:tblGrid>
      <w:tr w:rsidR="00B142DB" w:rsidRPr="008B4A2A" w14:paraId="50EAB2F5" w14:textId="77777777" w:rsidTr="00B142DB">
        <w:trPr>
          <w:cantSplit/>
        </w:trPr>
        <w:tc>
          <w:tcPr>
            <w:tcW w:w="2409" w:type="dxa"/>
          </w:tcPr>
          <w:p w14:paraId="609B9CE8" w14:textId="77777777" w:rsidR="00B142DB" w:rsidRPr="008B4A2A" w:rsidRDefault="00B142DB" w:rsidP="00B142DB">
            <w:pPr>
              <w:pStyle w:val="MDPI61Citation"/>
            </w:pPr>
            <w:r w:rsidRPr="008B4A2A">
              <w:rPr>
                <w:b/>
              </w:rPr>
              <w:t>Citation:</w:t>
            </w:r>
            <w:r w:rsidRPr="008B4A2A">
              <w:t xml:space="preserve"> Castillo, S.S.; Smith, L.; Suárez, A.D.; Sánchez, G.F.L. Association between Physical Activity and Comorbidities in Spanish People with Asthma-COPD Overlap. </w:t>
            </w:r>
            <w:r w:rsidRPr="008B4A2A">
              <w:rPr>
                <w:i/>
              </w:rPr>
              <w:t xml:space="preserve">Sustainability </w:t>
            </w:r>
            <w:r w:rsidRPr="008B4A2A">
              <w:rPr>
                <w:b/>
              </w:rPr>
              <w:t>2021</w:t>
            </w:r>
            <w:r w:rsidRPr="008B4A2A">
              <w:t xml:space="preserve">, </w:t>
            </w:r>
            <w:r w:rsidRPr="008B4A2A">
              <w:rPr>
                <w:i/>
              </w:rPr>
              <w:t>13</w:t>
            </w:r>
            <w:r w:rsidRPr="008B4A2A">
              <w:t>, x. https://doi.org/10.3390/xxxxx</w:t>
            </w:r>
          </w:p>
          <w:p w14:paraId="4CDF6565" w14:textId="77777777" w:rsidR="00B142DB" w:rsidRPr="008B4A2A" w:rsidRDefault="00B142DB" w:rsidP="00B142DB">
            <w:pPr>
              <w:pStyle w:val="MDPI14history"/>
              <w:spacing w:before="240"/>
              <w:rPr>
                <w:lang w:val="en-US"/>
              </w:rPr>
            </w:pPr>
            <w:r w:rsidRPr="008B4A2A">
              <w:rPr>
                <w:lang w:val="en-US"/>
              </w:rPr>
              <w:t>Academic Editor:</w:t>
            </w:r>
          </w:p>
          <w:p w14:paraId="3141A9DC" w14:textId="77777777" w:rsidR="00B142DB" w:rsidRPr="008B4A2A" w:rsidRDefault="00B142DB" w:rsidP="00B142DB">
            <w:pPr>
              <w:pStyle w:val="MDPI14history"/>
              <w:spacing w:before="240"/>
              <w:rPr>
                <w:lang w:val="en-US"/>
              </w:rPr>
            </w:pPr>
            <w:r w:rsidRPr="008B4A2A">
              <w:rPr>
                <w:lang w:val="en-US"/>
              </w:rPr>
              <w:t>Received: date</w:t>
            </w:r>
          </w:p>
          <w:p w14:paraId="3F1E326A" w14:textId="77777777" w:rsidR="00B142DB" w:rsidRPr="008B4A2A" w:rsidRDefault="00B142DB" w:rsidP="00B142DB">
            <w:pPr>
              <w:pStyle w:val="MDPI14history"/>
              <w:rPr>
                <w:lang w:val="en-US"/>
              </w:rPr>
            </w:pPr>
            <w:r w:rsidRPr="008B4A2A">
              <w:rPr>
                <w:lang w:val="en-US"/>
              </w:rPr>
              <w:t>Accepted: date</w:t>
            </w:r>
          </w:p>
          <w:p w14:paraId="0480F004" w14:textId="77777777" w:rsidR="00B142DB" w:rsidRPr="008B4A2A" w:rsidRDefault="00B142DB" w:rsidP="00B142DB">
            <w:pPr>
              <w:pStyle w:val="MDPI14history"/>
              <w:spacing w:after="240"/>
              <w:rPr>
                <w:lang w:val="en-US"/>
              </w:rPr>
            </w:pPr>
            <w:r w:rsidRPr="008B4A2A">
              <w:rPr>
                <w:lang w:val="en-US"/>
              </w:rPr>
              <w:t>Published: date</w:t>
            </w:r>
          </w:p>
          <w:p w14:paraId="61848552" w14:textId="77777777" w:rsidR="00B142DB" w:rsidRPr="008B4A2A" w:rsidRDefault="00B142DB" w:rsidP="00B142DB">
            <w:pPr>
              <w:pStyle w:val="MDPI63Notes"/>
              <w:spacing w:after="0"/>
              <w:jc w:val="both"/>
              <w:rPr>
                <w:lang w:val="en-US"/>
              </w:rPr>
            </w:pPr>
            <w:r w:rsidRPr="008B4A2A">
              <w:rPr>
                <w:b/>
                <w:lang w:val="en-US"/>
              </w:rPr>
              <w:t>Publisher’s Note:</w:t>
            </w:r>
            <w:r w:rsidRPr="008B4A2A">
              <w:rPr>
                <w:lang w:val="en-US"/>
              </w:rPr>
              <w:t xml:space="preserve"> MDPI stays neutral with regard to jurisdictional claims in published maps and institutional affiliations.</w:t>
            </w:r>
          </w:p>
          <w:p w14:paraId="33FB79A6" w14:textId="77777777" w:rsidR="00B142DB" w:rsidRPr="008B4A2A" w:rsidRDefault="00B142DB" w:rsidP="00B142DB">
            <w:pPr>
              <w:pStyle w:val="MDPI63Notes"/>
              <w:spacing w:before="240" w:after="0"/>
              <w:jc w:val="both"/>
              <w:rPr>
                <w:lang w:val="en-US"/>
              </w:rPr>
            </w:pPr>
            <w:r w:rsidRPr="008B4A2A">
              <w:rPr>
                <w:noProof/>
                <w:snapToGrid/>
                <w:lang w:val="en-GB" w:eastAsia="en-GB" w:bidi="ar-SA"/>
              </w:rPr>
              <w:drawing>
                <wp:inline distT="0" distB="0" distL="0" distR="0" wp14:anchorId="56E04854" wp14:editId="7543AADC">
                  <wp:extent cx="694800" cy="2484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5176AD7F" w14:textId="77777777" w:rsidR="00B142DB" w:rsidRPr="008B4A2A" w:rsidRDefault="00B142DB" w:rsidP="00B142DB">
            <w:pPr>
              <w:pStyle w:val="MDPI63Notes"/>
              <w:spacing w:before="60" w:after="0"/>
              <w:jc w:val="both"/>
              <w:rPr>
                <w:lang w:val="en-US"/>
              </w:rPr>
            </w:pPr>
            <w:r w:rsidRPr="008B4A2A">
              <w:rPr>
                <w:b/>
                <w:lang w:val="en-US"/>
              </w:rPr>
              <w:t>Copyright:</w:t>
            </w:r>
            <w:r w:rsidRPr="008B4A2A">
              <w:rPr>
                <w:lang w:val="en-US"/>
              </w:rPr>
              <w:t xml:space="preserve"> © 2021 by the authors. Submitted for possible open access publication under the terms and conditions of the Creative Commons Attribution (CC BY) license (http://creativecommons.org/licenses/by/4.0/).</w:t>
            </w:r>
          </w:p>
        </w:tc>
      </w:tr>
    </w:tbl>
    <w:p w14:paraId="078C0512" w14:textId="42A640E4" w:rsidR="00A86E9F" w:rsidRPr="008B4A2A" w:rsidRDefault="00A86E9F" w:rsidP="00C24116">
      <w:pPr>
        <w:pStyle w:val="MDPI17abstract"/>
      </w:pPr>
      <w:r w:rsidRPr="008B4A2A">
        <w:rPr>
          <w:b/>
        </w:rPr>
        <w:t xml:space="preserve">Abstract: </w:t>
      </w:r>
      <w:r w:rsidR="001A32C0" w:rsidRPr="008B4A2A">
        <w:t>Asthma and chronic obstructive pulmonary disease (COPD) are important conditions which often coexist. Higher rates of comorbidities among people with asthma-COPD overlap (ACO) may complicate clinical management. The aim of this study was to determine the prevalence of 30 different comorbidities and to analyze associations between these comorbidities and physical activity (PA) in Spanish people with ACO. Cross-sectional data from the Spanish National Health Survey 2017 were analyzed. A total of 198 Spanish people with ACO aged 15-69 years (60.6% women) were included in this study. PA was measured with the International Physical Activity Questionnaire (IPAQ) short form. Diagnosis of chronic conditions were self-reported. Associations between PA and comorbidities were analyzed using multivariable logistic regression models. The most prevalent comorbidities were chronic allergy (58.1%), chronic lumbar pain (42.4%), chronic cervical pain (38.4%), hypertension (33.3%) and arthrosis (31.8%). A PA level lower than 600 MET·min/week was significantly associated with urinary incontinence (OR</w:t>
      </w:r>
      <w:r w:rsidR="00221631" w:rsidRPr="008B4A2A">
        <w:t xml:space="preserve"> </w:t>
      </w:r>
      <w:r w:rsidR="001A32C0" w:rsidRPr="008B4A2A">
        <w:t>=</w:t>
      </w:r>
      <w:r w:rsidR="00221631" w:rsidRPr="008B4A2A">
        <w:t xml:space="preserve"> </w:t>
      </w:r>
      <w:r w:rsidR="001A32C0" w:rsidRPr="008B4A2A">
        <w:t>3.499, 95%CI</w:t>
      </w:r>
      <w:r w:rsidR="00221631" w:rsidRPr="008B4A2A">
        <w:t xml:space="preserve"> </w:t>
      </w:r>
      <w:r w:rsidR="001A32C0" w:rsidRPr="008B4A2A">
        <w:t>=</w:t>
      </w:r>
      <w:r w:rsidR="00221631" w:rsidRPr="008B4A2A">
        <w:t xml:space="preserve"> </w:t>
      </w:r>
      <w:r w:rsidR="001A32C0" w:rsidRPr="008B4A2A">
        <w:t>1.369-8.944) and osteoporosis (OR</w:t>
      </w:r>
      <w:r w:rsidR="00221631" w:rsidRPr="008B4A2A">
        <w:t xml:space="preserve"> </w:t>
      </w:r>
      <w:r w:rsidR="001A32C0" w:rsidRPr="008B4A2A">
        <w:t>=</w:t>
      </w:r>
      <w:r w:rsidR="00221631" w:rsidRPr="008B4A2A">
        <w:t xml:space="preserve"> </w:t>
      </w:r>
      <w:r w:rsidR="001A32C0" w:rsidRPr="008B4A2A">
        <w:t>3.056, 95%CI</w:t>
      </w:r>
      <w:r w:rsidR="00221631" w:rsidRPr="008B4A2A">
        <w:t xml:space="preserve"> </w:t>
      </w:r>
      <w:r w:rsidR="001A32C0" w:rsidRPr="008B4A2A">
        <w:t>=</w:t>
      </w:r>
      <w:r w:rsidR="00221631" w:rsidRPr="008B4A2A">
        <w:t xml:space="preserve"> </w:t>
      </w:r>
      <w:r w:rsidR="001A32C0" w:rsidRPr="008B4A2A">
        <w:t>1.094-8.538) in the final adjusted model. Therefore, the potential influence of PA on reducing the risk of these conditions among people with ACO should be considered, not only because of the health benefits, but also because PA can contribute to a more sustainable world.</w:t>
      </w:r>
    </w:p>
    <w:p w14:paraId="21AB28EE" w14:textId="5AE66B1A" w:rsidR="00A86E9F" w:rsidRPr="008B4A2A" w:rsidRDefault="00C24116" w:rsidP="00C24116">
      <w:pPr>
        <w:pStyle w:val="MDPI18keywords"/>
      </w:pPr>
      <w:r w:rsidRPr="008B4A2A">
        <w:rPr>
          <w:b/>
        </w:rPr>
        <w:t>Keywords:</w:t>
      </w:r>
      <w:r w:rsidR="00A86E9F" w:rsidRPr="008B4A2A">
        <w:rPr>
          <w:b/>
        </w:rPr>
        <w:t xml:space="preserve"> </w:t>
      </w:r>
      <w:r w:rsidR="0013793B" w:rsidRPr="008B4A2A">
        <w:t>respiratory conditions; exercise; sustainability;</w:t>
      </w:r>
      <w:r w:rsidR="001A32C0" w:rsidRPr="008B4A2A">
        <w:t xml:space="preserve"> multimorbidity</w:t>
      </w:r>
    </w:p>
    <w:p w14:paraId="3E4DFE70" w14:textId="77777777" w:rsidR="00A86E9F" w:rsidRPr="008B4A2A" w:rsidRDefault="00A86E9F" w:rsidP="00C24116">
      <w:pPr>
        <w:pStyle w:val="MDPI19line"/>
        <w:pBdr>
          <w:bottom w:val="single" w:sz="4" w:space="1" w:color="000000"/>
        </w:pBdr>
      </w:pPr>
    </w:p>
    <w:p w14:paraId="5126EF92" w14:textId="59A911A0" w:rsidR="00A86E9F" w:rsidRPr="008B4A2A" w:rsidRDefault="00C24116" w:rsidP="00C24116">
      <w:pPr>
        <w:pStyle w:val="MDPI21heading1"/>
      </w:pPr>
      <w:r w:rsidRPr="008B4A2A">
        <w:t xml:space="preserve">1. </w:t>
      </w:r>
      <w:r w:rsidR="00A86E9F" w:rsidRPr="008B4A2A">
        <w:t>Introduction</w:t>
      </w:r>
    </w:p>
    <w:p w14:paraId="5DC1888F" w14:textId="5011359C" w:rsidR="001A32C0" w:rsidRPr="008B4A2A" w:rsidRDefault="001A32C0" w:rsidP="00C24116">
      <w:pPr>
        <w:pStyle w:val="MDPI31text"/>
      </w:pPr>
      <w:r w:rsidRPr="008B4A2A">
        <w:t xml:space="preserve">The Forum of International Societies (FIRS) established </w:t>
      </w:r>
      <w:bookmarkStart w:id="1" w:name="OLE_LINK1"/>
      <w:r w:rsidRPr="008B4A2A">
        <w:t xml:space="preserve">chronic obstructive pulmonary disease </w:t>
      </w:r>
      <w:bookmarkEnd w:id="1"/>
      <w:r w:rsidRPr="008B4A2A">
        <w:t>(COPD) and asthma as two of the five major respiratory diseases [1]. Both conditions are important public health problems based on their high prevalence, socioeconomic burden and morbimortality [2,3]. The Global Burden of Disease (GBD) 2019 [4], revealed a global prevalence of asthma of 3.5% (3.6% females; 3.4% males) and 2.8% of COPD (2.8% females; 2.8% males). Moreover, COPD was accountable for 5.8% of global deaths in 2019 and asthma 0.82% [4]. Importantly, both diseases result in a high socioeconomic burden [5,6].</w:t>
      </w:r>
    </w:p>
    <w:p w14:paraId="64A0AB97" w14:textId="3F4274D8" w:rsidR="001A32C0" w:rsidRPr="008B4A2A" w:rsidRDefault="001A32C0" w:rsidP="00C24116">
      <w:pPr>
        <w:pStyle w:val="MDPI31text"/>
      </w:pPr>
      <w:r w:rsidRPr="008B4A2A">
        <w:t xml:space="preserve">These respiratory conditions are characterized by airflow limitation and respiratory symptoms, but there are differences between them that need to be noted. In asthma patients, expiratory airflow limitation and symptoms such as wheeze, shortness of breath, cough and chest tightness vary over time in intensity and improve with the use of bronchodilators or even spontaneously [2]. However, COPD is characterized by persistent expiratory airflow limitation and persistent respiratory symptoms, with or without bronchodilator reversibility [3]. Onset of COPD tends to occur after 40 years and generally in those who have been exposed to noxious particles or gases, like tobacco. However, some </w:t>
      </w:r>
      <w:r w:rsidRPr="008B4A2A">
        <w:lastRenderedPageBreak/>
        <w:t xml:space="preserve">patients have clinical features of both asthma and COPD [2]. These clinical phenotypes have been named as Asthma-COPD overlap (ACO) or asthma+COPD. Previous studies have used the term Asthma-COPD overlap Syndrome (ACOS) to describe these patients [7,8], but the latest updates of GINA [2] and GOLD [3] have named these clinical phenotypes as Asthma-COPD overlap (ACO) or asthma+COPD, since it is not a definition of a single entity but a group of phenotypes. Several studies throughout the world have estimated the prevalence of ACO, identifying large variation, which likely reflects differences in study design, definition of ACO and population characteristics </w:t>
      </w:r>
      <w:r w:rsidR="00E25B67" w:rsidRPr="008B4A2A">
        <w:t>between</w:t>
      </w:r>
      <w:r w:rsidRPr="008B4A2A">
        <w:t xml:space="preserve"> investigations [9]. Nevertheless, a recent meta-analysis, which analyzed 21 different studies since 2011, established a worldwide pooled prevalence of ACO of 2.0% among the general population, 26.5% among people with asthma and 29.6% among those with COPD [10].</w:t>
      </w:r>
    </w:p>
    <w:p w14:paraId="02E3B14D" w14:textId="38665C14" w:rsidR="001A32C0" w:rsidRPr="008B4A2A" w:rsidRDefault="001A32C0" w:rsidP="00C24116">
      <w:pPr>
        <w:pStyle w:val="MDPI31text"/>
      </w:pPr>
      <w:r w:rsidRPr="008B4A2A">
        <w:t xml:space="preserve">Despite the difficulty of diagnosing ACO patients, especially in smokers and older adults, previous </w:t>
      </w:r>
      <w:r w:rsidR="00E25B67" w:rsidRPr="008B4A2A">
        <w:t>literature suggests</w:t>
      </w:r>
      <w:r w:rsidRPr="008B4A2A">
        <w:t xml:space="preserve"> that patients with ACO experience higher rates of hospitalizations and use of healthcare resources [11–13], are more likely to have respiratory symptoms [11,14], have worse lung function [11], have poor quality of life [7,15], experience frequent exacerbations [7] and have a higher rate of mortality [16], in comparison with those with asthma or COPD alone. Moreover, the presence of comorbidities is very common among patients with ACO [17–20]. The most frequent comorbid conditions found among ACO patients in previous investigations were diabetes, cardiovascular disease, hypertension, eczema, rhinitis, musculoskeletal diseases, dyspepsia, arrhythmia, gastric ulcers, anxiety</w:t>
      </w:r>
      <w:r w:rsidR="00C24116" w:rsidRPr="008B4A2A">
        <w:t xml:space="preserve"> </w:t>
      </w:r>
      <w:r w:rsidRPr="008B4A2A">
        <w:t xml:space="preserve">and depression </w:t>
      </w:r>
      <w:r w:rsidR="00C24116" w:rsidRPr="008B4A2A">
        <w:t>[17–19</w:t>
      </w:r>
      <w:r w:rsidRPr="008B4A2A">
        <w:t>].</w:t>
      </w:r>
    </w:p>
    <w:p w14:paraId="74158A98" w14:textId="77777777" w:rsidR="001A32C0" w:rsidRPr="008B4A2A" w:rsidRDefault="001A32C0" w:rsidP="00C24116">
      <w:pPr>
        <w:pStyle w:val="MDPI31text"/>
      </w:pPr>
      <w:r w:rsidRPr="008B4A2A">
        <w:t>Large investigations have demonstrated the beneficial effects of regular and sustained participation in PA in both primary and secondary prevention of several chronic diseases. [21–25]. Literature about the potential health impact of PA among ACO patients is scarce. However, PA has been shown to be beneficial in asthma control [26,27] and in the reduction of exacerbations, as well as in the improvement of quality of life in people with COPD [28,29]. Moreover, previous investigations that have studied the relationship between PA and comorbidities in respiratory diseases like COPD or asthma have found a higher risk of urinary incontinence, chronic constipation, cataracts, chronic anxiety and chronic lumbar pain among Spanish people with COPD who engaged in low levels of PA [30]. In turn, Spanish asthmatics who did not achieve PA recommendations showed significant associations with the presence of urinary incontinence, osteoporosis and chronic anxiety [31].</w:t>
      </w:r>
    </w:p>
    <w:p w14:paraId="7972EF31" w14:textId="3141F9E2" w:rsidR="001A32C0" w:rsidRPr="008B4A2A" w:rsidRDefault="001A32C0" w:rsidP="00C24116">
      <w:pPr>
        <w:pStyle w:val="MDPI31text"/>
      </w:pPr>
      <w:r w:rsidRPr="008B4A2A">
        <w:t>To authors’ knowledge, to date there is no literature in relation to how PA levels can contribute to reduce the risk of comorbidities in adults with ACO. However, based on the background, it could be hypothesized that low levels of PA are associated with a higher risk of developing several comorbidities.</w:t>
      </w:r>
    </w:p>
    <w:p w14:paraId="494F1307" w14:textId="77777777" w:rsidR="00A86E9F" w:rsidRPr="008B4A2A" w:rsidRDefault="001A32C0" w:rsidP="00C24116">
      <w:pPr>
        <w:pStyle w:val="MDPI31text"/>
      </w:pPr>
      <w:r w:rsidRPr="008B4A2A">
        <w:t>Therefore, the aim of this investigation was to identify the prevalence of 30 different comorbidities among Spanish people with ACO aged 15-69 years and to analyze the associations between PA levels and the presence of these comorbidities.</w:t>
      </w:r>
    </w:p>
    <w:p w14:paraId="7999C07E" w14:textId="51CC0EF6" w:rsidR="00A86E9F" w:rsidRPr="008B4A2A" w:rsidRDefault="00C24116" w:rsidP="00C24116">
      <w:pPr>
        <w:pStyle w:val="MDPI21heading1"/>
      </w:pPr>
      <w:r w:rsidRPr="008B4A2A">
        <w:rPr>
          <w:lang w:eastAsia="zh-CN"/>
        </w:rPr>
        <w:t xml:space="preserve">2. </w:t>
      </w:r>
      <w:r w:rsidR="00A86E9F" w:rsidRPr="008B4A2A">
        <w:t>Materials and Methods</w:t>
      </w:r>
    </w:p>
    <w:p w14:paraId="1A7A9085" w14:textId="43BB3A42" w:rsidR="001A32C0" w:rsidRPr="008B4A2A" w:rsidRDefault="00C24116" w:rsidP="00C24116">
      <w:pPr>
        <w:pStyle w:val="MDPI22heading2"/>
      </w:pPr>
      <w:r w:rsidRPr="008B4A2A">
        <w:t xml:space="preserve">2.1. </w:t>
      </w:r>
      <w:r w:rsidR="001A32C0" w:rsidRPr="008B4A2A">
        <w:t xml:space="preserve">Study </w:t>
      </w:r>
      <w:r w:rsidR="00221631" w:rsidRPr="008B4A2A">
        <w:t>Design</w:t>
      </w:r>
    </w:p>
    <w:p w14:paraId="6B0703C6" w14:textId="4B1C1E7B" w:rsidR="001A32C0" w:rsidRPr="008B4A2A" w:rsidRDefault="001A32C0" w:rsidP="00C24116">
      <w:pPr>
        <w:pStyle w:val="MDPI31text"/>
      </w:pPr>
      <w:r w:rsidRPr="008B4A2A">
        <w:t>This was a cross-sectional study conducted according to Strengthening the Reporting of Observational Studies in Epidemiology (STROBE) checklist [32].</w:t>
      </w:r>
    </w:p>
    <w:p w14:paraId="0728AB62" w14:textId="7E248F8E" w:rsidR="001A32C0" w:rsidRPr="008B4A2A" w:rsidRDefault="00C24116" w:rsidP="00C24116">
      <w:pPr>
        <w:pStyle w:val="MDPI22heading2"/>
        <w:spacing w:before="240"/>
      </w:pPr>
      <w:r w:rsidRPr="008B4A2A">
        <w:t xml:space="preserve">2.2. </w:t>
      </w:r>
      <w:r w:rsidR="001A32C0" w:rsidRPr="008B4A2A">
        <w:t xml:space="preserve">The </w:t>
      </w:r>
      <w:r w:rsidR="00221631" w:rsidRPr="008B4A2A">
        <w:t>Survey</w:t>
      </w:r>
    </w:p>
    <w:p w14:paraId="3E438A2C" w14:textId="10CA2430" w:rsidR="001A32C0" w:rsidRPr="008B4A2A" w:rsidRDefault="001A32C0" w:rsidP="00C24116">
      <w:pPr>
        <w:pStyle w:val="MDPI31text"/>
      </w:pPr>
      <w:r w:rsidRPr="008B4A2A">
        <w:t xml:space="preserve">Data from the Spanish National Health Survey 2017 were analyzed [33]. This survey was carried out in Spain between October 2016 and October 2017. Details of survey methods have previously been published [34]. In brief, participants were selected by a three-stage sampling method. Firstly, census sections were considered, later a systematic sampling designated the family dwellings and finally an adult (aged 15 years or more) was </w:t>
      </w:r>
      <w:r w:rsidRPr="008B4A2A">
        <w:lastRenderedPageBreak/>
        <w:t>randomly selected from each dwelling by using the random Kish method. Data was collected by using the computer-assisted personal interviewing (CAPI) method, carried out in the participant’s dwellings. The present investigation was performed in compliance with the Declaration of Helsinki of the World Medial Association. Ethical approval was not required, since data from Spanish National Health Survey are public and anonymized. Nevertheless, the present analysis was approved by the Ethical Research Committee of the University of Murcia.</w:t>
      </w:r>
    </w:p>
    <w:p w14:paraId="40187CF8" w14:textId="3816281F" w:rsidR="001A32C0" w:rsidRPr="008B4A2A" w:rsidRDefault="00C24116" w:rsidP="00C24116">
      <w:pPr>
        <w:pStyle w:val="MDPI22heading2"/>
        <w:spacing w:before="240"/>
      </w:pPr>
      <w:r w:rsidRPr="008B4A2A">
        <w:t xml:space="preserve">2.3. </w:t>
      </w:r>
      <w:r w:rsidR="001A32C0" w:rsidRPr="008B4A2A">
        <w:t>Participants</w:t>
      </w:r>
    </w:p>
    <w:p w14:paraId="067F1EC6" w14:textId="1BFD32AB" w:rsidR="001A32C0" w:rsidRPr="008B4A2A" w:rsidRDefault="001A32C0" w:rsidP="00C24116">
      <w:pPr>
        <w:pStyle w:val="MDPI31text"/>
      </w:pPr>
      <w:r w:rsidRPr="008B4A2A">
        <w:t xml:space="preserve">A total of 23 089 people residing in Spain answered the survey, of which 17 777 responded </w:t>
      </w:r>
      <w:r w:rsidR="00E25B67" w:rsidRPr="008B4A2A">
        <w:t xml:space="preserve">to </w:t>
      </w:r>
      <w:r w:rsidRPr="008B4A2A">
        <w:t>the PA questions. Finally, 198 people with ACO residing in Spain (120 women) were included in the present analyses. Inclusion criteria for this investigation were: 1) affirmative answer to the question: Have you ever been diagnosed with COPD by a physician?”, 2) affirmative answer to the question: Have you ever been diagnosed with asthma by a physician?”, 3) completion of the International Physical Activity Questionnaire (IPAQ). Those adults older than 69 years were excluded, since they did not complete the IPAQ. The IPAQ was firstly designed for supervising PA in people aged from 15 to 69 years old [35], so until further testing and development is carried out in younger and older ages, its use is not advisable. Self-reported diagnosis of chronic conditions is widely used and accepted in epidemiological studies [36]. Specifically, self-report of asthma and COPD are valid methods [37,38] and have been frequently used in previous investigations [39–41]. All participants were informed about the confidentiality of the survey before responding to the questions.</w:t>
      </w:r>
    </w:p>
    <w:p w14:paraId="55CC3BE3" w14:textId="598917B6" w:rsidR="001A32C0" w:rsidRPr="008B4A2A" w:rsidRDefault="00C24116" w:rsidP="00C24116">
      <w:pPr>
        <w:pStyle w:val="MDPI22heading2"/>
        <w:spacing w:before="240"/>
      </w:pPr>
      <w:r w:rsidRPr="008B4A2A">
        <w:t xml:space="preserve">2.4. </w:t>
      </w:r>
      <w:r w:rsidR="001A32C0" w:rsidRPr="008B4A2A">
        <w:t xml:space="preserve">Physical </w:t>
      </w:r>
      <w:r w:rsidR="00221631" w:rsidRPr="008B4A2A">
        <w:t xml:space="preserve">Activity </w:t>
      </w:r>
      <w:r w:rsidR="001A32C0" w:rsidRPr="008B4A2A">
        <w:t>(</w:t>
      </w:r>
      <w:r w:rsidR="00221631" w:rsidRPr="008B4A2A">
        <w:t>Exposure</w:t>
      </w:r>
      <w:r w:rsidR="001A32C0" w:rsidRPr="008B4A2A">
        <w:t>)</w:t>
      </w:r>
    </w:p>
    <w:p w14:paraId="172268E1" w14:textId="684A35A1" w:rsidR="001A32C0" w:rsidRPr="008B4A2A" w:rsidRDefault="001A32C0" w:rsidP="00C24116">
      <w:pPr>
        <w:pStyle w:val="MDPI31text"/>
      </w:pPr>
      <w:r w:rsidRPr="008B4A2A">
        <w:t xml:space="preserve">PA was measured by the IPAQ-short form [42]. </w:t>
      </w:r>
      <w:r w:rsidR="008C252E" w:rsidRPr="008B4A2A">
        <w:t>Participants were asked for the days, hours and minutes a week that the</w:t>
      </w:r>
      <w:r w:rsidR="004D1115" w:rsidRPr="008B4A2A">
        <w:t>y</w:t>
      </w:r>
      <w:r w:rsidR="008C252E" w:rsidRPr="008B4A2A">
        <w:t xml:space="preserve"> engaged in vigorous and moderate PA and walking in the previous 7 days. </w:t>
      </w:r>
      <w:r w:rsidRPr="008B4A2A">
        <w:t xml:space="preserve">Total PA per week was measured as metabolic equivalent of task per minutes per week (MET·min/week) by the following formula: sum of walking + moderate + vigorous MET·minutes/week scores, established by the IPAQ guidelines [35]. Then, following these guidelines, PA was classified in two groups: </w:t>
      </w:r>
      <w:r w:rsidR="00221631" w:rsidRPr="008B4A2A">
        <w:t>(</w:t>
      </w:r>
      <w:r w:rsidRPr="008B4A2A">
        <w:t xml:space="preserve">1) under 600 MET·min/week and </w:t>
      </w:r>
      <w:r w:rsidR="00221631" w:rsidRPr="008B4A2A">
        <w:t>(</w:t>
      </w:r>
      <w:r w:rsidRPr="008B4A2A">
        <w:t>2) at least 600 MET·min/week.</w:t>
      </w:r>
    </w:p>
    <w:p w14:paraId="1E1E4B6B" w14:textId="2AF0ED2D" w:rsidR="001A32C0" w:rsidRPr="008B4A2A" w:rsidRDefault="001A32C0" w:rsidP="00C24116">
      <w:pPr>
        <w:pStyle w:val="MDPI31text"/>
      </w:pPr>
      <w:r w:rsidRPr="008B4A2A">
        <w:t xml:space="preserve">This questionnaire has previously been validated in adult populations from different countries showing acceptable validity (ρ = 0.30, 95% CI: 0.23–0.36) and reliability (Spearman’s ρ = 0.81, 95% CI: 0.79–0.82) [43]. It has been validated in Spanish adults (r = 0.277; </w:t>
      </w:r>
      <w:r w:rsidRPr="008B4A2A">
        <w:rPr>
          <w:i/>
          <w:iCs/>
        </w:rPr>
        <w:t>p</w:t>
      </w:r>
      <w:r w:rsidRPr="008B4A2A">
        <w:t xml:space="preserve"> &lt; 0.05) with a 75% of sensitivity and specificity (k = 0.33) [44].</w:t>
      </w:r>
    </w:p>
    <w:p w14:paraId="0B400CE2" w14:textId="1A80E938" w:rsidR="001A32C0" w:rsidRPr="008B4A2A" w:rsidRDefault="00C24116" w:rsidP="00C24116">
      <w:pPr>
        <w:pStyle w:val="MDPI22heading2"/>
        <w:spacing w:before="240"/>
      </w:pPr>
      <w:r w:rsidRPr="008B4A2A">
        <w:t xml:space="preserve">2.5. </w:t>
      </w:r>
      <w:r w:rsidR="001A32C0" w:rsidRPr="008B4A2A">
        <w:t>Comorbidities (</w:t>
      </w:r>
      <w:r w:rsidR="00221631" w:rsidRPr="008B4A2A">
        <w:t>Outcomes</w:t>
      </w:r>
      <w:r w:rsidR="001A32C0" w:rsidRPr="008B4A2A">
        <w:t>)</w:t>
      </w:r>
    </w:p>
    <w:p w14:paraId="333AF8BE" w14:textId="4D1C5EB5" w:rsidR="001A32C0" w:rsidRPr="008B4A2A" w:rsidRDefault="001A32C0" w:rsidP="00C24116">
      <w:pPr>
        <w:pStyle w:val="MDPI31text"/>
      </w:pPr>
      <w:r w:rsidRPr="008B4A2A">
        <w:t>Thirty different comorbidities were analyzed in the present study, based on the data available in the Spanish National Health Survey 2017. Participants who answered affirmatively to the question “Have you ever been diagnosed with ‘chronic condition’? were determined to suffer from that specific condition. The comorbidities studied were: hypertension, myocardial infarction, angina or coronary heart disease (HD), other HD, stroke, varicose veins, arthrosis, chronic lumbar pain, chronic cervical pain, osteoporosis, chronic allergy (which includes rhinitis, conjunctivitis, dermatitis, food allergy or another kind of allergy, excluding allergic asthma), liver dysfunction, stomach or duodenal ulcer, chronic constipation, hemorrhoids, urinary incontinence, kidney problems, prostate problems (only men), menopausal problems (only women), cataracts, chronic skin problems, depression, chronic anxiety, other mental problems, migraine, malignant tumors, thyroid problems, diabetes, high cholesterol and permanent injuries cause</w:t>
      </w:r>
      <w:r w:rsidR="00765B9B" w:rsidRPr="008B4A2A">
        <w:t>d</w:t>
      </w:r>
      <w:r w:rsidRPr="008B4A2A">
        <w:t xml:space="preserve"> by an accident. Some of these diseases have been considered by GINA [2] and GOLD guidelines [3] as important comorbidities in asthmatics and COPD patients. Comorbidities were classified following </w:t>
      </w:r>
      <w:r w:rsidRPr="008B4A2A">
        <w:lastRenderedPageBreak/>
        <w:t>the ICD (International Classification of Diseases) in 1</w:t>
      </w:r>
      <w:r w:rsidR="008E7051" w:rsidRPr="008B4A2A">
        <w:t>2</w:t>
      </w:r>
      <w:r w:rsidRPr="008B4A2A">
        <w:t xml:space="preserve"> different groups: </w:t>
      </w:r>
      <w:r w:rsidR="00221631" w:rsidRPr="008B4A2A">
        <w:t>(</w:t>
      </w:r>
      <w:r w:rsidRPr="008B4A2A">
        <w:t xml:space="preserve">1) cardiovascular diseases; </w:t>
      </w:r>
      <w:r w:rsidR="00221631" w:rsidRPr="008B4A2A">
        <w:t>(</w:t>
      </w:r>
      <w:r w:rsidRPr="008B4A2A">
        <w:t xml:space="preserve">2) musculoskeletal disorders; </w:t>
      </w:r>
      <w:r w:rsidR="00221631" w:rsidRPr="008B4A2A">
        <w:t>(</w:t>
      </w:r>
      <w:r w:rsidRPr="008B4A2A">
        <w:t xml:space="preserve">3) immunological diseases; </w:t>
      </w:r>
      <w:r w:rsidR="00221631" w:rsidRPr="008B4A2A">
        <w:t>(</w:t>
      </w:r>
      <w:r w:rsidR="008E7051" w:rsidRPr="008B4A2A">
        <w:t>4</w:t>
      </w:r>
      <w:r w:rsidRPr="008B4A2A">
        <w:t xml:space="preserve">) digestive problems; </w:t>
      </w:r>
      <w:r w:rsidR="00221631" w:rsidRPr="008B4A2A">
        <w:t>(</w:t>
      </w:r>
      <w:r w:rsidR="008E7051" w:rsidRPr="008B4A2A">
        <w:t>5</w:t>
      </w:r>
      <w:r w:rsidRPr="008B4A2A">
        <w:t xml:space="preserve">) urogenital diseases; </w:t>
      </w:r>
      <w:r w:rsidR="00221631" w:rsidRPr="008B4A2A">
        <w:t>(</w:t>
      </w:r>
      <w:r w:rsidR="008E7051" w:rsidRPr="008B4A2A">
        <w:t>6</w:t>
      </w:r>
      <w:r w:rsidRPr="008B4A2A">
        <w:t xml:space="preserve">) eye problems; </w:t>
      </w:r>
      <w:r w:rsidR="00221631" w:rsidRPr="008B4A2A">
        <w:t>(</w:t>
      </w:r>
      <w:r w:rsidR="008E7051" w:rsidRPr="008B4A2A">
        <w:t>7</w:t>
      </w:r>
      <w:r w:rsidRPr="008B4A2A">
        <w:t xml:space="preserve">) dermatological problems; </w:t>
      </w:r>
      <w:r w:rsidR="00221631" w:rsidRPr="008B4A2A">
        <w:t>(</w:t>
      </w:r>
      <w:r w:rsidR="008E7051" w:rsidRPr="008B4A2A">
        <w:t>8</w:t>
      </w:r>
      <w:r w:rsidRPr="008B4A2A">
        <w:t xml:space="preserve">) mental health problems; </w:t>
      </w:r>
      <w:r w:rsidR="00221631" w:rsidRPr="008B4A2A">
        <w:t>(</w:t>
      </w:r>
      <w:r w:rsidR="008E7051" w:rsidRPr="008B4A2A">
        <w:t>9</w:t>
      </w:r>
      <w:r w:rsidRPr="008B4A2A">
        <w:t xml:space="preserve">) neurological disorders; </w:t>
      </w:r>
      <w:r w:rsidR="00221631" w:rsidRPr="008B4A2A">
        <w:t>(</w:t>
      </w:r>
      <w:r w:rsidRPr="008B4A2A">
        <w:t>1</w:t>
      </w:r>
      <w:r w:rsidR="008E7051" w:rsidRPr="008B4A2A">
        <w:t>0</w:t>
      </w:r>
      <w:r w:rsidRPr="008B4A2A">
        <w:t xml:space="preserve">) neoplasias; </w:t>
      </w:r>
      <w:r w:rsidR="00221631" w:rsidRPr="008B4A2A">
        <w:t>(</w:t>
      </w:r>
      <w:r w:rsidRPr="008B4A2A">
        <w:t>1</w:t>
      </w:r>
      <w:r w:rsidR="008E7051" w:rsidRPr="008B4A2A">
        <w:t>1</w:t>
      </w:r>
      <w:r w:rsidRPr="008B4A2A">
        <w:t xml:space="preserve">) endocrinal and metabolic diseases; </w:t>
      </w:r>
      <w:r w:rsidR="00221631" w:rsidRPr="008B4A2A">
        <w:t>(</w:t>
      </w:r>
      <w:r w:rsidRPr="008B4A2A">
        <w:t>1</w:t>
      </w:r>
      <w:r w:rsidR="008E7051" w:rsidRPr="008B4A2A">
        <w:t>2</w:t>
      </w:r>
      <w:r w:rsidRPr="008B4A2A">
        <w:t>) permanent injuries [45].</w:t>
      </w:r>
    </w:p>
    <w:p w14:paraId="7865652A" w14:textId="629B7BFE" w:rsidR="001A32C0" w:rsidRPr="008B4A2A" w:rsidRDefault="00C24116" w:rsidP="00C24116">
      <w:pPr>
        <w:pStyle w:val="MDPI22heading2"/>
        <w:spacing w:before="240"/>
      </w:pPr>
      <w:r w:rsidRPr="008B4A2A">
        <w:t xml:space="preserve">2.6. </w:t>
      </w:r>
      <w:r w:rsidR="001A32C0" w:rsidRPr="008B4A2A">
        <w:t>Covariates</w:t>
      </w:r>
    </w:p>
    <w:p w14:paraId="64E6FBC9" w14:textId="3F2C71A3" w:rsidR="001A32C0" w:rsidRPr="008B4A2A" w:rsidRDefault="001A32C0" w:rsidP="00C24116">
      <w:pPr>
        <w:pStyle w:val="MDPI31text"/>
      </w:pPr>
      <w:r w:rsidRPr="008B4A2A">
        <w:t>Selection of covariates w</w:t>
      </w:r>
      <w:r w:rsidR="00765B9B" w:rsidRPr="008B4A2A">
        <w:t>ere</w:t>
      </w:r>
      <w:r w:rsidRPr="008B4A2A">
        <w:t xml:space="preserve"> based on previous identification </w:t>
      </w:r>
      <w:r w:rsidR="00765B9B" w:rsidRPr="008B4A2A">
        <w:t>of</w:t>
      </w:r>
      <w:r w:rsidRPr="008B4A2A">
        <w:t xml:space="preserve"> variables related with PA in </w:t>
      </w:r>
      <w:r w:rsidR="00765B9B" w:rsidRPr="008B4A2A">
        <w:t xml:space="preserve">the </w:t>
      </w:r>
      <w:r w:rsidRPr="008B4A2A">
        <w:t xml:space="preserve">general population [46–48]. </w:t>
      </w:r>
      <w:r w:rsidR="00765B9B" w:rsidRPr="008B4A2A">
        <w:t>Unfavorable</w:t>
      </w:r>
      <w:r w:rsidRPr="008B4A2A">
        <w:t xml:space="preserve"> consumptions habits, like tobacco and alcohol, are important barriers to a sustainable development that need to be considered.</w:t>
      </w:r>
      <w:r w:rsidR="00C24116" w:rsidRPr="008B4A2A">
        <w:t xml:space="preserve"> </w:t>
      </w:r>
      <w:r w:rsidRPr="008B4A2A">
        <w:t>Alcohol impacts 13 of the 17 Sustainable Development Goals [49] and tobacco use impacts health, education, poverty, global hunger, economic growth, gender equality, the environment, finance and governance [50]. Covariates included in the analysis were: sex, age, marital status, education level, b</w:t>
      </w:r>
      <w:r w:rsidR="00752BCF" w:rsidRPr="008B4A2A">
        <w:t>ody mass index (BMI),</w:t>
      </w:r>
      <w:r w:rsidRPr="008B4A2A">
        <w:t xml:space="preserve"> smoking habits, alcohol consumption, medication intake and presence of comorbidities. Age, BMI and numbers of comorbidities were treated as continuous variables, while the remainin</w:t>
      </w:r>
      <w:r w:rsidRPr="008B4A2A">
        <w:rPr>
          <w:rFonts w:hint="eastAsia"/>
        </w:rPr>
        <w:t>g variables were analyzed as categorical variables. Education level was classified based on the highest level completed according to the Spanish Classification of Education (CNED) as Level A (≤ 1st period secondary), Level B (2nd period secondary and post-</w:t>
      </w:r>
      <w:r w:rsidRPr="008B4A2A">
        <w:t>secondary (not tertiary)), and Level C (tertiary) [51]. Marital status was categorized as married versus not married, which included single, separated, divorced and widowed. Smoking was divided into 3 categories: never, past and current smoker. Alcohol con</w:t>
      </w:r>
      <w:r w:rsidRPr="008B4A2A">
        <w:rPr>
          <w:rFonts w:hint="eastAsia"/>
        </w:rPr>
        <w:t>sumption was treated as a dichotomous variable: yes or no (abstinence in the last 12 months). Self-reported weight and height were used to calculate BMI as weight in kilograms divided by heigh</w:t>
      </w:r>
      <w:r w:rsidR="00540EC7" w:rsidRPr="008B4A2A">
        <w:rPr>
          <w:rFonts w:hint="eastAsia"/>
        </w:rPr>
        <w:t>t in meters squared. Obesity was</w:t>
      </w:r>
      <w:r w:rsidR="001321B8" w:rsidRPr="008B4A2A">
        <w:t xml:space="preserve"> only used to describe</w:t>
      </w:r>
      <w:r w:rsidR="00540EC7" w:rsidRPr="008B4A2A">
        <w:t xml:space="preserve"> the sample and was</w:t>
      </w:r>
      <w:r w:rsidRPr="008B4A2A">
        <w:rPr>
          <w:rFonts w:hint="eastAsia"/>
        </w:rPr>
        <w:t xml:space="preserve"> defined as BMI ≥ 30 kg/m</w:t>
      </w:r>
      <w:r w:rsidRPr="008B4A2A">
        <w:rPr>
          <w:vertAlign w:val="superscript"/>
        </w:rPr>
        <w:t>2</w:t>
      </w:r>
      <w:r w:rsidRPr="008B4A2A">
        <w:rPr>
          <w:rFonts w:hint="eastAsia"/>
        </w:rPr>
        <w:t>. Como</w:t>
      </w:r>
      <w:r w:rsidRPr="008B4A2A">
        <w:t xml:space="preserve">rbidities were analyzed as a dichotomous variable: yes (for those who had at least one comorbidity) and no (for those who did not present comorbidities). Medication intake was divided in yes or no as well. Participants were considered to take medication if they had consumed in the last two weeks at least one of the following 22 medications: </w:t>
      </w:r>
      <w:r w:rsidR="0069081C" w:rsidRPr="008B4A2A">
        <w:t>(</w:t>
      </w:r>
      <w:r w:rsidRPr="008B4A2A">
        <w:t xml:space="preserve">1) heart medication; </w:t>
      </w:r>
      <w:r w:rsidR="0069081C" w:rsidRPr="008B4A2A">
        <w:t>(</w:t>
      </w:r>
      <w:r w:rsidRPr="008B4A2A">
        <w:t xml:space="preserve">2) blood pressure medication; </w:t>
      </w:r>
      <w:r w:rsidR="0069081C" w:rsidRPr="008B4A2A">
        <w:t>(</w:t>
      </w:r>
      <w:r w:rsidRPr="008B4A2A">
        <w:t xml:space="preserve">3) fever medication; </w:t>
      </w:r>
      <w:r w:rsidR="0069081C" w:rsidRPr="008B4A2A">
        <w:t>(</w:t>
      </w:r>
      <w:r w:rsidRPr="008B4A2A">
        <w:t xml:space="preserve">4) flu/cold medication </w:t>
      </w:r>
      <w:r w:rsidR="0069081C" w:rsidRPr="008B4A2A">
        <w:t>(</w:t>
      </w:r>
      <w:r w:rsidRPr="008B4A2A">
        <w:t xml:space="preserve">5) sedatives; </w:t>
      </w:r>
      <w:r w:rsidR="0069081C" w:rsidRPr="008B4A2A">
        <w:t>(</w:t>
      </w:r>
      <w:r w:rsidRPr="008B4A2A">
        <w:t xml:space="preserve">6) rheumatism medication; </w:t>
      </w:r>
      <w:r w:rsidR="0069081C" w:rsidRPr="008B4A2A">
        <w:t>(</w:t>
      </w:r>
      <w:r w:rsidRPr="008B4A2A">
        <w:t xml:space="preserve">7) pain medication; </w:t>
      </w:r>
      <w:r w:rsidR="0069081C" w:rsidRPr="008B4A2A">
        <w:t>(</w:t>
      </w:r>
      <w:r w:rsidRPr="008B4A2A">
        <w:t xml:space="preserve">8) allergy medication; </w:t>
      </w:r>
      <w:r w:rsidR="0069081C" w:rsidRPr="008B4A2A">
        <w:t>(</w:t>
      </w:r>
      <w:r w:rsidRPr="008B4A2A">
        <w:t xml:space="preserve">9) antibiotics; </w:t>
      </w:r>
      <w:r w:rsidR="0069081C" w:rsidRPr="008B4A2A">
        <w:t>(</w:t>
      </w:r>
      <w:r w:rsidRPr="008B4A2A">
        <w:t xml:space="preserve">10) diarrhea medication; </w:t>
      </w:r>
      <w:r w:rsidR="0069081C" w:rsidRPr="008B4A2A">
        <w:t>(</w:t>
      </w:r>
      <w:r w:rsidRPr="008B4A2A">
        <w:t xml:space="preserve">11) digestive problems medication; </w:t>
      </w:r>
      <w:r w:rsidR="0069081C" w:rsidRPr="008B4A2A">
        <w:t>(</w:t>
      </w:r>
      <w:r w:rsidRPr="008B4A2A">
        <w:t xml:space="preserve">12) laxatives </w:t>
      </w:r>
      <w:r w:rsidR="0069081C" w:rsidRPr="008B4A2A">
        <w:t>(</w:t>
      </w:r>
      <w:r w:rsidRPr="008B4A2A">
        <w:t xml:space="preserve">13) antidepressants; </w:t>
      </w:r>
      <w:r w:rsidR="0069081C" w:rsidRPr="008B4A2A">
        <w:t>(</w:t>
      </w:r>
      <w:r w:rsidRPr="008B4A2A">
        <w:t xml:space="preserve">14) vitamins/minerals/tonics; </w:t>
      </w:r>
      <w:r w:rsidR="0069081C" w:rsidRPr="008B4A2A">
        <w:t>(</w:t>
      </w:r>
      <w:r w:rsidRPr="008B4A2A">
        <w:t xml:space="preserve">15) slimming medicines; </w:t>
      </w:r>
      <w:r w:rsidR="0069081C" w:rsidRPr="008B4A2A">
        <w:t>(</w:t>
      </w:r>
      <w:r w:rsidRPr="008B4A2A">
        <w:t xml:space="preserve">16) diabetes medication; </w:t>
      </w:r>
      <w:r w:rsidR="0069081C" w:rsidRPr="008B4A2A">
        <w:t>(</w:t>
      </w:r>
      <w:r w:rsidRPr="008B4A2A">
        <w:t xml:space="preserve">17) cholesterol medication; </w:t>
      </w:r>
      <w:r w:rsidR="0069081C" w:rsidRPr="008B4A2A">
        <w:t>(</w:t>
      </w:r>
      <w:r w:rsidRPr="008B4A2A">
        <w:t xml:space="preserve">18) thyroid medication; </w:t>
      </w:r>
      <w:r w:rsidR="0069081C" w:rsidRPr="008B4A2A">
        <w:t>(</w:t>
      </w:r>
      <w:r w:rsidRPr="008B4A2A">
        <w:t xml:space="preserve">19) contraceptive pill; </w:t>
      </w:r>
      <w:r w:rsidR="0069081C" w:rsidRPr="008B4A2A">
        <w:t>(</w:t>
      </w:r>
      <w:r w:rsidRPr="008B4A2A">
        <w:t xml:space="preserve">20) menopausal hormones; </w:t>
      </w:r>
      <w:r w:rsidR="0069081C" w:rsidRPr="008B4A2A">
        <w:t>(</w:t>
      </w:r>
      <w:r w:rsidRPr="008B4A2A">
        <w:t xml:space="preserve">21) natural products (plant-based products [34]); </w:t>
      </w:r>
      <w:r w:rsidR="0069081C" w:rsidRPr="008B4A2A">
        <w:t>(</w:t>
      </w:r>
      <w:r w:rsidRPr="008B4A2A">
        <w:t>22) others.</w:t>
      </w:r>
    </w:p>
    <w:p w14:paraId="0C562DDB" w14:textId="25815A6B" w:rsidR="001A32C0" w:rsidRPr="008B4A2A" w:rsidRDefault="00C24116" w:rsidP="00C24116">
      <w:pPr>
        <w:pStyle w:val="MDPI22heading2"/>
        <w:spacing w:before="240"/>
      </w:pPr>
      <w:r w:rsidRPr="008B4A2A">
        <w:t xml:space="preserve">2.7. </w:t>
      </w:r>
      <w:r w:rsidR="001A32C0" w:rsidRPr="008B4A2A">
        <w:t xml:space="preserve">Data </w:t>
      </w:r>
      <w:r w:rsidR="0069081C" w:rsidRPr="008B4A2A">
        <w:t>Analyses</w:t>
      </w:r>
    </w:p>
    <w:p w14:paraId="6129EA3F" w14:textId="00A75E0D" w:rsidR="001A32C0" w:rsidRPr="008B4A2A" w:rsidRDefault="001A32C0" w:rsidP="00C24116">
      <w:pPr>
        <w:pStyle w:val="MDPI31text"/>
      </w:pPr>
      <w:r w:rsidRPr="008B4A2A">
        <w:t>Sample characteristics were presented through descriptive statistics. Age, BMI and number of comorbidities were described as mean and standard deviation, while the categorical variables (sex, marital status, education level, smoking, alcohol, obesity, medication intake, presence of comorbidities and PA) were analyzed through frequencies and percentages. Statistical significance between groups according to PA classification was examined by chi-squared tests, for categorical variables, and T tests, for continuous variables. Descriptive statistics were used to established the prevalence of each comorbidity and group of comorbidities too.</w:t>
      </w:r>
    </w:p>
    <w:p w14:paraId="200C5BDD" w14:textId="2FCFBDE3" w:rsidR="001A32C0" w:rsidRPr="008B4A2A" w:rsidRDefault="001A32C0" w:rsidP="00C24116">
      <w:pPr>
        <w:pStyle w:val="MDPI31text"/>
      </w:pPr>
      <w:r w:rsidRPr="008B4A2A">
        <w:t xml:space="preserve">Multivariable logistic regression analyses were used to study the associations between weekly amount of PA and the presence of each comorbidity. The analyses were carried out by three different models. Model 1 was not adjusted for any covariates; Model 2 was adjusted for age, BMI, sex, marital status, education level, smoking and alcohol consumption; Model 3 was adjusted for the same variables of model 2 and the variables presence of comorbidities and medication intake. In every model of the regression analysis, </w:t>
      </w:r>
      <w:r w:rsidRPr="008B4A2A">
        <w:lastRenderedPageBreak/>
        <w:t>covariates were included as categorical variables, except age and BMI, which were added as continuous variables. There were missing data only on the variable BMI (3%).</w:t>
      </w:r>
    </w:p>
    <w:p w14:paraId="152CF31F" w14:textId="4FB48AE7" w:rsidR="001A32C0" w:rsidRPr="008B4A2A" w:rsidRDefault="001A32C0" w:rsidP="00C24116">
      <w:pPr>
        <w:pStyle w:val="MDPI31text"/>
      </w:pPr>
      <w:r w:rsidRPr="008B4A2A">
        <w:t>Results from the multivariable logistic regression analyses were presented as odds ratios (OR) with 95% of confidence intervals (CI).</w:t>
      </w:r>
    </w:p>
    <w:p w14:paraId="7877AAD3" w14:textId="5C41924D" w:rsidR="00A86E9F" w:rsidRPr="008B4A2A" w:rsidRDefault="001A32C0" w:rsidP="00C24116">
      <w:pPr>
        <w:pStyle w:val="MDPI31text"/>
      </w:pPr>
      <w:r w:rsidRPr="008B4A2A">
        <w:t>The present analyses were performed with the Statistical Package for Social Sciences (SPSS) version 23 (International Business Machines Corporation, Armonk, NY, USA).</w:t>
      </w:r>
    </w:p>
    <w:p w14:paraId="21E15432" w14:textId="106092D1" w:rsidR="00A86E9F" w:rsidRPr="008B4A2A" w:rsidRDefault="00C24116" w:rsidP="00C24116">
      <w:pPr>
        <w:pStyle w:val="MDPI21heading1"/>
      </w:pPr>
      <w:r w:rsidRPr="008B4A2A">
        <w:t xml:space="preserve">3. </w:t>
      </w:r>
      <w:r w:rsidR="00A86E9F" w:rsidRPr="008B4A2A">
        <w:t>Results</w:t>
      </w:r>
    </w:p>
    <w:p w14:paraId="5C67B93C" w14:textId="3F117EF0" w:rsidR="00A86E9F" w:rsidRPr="008B4A2A" w:rsidRDefault="00AF3946" w:rsidP="00C24116">
      <w:pPr>
        <w:pStyle w:val="MDPI31text"/>
      </w:pPr>
      <w:r w:rsidRPr="008B4A2A">
        <w:t xml:space="preserve">A total of 198 Spanish people with ACO (120 women) with a mean age of 50 (14.9) years composed the sample. </w:t>
      </w:r>
      <w:r w:rsidR="00034EB1" w:rsidRPr="008B4A2A">
        <w:t xml:space="preserve">A 57.6% was aged 50 or over. </w:t>
      </w:r>
      <w:r w:rsidRPr="008B4A2A">
        <w:t>Table 1 shows the sample characteristics according to PA level. None of the characteristics revealed significant differences between Spanish people w</w:t>
      </w:r>
      <w:r w:rsidRPr="008B4A2A">
        <w:rPr>
          <w:rFonts w:hint="eastAsia"/>
        </w:rPr>
        <w:t>ith ACO who achieved PA recommendations (PA ≥</w:t>
      </w:r>
      <w:r w:rsidR="0069081C" w:rsidRPr="008B4A2A">
        <w:t xml:space="preserve"> </w:t>
      </w:r>
      <w:r w:rsidRPr="008B4A2A">
        <w:rPr>
          <w:rFonts w:hint="eastAsia"/>
        </w:rPr>
        <w:t>600MET·min/week) and those who did not. However, when considering the whole sample, the number of participants who spent at least 600 MET·min/week was significantly higher (χ</w:t>
      </w:r>
      <w:r w:rsidRPr="008B4A2A">
        <w:rPr>
          <w:rFonts w:hint="eastAsia"/>
          <w:vertAlign w:val="superscript"/>
        </w:rPr>
        <w:t>2</w:t>
      </w:r>
      <w:r w:rsidR="0069081C" w:rsidRPr="008B4A2A">
        <w:t xml:space="preserve"> </w:t>
      </w:r>
      <w:r w:rsidRPr="008B4A2A">
        <w:rPr>
          <w:rFonts w:hint="eastAsia"/>
        </w:rPr>
        <w:t>=</w:t>
      </w:r>
      <w:r w:rsidR="0069081C" w:rsidRPr="008B4A2A">
        <w:t xml:space="preserve"> </w:t>
      </w:r>
      <w:r w:rsidRPr="008B4A2A">
        <w:rPr>
          <w:rFonts w:hint="eastAsia"/>
        </w:rPr>
        <w:t>15.838; p</w:t>
      </w:r>
      <w:r w:rsidR="0069081C" w:rsidRPr="008B4A2A">
        <w:t xml:space="preserve"> </w:t>
      </w:r>
      <w:r w:rsidRPr="008B4A2A">
        <w:rPr>
          <w:rFonts w:hint="eastAsia"/>
        </w:rPr>
        <w:t>&lt;</w:t>
      </w:r>
      <w:r w:rsidR="0069081C" w:rsidRPr="008B4A2A">
        <w:t xml:space="preserve"> </w:t>
      </w:r>
      <w:r w:rsidRPr="008B4A2A">
        <w:rPr>
          <w:rFonts w:hint="eastAsia"/>
        </w:rPr>
        <w:t>0.001). In relation to co</w:t>
      </w:r>
      <w:r w:rsidRPr="008B4A2A">
        <w:t>morbidities, a 93.9% of people with ACO suffer from them, with a huge average of 5.3 comorbidities at the same time (maximum: 18; mode: 2; median: 4). Moreover, those who do not present comorbidities revealed a higher percentage of high PA level in comparison to those who have at least one comorbidity, but these differences were not significant</w:t>
      </w:r>
      <w:r w:rsidR="009E7E90" w:rsidRPr="008B4A2A">
        <w:t>.</w:t>
      </w:r>
    </w:p>
    <w:p w14:paraId="123A200C" w14:textId="18271796" w:rsidR="00A86E9F" w:rsidRPr="008B4A2A" w:rsidRDefault="00C24116" w:rsidP="00C24116">
      <w:pPr>
        <w:pStyle w:val="MDPI41tablecaption"/>
      </w:pPr>
      <w:r w:rsidRPr="008B4A2A">
        <w:rPr>
          <w:b/>
        </w:rPr>
        <w:t xml:space="preserve">Table 1. </w:t>
      </w:r>
      <w:r w:rsidR="009262E5" w:rsidRPr="008B4A2A">
        <w:t>Sample characteristics according to PA level</w:t>
      </w:r>
      <w:r w:rsidR="00A86E9F" w:rsidRPr="008B4A2A">
        <w:t>.</w:t>
      </w:r>
    </w:p>
    <w:tbl>
      <w:tblPr>
        <w:tblW w:w="7857" w:type="dxa"/>
        <w:tblInd w:w="2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99"/>
        <w:gridCol w:w="1155"/>
        <w:gridCol w:w="579"/>
        <w:gridCol w:w="1040"/>
        <w:gridCol w:w="925"/>
        <w:gridCol w:w="1040"/>
        <w:gridCol w:w="925"/>
        <w:gridCol w:w="694"/>
      </w:tblGrid>
      <w:tr w:rsidR="009262E5" w:rsidRPr="008B4A2A" w14:paraId="7C824AA3" w14:textId="77777777" w:rsidTr="00C24116">
        <w:tc>
          <w:tcPr>
            <w:tcW w:w="1499" w:type="dxa"/>
            <w:tcBorders>
              <w:top w:val="single" w:sz="8" w:space="0" w:color="auto"/>
              <w:left w:val="nil"/>
              <w:bottom w:val="single" w:sz="4" w:space="0" w:color="auto"/>
              <w:right w:val="nil"/>
            </w:tcBorders>
            <w:shd w:val="clear" w:color="auto" w:fill="auto"/>
            <w:vAlign w:val="center"/>
          </w:tcPr>
          <w:p w14:paraId="5AEC1964" w14:textId="77777777" w:rsidR="009262E5" w:rsidRPr="008B4A2A" w:rsidRDefault="009262E5" w:rsidP="00C24116">
            <w:pPr>
              <w:autoSpaceDE w:val="0"/>
              <w:autoSpaceDN w:val="0"/>
              <w:adjustRightInd w:val="0"/>
              <w:snapToGrid w:val="0"/>
              <w:spacing w:line="240" w:lineRule="auto"/>
              <w:jc w:val="center"/>
              <w:rPr>
                <w:b/>
                <w:sz w:val="18"/>
              </w:rPr>
            </w:pPr>
          </w:p>
        </w:tc>
        <w:tc>
          <w:tcPr>
            <w:tcW w:w="1155" w:type="dxa"/>
            <w:tcBorders>
              <w:top w:val="single" w:sz="8" w:space="0" w:color="auto"/>
              <w:left w:val="nil"/>
              <w:bottom w:val="single" w:sz="4" w:space="0" w:color="auto"/>
              <w:right w:val="nil"/>
            </w:tcBorders>
            <w:shd w:val="clear" w:color="auto" w:fill="auto"/>
            <w:vAlign w:val="center"/>
          </w:tcPr>
          <w:p w14:paraId="2E96F18A" w14:textId="77777777" w:rsidR="009262E5" w:rsidRPr="008B4A2A" w:rsidRDefault="009262E5" w:rsidP="00C24116">
            <w:pPr>
              <w:autoSpaceDE w:val="0"/>
              <w:autoSpaceDN w:val="0"/>
              <w:adjustRightInd w:val="0"/>
              <w:snapToGrid w:val="0"/>
              <w:spacing w:line="240" w:lineRule="auto"/>
              <w:jc w:val="center"/>
              <w:rPr>
                <w:b/>
                <w:sz w:val="18"/>
                <w:lang w:val="en-GB"/>
              </w:rPr>
            </w:pPr>
          </w:p>
        </w:tc>
        <w:tc>
          <w:tcPr>
            <w:tcW w:w="579" w:type="dxa"/>
            <w:tcBorders>
              <w:top w:val="single" w:sz="8" w:space="0" w:color="auto"/>
              <w:left w:val="nil"/>
              <w:bottom w:val="single" w:sz="4" w:space="0" w:color="auto"/>
              <w:right w:val="nil"/>
            </w:tcBorders>
            <w:shd w:val="clear" w:color="auto" w:fill="auto"/>
            <w:vAlign w:val="center"/>
          </w:tcPr>
          <w:p w14:paraId="6FBCF74C" w14:textId="77777777" w:rsidR="009262E5" w:rsidRPr="008B4A2A" w:rsidRDefault="009262E5" w:rsidP="00C24116">
            <w:pPr>
              <w:autoSpaceDE w:val="0"/>
              <w:autoSpaceDN w:val="0"/>
              <w:adjustRightInd w:val="0"/>
              <w:snapToGrid w:val="0"/>
              <w:spacing w:line="240" w:lineRule="auto"/>
              <w:jc w:val="center"/>
              <w:rPr>
                <w:b/>
                <w:sz w:val="18"/>
                <w:lang w:val="en-GB"/>
              </w:rPr>
            </w:pPr>
          </w:p>
        </w:tc>
        <w:tc>
          <w:tcPr>
            <w:tcW w:w="1965" w:type="dxa"/>
            <w:gridSpan w:val="2"/>
            <w:tcBorders>
              <w:top w:val="single" w:sz="8" w:space="0" w:color="auto"/>
              <w:left w:val="nil"/>
              <w:bottom w:val="single" w:sz="4" w:space="0" w:color="auto"/>
              <w:right w:val="nil"/>
            </w:tcBorders>
            <w:shd w:val="clear" w:color="auto" w:fill="auto"/>
            <w:vAlign w:val="center"/>
          </w:tcPr>
          <w:p w14:paraId="3F681958" w14:textId="5A1FBA6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PA &lt;</w:t>
            </w:r>
            <w:r w:rsidR="0069081C" w:rsidRPr="008B4A2A">
              <w:rPr>
                <w:b/>
                <w:sz w:val="18"/>
                <w:lang w:val="en-GB"/>
              </w:rPr>
              <w:t xml:space="preserve"> </w:t>
            </w:r>
            <w:r w:rsidRPr="008B4A2A">
              <w:rPr>
                <w:b/>
                <w:sz w:val="18"/>
                <w:lang w:val="en-GB"/>
              </w:rPr>
              <w:t>600MET·</w:t>
            </w:r>
            <w:r w:rsidR="0069081C" w:rsidRPr="008B4A2A">
              <w:rPr>
                <w:b/>
                <w:sz w:val="18"/>
                <w:lang w:val="en-GB"/>
              </w:rPr>
              <w:t>Min</w:t>
            </w:r>
            <w:r w:rsidRPr="008B4A2A">
              <w:rPr>
                <w:b/>
                <w:sz w:val="18"/>
                <w:lang w:val="en-GB"/>
              </w:rPr>
              <w:t>/</w:t>
            </w:r>
            <w:r w:rsidR="0069081C" w:rsidRPr="008B4A2A">
              <w:rPr>
                <w:b/>
                <w:sz w:val="18"/>
                <w:lang w:val="en-GB"/>
              </w:rPr>
              <w:t>Week</w:t>
            </w:r>
          </w:p>
        </w:tc>
        <w:tc>
          <w:tcPr>
            <w:tcW w:w="1965" w:type="dxa"/>
            <w:gridSpan w:val="2"/>
            <w:tcBorders>
              <w:top w:val="single" w:sz="8" w:space="0" w:color="auto"/>
              <w:left w:val="nil"/>
              <w:bottom w:val="single" w:sz="4" w:space="0" w:color="auto"/>
              <w:right w:val="nil"/>
            </w:tcBorders>
            <w:shd w:val="clear" w:color="auto" w:fill="auto"/>
            <w:vAlign w:val="center"/>
          </w:tcPr>
          <w:p w14:paraId="17A10CD4" w14:textId="1340E991"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PA ≥</w:t>
            </w:r>
            <w:r w:rsidR="0069081C" w:rsidRPr="008B4A2A">
              <w:rPr>
                <w:b/>
                <w:sz w:val="18"/>
                <w:lang w:val="en-GB"/>
              </w:rPr>
              <w:t xml:space="preserve"> </w:t>
            </w:r>
            <w:r w:rsidRPr="008B4A2A">
              <w:rPr>
                <w:b/>
                <w:sz w:val="18"/>
                <w:lang w:val="en-GB"/>
              </w:rPr>
              <w:t>600MET·</w:t>
            </w:r>
            <w:r w:rsidR="0069081C" w:rsidRPr="008B4A2A">
              <w:rPr>
                <w:b/>
                <w:sz w:val="18"/>
                <w:lang w:val="en-GB"/>
              </w:rPr>
              <w:t>Min</w:t>
            </w:r>
            <w:r w:rsidRPr="008B4A2A">
              <w:rPr>
                <w:b/>
                <w:sz w:val="18"/>
                <w:lang w:val="en-GB"/>
              </w:rPr>
              <w:t>/</w:t>
            </w:r>
            <w:r w:rsidR="0069081C" w:rsidRPr="008B4A2A">
              <w:rPr>
                <w:b/>
                <w:sz w:val="18"/>
                <w:lang w:val="en-GB"/>
              </w:rPr>
              <w:t>Week</w:t>
            </w:r>
          </w:p>
        </w:tc>
        <w:tc>
          <w:tcPr>
            <w:tcW w:w="694" w:type="dxa"/>
            <w:tcBorders>
              <w:top w:val="single" w:sz="8" w:space="0" w:color="auto"/>
              <w:left w:val="nil"/>
              <w:bottom w:val="single" w:sz="4" w:space="0" w:color="auto"/>
              <w:right w:val="nil"/>
            </w:tcBorders>
            <w:shd w:val="clear" w:color="auto" w:fill="auto"/>
            <w:vAlign w:val="center"/>
          </w:tcPr>
          <w:p w14:paraId="1875DBE9" w14:textId="77777777" w:rsidR="009262E5" w:rsidRPr="008B4A2A" w:rsidRDefault="009262E5" w:rsidP="00C24116">
            <w:pPr>
              <w:autoSpaceDE w:val="0"/>
              <w:autoSpaceDN w:val="0"/>
              <w:adjustRightInd w:val="0"/>
              <w:snapToGrid w:val="0"/>
              <w:spacing w:line="240" w:lineRule="auto"/>
              <w:jc w:val="center"/>
              <w:rPr>
                <w:b/>
                <w:sz w:val="18"/>
                <w:lang w:val="en-GB"/>
              </w:rPr>
            </w:pPr>
          </w:p>
        </w:tc>
      </w:tr>
      <w:tr w:rsidR="009262E5" w:rsidRPr="008B4A2A" w14:paraId="23567820" w14:textId="77777777" w:rsidTr="00C24116">
        <w:tc>
          <w:tcPr>
            <w:tcW w:w="1499" w:type="dxa"/>
            <w:tcBorders>
              <w:top w:val="single" w:sz="4" w:space="0" w:color="auto"/>
              <w:left w:val="nil"/>
              <w:bottom w:val="single" w:sz="4" w:space="0" w:color="auto"/>
              <w:right w:val="nil"/>
            </w:tcBorders>
            <w:shd w:val="clear" w:color="auto" w:fill="auto"/>
            <w:vAlign w:val="center"/>
          </w:tcPr>
          <w:p w14:paraId="2D765CFB"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Characteristic</w:t>
            </w:r>
          </w:p>
        </w:tc>
        <w:tc>
          <w:tcPr>
            <w:tcW w:w="1155" w:type="dxa"/>
            <w:tcBorders>
              <w:top w:val="single" w:sz="4" w:space="0" w:color="auto"/>
              <w:left w:val="nil"/>
              <w:bottom w:val="single" w:sz="4" w:space="0" w:color="auto"/>
              <w:right w:val="nil"/>
            </w:tcBorders>
            <w:shd w:val="clear" w:color="auto" w:fill="auto"/>
            <w:vAlign w:val="center"/>
          </w:tcPr>
          <w:p w14:paraId="30D9D623"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 xml:space="preserve">Category </w:t>
            </w:r>
          </w:p>
        </w:tc>
        <w:tc>
          <w:tcPr>
            <w:tcW w:w="579" w:type="dxa"/>
            <w:tcBorders>
              <w:top w:val="single" w:sz="4" w:space="0" w:color="auto"/>
              <w:left w:val="nil"/>
              <w:bottom w:val="single" w:sz="4" w:space="0" w:color="auto"/>
              <w:right w:val="nil"/>
            </w:tcBorders>
            <w:shd w:val="clear" w:color="auto" w:fill="auto"/>
            <w:vAlign w:val="center"/>
          </w:tcPr>
          <w:p w14:paraId="2FF8C519"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N</w:t>
            </w:r>
          </w:p>
        </w:tc>
        <w:tc>
          <w:tcPr>
            <w:tcW w:w="1040" w:type="dxa"/>
            <w:tcBorders>
              <w:top w:val="single" w:sz="4" w:space="0" w:color="auto"/>
              <w:left w:val="nil"/>
              <w:bottom w:val="single" w:sz="4" w:space="0" w:color="auto"/>
              <w:right w:val="nil"/>
            </w:tcBorders>
            <w:shd w:val="clear" w:color="auto" w:fill="auto"/>
            <w:vAlign w:val="center"/>
          </w:tcPr>
          <w:p w14:paraId="75AE1563"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N</w:t>
            </w:r>
          </w:p>
        </w:tc>
        <w:tc>
          <w:tcPr>
            <w:tcW w:w="925" w:type="dxa"/>
            <w:tcBorders>
              <w:top w:val="single" w:sz="4" w:space="0" w:color="auto"/>
              <w:left w:val="nil"/>
              <w:bottom w:val="single" w:sz="4" w:space="0" w:color="auto"/>
              <w:right w:val="nil"/>
            </w:tcBorders>
            <w:shd w:val="clear" w:color="auto" w:fill="auto"/>
            <w:vAlign w:val="center"/>
          </w:tcPr>
          <w:p w14:paraId="327777D8"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w:t>
            </w:r>
          </w:p>
        </w:tc>
        <w:tc>
          <w:tcPr>
            <w:tcW w:w="1040" w:type="dxa"/>
            <w:tcBorders>
              <w:top w:val="single" w:sz="4" w:space="0" w:color="auto"/>
              <w:left w:val="nil"/>
              <w:bottom w:val="single" w:sz="4" w:space="0" w:color="auto"/>
              <w:right w:val="nil"/>
            </w:tcBorders>
            <w:shd w:val="clear" w:color="auto" w:fill="auto"/>
            <w:vAlign w:val="center"/>
          </w:tcPr>
          <w:p w14:paraId="2C3D5D21"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N</w:t>
            </w:r>
          </w:p>
        </w:tc>
        <w:tc>
          <w:tcPr>
            <w:tcW w:w="925" w:type="dxa"/>
            <w:tcBorders>
              <w:top w:val="single" w:sz="4" w:space="0" w:color="auto"/>
              <w:left w:val="nil"/>
              <w:bottom w:val="single" w:sz="4" w:space="0" w:color="auto"/>
              <w:right w:val="nil"/>
            </w:tcBorders>
            <w:shd w:val="clear" w:color="auto" w:fill="auto"/>
            <w:vAlign w:val="center"/>
          </w:tcPr>
          <w:p w14:paraId="492A95A7"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w:t>
            </w:r>
          </w:p>
        </w:tc>
        <w:tc>
          <w:tcPr>
            <w:tcW w:w="694" w:type="dxa"/>
            <w:tcBorders>
              <w:top w:val="single" w:sz="4" w:space="0" w:color="auto"/>
              <w:left w:val="nil"/>
              <w:bottom w:val="single" w:sz="4" w:space="0" w:color="auto"/>
              <w:right w:val="nil"/>
            </w:tcBorders>
            <w:shd w:val="clear" w:color="auto" w:fill="auto"/>
            <w:vAlign w:val="center"/>
          </w:tcPr>
          <w:p w14:paraId="01BBF945"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p</w:t>
            </w:r>
          </w:p>
        </w:tc>
      </w:tr>
      <w:tr w:rsidR="009262E5" w:rsidRPr="008B4A2A" w14:paraId="0DBB473F" w14:textId="77777777" w:rsidTr="00C24116">
        <w:tc>
          <w:tcPr>
            <w:tcW w:w="1499" w:type="dxa"/>
            <w:tcBorders>
              <w:top w:val="single" w:sz="4" w:space="0" w:color="auto"/>
              <w:left w:val="nil"/>
              <w:bottom w:val="nil"/>
              <w:right w:val="nil"/>
            </w:tcBorders>
            <w:shd w:val="clear" w:color="auto" w:fill="auto"/>
            <w:vAlign w:val="center"/>
          </w:tcPr>
          <w:p w14:paraId="474B35F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Sex</w:t>
            </w:r>
          </w:p>
        </w:tc>
        <w:tc>
          <w:tcPr>
            <w:tcW w:w="1155" w:type="dxa"/>
            <w:tcBorders>
              <w:top w:val="single" w:sz="4" w:space="0" w:color="auto"/>
              <w:left w:val="nil"/>
              <w:bottom w:val="nil"/>
              <w:right w:val="nil"/>
            </w:tcBorders>
            <w:shd w:val="clear" w:color="auto" w:fill="auto"/>
            <w:vAlign w:val="center"/>
          </w:tcPr>
          <w:p w14:paraId="2B6273D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Men </w:t>
            </w:r>
          </w:p>
        </w:tc>
        <w:tc>
          <w:tcPr>
            <w:tcW w:w="579" w:type="dxa"/>
            <w:tcBorders>
              <w:top w:val="single" w:sz="4" w:space="0" w:color="auto"/>
              <w:left w:val="nil"/>
              <w:bottom w:val="nil"/>
              <w:right w:val="nil"/>
            </w:tcBorders>
            <w:shd w:val="clear" w:color="auto" w:fill="auto"/>
            <w:vAlign w:val="center"/>
          </w:tcPr>
          <w:p w14:paraId="7B02C58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78</w:t>
            </w:r>
          </w:p>
        </w:tc>
        <w:tc>
          <w:tcPr>
            <w:tcW w:w="1040" w:type="dxa"/>
            <w:tcBorders>
              <w:top w:val="single" w:sz="4" w:space="0" w:color="auto"/>
              <w:left w:val="nil"/>
              <w:bottom w:val="nil"/>
              <w:right w:val="nil"/>
            </w:tcBorders>
            <w:shd w:val="clear" w:color="auto" w:fill="auto"/>
            <w:vAlign w:val="center"/>
          </w:tcPr>
          <w:p w14:paraId="34610F1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27</w:t>
            </w:r>
          </w:p>
        </w:tc>
        <w:tc>
          <w:tcPr>
            <w:tcW w:w="925" w:type="dxa"/>
            <w:tcBorders>
              <w:top w:val="single" w:sz="4" w:space="0" w:color="auto"/>
              <w:left w:val="nil"/>
              <w:bottom w:val="nil"/>
              <w:right w:val="nil"/>
            </w:tcBorders>
            <w:shd w:val="clear" w:color="auto" w:fill="auto"/>
            <w:vAlign w:val="center"/>
          </w:tcPr>
          <w:p w14:paraId="0A8C6B4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34.6</w:t>
            </w:r>
          </w:p>
        </w:tc>
        <w:tc>
          <w:tcPr>
            <w:tcW w:w="1040" w:type="dxa"/>
            <w:tcBorders>
              <w:top w:val="single" w:sz="4" w:space="0" w:color="auto"/>
              <w:left w:val="nil"/>
              <w:bottom w:val="nil"/>
              <w:right w:val="nil"/>
            </w:tcBorders>
            <w:shd w:val="clear" w:color="auto" w:fill="auto"/>
            <w:vAlign w:val="center"/>
          </w:tcPr>
          <w:p w14:paraId="47FC43A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51</w:t>
            </w:r>
          </w:p>
        </w:tc>
        <w:tc>
          <w:tcPr>
            <w:tcW w:w="925" w:type="dxa"/>
            <w:tcBorders>
              <w:top w:val="single" w:sz="4" w:space="0" w:color="auto"/>
              <w:left w:val="nil"/>
              <w:bottom w:val="nil"/>
              <w:right w:val="nil"/>
            </w:tcBorders>
            <w:shd w:val="clear" w:color="auto" w:fill="auto"/>
            <w:vAlign w:val="center"/>
          </w:tcPr>
          <w:p w14:paraId="33BD4F9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65.4</w:t>
            </w:r>
          </w:p>
        </w:tc>
        <w:tc>
          <w:tcPr>
            <w:tcW w:w="694" w:type="dxa"/>
            <w:vMerge w:val="restart"/>
            <w:tcBorders>
              <w:top w:val="single" w:sz="4" w:space="0" w:color="auto"/>
              <w:left w:val="nil"/>
              <w:right w:val="nil"/>
            </w:tcBorders>
            <w:shd w:val="clear" w:color="auto" w:fill="auto"/>
            <w:vAlign w:val="center"/>
          </w:tcPr>
          <w:p w14:paraId="00A3247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0.769</w:t>
            </w:r>
          </w:p>
        </w:tc>
      </w:tr>
      <w:tr w:rsidR="009262E5" w:rsidRPr="008B4A2A" w14:paraId="0D65CADE" w14:textId="77777777" w:rsidTr="00C24116">
        <w:tc>
          <w:tcPr>
            <w:tcW w:w="1499" w:type="dxa"/>
            <w:tcBorders>
              <w:top w:val="nil"/>
              <w:left w:val="nil"/>
              <w:bottom w:val="single" w:sz="4" w:space="0" w:color="auto"/>
              <w:right w:val="nil"/>
            </w:tcBorders>
            <w:shd w:val="clear" w:color="auto" w:fill="auto"/>
            <w:vAlign w:val="center"/>
          </w:tcPr>
          <w:p w14:paraId="64A8F714"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411BB2A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Women</w:t>
            </w:r>
          </w:p>
        </w:tc>
        <w:tc>
          <w:tcPr>
            <w:tcW w:w="579" w:type="dxa"/>
            <w:tcBorders>
              <w:top w:val="nil"/>
              <w:left w:val="nil"/>
              <w:bottom w:val="single" w:sz="4" w:space="0" w:color="auto"/>
              <w:right w:val="nil"/>
            </w:tcBorders>
            <w:shd w:val="clear" w:color="auto" w:fill="auto"/>
            <w:vAlign w:val="center"/>
          </w:tcPr>
          <w:p w14:paraId="5EA0FCD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120</w:t>
            </w:r>
          </w:p>
        </w:tc>
        <w:tc>
          <w:tcPr>
            <w:tcW w:w="1040" w:type="dxa"/>
            <w:tcBorders>
              <w:top w:val="nil"/>
              <w:left w:val="nil"/>
              <w:bottom w:val="single" w:sz="4" w:space="0" w:color="auto"/>
              <w:right w:val="nil"/>
            </w:tcBorders>
            <w:shd w:val="clear" w:color="auto" w:fill="auto"/>
            <w:vAlign w:val="center"/>
          </w:tcPr>
          <w:p w14:paraId="610FC37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44</w:t>
            </w:r>
          </w:p>
        </w:tc>
        <w:tc>
          <w:tcPr>
            <w:tcW w:w="925" w:type="dxa"/>
            <w:tcBorders>
              <w:top w:val="nil"/>
              <w:left w:val="nil"/>
              <w:bottom w:val="single" w:sz="4" w:space="0" w:color="auto"/>
              <w:right w:val="nil"/>
            </w:tcBorders>
            <w:shd w:val="clear" w:color="auto" w:fill="auto"/>
            <w:vAlign w:val="center"/>
          </w:tcPr>
          <w:p w14:paraId="34CA17B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36.7</w:t>
            </w:r>
          </w:p>
        </w:tc>
        <w:tc>
          <w:tcPr>
            <w:tcW w:w="1040" w:type="dxa"/>
            <w:tcBorders>
              <w:top w:val="nil"/>
              <w:left w:val="nil"/>
              <w:bottom w:val="single" w:sz="4" w:space="0" w:color="auto"/>
              <w:right w:val="nil"/>
            </w:tcBorders>
            <w:shd w:val="clear" w:color="auto" w:fill="auto"/>
            <w:vAlign w:val="center"/>
          </w:tcPr>
          <w:p w14:paraId="47FC10B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76</w:t>
            </w:r>
          </w:p>
        </w:tc>
        <w:tc>
          <w:tcPr>
            <w:tcW w:w="925" w:type="dxa"/>
            <w:tcBorders>
              <w:top w:val="nil"/>
              <w:left w:val="nil"/>
              <w:bottom w:val="single" w:sz="4" w:space="0" w:color="auto"/>
              <w:right w:val="nil"/>
            </w:tcBorders>
            <w:shd w:val="clear" w:color="auto" w:fill="auto"/>
            <w:vAlign w:val="center"/>
          </w:tcPr>
          <w:p w14:paraId="2C19D21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63.3</w:t>
            </w:r>
          </w:p>
        </w:tc>
        <w:tc>
          <w:tcPr>
            <w:tcW w:w="694" w:type="dxa"/>
            <w:vMerge/>
            <w:tcBorders>
              <w:left w:val="nil"/>
              <w:bottom w:val="single" w:sz="4" w:space="0" w:color="auto"/>
              <w:right w:val="nil"/>
            </w:tcBorders>
            <w:shd w:val="clear" w:color="auto" w:fill="auto"/>
            <w:vAlign w:val="center"/>
          </w:tcPr>
          <w:p w14:paraId="759C6F46"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6C8AEC5" w14:textId="77777777" w:rsidTr="00C24116">
        <w:tc>
          <w:tcPr>
            <w:tcW w:w="1499" w:type="dxa"/>
            <w:tcBorders>
              <w:top w:val="single" w:sz="4" w:space="0" w:color="auto"/>
              <w:left w:val="nil"/>
              <w:bottom w:val="nil"/>
              <w:right w:val="nil"/>
            </w:tcBorders>
            <w:shd w:val="clear" w:color="auto" w:fill="auto"/>
            <w:vAlign w:val="center"/>
          </w:tcPr>
          <w:p w14:paraId="152452A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Marital Status</w:t>
            </w:r>
          </w:p>
        </w:tc>
        <w:tc>
          <w:tcPr>
            <w:tcW w:w="1155" w:type="dxa"/>
            <w:tcBorders>
              <w:top w:val="single" w:sz="4" w:space="0" w:color="auto"/>
              <w:left w:val="nil"/>
              <w:bottom w:val="nil"/>
              <w:right w:val="nil"/>
            </w:tcBorders>
            <w:shd w:val="clear" w:color="auto" w:fill="auto"/>
            <w:vAlign w:val="center"/>
          </w:tcPr>
          <w:p w14:paraId="2D82DC3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Not Married</w:t>
            </w:r>
          </w:p>
        </w:tc>
        <w:tc>
          <w:tcPr>
            <w:tcW w:w="579" w:type="dxa"/>
            <w:tcBorders>
              <w:top w:val="single" w:sz="4" w:space="0" w:color="auto"/>
              <w:left w:val="nil"/>
              <w:bottom w:val="nil"/>
              <w:right w:val="nil"/>
            </w:tcBorders>
            <w:shd w:val="clear" w:color="auto" w:fill="auto"/>
            <w:vAlign w:val="center"/>
          </w:tcPr>
          <w:p w14:paraId="104792F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98</w:t>
            </w:r>
          </w:p>
        </w:tc>
        <w:tc>
          <w:tcPr>
            <w:tcW w:w="1040" w:type="dxa"/>
            <w:tcBorders>
              <w:top w:val="single" w:sz="4" w:space="0" w:color="auto"/>
              <w:left w:val="nil"/>
              <w:bottom w:val="nil"/>
              <w:right w:val="nil"/>
            </w:tcBorders>
            <w:shd w:val="clear" w:color="auto" w:fill="auto"/>
            <w:vAlign w:val="center"/>
          </w:tcPr>
          <w:p w14:paraId="24DCA9F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37</w:t>
            </w:r>
          </w:p>
        </w:tc>
        <w:tc>
          <w:tcPr>
            <w:tcW w:w="925" w:type="dxa"/>
            <w:tcBorders>
              <w:top w:val="single" w:sz="4" w:space="0" w:color="auto"/>
              <w:left w:val="nil"/>
              <w:bottom w:val="nil"/>
              <w:right w:val="nil"/>
            </w:tcBorders>
            <w:shd w:val="clear" w:color="auto" w:fill="auto"/>
            <w:vAlign w:val="center"/>
          </w:tcPr>
          <w:p w14:paraId="4070A1E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37.8</w:t>
            </w:r>
          </w:p>
        </w:tc>
        <w:tc>
          <w:tcPr>
            <w:tcW w:w="1040" w:type="dxa"/>
            <w:tcBorders>
              <w:top w:val="single" w:sz="4" w:space="0" w:color="auto"/>
              <w:left w:val="nil"/>
              <w:bottom w:val="nil"/>
              <w:right w:val="nil"/>
            </w:tcBorders>
            <w:shd w:val="clear" w:color="auto" w:fill="auto"/>
            <w:vAlign w:val="center"/>
          </w:tcPr>
          <w:p w14:paraId="3C00C1F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61</w:t>
            </w:r>
          </w:p>
        </w:tc>
        <w:tc>
          <w:tcPr>
            <w:tcW w:w="925" w:type="dxa"/>
            <w:tcBorders>
              <w:top w:val="single" w:sz="4" w:space="0" w:color="auto"/>
              <w:left w:val="nil"/>
              <w:bottom w:val="nil"/>
              <w:right w:val="nil"/>
            </w:tcBorders>
            <w:shd w:val="clear" w:color="auto" w:fill="auto"/>
            <w:vAlign w:val="center"/>
          </w:tcPr>
          <w:p w14:paraId="041EC5E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62.2</w:t>
            </w:r>
          </w:p>
        </w:tc>
        <w:tc>
          <w:tcPr>
            <w:tcW w:w="694" w:type="dxa"/>
            <w:vMerge w:val="restart"/>
            <w:tcBorders>
              <w:top w:val="single" w:sz="4" w:space="0" w:color="auto"/>
              <w:left w:val="nil"/>
              <w:right w:val="nil"/>
            </w:tcBorders>
            <w:shd w:val="clear" w:color="auto" w:fill="auto"/>
            <w:vAlign w:val="center"/>
          </w:tcPr>
          <w:p w14:paraId="2B9BE5B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0.582</w:t>
            </w:r>
          </w:p>
        </w:tc>
      </w:tr>
      <w:tr w:rsidR="009262E5" w:rsidRPr="008B4A2A" w14:paraId="5C3A5784" w14:textId="77777777" w:rsidTr="00C24116">
        <w:tc>
          <w:tcPr>
            <w:tcW w:w="1499" w:type="dxa"/>
            <w:tcBorders>
              <w:top w:val="nil"/>
              <w:left w:val="nil"/>
              <w:bottom w:val="single" w:sz="4" w:space="0" w:color="auto"/>
              <w:right w:val="nil"/>
            </w:tcBorders>
            <w:shd w:val="clear" w:color="auto" w:fill="auto"/>
            <w:vAlign w:val="center"/>
          </w:tcPr>
          <w:p w14:paraId="2BE576C3"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1D09DD5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Married</w:t>
            </w:r>
          </w:p>
        </w:tc>
        <w:tc>
          <w:tcPr>
            <w:tcW w:w="579" w:type="dxa"/>
            <w:tcBorders>
              <w:top w:val="nil"/>
              <w:left w:val="nil"/>
              <w:bottom w:val="single" w:sz="4" w:space="0" w:color="auto"/>
              <w:right w:val="nil"/>
            </w:tcBorders>
            <w:shd w:val="clear" w:color="auto" w:fill="auto"/>
            <w:vAlign w:val="center"/>
          </w:tcPr>
          <w:p w14:paraId="1E7D764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100</w:t>
            </w:r>
          </w:p>
        </w:tc>
        <w:tc>
          <w:tcPr>
            <w:tcW w:w="1040" w:type="dxa"/>
            <w:tcBorders>
              <w:top w:val="nil"/>
              <w:left w:val="nil"/>
              <w:bottom w:val="single" w:sz="4" w:space="0" w:color="auto"/>
              <w:right w:val="nil"/>
            </w:tcBorders>
            <w:shd w:val="clear" w:color="auto" w:fill="auto"/>
            <w:vAlign w:val="center"/>
          </w:tcPr>
          <w:p w14:paraId="4E2E43B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34</w:t>
            </w:r>
          </w:p>
        </w:tc>
        <w:tc>
          <w:tcPr>
            <w:tcW w:w="925" w:type="dxa"/>
            <w:tcBorders>
              <w:top w:val="nil"/>
              <w:left w:val="nil"/>
              <w:bottom w:val="single" w:sz="4" w:space="0" w:color="auto"/>
              <w:right w:val="nil"/>
            </w:tcBorders>
            <w:shd w:val="clear" w:color="auto" w:fill="auto"/>
            <w:vAlign w:val="center"/>
          </w:tcPr>
          <w:p w14:paraId="5FE80AA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34.0</w:t>
            </w:r>
          </w:p>
        </w:tc>
        <w:tc>
          <w:tcPr>
            <w:tcW w:w="1040" w:type="dxa"/>
            <w:tcBorders>
              <w:top w:val="nil"/>
              <w:left w:val="nil"/>
              <w:bottom w:val="single" w:sz="4" w:space="0" w:color="auto"/>
              <w:right w:val="nil"/>
            </w:tcBorders>
            <w:shd w:val="clear" w:color="auto" w:fill="auto"/>
            <w:vAlign w:val="center"/>
          </w:tcPr>
          <w:p w14:paraId="63EEC18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66</w:t>
            </w:r>
          </w:p>
        </w:tc>
        <w:tc>
          <w:tcPr>
            <w:tcW w:w="925" w:type="dxa"/>
            <w:tcBorders>
              <w:top w:val="nil"/>
              <w:left w:val="nil"/>
              <w:bottom w:val="single" w:sz="4" w:space="0" w:color="auto"/>
              <w:right w:val="nil"/>
            </w:tcBorders>
            <w:shd w:val="clear" w:color="auto" w:fill="auto"/>
            <w:vAlign w:val="center"/>
          </w:tcPr>
          <w:p w14:paraId="5984203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66.0</w:t>
            </w:r>
          </w:p>
        </w:tc>
        <w:tc>
          <w:tcPr>
            <w:tcW w:w="694" w:type="dxa"/>
            <w:vMerge/>
            <w:tcBorders>
              <w:left w:val="nil"/>
              <w:bottom w:val="single" w:sz="4" w:space="0" w:color="auto"/>
              <w:right w:val="nil"/>
            </w:tcBorders>
            <w:shd w:val="clear" w:color="auto" w:fill="auto"/>
            <w:vAlign w:val="center"/>
          </w:tcPr>
          <w:p w14:paraId="3CD54163"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32058448" w14:textId="77777777" w:rsidTr="00C24116">
        <w:tc>
          <w:tcPr>
            <w:tcW w:w="1499" w:type="dxa"/>
            <w:tcBorders>
              <w:top w:val="single" w:sz="4" w:space="0" w:color="auto"/>
              <w:left w:val="nil"/>
              <w:bottom w:val="nil"/>
              <w:right w:val="nil"/>
            </w:tcBorders>
            <w:shd w:val="clear" w:color="auto" w:fill="auto"/>
            <w:vAlign w:val="center"/>
          </w:tcPr>
          <w:p w14:paraId="453C5A0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Education</w:t>
            </w:r>
          </w:p>
        </w:tc>
        <w:tc>
          <w:tcPr>
            <w:tcW w:w="1155" w:type="dxa"/>
            <w:tcBorders>
              <w:top w:val="single" w:sz="4" w:space="0" w:color="auto"/>
              <w:left w:val="nil"/>
              <w:bottom w:val="nil"/>
              <w:right w:val="nil"/>
            </w:tcBorders>
            <w:shd w:val="clear" w:color="auto" w:fill="auto"/>
            <w:vAlign w:val="center"/>
          </w:tcPr>
          <w:p w14:paraId="375616F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Level A</w:t>
            </w:r>
          </w:p>
        </w:tc>
        <w:tc>
          <w:tcPr>
            <w:tcW w:w="579" w:type="dxa"/>
            <w:tcBorders>
              <w:top w:val="single" w:sz="4" w:space="0" w:color="auto"/>
              <w:left w:val="nil"/>
              <w:bottom w:val="nil"/>
              <w:right w:val="nil"/>
            </w:tcBorders>
            <w:shd w:val="clear" w:color="auto" w:fill="auto"/>
            <w:vAlign w:val="center"/>
          </w:tcPr>
          <w:p w14:paraId="7CBC789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121</w:t>
            </w:r>
          </w:p>
        </w:tc>
        <w:tc>
          <w:tcPr>
            <w:tcW w:w="1040" w:type="dxa"/>
            <w:tcBorders>
              <w:top w:val="single" w:sz="4" w:space="0" w:color="auto"/>
              <w:left w:val="nil"/>
              <w:bottom w:val="nil"/>
              <w:right w:val="nil"/>
            </w:tcBorders>
            <w:shd w:val="clear" w:color="auto" w:fill="auto"/>
            <w:vAlign w:val="center"/>
          </w:tcPr>
          <w:p w14:paraId="656C32A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47</w:t>
            </w:r>
          </w:p>
        </w:tc>
        <w:tc>
          <w:tcPr>
            <w:tcW w:w="925" w:type="dxa"/>
            <w:tcBorders>
              <w:top w:val="single" w:sz="4" w:space="0" w:color="auto"/>
              <w:left w:val="nil"/>
              <w:bottom w:val="nil"/>
              <w:right w:val="nil"/>
            </w:tcBorders>
            <w:shd w:val="clear" w:color="auto" w:fill="auto"/>
            <w:vAlign w:val="center"/>
          </w:tcPr>
          <w:p w14:paraId="02DFB77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38.8</w:t>
            </w:r>
          </w:p>
        </w:tc>
        <w:tc>
          <w:tcPr>
            <w:tcW w:w="1040" w:type="dxa"/>
            <w:tcBorders>
              <w:top w:val="single" w:sz="4" w:space="0" w:color="auto"/>
              <w:left w:val="nil"/>
              <w:bottom w:val="nil"/>
              <w:right w:val="nil"/>
            </w:tcBorders>
            <w:shd w:val="clear" w:color="auto" w:fill="auto"/>
            <w:vAlign w:val="center"/>
          </w:tcPr>
          <w:p w14:paraId="5B8EFE3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74</w:t>
            </w:r>
          </w:p>
        </w:tc>
        <w:tc>
          <w:tcPr>
            <w:tcW w:w="925" w:type="dxa"/>
            <w:tcBorders>
              <w:top w:val="single" w:sz="4" w:space="0" w:color="auto"/>
              <w:left w:val="nil"/>
              <w:bottom w:val="nil"/>
              <w:right w:val="nil"/>
            </w:tcBorders>
            <w:shd w:val="clear" w:color="auto" w:fill="auto"/>
            <w:vAlign w:val="center"/>
          </w:tcPr>
          <w:p w14:paraId="17BA781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61.2</w:t>
            </w:r>
          </w:p>
        </w:tc>
        <w:tc>
          <w:tcPr>
            <w:tcW w:w="694" w:type="dxa"/>
            <w:vMerge w:val="restart"/>
            <w:tcBorders>
              <w:top w:val="single" w:sz="4" w:space="0" w:color="auto"/>
              <w:left w:val="nil"/>
              <w:right w:val="nil"/>
            </w:tcBorders>
            <w:shd w:val="clear" w:color="auto" w:fill="auto"/>
            <w:vAlign w:val="center"/>
          </w:tcPr>
          <w:p w14:paraId="679DF67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0.340</w:t>
            </w:r>
          </w:p>
        </w:tc>
      </w:tr>
      <w:tr w:rsidR="009262E5" w:rsidRPr="008B4A2A" w14:paraId="54A22EFE" w14:textId="77777777" w:rsidTr="00C24116">
        <w:tc>
          <w:tcPr>
            <w:tcW w:w="1499" w:type="dxa"/>
            <w:tcBorders>
              <w:top w:val="nil"/>
              <w:left w:val="nil"/>
              <w:bottom w:val="nil"/>
              <w:right w:val="nil"/>
            </w:tcBorders>
            <w:shd w:val="clear" w:color="auto" w:fill="auto"/>
            <w:vAlign w:val="center"/>
          </w:tcPr>
          <w:p w14:paraId="18B08F7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nil"/>
              <w:right w:val="nil"/>
            </w:tcBorders>
            <w:shd w:val="clear" w:color="auto" w:fill="auto"/>
            <w:vAlign w:val="center"/>
          </w:tcPr>
          <w:p w14:paraId="487C320D" w14:textId="77777777" w:rsidR="009262E5" w:rsidRPr="008B4A2A" w:rsidRDefault="009262E5" w:rsidP="00C24116">
            <w:pPr>
              <w:autoSpaceDE w:val="0"/>
              <w:autoSpaceDN w:val="0"/>
              <w:adjustRightInd w:val="0"/>
              <w:snapToGrid w:val="0"/>
              <w:spacing w:line="240" w:lineRule="auto"/>
              <w:jc w:val="center"/>
              <w:rPr>
                <w:sz w:val="18"/>
                <w:vertAlign w:val="superscript"/>
                <w:lang w:val="en-GB"/>
              </w:rPr>
            </w:pPr>
            <w:r w:rsidRPr="008B4A2A">
              <w:rPr>
                <w:sz w:val="18"/>
                <w:lang w:val="en-GB"/>
              </w:rPr>
              <w:t>Level B</w:t>
            </w:r>
          </w:p>
        </w:tc>
        <w:tc>
          <w:tcPr>
            <w:tcW w:w="579" w:type="dxa"/>
            <w:tcBorders>
              <w:top w:val="nil"/>
              <w:left w:val="nil"/>
              <w:bottom w:val="nil"/>
              <w:right w:val="nil"/>
            </w:tcBorders>
            <w:shd w:val="clear" w:color="auto" w:fill="auto"/>
            <w:vAlign w:val="center"/>
          </w:tcPr>
          <w:p w14:paraId="5F98FF8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32</w:t>
            </w:r>
          </w:p>
        </w:tc>
        <w:tc>
          <w:tcPr>
            <w:tcW w:w="1040" w:type="dxa"/>
            <w:tcBorders>
              <w:top w:val="nil"/>
              <w:left w:val="nil"/>
              <w:bottom w:val="nil"/>
              <w:right w:val="nil"/>
            </w:tcBorders>
            <w:shd w:val="clear" w:color="auto" w:fill="auto"/>
            <w:vAlign w:val="center"/>
          </w:tcPr>
          <w:p w14:paraId="0B90B47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12</w:t>
            </w:r>
          </w:p>
        </w:tc>
        <w:tc>
          <w:tcPr>
            <w:tcW w:w="925" w:type="dxa"/>
            <w:tcBorders>
              <w:top w:val="nil"/>
              <w:left w:val="nil"/>
              <w:bottom w:val="nil"/>
              <w:right w:val="nil"/>
            </w:tcBorders>
            <w:shd w:val="clear" w:color="auto" w:fill="auto"/>
            <w:vAlign w:val="center"/>
          </w:tcPr>
          <w:p w14:paraId="496816D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37.5</w:t>
            </w:r>
          </w:p>
        </w:tc>
        <w:tc>
          <w:tcPr>
            <w:tcW w:w="1040" w:type="dxa"/>
            <w:tcBorders>
              <w:top w:val="nil"/>
              <w:left w:val="nil"/>
              <w:bottom w:val="nil"/>
              <w:right w:val="nil"/>
            </w:tcBorders>
            <w:shd w:val="clear" w:color="auto" w:fill="auto"/>
            <w:vAlign w:val="center"/>
          </w:tcPr>
          <w:p w14:paraId="394024B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20</w:t>
            </w:r>
          </w:p>
        </w:tc>
        <w:tc>
          <w:tcPr>
            <w:tcW w:w="925" w:type="dxa"/>
            <w:tcBorders>
              <w:top w:val="nil"/>
              <w:left w:val="nil"/>
              <w:bottom w:val="nil"/>
              <w:right w:val="nil"/>
            </w:tcBorders>
            <w:shd w:val="clear" w:color="auto" w:fill="auto"/>
            <w:vAlign w:val="center"/>
          </w:tcPr>
          <w:p w14:paraId="6CCE7E8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62.5</w:t>
            </w:r>
          </w:p>
        </w:tc>
        <w:tc>
          <w:tcPr>
            <w:tcW w:w="694" w:type="dxa"/>
            <w:vMerge/>
            <w:tcBorders>
              <w:left w:val="nil"/>
              <w:right w:val="nil"/>
            </w:tcBorders>
            <w:shd w:val="clear" w:color="auto" w:fill="auto"/>
            <w:vAlign w:val="center"/>
          </w:tcPr>
          <w:p w14:paraId="48D95517"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7906D56F" w14:textId="77777777" w:rsidTr="00C24116">
        <w:tc>
          <w:tcPr>
            <w:tcW w:w="1499" w:type="dxa"/>
            <w:tcBorders>
              <w:top w:val="nil"/>
              <w:left w:val="nil"/>
              <w:bottom w:val="single" w:sz="4" w:space="0" w:color="auto"/>
              <w:right w:val="nil"/>
            </w:tcBorders>
            <w:shd w:val="clear" w:color="auto" w:fill="auto"/>
            <w:vAlign w:val="center"/>
          </w:tcPr>
          <w:p w14:paraId="6CF1A5BB"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0D6FE083" w14:textId="77777777" w:rsidR="009262E5" w:rsidRPr="008B4A2A" w:rsidRDefault="009262E5" w:rsidP="00C24116">
            <w:pPr>
              <w:autoSpaceDE w:val="0"/>
              <w:autoSpaceDN w:val="0"/>
              <w:adjustRightInd w:val="0"/>
              <w:snapToGrid w:val="0"/>
              <w:spacing w:line="240" w:lineRule="auto"/>
              <w:jc w:val="center"/>
              <w:rPr>
                <w:sz w:val="18"/>
                <w:vertAlign w:val="superscript"/>
                <w:lang w:val="en-GB"/>
              </w:rPr>
            </w:pPr>
            <w:r w:rsidRPr="008B4A2A">
              <w:rPr>
                <w:sz w:val="18"/>
                <w:lang w:val="en-GB"/>
              </w:rPr>
              <w:t>Level C</w:t>
            </w:r>
          </w:p>
        </w:tc>
        <w:tc>
          <w:tcPr>
            <w:tcW w:w="579" w:type="dxa"/>
            <w:tcBorders>
              <w:top w:val="nil"/>
              <w:left w:val="nil"/>
              <w:bottom w:val="single" w:sz="4" w:space="0" w:color="auto"/>
              <w:right w:val="nil"/>
            </w:tcBorders>
            <w:shd w:val="clear" w:color="auto" w:fill="auto"/>
            <w:vAlign w:val="center"/>
          </w:tcPr>
          <w:p w14:paraId="1804B28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45</w:t>
            </w:r>
          </w:p>
        </w:tc>
        <w:tc>
          <w:tcPr>
            <w:tcW w:w="1040" w:type="dxa"/>
            <w:tcBorders>
              <w:top w:val="nil"/>
              <w:left w:val="nil"/>
              <w:bottom w:val="single" w:sz="4" w:space="0" w:color="auto"/>
              <w:right w:val="nil"/>
            </w:tcBorders>
            <w:shd w:val="clear" w:color="auto" w:fill="auto"/>
            <w:vAlign w:val="center"/>
          </w:tcPr>
          <w:p w14:paraId="0741634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12</w:t>
            </w:r>
          </w:p>
        </w:tc>
        <w:tc>
          <w:tcPr>
            <w:tcW w:w="925" w:type="dxa"/>
            <w:tcBorders>
              <w:top w:val="nil"/>
              <w:left w:val="nil"/>
              <w:bottom w:val="single" w:sz="4" w:space="0" w:color="auto"/>
              <w:right w:val="nil"/>
            </w:tcBorders>
            <w:shd w:val="clear" w:color="auto" w:fill="auto"/>
            <w:vAlign w:val="center"/>
          </w:tcPr>
          <w:p w14:paraId="728933F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26.7</w:t>
            </w:r>
          </w:p>
        </w:tc>
        <w:tc>
          <w:tcPr>
            <w:tcW w:w="1040" w:type="dxa"/>
            <w:tcBorders>
              <w:top w:val="nil"/>
              <w:left w:val="nil"/>
              <w:bottom w:val="single" w:sz="4" w:space="0" w:color="auto"/>
              <w:right w:val="nil"/>
            </w:tcBorders>
            <w:shd w:val="clear" w:color="auto" w:fill="auto"/>
            <w:vAlign w:val="center"/>
          </w:tcPr>
          <w:p w14:paraId="149A660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33</w:t>
            </w:r>
          </w:p>
        </w:tc>
        <w:tc>
          <w:tcPr>
            <w:tcW w:w="925" w:type="dxa"/>
            <w:tcBorders>
              <w:top w:val="nil"/>
              <w:left w:val="nil"/>
              <w:bottom w:val="single" w:sz="4" w:space="0" w:color="auto"/>
              <w:right w:val="nil"/>
            </w:tcBorders>
            <w:shd w:val="clear" w:color="auto" w:fill="auto"/>
            <w:vAlign w:val="center"/>
          </w:tcPr>
          <w:p w14:paraId="02495E2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73.3</w:t>
            </w:r>
          </w:p>
        </w:tc>
        <w:tc>
          <w:tcPr>
            <w:tcW w:w="694" w:type="dxa"/>
            <w:vMerge/>
            <w:tcBorders>
              <w:left w:val="nil"/>
              <w:bottom w:val="single" w:sz="4" w:space="0" w:color="auto"/>
              <w:right w:val="nil"/>
            </w:tcBorders>
            <w:shd w:val="clear" w:color="auto" w:fill="auto"/>
            <w:vAlign w:val="center"/>
          </w:tcPr>
          <w:p w14:paraId="53AEEEAA"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5F99D018" w14:textId="77777777" w:rsidTr="00C24116">
        <w:tc>
          <w:tcPr>
            <w:tcW w:w="1499" w:type="dxa"/>
            <w:tcBorders>
              <w:top w:val="single" w:sz="4" w:space="0" w:color="auto"/>
              <w:left w:val="nil"/>
              <w:bottom w:val="nil"/>
              <w:right w:val="nil"/>
            </w:tcBorders>
            <w:shd w:val="clear" w:color="auto" w:fill="auto"/>
            <w:vAlign w:val="center"/>
          </w:tcPr>
          <w:p w14:paraId="163706D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Obesity</w:t>
            </w:r>
          </w:p>
        </w:tc>
        <w:tc>
          <w:tcPr>
            <w:tcW w:w="1155" w:type="dxa"/>
            <w:tcBorders>
              <w:top w:val="single" w:sz="4" w:space="0" w:color="auto"/>
              <w:left w:val="nil"/>
              <w:bottom w:val="nil"/>
              <w:right w:val="nil"/>
            </w:tcBorders>
            <w:shd w:val="clear" w:color="auto" w:fill="auto"/>
            <w:vAlign w:val="center"/>
          </w:tcPr>
          <w:p w14:paraId="580D9E1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Yes </w:t>
            </w:r>
          </w:p>
        </w:tc>
        <w:tc>
          <w:tcPr>
            <w:tcW w:w="579" w:type="dxa"/>
            <w:tcBorders>
              <w:top w:val="single" w:sz="4" w:space="0" w:color="auto"/>
              <w:left w:val="nil"/>
              <w:bottom w:val="nil"/>
              <w:right w:val="nil"/>
            </w:tcBorders>
            <w:shd w:val="clear" w:color="auto" w:fill="auto"/>
            <w:vAlign w:val="center"/>
          </w:tcPr>
          <w:p w14:paraId="1D770FE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56</w:t>
            </w:r>
          </w:p>
        </w:tc>
        <w:tc>
          <w:tcPr>
            <w:tcW w:w="1040" w:type="dxa"/>
            <w:tcBorders>
              <w:top w:val="single" w:sz="4" w:space="0" w:color="auto"/>
              <w:left w:val="nil"/>
              <w:bottom w:val="nil"/>
              <w:right w:val="nil"/>
            </w:tcBorders>
            <w:shd w:val="clear" w:color="auto" w:fill="auto"/>
            <w:vAlign w:val="center"/>
          </w:tcPr>
          <w:p w14:paraId="7BAAF80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16</w:t>
            </w:r>
          </w:p>
        </w:tc>
        <w:tc>
          <w:tcPr>
            <w:tcW w:w="925" w:type="dxa"/>
            <w:tcBorders>
              <w:top w:val="single" w:sz="4" w:space="0" w:color="auto"/>
              <w:left w:val="nil"/>
              <w:bottom w:val="nil"/>
              <w:right w:val="nil"/>
            </w:tcBorders>
            <w:shd w:val="clear" w:color="auto" w:fill="auto"/>
            <w:vAlign w:val="center"/>
          </w:tcPr>
          <w:p w14:paraId="68FAD55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28.6</w:t>
            </w:r>
          </w:p>
        </w:tc>
        <w:tc>
          <w:tcPr>
            <w:tcW w:w="1040" w:type="dxa"/>
            <w:tcBorders>
              <w:top w:val="single" w:sz="4" w:space="0" w:color="auto"/>
              <w:left w:val="nil"/>
              <w:bottom w:val="nil"/>
              <w:right w:val="nil"/>
            </w:tcBorders>
            <w:shd w:val="clear" w:color="auto" w:fill="auto"/>
            <w:vAlign w:val="center"/>
          </w:tcPr>
          <w:p w14:paraId="79D7B43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40</w:t>
            </w:r>
          </w:p>
        </w:tc>
        <w:tc>
          <w:tcPr>
            <w:tcW w:w="925" w:type="dxa"/>
            <w:tcBorders>
              <w:top w:val="single" w:sz="4" w:space="0" w:color="auto"/>
              <w:left w:val="nil"/>
              <w:bottom w:val="nil"/>
              <w:right w:val="nil"/>
            </w:tcBorders>
            <w:shd w:val="clear" w:color="auto" w:fill="auto"/>
            <w:vAlign w:val="center"/>
          </w:tcPr>
          <w:p w14:paraId="632A5A2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71.4</w:t>
            </w:r>
          </w:p>
        </w:tc>
        <w:tc>
          <w:tcPr>
            <w:tcW w:w="694" w:type="dxa"/>
            <w:vMerge w:val="restart"/>
            <w:tcBorders>
              <w:top w:val="single" w:sz="4" w:space="0" w:color="auto"/>
              <w:left w:val="nil"/>
              <w:right w:val="nil"/>
            </w:tcBorders>
            <w:shd w:val="clear" w:color="auto" w:fill="auto"/>
            <w:vAlign w:val="center"/>
          </w:tcPr>
          <w:p w14:paraId="6AD0996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0.145</w:t>
            </w:r>
          </w:p>
        </w:tc>
      </w:tr>
      <w:tr w:rsidR="009262E5" w:rsidRPr="008B4A2A" w14:paraId="6000E0A5" w14:textId="77777777" w:rsidTr="00C24116">
        <w:tc>
          <w:tcPr>
            <w:tcW w:w="1499" w:type="dxa"/>
            <w:tcBorders>
              <w:top w:val="nil"/>
              <w:left w:val="nil"/>
              <w:bottom w:val="nil"/>
              <w:right w:val="nil"/>
            </w:tcBorders>
            <w:shd w:val="clear" w:color="auto" w:fill="auto"/>
            <w:vAlign w:val="center"/>
          </w:tcPr>
          <w:p w14:paraId="2AD1143E"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nil"/>
              <w:right w:val="nil"/>
            </w:tcBorders>
            <w:shd w:val="clear" w:color="auto" w:fill="auto"/>
            <w:vAlign w:val="center"/>
          </w:tcPr>
          <w:p w14:paraId="32025B1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No</w:t>
            </w:r>
          </w:p>
        </w:tc>
        <w:tc>
          <w:tcPr>
            <w:tcW w:w="579" w:type="dxa"/>
            <w:tcBorders>
              <w:top w:val="nil"/>
              <w:left w:val="nil"/>
              <w:bottom w:val="nil"/>
              <w:right w:val="nil"/>
            </w:tcBorders>
            <w:shd w:val="clear" w:color="auto" w:fill="auto"/>
            <w:vAlign w:val="center"/>
          </w:tcPr>
          <w:p w14:paraId="1F6DC05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136</w:t>
            </w:r>
          </w:p>
        </w:tc>
        <w:tc>
          <w:tcPr>
            <w:tcW w:w="1040" w:type="dxa"/>
            <w:tcBorders>
              <w:top w:val="nil"/>
              <w:left w:val="nil"/>
              <w:bottom w:val="nil"/>
              <w:right w:val="nil"/>
            </w:tcBorders>
            <w:shd w:val="clear" w:color="auto" w:fill="auto"/>
            <w:vAlign w:val="center"/>
          </w:tcPr>
          <w:p w14:paraId="5078F03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54</w:t>
            </w:r>
          </w:p>
        </w:tc>
        <w:tc>
          <w:tcPr>
            <w:tcW w:w="925" w:type="dxa"/>
            <w:tcBorders>
              <w:top w:val="nil"/>
              <w:left w:val="nil"/>
              <w:bottom w:val="nil"/>
              <w:right w:val="nil"/>
            </w:tcBorders>
            <w:shd w:val="clear" w:color="auto" w:fill="auto"/>
            <w:vAlign w:val="center"/>
          </w:tcPr>
          <w:p w14:paraId="4AA5798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39.7</w:t>
            </w:r>
          </w:p>
        </w:tc>
        <w:tc>
          <w:tcPr>
            <w:tcW w:w="1040" w:type="dxa"/>
            <w:tcBorders>
              <w:top w:val="nil"/>
              <w:left w:val="nil"/>
              <w:bottom w:val="nil"/>
              <w:right w:val="nil"/>
            </w:tcBorders>
            <w:shd w:val="clear" w:color="auto" w:fill="auto"/>
            <w:vAlign w:val="center"/>
          </w:tcPr>
          <w:p w14:paraId="4934055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82</w:t>
            </w:r>
          </w:p>
        </w:tc>
        <w:tc>
          <w:tcPr>
            <w:tcW w:w="925" w:type="dxa"/>
            <w:tcBorders>
              <w:top w:val="nil"/>
              <w:left w:val="nil"/>
              <w:bottom w:val="nil"/>
              <w:right w:val="nil"/>
            </w:tcBorders>
            <w:shd w:val="clear" w:color="auto" w:fill="auto"/>
            <w:vAlign w:val="center"/>
          </w:tcPr>
          <w:p w14:paraId="6BBC9CA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60.3</w:t>
            </w:r>
          </w:p>
        </w:tc>
        <w:tc>
          <w:tcPr>
            <w:tcW w:w="694" w:type="dxa"/>
            <w:vMerge/>
            <w:tcBorders>
              <w:left w:val="nil"/>
              <w:right w:val="nil"/>
            </w:tcBorders>
            <w:shd w:val="clear" w:color="auto" w:fill="auto"/>
            <w:vAlign w:val="center"/>
          </w:tcPr>
          <w:p w14:paraId="3DD2EDFD"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FBDCE15" w14:textId="77777777" w:rsidTr="00C24116">
        <w:tc>
          <w:tcPr>
            <w:tcW w:w="1499" w:type="dxa"/>
            <w:tcBorders>
              <w:top w:val="nil"/>
              <w:left w:val="nil"/>
              <w:bottom w:val="single" w:sz="4" w:space="0" w:color="auto"/>
              <w:right w:val="nil"/>
            </w:tcBorders>
            <w:shd w:val="clear" w:color="auto" w:fill="auto"/>
            <w:vAlign w:val="center"/>
          </w:tcPr>
          <w:p w14:paraId="1CB6FCB3"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330921F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Missing</w:t>
            </w:r>
          </w:p>
        </w:tc>
        <w:tc>
          <w:tcPr>
            <w:tcW w:w="579" w:type="dxa"/>
            <w:tcBorders>
              <w:top w:val="nil"/>
              <w:left w:val="nil"/>
              <w:bottom w:val="single" w:sz="4" w:space="0" w:color="auto"/>
              <w:right w:val="nil"/>
            </w:tcBorders>
            <w:shd w:val="clear" w:color="auto" w:fill="auto"/>
            <w:vAlign w:val="center"/>
          </w:tcPr>
          <w:p w14:paraId="0067D5E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w:t>
            </w:r>
          </w:p>
        </w:tc>
        <w:tc>
          <w:tcPr>
            <w:tcW w:w="1040" w:type="dxa"/>
            <w:tcBorders>
              <w:top w:val="nil"/>
              <w:left w:val="nil"/>
              <w:bottom w:val="single" w:sz="4" w:space="0" w:color="auto"/>
              <w:right w:val="nil"/>
            </w:tcBorders>
            <w:shd w:val="clear" w:color="auto" w:fill="auto"/>
            <w:vAlign w:val="center"/>
          </w:tcPr>
          <w:p w14:paraId="2A8586A3"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925" w:type="dxa"/>
            <w:tcBorders>
              <w:top w:val="nil"/>
              <w:left w:val="nil"/>
              <w:bottom w:val="single" w:sz="4" w:space="0" w:color="auto"/>
              <w:right w:val="nil"/>
            </w:tcBorders>
            <w:shd w:val="clear" w:color="auto" w:fill="auto"/>
            <w:vAlign w:val="center"/>
          </w:tcPr>
          <w:p w14:paraId="5F8AE9E4"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040" w:type="dxa"/>
            <w:tcBorders>
              <w:top w:val="nil"/>
              <w:left w:val="nil"/>
              <w:bottom w:val="single" w:sz="4" w:space="0" w:color="auto"/>
              <w:right w:val="nil"/>
            </w:tcBorders>
            <w:shd w:val="clear" w:color="auto" w:fill="auto"/>
            <w:vAlign w:val="center"/>
          </w:tcPr>
          <w:p w14:paraId="6F3BAD69"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925" w:type="dxa"/>
            <w:tcBorders>
              <w:top w:val="nil"/>
              <w:left w:val="nil"/>
              <w:bottom w:val="single" w:sz="4" w:space="0" w:color="auto"/>
              <w:right w:val="nil"/>
            </w:tcBorders>
            <w:shd w:val="clear" w:color="auto" w:fill="auto"/>
            <w:vAlign w:val="center"/>
          </w:tcPr>
          <w:p w14:paraId="5F789053"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694" w:type="dxa"/>
            <w:vMerge/>
            <w:tcBorders>
              <w:left w:val="nil"/>
              <w:bottom w:val="single" w:sz="4" w:space="0" w:color="auto"/>
              <w:right w:val="nil"/>
            </w:tcBorders>
            <w:shd w:val="clear" w:color="auto" w:fill="auto"/>
            <w:vAlign w:val="center"/>
          </w:tcPr>
          <w:p w14:paraId="2F45B1AC"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42CF1AB2" w14:textId="77777777" w:rsidTr="00C24116">
        <w:tc>
          <w:tcPr>
            <w:tcW w:w="1499" w:type="dxa"/>
            <w:tcBorders>
              <w:top w:val="single" w:sz="4" w:space="0" w:color="auto"/>
              <w:left w:val="nil"/>
              <w:bottom w:val="nil"/>
              <w:right w:val="nil"/>
            </w:tcBorders>
            <w:shd w:val="clear" w:color="auto" w:fill="auto"/>
            <w:vAlign w:val="center"/>
          </w:tcPr>
          <w:p w14:paraId="4F97B0C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Smoking</w:t>
            </w:r>
          </w:p>
        </w:tc>
        <w:tc>
          <w:tcPr>
            <w:tcW w:w="1155" w:type="dxa"/>
            <w:tcBorders>
              <w:top w:val="single" w:sz="4" w:space="0" w:color="auto"/>
              <w:left w:val="nil"/>
              <w:bottom w:val="nil"/>
              <w:right w:val="nil"/>
            </w:tcBorders>
            <w:shd w:val="clear" w:color="auto" w:fill="auto"/>
            <w:vAlign w:val="center"/>
          </w:tcPr>
          <w:p w14:paraId="0964ADA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Current</w:t>
            </w:r>
          </w:p>
        </w:tc>
        <w:tc>
          <w:tcPr>
            <w:tcW w:w="579" w:type="dxa"/>
            <w:tcBorders>
              <w:top w:val="single" w:sz="4" w:space="0" w:color="auto"/>
              <w:left w:val="nil"/>
              <w:bottom w:val="nil"/>
              <w:right w:val="nil"/>
            </w:tcBorders>
            <w:shd w:val="clear" w:color="auto" w:fill="auto"/>
            <w:vAlign w:val="center"/>
          </w:tcPr>
          <w:p w14:paraId="766611A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60</w:t>
            </w:r>
          </w:p>
        </w:tc>
        <w:tc>
          <w:tcPr>
            <w:tcW w:w="1040" w:type="dxa"/>
            <w:tcBorders>
              <w:top w:val="single" w:sz="4" w:space="0" w:color="auto"/>
              <w:left w:val="nil"/>
              <w:bottom w:val="nil"/>
              <w:right w:val="nil"/>
            </w:tcBorders>
            <w:shd w:val="clear" w:color="auto" w:fill="auto"/>
            <w:vAlign w:val="center"/>
          </w:tcPr>
          <w:p w14:paraId="44C0A39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21</w:t>
            </w:r>
          </w:p>
        </w:tc>
        <w:tc>
          <w:tcPr>
            <w:tcW w:w="925" w:type="dxa"/>
            <w:tcBorders>
              <w:top w:val="single" w:sz="4" w:space="0" w:color="auto"/>
              <w:left w:val="nil"/>
              <w:bottom w:val="nil"/>
              <w:right w:val="nil"/>
            </w:tcBorders>
            <w:shd w:val="clear" w:color="auto" w:fill="auto"/>
            <w:vAlign w:val="center"/>
          </w:tcPr>
          <w:p w14:paraId="2D50A30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35.0</w:t>
            </w:r>
          </w:p>
        </w:tc>
        <w:tc>
          <w:tcPr>
            <w:tcW w:w="1040" w:type="dxa"/>
            <w:tcBorders>
              <w:top w:val="single" w:sz="4" w:space="0" w:color="auto"/>
              <w:left w:val="nil"/>
              <w:bottom w:val="nil"/>
              <w:right w:val="nil"/>
            </w:tcBorders>
            <w:shd w:val="clear" w:color="auto" w:fill="auto"/>
            <w:vAlign w:val="center"/>
          </w:tcPr>
          <w:p w14:paraId="098A64B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39</w:t>
            </w:r>
          </w:p>
        </w:tc>
        <w:tc>
          <w:tcPr>
            <w:tcW w:w="925" w:type="dxa"/>
            <w:tcBorders>
              <w:top w:val="single" w:sz="4" w:space="0" w:color="auto"/>
              <w:left w:val="nil"/>
              <w:bottom w:val="nil"/>
              <w:right w:val="nil"/>
            </w:tcBorders>
            <w:shd w:val="clear" w:color="auto" w:fill="auto"/>
            <w:vAlign w:val="center"/>
          </w:tcPr>
          <w:p w14:paraId="1D45691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65.0</w:t>
            </w:r>
          </w:p>
        </w:tc>
        <w:tc>
          <w:tcPr>
            <w:tcW w:w="694" w:type="dxa"/>
            <w:vMerge w:val="restart"/>
            <w:tcBorders>
              <w:top w:val="single" w:sz="4" w:space="0" w:color="auto"/>
              <w:left w:val="nil"/>
              <w:right w:val="nil"/>
            </w:tcBorders>
            <w:shd w:val="clear" w:color="auto" w:fill="auto"/>
            <w:vAlign w:val="center"/>
          </w:tcPr>
          <w:p w14:paraId="0ADC5C5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0.977</w:t>
            </w:r>
          </w:p>
        </w:tc>
      </w:tr>
      <w:tr w:rsidR="009262E5" w:rsidRPr="008B4A2A" w14:paraId="297780A7" w14:textId="77777777" w:rsidTr="00C24116">
        <w:tc>
          <w:tcPr>
            <w:tcW w:w="1499" w:type="dxa"/>
            <w:tcBorders>
              <w:top w:val="nil"/>
              <w:left w:val="nil"/>
              <w:bottom w:val="nil"/>
              <w:right w:val="nil"/>
            </w:tcBorders>
            <w:shd w:val="clear" w:color="auto" w:fill="auto"/>
            <w:vAlign w:val="center"/>
          </w:tcPr>
          <w:p w14:paraId="1E3FF522"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nil"/>
              <w:right w:val="nil"/>
            </w:tcBorders>
            <w:shd w:val="clear" w:color="auto" w:fill="auto"/>
            <w:vAlign w:val="center"/>
          </w:tcPr>
          <w:p w14:paraId="16ABE45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Former</w:t>
            </w:r>
          </w:p>
        </w:tc>
        <w:tc>
          <w:tcPr>
            <w:tcW w:w="579" w:type="dxa"/>
            <w:tcBorders>
              <w:top w:val="nil"/>
              <w:left w:val="nil"/>
              <w:bottom w:val="nil"/>
              <w:right w:val="nil"/>
            </w:tcBorders>
            <w:shd w:val="clear" w:color="auto" w:fill="auto"/>
            <w:vAlign w:val="center"/>
          </w:tcPr>
          <w:p w14:paraId="5B644A1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59</w:t>
            </w:r>
          </w:p>
        </w:tc>
        <w:tc>
          <w:tcPr>
            <w:tcW w:w="1040" w:type="dxa"/>
            <w:tcBorders>
              <w:top w:val="nil"/>
              <w:left w:val="nil"/>
              <w:bottom w:val="nil"/>
              <w:right w:val="nil"/>
            </w:tcBorders>
            <w:shd w:val="clear" w:color="auto" w:fill="auto"/>
            <w:vAlign w:val="center"/>
          </w:tcPr>
          <w:p w14:paraId="317AC4F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21</w:t>
            </w:r>
          </w:p>
        </w:tc>
        <w:tc>
          <w:tcPr>
            <w:tcW w:w="925" w:type="dxa"/>
            <w:tcBorders>
              <w:top w:val="nil"/>
              <w:left w:val="nil"/>
              <w:bottom w:val="nil"/>
              <w:right w:val="nil"/>
            </w:tcBorders>
            <w:shd w:val="clear" w:color="auto" w:fill="auto"/>
            <w:vAlign w:val="center"/>
          </w:tcPr>
          <w:p w14:paraId="4DE43B6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35.6</w:t>
            </w:r>
          </w:p>
        </w:tc>
        <w:tc>
          <w:tcPr>
            <w:tcW w:w="1040" w:type="dxa"/>
            <w:tcBorders>
              <w:top w:val="nil"/>
              <w:left w:val="nil"/>
              <w:bottom w:val="nil"/>
              <w:right w:val="nil"/>
            </w:tcBorders>
            <w:shd w:val="clear" w:color="auto" w:fill="auto"/>
            <w:vAlign w:val="center"/>
          </w:tcPr>
          <w:p w14:paraId="47C7FDA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38</w:t>
            </w:r>
          </w:p>
        </w:tc>
        <w:tc>
          <w:tcPr>
            <w:tcW w:w="925" w:type="dxa"/>
            <w:tcBorders>
              <w:top w:val="nil"/>
              <w:left w:val="nil"/>
              <w:bottom w:val="nil"/>
              <w:right w:val="nil"/>
            </w:tcBorders>
            <w:shd w:val="clear" w:color="auto" w:fill="auto"/>
            <w:vAlign w:val="center"/>
          </w:tcPr>
          <w:p w14:paraId="5E5A55E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64.4</w:t>
            </w:r>
          </w:p>
        </w:tc>
        <w:tc>
          <w:tcPr>
            <w:tcW w:w="694" w:type="dxa"/>
            <w:vMerge/>
            <w:tcBorders>
              <w:left w:val="nil"/>
              <w:right w:val="nil"/>
            </w:tcBorders>
            <w:shd w:val="clear" w:color="auto" w:fill="auto"/>
            <w:vAlign w:val="center"/>
          </w:tcPr>
          <w:p w14:paraId="4A9DF973"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6D254755" w14:textId="77777777" w:rsidTr="00C24116">
        <w:tc>
          <w:tcPr>
            <w:tcW w:w="1499" w:type="dxa"/>
            <w:tcBorders>
              <w:top w:val="nil"/>
              <w:left w:val="nil"/>
              <w:bottom w:val="single" w:sz="4" w:space="0" w:color="auto"/>
              <w:right w:val="nil"/>
            </w:tcBorders>
            <w:shd w:val="clear" w:color="auto" w:fill="auto"/>
            <w:vAlign w:val="center"/>
          </w:tcPr>
          <w:p w14:paraId="688F524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5D54057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Never</w:t>
            </w:r>
          </w:p>
        </w:tc>
        <w:tc>
          <w:tcPr>
            <w:tcW w:w="579" w:type="dxa"/>
            <w:tcBorders>
              <w:top w:val="nil"/>
              <w:left w:val="nil"/>
              <w:bottom w:val="single" w:sz="4" w:space="0" w:color="auto"/>
              <w:right w:val="nil"/>
            </w:tcBorders>
            <w:shd w:val="clear" w:color="auto" w:fill="auto"/>
            <w:vAlign w:val="center"/>
          </w:tcPr>
          <w:p w14:paraId="7B62B5B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79</w:t>
            </w:r>
          </w:p>
        </w:tc>
        <w:tc>
          <w:tcPr>
            <w:tcW w:w="1040" w:type="dxa"/>
            <w:tcBorders>
              <w:top w:val="nil"/>
              <w:left w:val="nil"/>
              <w:bottom w:val="single" w:sz="4" w:space="0" w:color="auto"/>
              <w:right w:val="nil"/>
            </w:tcBorders>
            <w:shd w:val="clear" w:color="auto" w:fill="auto"/>
            <w:vAlign w:val="center"/>
          </w:tcPr>
          <w:p w14:paraId="14E2279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29</w:t>
            </w:r>
          </w:p>
        </w:tc>
        <w:tc>
          <w:tcPr>
            <w:tcW w:w="925" w:type="dxa"/>
            <w:tcBorders>
              <w:top w:val="nil"/>
              <w:left w:val="nil"/>
              <w:bottom w:val="single" w:sz="4" w:space="0" w:color="auto"/>
              <w:right w:val="nil"/>
            </w:tcBorders>
            <w:shd w:val="clear" w:color="auto" w:fill="auto"/>
            <w:vAlign w:val="center"/>
          </w:tcPr>
          <w:p w14:paraId="43168ED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36.7</w:t>
            </w:r>
          </w:p>
        </w:tc>
        <w:tc>
          <w:tcPr>
            <w:tcW w:w="1040" w:type="dxa"/>
            <w:tcBorders>
              <w:top w:val="nil"/>
              <w:left w:val="nil"/>
              <w:bottom w:val="single" w:sz="4" w:space="0" w:color="auto"/>
              <w:right w:val="nil"/>
            </w:tcBorders>
            <w:shd w:val="clear" w:color="auto" w:fill="auto"/>
            <w:vAlign w:val="center"/>
          </w:tcPr>
          <w:p w14:paraId="5373DCD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50</w:t>
            </w:r>
          </w:p>
        </w:tc>
        <w:tc>
          <w:tcPr>
            <w:tcW w:w="925" w:type="dxa"/>
            <w:tcBorders>
              <w:top w:val="nil"/>
              <w:left w:val="nil"/>
              <w:bottom w:val="single" w:sz="4" w:space="0" w:color="auto"/>
              <w:right w:val="nil"/>
            </w:tcBorders>
            <w:shd w:val="clear" w:color="auto" w:fill="auto"/>
            <w:vAlign w:val="center"/>
          </w:tcPr>
          <w:p w14:paraId="1EED4B6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63.3</w:t>
            </w:r>
          </w:p>
        </w:tc>
        <w:tc>
          <w:tcPr>
            <w:tcW w:w="694" w:type="dxa"/>
            <w:vMerge/>
            <w:tcBorders>
              <w:left w:val="nil"/>
              <w:bottom w:val="single" w:sz="4" w:space="0" w:color="auto"/>
              <w:right w:val="nil"/>
            </w:tcBorders>
            <w:shd w:val="clear" w:color="auto" w:fill="auto"/>
            <w:vAlign w:val="center"/>
          </w:tcPr>
          <w:p w14:paraId="10717F17"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243842D5" w14:textId="77777777" w:rsidTr="00C24116">
        <w:tc>
          <w:tcPr>
            <w:tcW w:w="1499" w:type="dxa"/>
            <w:tcBorders>
              <w:top w:val="single" w:sz="4" w:space="0" w:color="auto"/>
              <w:left w:val="nil"/>
              <w:bottom w:val="nil"/>
              <w:right w:val="nil"/>
            </w:tcBorders>
            <w:shd w:val="clear" w:color="auto" w:fill="auto"/>
            <w:vAlign w:val="center"/>
          </w:tcPr>
          <w:p w14:paraId="4A2E67A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Alcohol</w:t>
            </w:r>
          </w:p>
        </w:tc>
        <w:tc>
          <w:tcPr>
            <w:tcW w:w="1155" w:type="dxa"/>
            <w:tcBorders>
              <w:top w:val="single" w:sz="4" w:space="0" w:color="auto"/>
              <w:left w:val="nil"/>
              <w:bottom w:val="nil"/>
              <w:right w:val="nil"/>
            </w:tcBorders>
            <w:shd w:val="clear" w:color="auto" w:fill="auto"/>
            <w:vAlign w:val="center"/>
          </w:tcPr>
          <w:p w14:paraId="714AB77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Yes</w:t>
            </w:r>
          </w:p>
        </w:tc>
        <w:tc>
          <w:tcPr>
            <w:tcW w:w="579" w:type="dxa"/>
            <w:tcBorders>
              <w:top w:val="single" w:sz="4" w:space="0" w:color="auto"/>
              <w:left w:val="nil"/>
              <w:bottom w:val="nil"/>
              <w:right w:val="nil"/>
            </w:tcBorders>
            <w:shd w:val="clear" w:color="auto" w:fill="auto"/>
            <w:vAlign w:val="center"/>
          </w:tcPr>
          <w:p w14:paraId="5A6C8B7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116</w:t>
            </w:r>
          </w:p>
        </w:tc>
        <w:tc>
          <w:tcPr>
            <w:tcW w:w="1040" w:type="dxa"/>
            <w:tcBorders>
              <w:top w:val="single" w:sz="4" w:space="0" w:color="auto"/>
              <w:left w:val="nil"/>
              <w:bottom w:val="nil"/>
              <w:right w:val="nil"/>
            </w:tcBorders>
            <w:shd w:val="clear" w:color="auto" w:fill="auto"/>
            <w:vAlign w:val="center"/>
          </w:tcPr>
          <w:p w14:paraId="112E782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40</w:t>
            </w:r>
          </w:p>
        </w:tc>
        <w:tc>
          <w:tcPr>
            <w:tcW w:w="925" w:type="dxa"/>
            <w:tcBorders>
              <w:top w:val="single" w:sz="4" w:space="0" w:color="auto"/>
              <w:left w:val="nil"/>
              <w:bottom w:val="nil"/>
              <w:right w:val="nil"/>
            </w:tcBorders>
            <w:shd w:val="clear" w:color="auto" w:fill="auto"/>
            <w:vAlign w:val="center"/>
          </w:tcPr>
          <w:p w14:paraId="3EC3F43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34.5</w:t>
            </w:r>
          </w:p>
        </w:tc>
        <w:tc>
          <w:tcPr>
            <w:tcW w:w="1040" w:type="dxa"/>
            <w:tcBorders>
              <w:top w:val="single" w:sz="4" w:space="0" w:color="auto"/>
              <w:left w:val="nil"/>
              <w:bottom w:val="nil"/>
              <w:right w:val="nil"/>
            </w:tcBorders>
            <w:shd w:val="clear" w:color="auto" w:fill="auto"/>
            <w:vAlign w:val="center"/>
          </w:tcPr>
          <w:p w14:paraId="7E7CB47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76</w:t>
            </w:r>
          </w:p>
        </w:tc>
        <w:tc>
          <w:tcPr>
            <w:tcW w:w="925" w:type="dxa"/>
            <w:tcBorders>
              <w:top w:val="single" w:sz="4" w:space="0" w:color="auto"/>
              <w:left w:val="nil"/>
              <w:bottom w:val="nil"/>
              <w:right w:val="nil"/>
            </w:tcBorders>
            <w:shd w:val="clear" w:color="auto" w:fill="auto"/>
            <w:vAlign w:val="center"/>
          </w:tcPr>
          <w:p w14:paraId="112485A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65.5</w:t>
            </w:r>
          </w:p>
        </w:tc>
        <w:tc>
          <w:tcPr>
            <w:tcW w:w="694" w:type="dxa"/>
            <w:vMerge w:val="restart"/>
            <w:tcBorders>
              <w:top w:val="single" w:sz="4" w:space="0" w:color="auto"/>
              <w:left w:val="nil"/>
              <w:right w:val="nil"/>
            </w:tcBorders>
            <w:shd w:val="clear" w:color="auto" w:fill="auto"/>
            <w:vAlign w:val="center"/>
          </w:tcPr>
          <w:p w14:paraId="4127857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0.631</w:t>
            </w:r>
          </w:p>
        </w:tc>
      </w:tr>
      <w:tr w:rsidR="009262E5" w:rsidRPr="008B4A2A" w14:paraId="7BCA98EC" w14:textId="77777777" w:rsidTr="00C24116">
        <w:tc>
          <w:tcPr>
            <w:tcW w:w="1499" w:type="dxa"/>
            <w:tcBorders>
              <w:top w:val="nil"/>
              <w:left w:val="nil"/>
              <w:bottom w:val="single" w:sz="4" w:space="0" w:color="auto"/>
              <w:right w:val="nil"/>
            </w:tcBorders>
            <w:shd w:val="clear" w:color="auto" w:fill="auto"/>
            <w:vAlign w:val="center"/>
          </w:tcPr>
          <w:p w14:paraId="1D68B0FC"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545A719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No</w:t>
            </w:r>
          </w:p>
        </w:tc>
        <w:tc>
          <w:tcPr>
            <w:tcW w:w="579" w:type="dxa"/>
            <w:tcBorders>
              <w:top w:val="nil"/>
              <w:left w:val="nil"/>
              <w:bottom w:val="single" w:sz="4" w:space="0" w:color="auto"/>
              <w:right w:val="nil"/>
            </w:tcBorders>
            <w:shd w:val="clear" w:color="auto" w:fill="auto"/>
            <w:vAlign w:val="center"/>
          </w:tcPr>
          <w:p w14:paraId="2CC4709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82</w:t>
            </w:r>
          </w:p>
        </w:tc>
        <w:tc>
          <w:tcPr>
            <w:tcW w:w="1040" w:type="dxa"/>
            <w:tcBorders>
              <w:top w:val="nil"/>
              <w:left w:val="nil"/>
              <w:bottom w:val="single" w:sz="4" w:space="0" w:color="auto"/>
              <w:right w:val="nil"/>
            </w:tcBorders>
            <w:shd w:val="clear" w:color="auto" w:fill="auto"/>
            <w:vAlign w:val="center"/>
          </w:tcPr>
          <w:p w14:paraId="0721312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31</w:t>
            </w:r>
          </w:p>
        </w:tc>
        <w:tc>
          <w:tcPr>
            <w:tcW w:w="925" w:type="dxa"/>
            <w:tcBorders>
              <w:top w:val="nil"/>
              <w:left w:val="nil"/>
              <w:bottom w:val="single" w:sz="4" w:space="0" w:color="auto"/>
              <w:right w:val="nil"/>
            </w:tcBorders>
            <w:shd w:val="clear" w:color="auto" w:fill="auto"/>
            <w:vAlign w:val="center"/>
          </w:tcPr>
          <w:p w14:paraId="1F681B4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37.8</w:t>
            </w:r>
          </w:p>
        </w:tc>
        <w:tc>
          <w:tcPr>
            <w:tcW w:w="1040" w:type="dxa"/>
            <w:tcBorders>
              <w:top w:val="nil"/>
              <w:left w:val="nil"/>
              <w:bottom w:val="single" w:sz="4" w:space="0" w:color="auto"/>
              <w:right w:val="nil"/>
            </w:tcBorders>
            <w:shd w:val="clear" w:color="auto" w:fill="auto"/>
            <w:vAlign w:val="center"/>
          </w:tcPr>
          <w:p w14:paraId="77EC739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51</w:t>
            </w:r>
          </w:p>
        </w:tc>
        <w:tc>
          <w:tcPr>
            <w:tcW w:w="925" w:type="dxa"/>
            <w:tcBorders>
              <w:top w:val="nil"/>
              <w:left w:val="nil"/>
              <w:bottom w:val="single" w:sz="4" w:space="0" w:color="auto"/>
              <w:right w:val="nil"/>
            </w:tcBorders>
            <w:shd w:val="clear" w:color="auto" w:fill="auto"/>
            <w:vAlign w:val="center"/>
          </w:tcPr>
          <w:p w14:paraId="451C975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62.2</w:t>
            </w:r>
          </w:p>
        </w:tc>
        <w:tc>
          <w:tcPr>
            <w:tcW w:w="694" w:type="dxa"/>
            <w:vMerge/>
            <w:tcBorders>
              <w:left w:val="nil"/>
              <w:bottom w:val="single" w:sz="4" w:space="0" w:color="auto"/>
              <w:right w:val="nil"/>
            </w:tcBorders>
            <w:shd w:val="clear" w:color="auto" w:fill="auto"/>
            <w:vAlign w:val="center"/>
          </w:tcPr>
          <w:p w14:paraId="74E7CDAF"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359DB059" w14:textId="77777777" w:rsidTr="00C24116">
        <w:tc>
          <w:tcPr>
            <w:tcW w:w="1499" w:type="dxa"/>
            <w:tcBorders>
              <w:top w:val="single" w:sz="4" w:space="0" w:color="auto"/>
              <w:left w:val="nil"/>
              <w:bottom w:val="nil"/>
              <w:right w:val="nil"/>
            </w:tcBorders>
            <w:shd w:val="clear" w:color="auto" w:fill="auto"/>
            <w:vAlign w:val="center"/>
          </w:tcPr>
          <w:p w14:paraId="26599AB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Medication</w:t>
            </w:r>
          </w:p>
        </w:tc>
        <w:tc>
          <w:tcPr>
            <w:tcW w:w="1155" w:type="dxa"/>
            <w:tcBorders>
              <w:top w:val="single" w:sz="4" w:space="0" w:color="auto"/>
              <w:left w:val="nil"/>
              <w:bottom w:val="nil"/>
              <w:right w:val="nil"/>
            </w:tcBorders>
            <w:shd w:val="clear" w:color="auto" w:fill="auto"/>
            <w:vAlign w:val="center"/>
          </w:tcPr>
          <w:p w14:paraId="5691E1A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Yes</w:t>
            </w:r>
          </w:p>
        </w:tc>
        <w:tc>
          <w:tcPr>
            <w:tcW w:w="579" w:type="dxa"/>
            <w:tcBorders>
              <w:top w:val="single" w:sz="4" w:space="0" w:color="auto"/>
              <w:left w:val="nil"/>
              <w:bottom w:val="nil"/>
              <w:right w:val="nil"/>
            </w:tcBorders>
            <w:shd w:val="clear" w:color="auto" w:fill="auto"/>
            <w:vAlign w:val="center"/>
          </w:tcPr>
          <w:p w14:paraId="358ACF2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179</w:t>
            </w:r>
          </w:p>
        </w:tc>
        <w:tc>
          <w:tcPr>
            <w:tcW w:w="1040" w:type="dxa"/>
            <w:tcBorders>
              <w:top w:val="single" w:sz="4" w:space="0" w:color="auto"/>
              <w:left w:val="nil"/>
              <w:bottom w:val="nil"/>
              <w:right w:val="nil"/>
            </w:tcBorders>
            <w:shd w:val="clear" w:color="auto" w:fill="auto"/>
            <w:vAlign w:val="center"/>
          </w:tcPr>
          <w:p w14:paraId="293B202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65</w:t>
            </w:r>
          </w:p>
        </w:tc>
        <w:tc>
          <w:tcPr>
            <w:tcW w:w="925" w:type="dxa"/>
            <w:tcBorders>
              <w:top w:val="single" w:sz="4" w:space="0" w:color="auto"/>
              <w:left w:val="nil"/>
              <w:bottom w:val="nil"/>
              <w:right w:val="nil"/>
            </w:tcBorders>
            <w:shd w:val="clear" w:color="auto" w:fill="auto"/>
            <w:vAlign w:val="center"/>
          </w:tcPr>
          <w:p w14:paraId="5C4D6F7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36.3</w:t>
            </w:r>
          </w:p>
        </w:tc>
        <w:tc>
          <w:tcPr>
            <w:tcW w:w="1040" w:type="dxa"/>
            <w:tcBorders>
              <w:top w:val="single" w:sz="4" w:space="0" w:color="auto"/>
              <w:left w:val="nil"/>
              <w:bottom w:val="nil"/>
              <w:right w:val="nil"/>
            </w:tcBorders>
            <w:shd w:val="clear" w:color="auto" w:fill="auto"/>
            <w:vAlign w:val="center"/>
          </w:tcPr>
          <w:p w14:paraId="21B9959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114</w:t>
            </w:r>
          </w:p>
        </w:tc>
        <w:tc>
          <w:tcPr>
            <w:tcW w:w="925" w:type="dxa"/>
            <w:tcBorders>
              <w:top w:val="single" w:sz="4" w:space="0" w:color="auto"/>
              <w:left w:val="nil"/>
              <w:bottom w:val="nil"/>
              <w:right w:val="nil"/>
            </w:tcBorders>
            <w:shd w:val="clear" w:color="auto" w:fill="auto"/>
            <w:vAlign w:val="center"/>
          </w:tcPr>
          <w:p w14:paraId="67ABF97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63.7</w:t>
            </w:r>
          </w:p>
        </w:tc>
        <w:tc>
          <w:tcPr>
            <w:tcW w:w="694" w:type="dxa"/>
            <w:vMerge w:val="restart"/>
            <w:tcBorders>
              <w:top w:val="single" w:sz="4" w:space="0" w:color="auto"/>
              <w:left w:val="nil"/>
              <w:right w:val="nil"/>
            </w:tcBorders>
            <w:shd w:val="clear" w:color="auto" w:fill="auto"/>
            <w:vAlign w:val="center"/>
          </w:tcPr>
          <w:p w14:paraId="4B8E855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0.682</w:t>
            </w:r>
          </w:p>
        </w:tc>
      </w:tr>
      <w:tr w:rsidR="009262E5" w:rsidRPr="008B4A2A" w14:paraId="4762D65F" w14:textId="77777777" w:rsidTr="00C24116">
        <w:tc>
          <w:tcPr>
            <w:tcW w:w="1499" w:type="dxa"/>
            <w:tcBorders>
              <w:top w:val="nil"/>
              <w:left w:val="nil"/>
              <w:bottom w:val="single" w:sz="4" w:space="0" w:color="auto"/>
              <w:right w:val="nil"/>
            </w:tcBorders>
            <w:shd w:val="clear" w:color="auto" w:fill="auto"/>
            <w:vAlign w:val="center"/>
          </w:tcPr>
          <w:p w14:paraId="7D830F1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27E6A72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No</w:t>
            </w:r>
          </w:p>
        </w:tc>
        <w:tc>
          <w:tcPr>
            <w:tcW w:w="579" w:type="dxa"/>
            <w:tcBorders>
              <w:top w:val="nil"/>
              <w:left w:val="nil"/>
              <w:bottom w:val="single" w:sz="4" w:space="0" w:color="auto"/>
              <w:right w:val="nil"/>
            </w:tcBorders>
            <w:shd w:val="clear" w:color="auto" w:fill="auto"/>
            <w:vAlign w:val="center"/>
          </w:tcPr>
          <w:p w14:paraId="56A6FC8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w:t>
            </w:r>
          </w:p>
        </w:tc>
        <w:tc>
          <w:tcPr>
            <w:tcW w:w="1040" w:type="dxa"/>
            <w:tcBorders>
              <w:top w:val="nil"/>
              <w:left w:val="nil"/>
              <w:bottom w:val="single" w:sz="4" w:space="0" w:color="auto"/>
              <w:right w:val="nil"/>
            </w:tcBorders>
            <w:shd w:val="clear" w:color="auto" w:fill="auto"/>
            <w:vAlign w:val="center"/>
          </w:tcPr>
          <w:p w14:paraId="5F318DF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w:t>
            </w:r>
          </w:p>
        </w:tc>
        <w:tc>
          <w:tcPr>
            <w:tcW w:w="925" w:type="dxa"/>
            <w:tcBorders>
              <w:top w:val="nil"/>
              <w:left w:val="nil"/>
              <w:bottom w:val="single" w:sz="4" w:space="0" w:color="auto"/>
              <w:right w:val="nil"/>
            </w:tcBorders>
            <w:shd w:val="clear" w:color="auto" w:fill="auto"/>
            <w:vAlign w:val="center"/>
          </w:tcPr>
          <w:p w14:paraId="0B204A4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31.6</w:t>
            </w:r>
          </w:p>
        </w:tc>
        <w:tc>
          <w:tcPr>
            <w:tcW w:w="1040" w:type="dxa"/>
            <w:tcBorders>
              <w:top w:val="nil"/>
              <w:left w:val="nil"/>
              <w:bottom w:val="single" w:sz="4" w:space="0" w:color="auto"/>
              <w:right w:val="nil"/>
            </w:tcBorders>
            <w:shd w:val="clear" w:color="auto" w:fill="auto"/>
            <w:vAlign w:val="center"/>
          </w:tcPr>
          <w:p w14:paraId="70CE177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13</w:t>
            </w:r>
          </w:p>
        </w:tc>
        <w:tc>
          <w:tcPr>
            <w:tcW w:w="925" w:type="dxa"/>
            <w:tcBorders>
              <w:top w:val="nil"/>
              <w:left w:val="nil"/>
              <w:bottom w:val="single" w:sz="4" w:space="0" w:color="auto"/>
              <w:right w:val="nil"/>
            </w:tcBorders>
            <w:shd w:val="clear" w:color="auto" w:fill="auto"/>
            <w:vAlign w:val="center"/>
          </w:tcPr>
          <w:p w14:paraId="2D67781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68.4</w:t>
            </w:r>
          </w:p>
        </w:tc>
        <w:tc>
          <w:tcPr>
            <w:tcW w:w="694" w:type="dxa"/>
            <w:vMerge/>
            <w:tcBorders>
              <w:left w:val="nil"/>
              <w:bottom w:val="single" w:sz="4" w:space="0" w:color="auto"/>
              <w:right w:val="nil"/>
            </w:tcBorders>
            <w:shd w:val="clear" w:color="auto" w:fill="auto"/>
            <w:vAlign w:val="center"/>
          </w:tcPr>
          <w:p w14:paraId="7575E86F"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044B5B51" w14:textId="77777777" w:rsidTr="00C24116">
        <w:tc>
          <w:tcPr>
            <w:tcW w:w="1499" w:type="dxa"/>
            <w:tcBorders>
              <w:top w:val="nil"/>
              <w:left w:val="nil"/>
              <w:bottom w:val="nil"/>
              <w:right w:val="nil"/>
            </w:tcBorders>
            <w:shd w:val="clear" w:color="auto" w:fill="auto"/>
            <w:vAlign w:val="center"/>
          </w:tcPr>
          <w:p w14:paraId="35C6D1A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Comorbidities</w:t>
            </w:r>
          </w:p>
        </w:tc>
        <w:tc>
          <w:tcPr>
            <w:tcW w:w="1155" w:type="dxa"/>
            <w:tcBorders>
              <w:top w:val="nil"/>
              <w:left w:val="nil"/>
              <w:bottom w:val="nil"/>
              <w:right w:val="nil"/>
            </w:tcBorders>
            <w:shd w:val="clear" w:color="auto" w:fill="auto"/>
            <w:vAlign w:val="center"/>
          </w:tcPr>
          <w:p w14:paraId="2765D70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Yes</w:t>
            </w:r>
          </w:p>
        </w:tc>
        <w:tc>
          <w:tcPr>
            <w:tcW w:w="579" w:type="dxa"/>
            <w:tcBorders>
              <w:top w:val="nil"/>
              <w:left w:val="nil"/>
              <w:bottom w:val="nil"/>
              <w:right w:val="nil"/>
            </w:tcBorders>
            <w:shd w:val="clear" w:color="auto" w:fill="auto"/>
            <w:vAlign w:val="center"/>
          </w:tcPr>
          <w:p w14:paraId="08F6D57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186</w:t>
            </w:r>
          </w:p>
        </w:tc>
        <w:tc>
          <w:tcPr>
            <w:tcW w:w="1040" w:type="dxa"/>
            <w:tcBorders>
              <w:top w:val="nil"/>
              <w:left w:val="nil"/>
              <w:bottom w:val="nil"/>
              <w:right w:val="nil"/>
            </w:tcBorders>
            <w:shd w:val="clear" w:color="auto" w:fill="auto"/>
            <w:vAlign w:val="center"/>
          </w:tcPr>
          <w:p w14:paraId="00686A1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69</w:t>
            </w:r>
          </w:p>
        </w:tc>
        <w:tc>
          <w:tcPr>
            <w:tcW w:w="925" w:type="dxa"/>
            <w:tcBorders>
              <w:top w:val="nil"/>
              <w:left w:val="nil"/>
              <w:bottom w:val="nil"/>
              <w:right w:val="nil"/>
            </w:tcBorders>
            <w:shd w:val="clear" w:color="auto" w:fill="auto"/>
            <w:vAlign w:val="center"/>
          </w:tcPr>
          <w:p w14:paraId="40B998E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37.1</w:t>
            </w:r>
          </w:p>
        </w:tc>
        <w:tc>
          <w:tcPr>
            <w:tcW w:w="1040" w:type="dxa"/>
            <w:tcBorders>
              <w:left w:val="nil"/>
              <w:bottom w:val="nil"/>
              <w:right w:val="nil"/>
            </w:tcBorders>
            <w:shd w:val="clear" w:color="auto" w:fill="auto"/>
            <w:vAlign w:val="center"/>
          </w:tcPr>
          <w:p w14:paraId="2B2B3BB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117</w:t>
            </w:r>
          </w:p>
        </w:tc>
        <w:tc>
          <w:tcPr>
            <w:tcW w:w="925" w:type="dxa"/>
            <w:tcBorders>
              <w:left w:val="nil"/>
              <w:bottom w:val="nil"/>
              <w:right w:val="nil"/>
            </w:tcBorders>
            <w:shd w:val="clear" w:color="auto" w:fill="auto"/>
            <w:vAlign w:val="center"/>
          </w:tcPr>
          <w:p w14:paraId="349DEDD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62.9</w:t>
            </w:r>
          </w:p>
        </w:tc>
        <w:tc>
          <w:tcPr>
            <w:tcW w:w="694" w:type="dxa"/>
            <w:vMerge w:val="restart"/>
            <w:tcBorders>
              <w:left w:val="nil"/>
              <w:right w:val="nil"/>
            </w:tcBorders>
            <w:shd w:val="clear" w:color="auto" w:fill="auto"/>
            <w:vAlign w:val="center"/>
          </w:tcPr>
          <w:p w14:paraId="29BAF4B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0.153</w:t>
            </w:r>
          </w:p>
        </w:tc>
      </w:tr>
      <w:tr w:rsidR="009262E5" w:rsidRPr="008B4A2A" w14:paraId="0278F5EF" w14:textId="77777777" w:rsidTr="00C24116">
        <w:tc>
          <w:tcPr>
            <w:tcW w:w="1499" w:type="dxa"/>
            <w:tcBorders>
              <w:top w:val="nil"/>
              <w:left w:val="nil"/>
              <w:bottom w:val="single" w:sz="4" w:space="0" w:color="auto"/>
              <w:right w:val="nil"/>
            </w:tcBorders>
            <w:shd w:val="clear" w:color="auto" w:fill="auto"/>
            <w:vAlign w:val="center"/>
          </w:tcPr>
          <w:p w14:paraId="59FADA70"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079AD46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No</w:t>
            </w:r>
          </w:p>
        </w:tc>
        <w:tc>
          <w:tcPr>
            <w:tcW w:w="579" w:type="dxa"/>
            <w:tcBorders>
              <w:top w:val="nil"/>
              <w:left w:val="nil"/>
              <w:bottom w:val="single" w:sz="4" w:space="0" w:color="auto"/>
              <w:right w:val="nil"/>
            </w:tcBorders>
            <w:shd w:val="clear" w:color="auto" w:fill="auto"/>
            <w:vAlign w:val="center"/>
          </w:tcPr>
          <w:p w14:paraId="59D250F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12</w:t>
            </w:r>
          </w:p>
        </w:tc>
        <w:tc>
          <w:tcPr>
            <w:tcW w:w="1040" w:type="dxa"/>
            <w:tcBorders>
              <w:top w:val="nil"/>
              <w:left w:val="nil"/>
              <w:bottom w:val="single" w:sz="4" w:space="0" w:color="auto"/>
              <w:right w:val="nil"/>
            </w:tcBorders>
            <w:shd w:val="clear" w:color="auto" w:fill="auto"/>
            <w:vAlign w:val="center"/>
          </w:tcPr>
          <w:p w14:paraId="7479421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w:t>
            </w:r>
          </w:p>
        </w:tc>
        <w:tc>
          <w:tcPr>
            <w:tcW w:w="925" w:type="dxa"/>
            <w:tcBorders>
              <w:top w:val="nil"/>
              <w:left w:val="nil"/>
              <w:bottom w:val="single" w:sz="4" w:space="0" w:color="auto"/>
              <w:right w:val="nil"/>
            </w:tcBorders>
            <w:shd w:val="clear" w:color="auto" w:fill="auto"/>
            <w:vAlign w:val="center"/>
          </w:tcPr>
          <w:p w14:paraId="6AE939D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16.7</w:t>
            </w:r>
          </w:p>
        </w:tc>
        <w:tc>
          <w:tcPr>
            <w:tcW w:w="1040" w:type="dxa"/>
            <w:tcBorders>
              <w:top w:val="nil"/>
              <w:left w:val="nil"/>
              <w:bottom w:val="single" w:sz="4" w:space="0" w:color="auto"/>
              <w:right w:val="nil"/>
            </w:tcBorders>
            <w:shd w:val="clear" w:color="auto" w:fill="auto"/>
            <w:vAlign w:val="center"/>
          </w:tcPr>
          <w:p w14:paraId="105C735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10</w:t>
            </w:r>
          </w:p>
        </w:tc>
        <w:tc>
          <w:tcPr>
            <w:tcW w:w="925" w:type="dxa"/>
            <w:tcBorders>
              <w:top w:val="nil"/>
              <w:left w:val="nil"/>
              <w:bottom w:val="single" w:sz="4" w:space="0" w:color="auto"/>
              <w:right w:val="nil"/>
            </w:tcBorders>
            <w:shd w:val="clear" w:color="auto" w:fill="auto"/>
            <w:vAlign w:val="center"/>
          </w:tcPr>
          <w:p w14:paraId="45C113F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83.3</w:t>
            </w:r>
          </w:p>
        </w:tc>
        <w:tc>
          <w:tcPr>
            <w:tcW w:w="694" w:type="dxa"/>
            <w:vMerge/>
            <w:tcBorders>
              <w:left w:val="nil"/>
              <w:bottom w:val="single" w:sz="4" w:space="0" w:color="auto"/>
              <w:right w:val="nil"/>
            </w:tcBorders>
            <w:shd w:val="clear" w:color="auto" w:fill="auto"/>
            <w:vAlign w:val="center"/>
          </w:tcPr>
          <w:p w14:paraId="1B28ACC6"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78B2662B" w14:textId="77777777" w:rsidTr="00C24116">
        <w:tc>
          <w:tcPr>
            <w:tcW w:w="1499" w:type="dxa"/>
            <w:tcBorders>
              <w:top w:val="nil"/>
              <w:left w:val="nil"/>
              <w:bottom w:val="single" w:sz="4" w:space="0" w:color="auto"/>
              <w:right w:val="nil"/>
            </w:tcBorders>
            <w:shd w:val="clear" w:color="auto" w:fill="auto"/>
            <w:vAlign w:val="center"/>
          </w:tcPr>
          <w:p w14:paraId="757F88A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Total</w:t>
            </w:r>
          </w:p>
        </w:tc>
        <w:tc>
          <w:tcPr>
            <w:tcW w:w="1155" w:type="dxa"/>
            <w:tcBorders>
              <w:top w:val="nil"/>
              <w:left w:val="nil"/>
              <w:bottom w:val="single" w:sz="4" w:space="0" w:color="auto"/>
              <w:right w:val="nil"/>
            </w:tcBorders>
            <w:shd w:val="clear" w:color="auto" w:fill="auto"/>
            <w:vAlign w:val="center"/>
          </w:tcPr>
          <w:p w14:paraId="38AB06D4"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579" w:type="dxa"/>
            <w:tcBorders>
              <w:top w:val="nil"/>
              <w:left w:val="nil"/>
              <w:bottom w:val="single" w:sz="4" w:space="0" w:color="auto"/>
              <w:right w:val="nil"/>
            </w:tcBorders>
            <w:shd w:val="clear" w:color="auto" w:fill="auto"/>
            <w:vAlign w:val="center"/>
          </w:tcPr>
          <w:p w14:paraId="1431C36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198</w:t>
            </w:r>
          </w:p>
        </w:tc>
        <w:tc>
          <w:tcPr>
            <w:tcW w:w="1040" w:type="dxa"/>
            <w:tcBorders>
              <w:top w:val="nil"/>
              <w:left w:val="nil"/>
              <w:bottom w:val="single" w:sz="4" w:space="0" w:color="auto"/>
              <w:right w:val="nil"/>
            </w:tcBorders>
            <w:shd w:val="clear" w:color="auto" w:fill="auto"/>
            <w:vAlign w:val="center"/>
          </w:tcPr>
          <w:p w14:paraId="54228F8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71</w:t>
            </w:r>
          </w:p>
        </w:tc>
        <w:tc>
          <w:tcPr>
            <w:tcW w:w="925" w:type="dxa"/>
            <w:tcBorders>
              <w:top w:val="nil"/>
              <w:left w:val="nil"/>
              <w:bottom w:val="single" w:sz="4" w:space="0" w:color="auto"/>
              <w:right w:val="nil"/>
            </w:tcBorders>
            <w:shd w:val="clear" w:color="auto" w:fill="auto"/>
            <w:vAlign w:val="center"/>
          </w:tcPr>
          <w:p w14:paraId="4CE8F59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35.9</w:t>
            </w:r>
          </w:p>
        </w:tc>
        <w:tc>
          <w:tcPr>
            <w:tcW w:w="1040" w:type="dxa"/>
            <w:tcBorders>
              <w:top w:val="nil"/>
              <w:left w:val="nil"/>
              <w:bottom w:val="single" w:sz="4" w:space="0" w:color="auto"/>
              <w:right w:val="nil"/>
            </w:tcBorders>
            <w:shd w:val="clear" w:color="auto" w:fill="auto"/>
            <w:vAlign w:val="center"/>
          </w:tcPr>
          <w:p w14:paraId="2022DA5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127</w:t>
            </w:r>
          </w:p>
        </w:tc>
        <w:tc>
          <w:tcPr>
            <w:tcW w:w="925" w:type="dxa"/>
            <w:tcBorders>
              <w:top w:val="nil"/>
              <w:left w:val="nil"/>
              <w:bottom w:val="single" w:sz="4" w:space="0" w:color="auto"/>
              <w:right w:val="nil"/>
            </w:tcBorders>
            <w:shd w:val="clear" w:color="auto" w:fill="auto"/>
            <w:vAlign w:val="center"/>
          </w:tcPr>
          <w:p w14:paraId="741EA9F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64.1</w:t>
            </w:r>
          </w:p>
        </w:tc>
        <w:tc>
          <w:tcPr>
            <w:tcW w:w="694" w:type="dxa"/>
            <w:tcBorders>
              <w:left w:val="nil"/>
              <w:bottom w:val="single" w:sz="4" w:space="0" w:color="auto"/>
              <w:right w:val="nil"/>
            </w:tcBorders>
            <w:shd w:val="clear" w:color="auto" w:fill="auto"/>
            <w:vAlign w:val="center"/>
          </w:tcPr>
          <w:p w14:paraId="576C818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&lt;0.001*</w:t>
            </w:r>
          </w:p>
        </w:tc>
      </w:tr>
      <w:tr w:rsidR="009262E5" w:rsidRPr="008B4A2A" w14:paraId="5A915C03" w14:textId="77777777" w:rsidTr="00C24116">
        <w:tc>
          <w:tcPr>
            <w:tcW w:w="1499" w:type="dxa"/>
            <w:tcBorders>
              <w:top w:val="nil"/>
              <w:left w:val="nil"/>
              <w:bottom w:val="single" w:sz="4" w:space="0" w:color="auto"/>
              <w:right w:val="nil"/>
            </w:tcBorders>
            <w:shd w:val="clear" w:color="auto" w:fill="auto"/>
            <w:vAlign w:val="center"/>
          </w:tcPr>
          <w:p w14:paraId="6F06740F"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155" w:type="dxa"/>
            <w:tcBorders>
              <w:top w:val="nil"/>
              <w:left w:val="nil"/>
              <w:bottom w:val="single" w:sz="4" w:space="0" w:color="auto"/>
              <w:right w:val="nil"/>
            </w:tcBorders>
            <w:shd w:val="clear" w:color="auto" w:fill="auto"/>
            <w:vAlign w:val="center"/>
          </w:tcPr>
          <w:p w14:paraId="659F47C7"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579" w:type="dxa"/>
            <w:tcBorders>
              <w:top w:val="nil"/>
              <w:left w:val="nil"/>
              <w:bottom w:val="single" w:sz="4" w:space="0" w:color="auto"/>
              <w:right w:val="nil"/>
            </w:tcBorders>
            <w:shd w:val="clear" w:color="auto" w:fill="auto"/>
            <w:vAlign w:val="center"/>
          </w:tcPr>
          <w:p w14:paraId="2A917F87"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040" w:type="dxa"/>
            <w:tcBorders>
              <w:top w:val="nil"/>
              <w:left w:val="nil"/>
              <w:bottom w:val="single" w:sz="4" w:space="0" w:color="auto"/>
              <w:right w:val="nil"/>
            </w:tcBorders>
            <w:shd w:val="clear" w:color="auto" w:fill="auto"/>
            <w:vAlign w:val="center"/>
          </w:tcPr>
          <w:p w14:paraId="2AD6168A"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Av.</w:t>
            </w:r>
          </w:p>
        </w:tc>
        <w:tc>
          <w:tcPr>
            <w:tcW w:w="925" w:type="dxa"/>
            <w:tcBorders>
              <w:top w:val="nil"/>
              <w:left w:val="nil"/>
              <w:bottom w:val="single" w:sz="4" w:space="0" w:color="auto"/>
              <w:right w:val="nil"/>
            </w:tcBorders>
            <w:shd w:val="clear" w:color="auto" w:fill="auto"/>
            <w:vAlign w:val="center"/>
          </w:tcPr>
          <w:p w14:paraId="722B8452"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SD</w:t>
            </w:r>
          </w:p>
        </w:tc>
        <w:tc>
          <w:tcPr>
            <w:tcW w:w="1040" w:type="dxa"/>
            <w:tcBorders>
              <w:left w:val="nil"/>
              <w:bottom w:val="single" w:sz="4" w:space="0" w:color="auto"/>
              <w:right w:val="nil"/>
            </w:tcBorders>
            <w:shd w:val="clear" w:color="auto" w:fill="auto"/>
            <w:vAlign w:val="center"/>
          </w:tcPr>
          <w:p w14:paraId="0A8035FA"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Av.</w:t>
            </w:r>
          </w:p>
        </w:tc>
        <w:tc>
          <w:tcPr>
            <w:tcW w:w="925" w:type="dxa"/>
            <w:tcBorders>
              <w:left w:val="nil"/>
              <w:bottom w:val="single" w:sz="4" w:space="0" w:color="auto"/>
              <w:right w:val="nil"/>
            </w:tcBorders>
            <w:shd w:val="clear" w:color="auto" w:fill="auto"/>
            <w:vAlign w:val="center"/>
          </w:tcPr>
          <w:p w14:paraId="73A378C8"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SD</w:t>
            </w:r>
          </w:p>
        </w:tc>
        <w:tc>
          <w:tcPr>
            <w:tcW w:w="694" w:type="dxa"/>
            <w:tcBorders>
              <w:left w:val="nil"/>
              <w:bottom w:val="single" w:sz="4" w:space="0" w:color="auto"/>
              <w:right w:val="nil"/>
            </w:tcBorders>
            <w:shd w:val="clear" w:color="auto" w:fill="auto"/>
            <w:vAlign w:val="center"/>
          </w:tcPr>
          <w:p w14:paraId="615D7D00"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04FB694A" w14:textId="77777777" w:rsidTr="00C24116">
        <w:tc>
          <w:tcPr>
            <w:tcW w:w="1499" w:type="dxa"/>
            <w:tcBorders>
              <w:top w:val="nil"/>
              <w:left w:val="nil"/>
              <w:bottom w:val="single" w:sz="4" w:space="0" w:color="auto"/>
              <w:right w:val="nil"/>
            </w:tcBorders>
            <w:shd w:val="clear" w:color="auto" w:fill="auto"/>
            <w:vAlign w:val="center"/>
          </w:tcPr>
          <w:p w14:paraId="1583D85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Age</w:t>
            </w:r>
          </w:p>
        </w:tc>
        <w:tc>
          <w:tcPr>
            <w:tcW w:w="1155" w:type="dxa"/>
            <w:tcBorders>
              <w:top w:val="nil"/>
              <w:left w:val="nil"/>
              <w:bottom w:val="single" w:sz="4" w:space="0" w:color="auto"/>
              <w:right w:val="nil"/>
            </w:tcBorders>
            <w:shd w:val="clear" w:color="auto" w:fill="auto"/>
            <w:vAlign w:val="center"/>
          </w:tcPr>
          <w:p w14:paraId="7E0EBDF1"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579" w:type="dxa"/>
            <w:tcBorders>
              <w:top w:val="nil"/>
              <w:left w:val="nil"/>
              <w:bottom w:val="single" w:sz="4" w:space="0" w:color="auto"/>
              <w:right w:val="nil"/>
            </w:tcBorders>
            <w:shd w:val="clear" w:color="auto" w:fill="auto"/>
            <w:vAlign w:val="center"/>
          </w:tcPr>
          <w:p w14:paraId="1699C5E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198</w:t>
            </w:r>
          </w:p>
        </w:tc>
        <w:tc>
          <w:tcPr>
            <w:tcW w:w="1040" w:type="dxa"/>
            <w:tcBorders>
              <w:top w:val="nil"/>
              <w:left w:val="nil"/>
              <w:bottom w:val="single" w:sz="4" w:space="0" w:color="auto"/>
              <w:right w:val="nil"/>
            </w:tcBorders>
            <w:shd w:val="clear" w:color="auto" w:fill="auto"/>
            <w:vAlign w:val="center"/>
          </w:tcPr>
          <w:p w14:paraId="244B0D3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51.5</w:t>
            </w:r>
          </w:p>
        </w:tc>
        <w:tc>
          <w:tcPr>
            <w:tcW w:w="925" w:type="dxa"/>
            <w:tcBorders>
              <w:top w:val="nil"/>
              <w:left w:val="nil"/>
              <w:bottom w:val="single" w:sz="4" w:space="0" w:color="auto"/>
              <w:right w:val="nil"/>
            </w:tcBorders>
            <w:shd w:val="clear" w:color="auto" w:fill="auto"/>
            <w:vAlign w:val="center"/>
          </w:tcPr>
          <w:p w14:paraId="6E468A9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15.1</w:t>
            </w:r>
          </w:p>
        </w:tc>
        <w:tc>
          <w:tcPr>
            <w:tcW w:w="1040" w:type="dxa"/>
            <w:tcBorders>
              <w:left w:val="nil"/>
              <w:bottom w:val="single" w:sz="4" w:space="0" w:color="auto"/>
              <w:right w:val="nil"/>
            </w:tcBorders>
            <w:shd w:val="clear" w:color="auto" w:fill="auto"/>
            <w:vAlign w:val="center"/>
          </w:tcPr>
          <w:p w14:paraId="2340732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49.1</w:t>
            </w:r>
          </w:p>
        </w:tc>
        <w:tc>
          <w:tcPr>
            <w:tcW w:w="925" w:type="dxa"/>
            <w:tcBorders>
              <w:left w:val="nil"/>
              <w:bottom w:val="single" w:sz="4" w:space="0" w:color="auto"/>
              <w:right w:val="nil"/>
            </w:tcBorders>
            <w:shd w:val="clear" w:color="auto" w:fill="auto"/>
            <w:vAlign w:val="center"/>
          </w:tcPr>
          <w:p w14:paraId="7A8DF84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14.8</w:t>
            </w:r>
          </w:p>
        </w:tc>
        <w:tc>
          <w:tcPr>
            <w:tcW w:w="694" w:type="dxa"/>
            <w:tcBorders>
              <w:left w:val="nil"/>
              <w:bottom w:val="single" w:sz="4" w:space="0" w:color="auto"/>
              <w:right w:val="nil"/>
            </w:tcBorders>
            <w:shd w:val="clear" w:color="auto" w:fill="auto"/>
            <w:vAlign w:val="center"/>
          </w:tcPr>
          <w:p w14:paraId="337AB19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0.268</w:t>
            </w:r>
          </w:p>
        </w:tc>
      </w:tr>
      <w:tr w:rsidR="009262E5" w:rsidRPr="008B4A2A" w14:paraId="083A8978" w14:textId="77777777" w:rsidTr="00C24116">
        <w:tc>
          <w:tcPr>
            <w:tcW w:w="1499" w:type="dxa"/>
            <w:tcBorders>
              <w:top w:val="nil"/>
              <w:left w:val="nil"/>
              <w:bottom w:val="single" w:sz="4" w:space="0" w:color="auto"/>
              <w:right w:val="nil"/>
            </w:tcBorders>
            <w:shd w:val="clear" w:color="auto" w:fill="auto"/>
            <w:vAlign w:val="center"/>
          </w:tcPr>
          <w:p w14:paraId="3C02EC4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BMI</w:t>
            </w:r>
          </w:p>
        </w:tc>
        <w:tc>
          <w:tcPr>
            <w:tcW w:w="1155" w:type="dxa"/>
            <w:tcBorders>
              <w:top w:val="nil"/>
              <w:left w:val="nil"/>
              <w:bottom w:val="single" w:sz="4" w:space="0" w:color="auto"/>
              <w:right w:val="nil"/>
            </w:tcBorders>
            <w:shd w:val="clear" w:color="auto" w:fill="auto"/>
            <w:vAlign w:val="center"/>
          </w:tcPr>
          <w:p w14:paraId="572F936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579" w:type="dxa"/>
            <w:tcBorders>
              <w:top w:val="nil"/>
              <w:left w:val="nil"/>
              <w:bottom w:val="single" w:sz="4" w:space="0" w:color="auto"/>
              <w:right w:val="nil"/>
            </w:tcBorders>
            <w:shd w:val="clear" w:color="auto" w:fill="auto"/>
            <w:vAlign w:val="center"/>
          </w:tcPr>
          <w:p w14:paraId="5736729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192</w:t>
            </w:r>
          </w:p>
        </w:tc>
        <w:tc>
          <w:tcPr>
            <w:tcW w:w="1040" w:type="dxa"/>
            <w:tcBorders>
              <w:top w:val="nil"/>
              <w:left w:val="nil"/>
              <w:bottom w:val="single" w:sz="4" w:space="0" w:color="auto"/>
              <w:right w:val="nil"/>
            </w:tcBorders>
            <w:shd w:val="clear" w:color="auto" w:fill="auto"/>
            <w:vAlign w:val="center"/>
          </w:tcPr>
          <w:p w14:paraId="5ED6F01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26.6</w:t>
            </w:r>
          </w:p>
        </w:tc>
        <w:tc>
          <w:tcPr>
            <w:tcW w:w="925" w:type="dxa"/>
            <w:tcBorders>
              <w:top w:val="nil"/>
              <w:left w:val="nil"/>
              <w:bottom w:val="single" w:sz="4" w:space="0" w:color="auto"/>
              <w:right w:val="nil"/>
            </w:tcBorders>
            <w:shd w:val="clear" w:color="auto" w:fill="auto"/>
            <w:vAlign w:val="center"/>
          </w:tcPr>
          <w:p w14:paraId="76C53EA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5.7</w:t>
            </w:r>
          </w:p>
        </w:tc>
        <w:tc>
          <w:tcPr>
            <w:tcW w:w="1040" w:type="dxa"/>
            <w:tcBorders>
              <w:left w:val="nil"/>
              <w:bottom w:val="single" w:sz="4" w:space="0" w:color="auto"/>
              <w:right w:val="nil"/>
            </w:tcBorders>
            <w:shd w:val="clear" w:color="auto" w:fill="auto"/>
            <w:vAlign w:val="center"/>
          </w:tcPr>
          <w:p w14:paraId="0802660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27.7</w:t>
            </w:r>
          </w:p>
        </w:tc>
        <w:tc>
          <w:tcPr>
            <w:tcW w:w="925" w:type="dxa"/>
            <w:tcBorders>
              <w:left w:val="nil"/>
              <w:bottom w:val="single" w:sz="4" w:space="0" w:color="auto"/>
              <w:right w:val="nil"/>
            </w:tcBorders>
            <w:shd w:val="clear" w:color="auto" w:fill="auto"/>
            <w:vAlign w:val="center"/>
          </w:tcPr>
          <w:p w14:paraId="5F1061F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5.1</w:t>
            </w:r>
          </w:p>
        </w:tc>
        <w:tc>
          <w:tcPr>
            <w:tcW w:w="694" w:type="dxa"/>
            <w:tcBorders>
              <w:left w:val="nil"/>
              <w:bottom w:val="single" w:sz="4" w:space="0" w:color="auto"/>
              <w:right w:val="nil"/>
            </w:tcBorders>
            <w:shd w:val="clear" w:color="auto" w:fill="auto"/>
            <w:vAlign w:val="center"/>
          </w:tcPr>
          <w:p w14:paraId="128B61F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0.173</w:t>
            </w:r>
          </w:p>
        </w:tc>
      </w:tr>
      <w:tr w:rsidR="009262E5" w:rsidRPr="008B4A2A" w14:paraId="14C01D93" w14:textId="77777777" w:rsidTr="00C24116">
        <w:tc>
          <w:tcPr>
            <w:tcW w:w="1499" w:type="dxa"/>
            <w:tcBorders>
              <w:top w:val="single" w:sz="4" w:space="0" w:color="auto"/>
              <w:left w:val="nil"/>
              <w:bottom w:val="single" w:sz="8" w:space="0" w:color="auto"/>
              <w:right w:val="nil"/>
            </w:tcBorders>
            <w:shd w:val="clear" w:color="auto" w:fill="auto"/>
            <w:vAlign w:val="center"/>
          </w:tcPr>
          <w:p w14:paraId="48B8654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Nº comorbidities</w:t>
            </w:r>
          </w:p>
        </w:tc>
        <w:tc>
          <w:tcPr>
            <w:tcW w:w="1155" w:type="dxa"/>
            <w:tcBorders>
              <w:top w:val="single" w:sz="4" w:space="0" w:color="auto"/>
              <w:left w:val="nil"/>
              <w:bottom w:val="single" w:sz="8" w:space="0" w:color="auto"/>
              <w:right w:val="nil"/>
            </w:tcBorders>
            <w:shd w:val="clear" w:color="auto" w:fill="auto"/>
            <w:vAlign w:val="center"/>
          </w:tcPr>
          <w:p w14:paraId="651361B0"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579" w:type="dxa"/>
            <w:tcBorders>
              <w:top w:val="single" w:sz="4" w:space="0" w:color="auto"/>
              <w:left w:val="nil"/>
              <w:bottom w:val="single" w:sz="8" w:space="0" w:color="auto"/>
              <w:right w:val="nil"/>
            </w:tcBorders>
            <w:shd w:val="clear" w:color="auto" w:fill="auto"/>
            <w:vAlign w:val="center"/>
          </w:tcPr>
          <w:p w14:paraId="33977C8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198</w:t>
            </w:r>
          </w:p>
        </w:tc>
        <w:tc>
          <w:tcPr>
            <w:tcW w:w="1040" w:type="dxa"/>
            <w:tcBorders>
              <w:top w:val="single" w:sz="4" w:space="0" w:color="auto"/>
              <w:left w:val="nil"/>
              <w:bottom w:val="single" w:sz="8" w:space="0" w:color="auto"/>
              <w:right w:val="nil"/>
            </w:tcBorders>
            <w:shd w:val="clear" w:color="auto" w:fill="auto"/>
            <w:vAlign w:val="center"/>
          </w:tcPr>
          <w:p w14:paraId="5591D80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6.1</w:t>
            </w:r>
          </w:p>
        </w:tc>
        <w:tc>
          <w:tcPr>
            <w:tcW w:w="925" w:type="dxa"/>
            <w:tcBorders>
              <w:top w:val="single" w:sz="4" w:space="0" w:color="auto"/>
              <w:left w:val="nil"/>
              <w:bottom w:val="single" w:sz="8" w:space="0" w:color="auto"/>
              <w:right w:val="nil"/>
            </w:tcBorders>
            <w:shd w:val="clear" w:color="auto" w:fill="auto"/>
            <w:vAlign w:val="center"/>
          </w:tcPr>
          <w:p w14:paraId="571893B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4.1</w:t>
            </w:r>
          </w:p>
        </w:tc>
        <w:tc>
          <w:tcPr>
            <w:tcW w:w="1040" w:type="dxa"/>
            <w:tcBorders>
              <w:top w:val="single" w:sz="4" w:space="0" w:color="auto"/>
              <w:left w:val="nil"/>
              <w:bottom w:val="single" w:sz="8" w:space="0" w:color="auto"/>
              <w:right w:val="nil"/>
            </w:tcBorders>
            <w:shd w:val="clear" w:color="auto" w:fill="auto"/>
            <w:vAlign w:val="center"/>
          </w:tcPr>
          <w:p w14:paraId="64E7251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4.9</w:t>
            </w:r>
          </w:p>
        </w:tc>
        <w:tc>
          <w:tcPr>
            <w:tcW w:w="925" w:type="dxa"/>
            <w:tcBorders>
              <w:top w:val="single" w:sz="4" w:space="0" w:color="auto"/>
              <w:left w:val="nil"/>
              <w:bottom w:val="single" w:sz="8" w:space="0" w:color="auto"/>
              <w:right w:val="nil"/>
            </w:tcBorders>
            <w:shd w:val="clear" w:color="auto" w:fill="auto"/>
            <w:vAlign w:val="center"/>
          </w:tcPr>
          <w:p w14:paraId="12871F9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4.1</w:t>
            </w:r>
          </w:p>
        </w:tc>
        <w:tc>
          <w:tcPr>
            <w:tcW w:w="694" w:type="dxa"/>
            <w:tcBorders>
              <w:top w:val="single" w:sz="4" w:space="0" w:color="auto"/>
              <w:left w:val="nil"/>
              <w:bottom w:val="single" w:sz="8" w:space="0" w:color="auto"/>
              <w:right w:val="nil"/>
            </w:tcBorders>
            <w:shd w:val="clear" w:color="auto" w:fill="auto"/>
            <w:vAlign w:val="center"/>
          </w:tcPr>
          <w:p w14:paraId="64D32F0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0.054</w:t>
            </w:r>
          </w:p>
        </w:tc>
      </w:tr>
    </w:tbl>
    <w:p w14:paraId="0745DB11" w14:textId="205F3742" w:rsidR="00C24116" w:rsidRPr="008B4A2A" w:rsidRDefault="00C24116" w:rsidP="00C24116">
      <w:pPr>
        <w:pStyle w:val="MDPI43tablefooter"/>
      </w:pPr>
      <w:r w:rsidRPr="008B4A2A">
        <w:rPr>
          <w:rFonts w:hint="eastAsia"/>
        </w:rPr>
        <w:t xml:space="preserve">N: sample size; %: percentage. Level A: ≤ 1st period secondary; Level B: 2nd period secondary and post-secondary (not tertiary); Level C: tertiary; Obesity: ≥30kg/m2; Av.: average; SD: Standard deviation; BMI: body mass index. </w:t>
      </w:r>
      <w:r w:rsidRPr="008B4A2A">
        <w:rPr>
          <w:rFonts w:hint="eastAsia"/>
          <w:i/>
          <w:iCs/>
        </w:rPr>
        <w:t>p</w:t>
      </w:r>
      <w:r w:rsidRPr="008B4A2A">
        <w:rPr>
          <w:rFonts w:hint="eastAsia"/>
        </w:rPr>
        <w:t>-values are based on chi-squ</w:t>
      </w:r>
      <w:r w:rsidRPr="008B4A2A">
        <w:t xml:space="preserve">ared tests (categorical) and T test (continuous). * </w:t>
      </w:r>
      <w:r w:rsidRPr="008B4A2A">
        <w:rPr>
          <w:i/>
          <w:iCs/>
        </w:rPr>
        <w:t>p</w:t>
      </w:r>
      <w:r w:rsidR="0069081C" w:rsidRPr="008B4A2A">
        <w:t xml:space="preserve"> </w:t>
      </w:r>
      <w:r w:rsidRPr="008B4A2A">
        <w:t>&lt;</w:t>
      </w:r>
      <w:r w:rsidR="0069081C" w:rsidRPr="008B4A2A">
        <w:t xml:space="preserve"> </w:t>
      </w:r>
      <w:r w:rsidRPr="008B4A2A">
        <w:t>0.05.</w:t>
      </w:r>
    </w:p>
    <w:p w14:paraId="1582FC74" w14:textId="5A9675FA" w:rsidR="009262E5" w:rsidRPr="008B4A2A" w:rsidRDefault="009262E5" w:rsidP="00C24116">
      <w:pPr>
        <w:pStyle w:val="MDPI31text"/>
      </w:pPr>
      <w:r w:rsidRPr="008B4A2A">
        <w:lastRenderedPageBreak/>
        <w:t>The prevalence of the studied comorbidities and each category of diseases are shown in Table 2. The most prevalent disease among Spanish population with ACO is chronic allergy (58.1%), followed by chronic lumbar pain (42.4%). Considering the ICD classification, more than a half of participants suffer from immunological (58.1%) and musculoskeletal diseases (56.6%). The least prevalent comorbidities among ACO patients are neoplasias, eye problems, permanent injuries and dermatological problems.</w:t>
      </w:r>
    </w:p>
    <w:p w14:paraId="5D1BACEE" w14:textId="72A0CF83" w:rsidR="009262E5" w:rsidRPr="008B4A2A" w:rsidRDefault="00C24116" w:rsidP="00C24116">
      <w:pPr>
        <w:pStyle w:val="MDPI41tablecaption"/>
      </w:pPr>
      <w:r w:rsidRPr="008B4A2A">
        <w:rPr>
          <w:b/>
        </w:rPr>
        <w:t xml:space="preserve">Table 2. </w:t>
      </w:r>
      <w:r w:rsidR="009262E5" w:rsidRPr="008B4A2A">
        <w:t>Prevalence of comorbidities in people with ACO.</w:t>
      </w:r>
    </w:p>
    <w:tbl>
      <w:tblPr>
        <w:tblW w:w="7857" w:type="dxa"/>
        <w:tblInd w:w="2608" w:type="dxa"/>
        <w:tblLayout w:type="fixed"/>
        <w:tblCellMar>
          <w:left w:w="0" w:type="dxa"/>
          <w:right w:w="0" w:type="dxa"/>
        </w:tblCellMar>
        <w:tblLook w:val="04A0" w:firstRow="1" w:lastRow="0" w:firstColumn="1" w:lastColumn="0" w:noHBand="0" w:noVBand="1"/>
      </w:tblPr>
      <w:tblGrid>
        <w:gridCol w:w="2142"/>
        <w:gridCol w:w="2865"/>
        <w:gridCol w:w="790"/>
        <w:gridCol w:w="1054"/>
        <w:gridCol w:w="1006"/>
      </w:tblGrid>
      <w:tr w:rsidR="009262E5" w:rsidRPr="008B4A2A" w14:paraId="2F298813" w14:textId="77777777" w:rsidTr="00C24116">
        <w:tc>
          <w:tcPr>
            <w:tcW w:w="1363" w:type="pct"/>
            <w:tcBorders>
              <w:top w:val="single" w:sz="8" w:space="0" w:color="auto"/>
              <w:bottom w:val="single" w:sz="4" w:space="0" w:color="auto"/>
            </w:tcBorders>
            <w:shd w:val="clear" w:color="auto" w:fill="auto"/>
            <w:vAlign w:val="center"/>
          </w:tcPr>
          <w:p w14:paraId="09C6088C" w14:textId="0DBB0B10"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 xml:space="preserve">Disease </w:t>
            </w:r>
            <w:r w:rsidR="0069081C" w:rsidRPr="008B4A2A">
              <w:rPr>
                <w:b/>
                <w:sz w:val="18"/>
                <w:lang w:val="en-GB"/>
              </w:rPr>
              <w:t>Category</w:t>
            </w:r>
          </w:p>
        </w:tc>
        <w:tc>
          <w:tcPr>
            <w:tcW w:w="1823" w:type="pct"/>
            <w:tcBorders>
              <w:top w:val="single" w:sz="8" w:space="0" w:color="auto"/>
              <w:bottom w:val="single" w:sz="4" w:space="0" w:color="auto"/>
            </w:tcBorders>
            <w:shd w:val="clear" w:color="auto" w:fill="auto"/>
            <w:vAlign w:val="center"/>
            <w:hideMark/>
          </w:tcPr>
          <w:p w14:paraId="0D428D6C"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Comorbidities</w:t>
            </w:r>
          </w:p>
        </w:tc>
        <w:tc>
          <w:tcPr>
            <w:tcW w:w="503" w:type="pct"/>
            <w:tcBorders>
              <w:top w:val="single" w:sz="8" w:space="0" w:color="auto"/>
              <w:bottom w:val="single" w:sz="4" w:space="0" w:color="auto"/>
            </w:tcBorders>
            <w:shd w:val="clear" w:color="auto" w:fill="auto"/>
            <w:vAlign w:val="center"/>
            <w:hideMark/>
          </w:tcPr>
          <w:p w14:paraId="4D38224E"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N</w:t>
            </w:r>
          </w:p>
        </w:tc>
        <w:tc>
          <w:tcPr>
            <w:tcW w:w="671" w:type="pct"/>
            <w:tcBorders>
              <w:top w:val="single" w:sz="8" w:space="0" w:color="auto"/>
              <w:bottom w:val="single" w:sz="4" w:space="0" w:color="auto"/>
            </w:tcBorders>
            <w:shd w:val="clear" w:color="auto" w:fill="auto"/>
            <w:vAlign w:val="center"/>
            <w:hideMark/>
          </w:tcPr>
          <w:p w14:paraId="7D88DB68"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w:t>
            </w:r>
          </w:p>
        </w:tc>
        <w:tc>
          <w:tcPr>
            <w:tcW w:w="640" w:type="pct"/>
            <w:tcBorders>
              <w:top w:val="single" w:sz="8" w:space="0" w:color="auto"/>
              <w:bottom w:val="single" w:sz="4" w:space="0" w:color="auto"/>
            </w:tcBorders>
            <w:shd w:val="clear" w:color="auto" w:fill="auto"/>
            <w:vAlign w:val="center"/>
          </w:tcPr>
          <w:p w14:paraId="06561328" w14:textId="77777777" w:rsidR="009262E5" w:rsidRPr="008B4A2A" w:rsidRDefault="009262E5" w:rsidP="00C24116">
            <w:pPr>
              <w:autoSpaceDE w:val="0"/>
              <w:autoSpaceDN w:val="0"/>
              <w:adjustRightInd w:val="0"/>
              <w:snapToGrid w:val="0"/>
              <w:spacing w:line="240" w:lineRule="auto"/>
              <w:jc w:val="center"/>
              <w:rPr>
                <w:b/>
                <w:sz w:val="18"/>
                <w:lang w:val="en-GB"/>
              </w:rPr>
            </w:pPr>
            <w:r w:rsidRPr="008B4A2A">
              <w:rPr>
                <w:b/>
                <w:sz w:val="18"/>
                <w:lang w:val="en-GB"/>
              </w:rPr>
              <w:t xml:space="preserve">Global % </w:t>
            </w:r>
          </w:p>
        </w:tc>
      </w:tr>
      <w:tr w:rsidR="009262E5" w:rsidRPr="008B4A2A" w14:paraId="5D79CA50" w14:textId="77777777" w:rsidTr="00C24116">
        <w:tc>
          <w:tcPr>
            <w:tcW w:w="1363" w:type="pct"/>
            <w:vMerge w:val="restart"/>
            <w:tcBorders>
              <w:top w:val="single" w:sz="4" w:space="0" w:color="auto"/>
              <w:bottom w:val="single" w:sz="4" w:space="0" w:color="auto"/>
            </w:tcBorders>
            <w:shd w:val="clear" w:color="auto" w:fill="auto"/>
            <w:vAlign w:val="center"/>
          </w:tcPr>
          <w:p w14:paraId="675610A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Cardiovascular diseases </w:t>
            </w:r>
          </w:p>
        </w:tc>
        <w:tc>
          <w:tcPr>
            <w:tcW w:w="1823" w:type="pct"/>
            <w:tcBorders>
              <w:top w:val="single" w:sz="4" w:space="0" w:color="auto"/>
            </w:tcBorders>
            <w:shd w:val="clear" w:color="auto" w:fill="auto"/>
            <w:vAlign w:val="center"/>
            <w:hideMark/>
          </w:tcPr>
          <w:p w14:paraId="6BC8AE27" w14:textId="77777777" w:rsidR="009262E5" w:rsidRPr="008B4A2A" w:rsidRDefault="009262E5" w:rsidP="00C24116">
            <w:pPr>
              <w:autoSpaceDE w:val="0"/>
              <w:autoSpaceDN w:val="0"/>
              <w:adjustRightInd w:val="0"/>
              <w:snapToGrid w:val="0"/>
              <w:spacing w:line="240" w:lineRule="auto"/>
              <w:jc w:val="center"/>
              <w:rPr>
                <w:sz w:val="18"/>
                <w:vertAlign w:val="superscript"/>
                <w:lang w:val="en-GB"/>
              </w:rPr>
            </w:pPr>
            <w:r w:rsidRPr="008B4A2A">
              <w:rPr>
                <w:sz w:val="18"/>
                <w:lang w:val="en-GB"/>
              </w:rPr>
              <w:t xml:space="preserve">Hypertension </w:t>
            </w:r>
          </w:p>
        </w:tc>
        <w:tc>
          <w:tcPr>
            <w:tcW w:w="503" w:type="pct"/>
            <w:tcBorders>
              <w:top w:val="single" w:sz="4" w:space="0" w:color="auto"/>
            </w:tcBorders>
            <w:shd w:val="clear" w:color="auto" w:fill="auto"/>
            <w:vAlign w:val="center"/>
          </w:tcPr>
          <w:p w14:paraId="0CCDFAD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66</w:t>
            </w:r>
          </w:p>
        </w:tc>
        <w:tc>
          <w:tcPr>
            <w:tcW w:w="671" w:type="pct"/>
            <w:tcBorders>
              <w:top w:val="single" w:sz="4" w:space="0" w:color="auto"/>
            </w:tcBorders>
            <w:shd w:val="clear" w:color="auto" w:fill="auto"/>
            <w:vAlign w:val="center"/>
          </w:tcPr>
          <w:p w14:paraId="551BE61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33.3</w:t>
            </w:r>
          </w:p>
        </w:tc>
        <w:tc>
          <w:tcPr>
            <w:tcW w:w="640" w:type="pct"/>
            <w:vMerge w:val="restart"/>
            <w:tcBorders>
              <w:top w:val="single" w:sz="4" w:space="0" w:color="auto"/>
              <w:bottom w:val="single" w:sz="4" w:space="0" w:color="auto"/>
            </w:tcBorders>
            <w:shd w:val="clear" w:color="auto" w:fill="auto"/>
            <w:vAlign w:val="center"/>
          </w:tcPr>
          <w:p w14:paraId="2A56C2B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47.0</w:t>
            </w:r>
          </w:p>
        </w:tc>
      </w:tr>
      <w:tr w:rsidR="009262E5" w:rsidRPr="008B4A2A" w14:paraId="753B1493" w14:textId="77777777" w:rsidTr="00C24116">
        <w:tc>
          <w:tcPr>
            <w:tcW w:w="1363" w:type="pct"/>
            <w:vMerge/>
            <w:tcBorders>
              <w:bottom w:val="single" w:sz="4" w:space="0" w:color="auto"/>
            </w:tcBorders>
            <w:shd w:val="clear" w:color="auto" w:fill="auto"/>
            <w:vAlign w:val="center"/>
          </w:tcPr>
          <w:p w14:paraId="2453505B"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2B3E7F1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Myocardial infarction</w:t>
            </w:r>
          </w:p>
        </w:tc>
        <w:tc>
          <w:tcPr>
            <w:tcW w:w="503" w:type="pct"/>
            <w:shd w:val="clear" w:color="auto" w:fill="auto"/>
            <w:vAlign w:val="center"/>
          </w:tcPr>
          <w:p w14:paraId="179F3D0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w:t>
            </w:r>
          </w:p>
        </w:tc>
        <w:tc>
          <w:tcPr>
            <w:tcW w:w="671" w:type="pct"/>
            <w:shd w:val="clear" w:color="auto" w:fill="auto"/>
            <w:vAlign w:val="center"/>
          </w:tcPr>
          <w:p w14:paraId="52F4DF9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2.5</w:t>
            </w:r>
          </w:p>
        </w:tc>
        <w:tc>
          <w:tcPr>
            <w:tcW w:w="640" w:type="pct"/>
            <w:vMerge/>
            <w:tcBorders>
              <w:bottom w:val="single" w:sz="4" w:space="0" w:color="auto"/>
            </w:tcBorders>
            <w:shd w:val="clear" w:color="auto" w:fill="auto"/>
            <w:vAlign w:val="center"/>
          </w:tcPr>
          <w:p w14:paraId="173206C9"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6F3F6CFB" w14:textId="77777777" w:rsidTr="00C24116">
        <w:tc>
          <w:tcPr>
            <w:tcW w:w="1363" w:type="pct"/>
            <w:vMerge/>
            <w:tcBorders>
              <w:bottom w:val="single" w:sz="4" w:space="0" w:color="auto"/>
            </w:tcBorders>
            <w:shd w:val="clear" w:color="auto" w:fill="auto"/>
            <w:vAlign w:val="center"/>
          </w:tcPr>
          <w:p w14:paraId="7691372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3BFD8E7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Angina, Coronary HD</w:t>
            </w:r>
          </w:p>
        </w:tc>
        <w:tc>
          <w:tcPr>
            <w:tcW w:w="503" w:type="pct"/>
            <w:shd w:val="clear" w:color="auto" w:fill="auto"/>
            <w:vAlign w:val="center"/>
          </w:tcPr>
          <w:p w14:paraId="094E2C3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11</w:t>
            </w:r>
          </w:p>
        </w:tc>
        <w:tc>
          <w:tcPr>
            <w:tcW w:w="671" w:type="pct"/>
            <w:shd w:val="clear" w:color="auto" w:fill="auto"/>
            <w:vAlign w:val="center"/>
          </w:tcPr>
          <w:p w14:paraId="1703F9E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5.6</w:t>
            </w:r>
          </w:p>
        </w:tc>
        <w:tc>
          <w:tcPr>
            <w:tcW w:w="640" w:type="pct"/>
            <w:vMerge/>
            <w:tcBorders>
              <w:bottom w:val="single" w:sz="4" w:space="0" w:color="auto"/>
            </w:tcBorders>
            <w:shd w:val="clear" w:color="auto" w:fill="auto"/>
            <w:vAlign w:val="center"/>
          </w:tcPr>
          <w:p w14:paraId="0E97C3CE"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E0B4047" w14:textId="77777777" w:rsidTr="00C24116">
        <w:tc>
          <w:tcPr>
            <w:tcW w:w="1363" w:type="pct"/>
            <w:vMerge/>
            <w:tcBorders>
              <w:bottom w:val="single" w:sz="4" w:space="0" w:color="auto"/>
            </w:tcBorders>
            <w:shd w:val="clear" w:color="auto" w:fill="auto"/>
            <w:vAlign w:val="center"/>
          </w:tcPr>
          <w:p w14:paraId="6F44CD6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3D88916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Other HD</w:t>
            </w:r>
          </w:p>
        </w:tc>
        <w:tc>
          <w:tcPr>
            <w:tcW w:w="503" w:type="pct"/>
            <w:shd w:val="clear" w:color="auto" w:fill="auto"/>
            <w:vAlign w:val="center"/>
          </w:tcPr>
          <w:p w14:paraId="3B3F040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17</w:t>
            </w:r>
          </w:p>
        </w:tc>
        <w:tc>
          <w:tcPr>
            <w:tcW w:w="671" w:type="pct"/>
            <w:shd w:val="clear" w:color="auto" w:fill="auto"/>
            <w:vAlign w:val="center"/>
          </w:tcPr>
          <w:p w14:paraId="7B8AFBD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8.6</w:t>
            </w:r>
          </w:p>
        </w:tc>
        <w:tc>
          <w:tcPr>
            <w:tcW w:w="640" w:type="pct"/>
            <w:vMerge/>
            <w:tcBorders>
              <w:bottom w:val="single" w:sz="4" w:space="0" w:color="auto"/>
            </w:tcBorders>
            <w:shd w:val="clear" w:color="auto" w:fill="auto"/>
            <w:vAlign w:val="center"/>
          </w:tcPr>
          <w:p w14:paraId="1DECBC94"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37797A88" w14:textId="77777777" w:rsidTr="00C24116">
        <w:tc>
          <w:tcPr>
            <w:tcW w:w="1363" w:type="pct"/>
            <w:vMerge/>
            <w:tcBorders>
              <w:bottom w:val="single" w:sz="4" w:space="0" w:color="auto"/>
            </w:tcBorders>
            <w:shd w:val="clear" w:color="auto" w:fill="auto"/>
            <w:vAlign w:val="center"/>
          </w:tcPr>
          <w:p w14:paraId="30AD9459"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tcPr>
          <w:p w14:paraId="0E20E8C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Stroke</w:t>
            </w:r>
          </w:p>
        </w:tc>
        <w:tc>
          <w:tcPr>
            <w:tcW w:w="503" w:type="pct"/>
            <w:shd w:val="clear" w:color="auto" w:fill="auto"/>
            <w:vAlign w:val="center"/>
          </w:tcPr>
          <w:p w14:paraId="1F8F215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w:t>
            </w:r>
          </w:p>
        </w:tc>
        <w:tc>
          <w:tcPr>
            <w:tcW w:w="671" w:type="pct"/>
            <w:shd w:val="clear" w:color="auto" w:fill="auto"/>
            <w:vAlign w:val="center"/>
          </w:tcPr>
          <w:p w14:paraId="50FDE00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3.0</w:t>
            </w:r>
          </w:p>
        </w:tc>
        <w:tc>
          <w:tcPr>
            <w:tcW w:w="640" w:type="pct"/>
            <w:vMerge/>
            <w:tcBorders>
              <w:bottom w:val="single" w:sz="4" w:space="0" w:color="auto"/>
            </w:tcBorders>
            <w:shd w:val="clear" w:color="auto" w:fill="auto"/>
            <w:vAlign w:val="center"/>
          </w:tcPr>
          <w:p w14:paraId="3688C1A4"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7905BF4" w14:textId="77777777" w:rsidTr="00C24116">
        <w:tc>
          <w:tcPr>
            <w:tcW w:w="1363" w:type="pct"/>
            <w:vMerge/>
            <w:tcBorders>
              <w:bottom w:val="single" w:sz="4" w:space="0" w:color="auto"/>
            </w:tcBorders>
            <w:shd w:val="clear" w:color="auto" w:fill="auto"/>
            <w:vAlign w:val="center"/>
          </w:tcPr>
          <w:p w14:paraId="4A5E97F6"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tcBorders>
              <w:bottom w:val="single" w:sz="4" w:space="0" w:color="auto"/>
            </w:tcBorders>
            <w:shd w:val="clear" w:color="auto" w:fill="auto"/>
            <w:vAlign w:val="center"/>
          </w:tcPr>
          <w:p w14:paraId="29F8891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Varicose veins (legs)</w:t>
            </w:r>
          </w:p>
        </w:tc>
        <w:tc>
          <w:tcPr>
            <w:tcW w:w="503" w:type="pct"/>
            <w:tcBorders>
              <w:bottom w:val="single" w:sz="4" w:space="0" w:color="auto"/>
            </w:tcBorders>
            <w:shd w:val="clear" w:color="auto" w:fill="auto"/>
            <w:vAlign w:val="center"/>
          </w:tcPr>
          <w:p w14:paraId="3EAF1CB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37</w:t>
            </w:r>
          </w:p>
        </w:tc>
        <w:tc>
          <w:tcPr>
            <w:tcW w:w="671" w:type="pct"/>
            <w:tcBorders>
              <w:bottom w:val="single" w:sz="4" w:space="0" w:color="auto"/>
            </w:tcBorders>
            <w:shd w:val="clear" w:color="auto" w:fill="auto"/>
            <w:vAlign w:val="center"/>
          </w:tcPr>
          <w:p w14:paraId="5EED02D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18.7</w:t>
            </w:r>
          </w:p>
        </w:tc>
        <w:tc>
          <w:tcPr>
            <w:tcW w:w="640" w:type="pct"/>
            <w:vMerge/>
            <w:tcBorders>
              <w:bottom w:val="single" w:sz="4" w:space="0" w:color="auto"/>
            </w:tcBorders>
            <w:shd w:val="clear" w:color="auto" w:fill="auto"/>
            <w:vAlign w:val="center"/>
          </w:tcPr>
          <w:p w14:paraId="459245E6"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0A5F26D4" w14:textId="77777777" w:rsidTr="00C24116">
        <w:tc>
          <w:tcPr>
            <w:tcW w:w="1363" w:type="pct"/>
            <w:vMerge w:val="restart"/>
            <w:tcBorders>
              <w:top w:val="single" w:sz="4" w:space="0" w:color="auto"/>
              <w:bottom w:val="single" w:sz="4" w:space="0" w:color="auto"/>
            </w:tcBorders>
            <w:shd w:val="clear" w:color="auto" w:fill="auto"/>
            <w:vAlign w:val="center"/>
          </w:tcPr>
          <w:p w14:paraId="1824597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Musculoskeletal disorders</w:t>
            </w:r>
          </w:p>
        </w:tc>
        <w:tc>
          <w:tcPr>
            <w:tcW w:w="1823" w:type="pct"/>
            <w:tcBorders>
              <w:top w:val="single" w:sz="4" w:space="0" w:color="auto"/>
            </w:tcBorders>
            <w:shd w:val="clear" w:color="auto" w:fill="auto"/>
            <w:vAlign w:val="center"/>
            <w:hideMark/>
          </w:tcPr>
          <w:p w14:paraId="4589CC9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Arthrosis</w:t>
            </w:r>
          </w:p>
        </w:tc>
        <w:tc>
          <w:tcPr>
            <w:tcW w:w="503" w:type="pct"/>
            <w:tcBorders>
              <w:top w:val="single" w:sz="4" w:space="0" w:color="auto"/>
            </w:tcBorders>
            <w:shd w:val="clear" w:color="auto" w:fill="auto"/>
            <w:vAlign w:val="center"/>
          </w:tcPr>
          <w:p w14:paraId="527A1E2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63</w:t>
            </w:r>
          </w:p>
        </w:tc>
        <w:tc>
          <w:tcPr>
            <w:tcW w:w="671" w:type="pct"/>
            <w:tcBorders>
              <w:top w:val="single" w:sz="4" w:space="0" w:color="auto"/>
            </w:tcBorders>
            <w:shd w:val="clear" w:color="auto" w:fill="auto"/>
            <w:vAlign w:val="center"/>
          </w:tcPr>
          <w:p w14:paraId="31E2EC6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31.8</w:t>
            </w:r>
          </w:p>
        </w:tc>
        <w:tc>
          <w:tcPr>
            <w:tcW w:w="640" w:type="pct"/>
            <w:vMerge w:val="restart"/>
            <w:tcBorders>
              <w:top w:val="single" w:sz="4" w:space="0" w:color="auto"/>
              <w:bottom w:val="single" w:sz="4" w:space="0" w:color="auto"/>
            </w:tcBorders>
            <w:shd w:val="clear" w:color="auto" w:fill="auto"/>
            <w:vAlign w:val="center"/>
          </w:tcPr>
          <w:p w14:paraId="6994BE8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56.6</w:t>
            </w:r>
          </w:p>
        </w:tc>
      </w:tr>
      <w:tr w:rsidR="009262E5" w:rsidRPr="008B4A2A" w14:paraId="016DC0DD" w14:textId="77777777" w:rsidTr="00C24116">
        <w:tc>
          <w:tcPr>
            <w:tcW w:w="1363" w:type="pct"/>
            <w:vMerge/>
            <w:tcBorders>
              <w:bottom w:val="single" w:sz="4" w:space="0" w:color="auto"/>
            </w:tcBorders>
            <w:shd w:val="clear" w:color="auto" w:fill="auto"/>
            <w:vAlign w:val="center"/>
          </w:tcPr>
          <w:p w14:paraId="7F61534D"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53C5AB5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CBP cervical </w:t>
            </w:r>
          </w:p>
        </w:tc>
        <w:tc>
          <w:tcPr>
            <w:tcW w:w="503" w:type="pct"/>
            <w:shd w:val="clear" w:color="auto" w:fill="auto"/>
            <w:vAlign w:val="center"/>
          </w:tcPr>
          <w:p w14:paraId="614AA72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76</w:t>
            </w:r>
          </w:p>
        </w:tc>
        <w:tc>
          <w:tcPr>
            <w:tcW w:w="671" w:type="pct"/>
            <w:shd w:val="clear" w:color="auto" w:fill="auto"/>
            <w:vAlign w:val="center"/>
          </w:tcPr>
          <w:p w14:paraId="07FC7E9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38.4</w:t>
            </w:r>
          </w:p>
        </w:tc>
        <w:tc>
          <w:tcPr>
            <w:tcW w:w="640" w:type="pct"/>
            <w:vMerge/>
            <w:tcBorders>
              <w:bottom w:val="single" w:sz="4" w:space="0" w:color="auto"/>
            </w:tcBorders>
            <w:shd w:val="clear" w:color="auto" w:fill="auto"/>
            <w:vAlign w:val="center"/>
          </w:tcPr>
          <w:p w14:paraId="7C91D38D"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7940AFFE" w14:textId="77777777" w:rsidTr="00C24116">
        <w:tc>
          <w:tcPr>
            <w:tcW w:w="1363" w:type="pct"/>
            <w:vMerge/>
            <w:tcBorders>
              <w:bottom w:val="single" w:sz="4" w:space="0" w:color="auto"/>
            </w:tcBorders>
            <w:shd w:val="clear" w:color="auto" w:fill="auto"/>
            <w:vAlign w:val="center"/>
          </w:tcPr>
          <w:p w14:paraId="6A8C7C7B"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2A905C3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CBP lumbar </w:t>
            </w:r>
          </w:p>
        </w:tc>
        <w:tc>
          <w:tcPr>
            <w:tcW w:w="503" w:type="pct"/>
            <w:shd w:val="clear" w:color="auto" w:fill="auto"/>
            <w:vAlign w:val="center"/>
          </w:tcPr>
          <w:p w14:paraId="7F2F887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84</w:t>
            </w:r>
          </w:p>
        </w:tc>
        <w:tc>
          <w:tcPr>
            <w:tcW w:w="671" w:type="pct"/>
            <w:shd w:val="clear" w:color="auto" w:fill="auto"/>
            <w:vAlign w:val="center"/>
          </w:tcPr>
          <w:p w14:paraId="5D943F0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42.4</w:t>
            </w:r>
          </w:p>
        </w:tc>
        <w:tc>
          <w:tcPr>
            <w:tcW w:w="640" w:type="pct"/>
            <w:vMerge/>
            <w:tcBorders>
              <w:bottom w:val="single" w:sz="4" w:space="0" w:color="auto"/>
            </w:tcBorders>
            <w:shd w:val="clear" w:color="auto" w:fill="auto"/>
            <w:vAlign w:val="center"/>
          </w:tcPr>
          <w:p w14:paraId="1B432074"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5157B076" w14:textId="77777777" w:rsidTr="00C24116">
        <w:tc>
          <w:tcPr>
            <w:tcW w:w="1363" w:type="pct"/>
            <w:vMerge/>
            <w:tcBorders>
              <w:bottom w:val="single" w:sz="4" w:space="0" w:color="auto"/>
            </w:tcBorders>
            <w:shd w:val="clear" w:color="auto" w:fill="auto"/>
            <w:vAlign w:val="center"/>
          </w:tcPr>
          <w:p w14:paraId="41ACA9C5"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tcBorders>
              <w:bottom w:val="single" w:sz="4" w:space="0" w:color="auto"/>
            </w:tcBorders>
            <w:shd w:val="clear" w:color="auto" w:fill="auto"/>
            <w:vAlign w:val="center"/>
          </w:tcPr>
          <w:p w14:paraId="17F9C63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Osteoporosis </w:t>
            </w:r>
          </w:p>
        </w:tc>
        <w:tc>
          <w:tcPr>
            <w:tcW w:w="503" w:type="pct"/>
            <w:tcBorders>
              <w:bottom w:val="single" w:sz="4" w:space="0" w:color="auto"/>
            </w:tcBorders>
            <w:shd w:val="clear" w:color="auto" w:fill="auto"/>
            <w:vAlign w:val="center"/>
          </w:tcPr>
          <w:p w14:paraId="6435985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21</w:t>
            </w:r>
          </w:p>
        </w:tc>
        <w:tc>
          <w:tcPr>
            <w:tcW w:w="671" w:type="pct"/>
            <w:tcBorders>
              <w:bottom w:val="single" w:sz="4" w:space="0" w:color="auto"/>
            </w:tcBorders>
            <w:shd w:val="clear" w:color="auto" w:fill="auto"/>
            <w:vAlign w:val="center"/>
          </w:tcPr>
          <w:p w14:paraId="772277E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10.6</w:t>
            </w:r>
          </w:p>
        </w:tc>
        <w:tc>
          <w:tcPr>
            <w:tcW w:w="640" w:type="pct"/>
            <w:vMerge/>
            <w:tcBorders>
              <w:bottom w:val="single" w:sz="4" w:space="0" w:color="auto"/>
            </w:tcBorders>
            <w:shd w:val="clear" w:color="auto" w:fill="auto"/>
            <w:vAlign w:val="center"/>
          </w:tcPr>
          <w:p w14:paraId="005ED681"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62B5707C" w14:textId="77777777" w:rsidTr="00C24116">
        <w:tc>
          <w:tcPr>
            <w:tcW w:w="1363" w:type="pct"/>
            <w:tcBorders>
              <w:top w:val="single" w:sz="4" w:space="0" w:color="auto"/>
              <w:bottom w:val="single" w:sz="4" w:space="0" w:color="auto"/>
            </w:tcBorders>
            <w:shd w:val="clear" w:color="auto" w:fill="auto"/>
            <w:vAlign w:val="center"/>
          </w:tcPr>
          <w:p w14:paraId="2C196F0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Immunological disease</w:t>
            </w:r>
          </w:p>
        </w:tc>
        <w:tc>
          <w:tcPr>
            <w:tcW w:w="1823" w:type="pct"/>
            <w:tcBorders>
              <w:top w:val="single" w:sz="4" w:space="0" w:color="auto"/>
              <w:bottom w:val="single" w:sz="4" w:space="0" w:color="auto"/>
            </w:tcBorders>
            <w:shd w:val="clear" w:color="auto" w:fill="auto"/>
            <w:vAlign w:val="center"/>
            <w:hideMark/>
          </w:tcPr>
          <w:p w14:paraId="66C5C87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Chronic allergy </w:t>
            </w:r>
          </w:p>
        </w:tc>
        <w:tc>
          <w:tcPr>
            <w:tcW w:w="503" w:type="pct"/>
            <w:tcBorders>
              <w:top w:val="single" w:sz="4" w:space="0" w:color="auto"/>
              <w:bottom w:val="single" w:sz="4" w:space="0" w:color="auto"/>
            </w:tcBorders>
            <w:shd w:val="clear" w:color="auto" w:fill="auto"/>
            <w:vAlign w:val="center"/>
          </w:tcPr>
          <w:p w14:paraId="4CA97F4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115</w:t>
            </w:r>
          </w:p>
        </w:tc>
        <w:tc>
          <w:tcPr>
            <w:tcW w:w="671" w:type="pct"/>
            <w:tcBorders>
              <w:top w:val="single" w:sz="4" w:space="0" w:color="auto"/>
              <w:bottom w:val="single" w:sz="4" w:space="0" w:color="auto"/>
            </w:tcBorders>
            <w:shd w:val="clear" w:color="auto" w:fill="auto"/>
            <w:vAlign w:val="center"/>
          </w:tcPr>
          <w:p w14:paraId="1D83FFF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58.1</w:t>
            </w:r>
          </w:p>
        </w:tc>
        <w:tc>
          <w:tcPr>
            <w:tcW w:w="640" w:type="pct"/>
            <w:tcBorders>
              <w:top w:val="single" w:sz="4" w:space="0" w:color="auto"/>
              <w:bottom w:val="single" w:sz="4" w:space="0" w:color="auto"/>
            </w:tcBorders>
            <w:shd w:val="clear" w:color="auto" w:fill="auto"/>
            <w:vAlign w:val="center"/>
          </w:tcPr>
          <w:p w14:paraId="6C004DC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58.1</w:t>
            </w:r>
          </w:p>
        </w:tc>
      </w:tr>
      <w:tr w:rsidR="009262E5" w:rsidRPr="008B4A2A" w14:paraId="1AB5EE6A" w14:textId="77777777" w:rsidTr="00C24116">
        <w:tc>
          <w:tcPr>
            <w:tcW w:w="1363" w:type="pct"/>
            <w:vMerge w:val="restart"/>
            <w:tcBorders>
              <w:top w:val="single" w:sz="4" w:space="0" w:color="auto"/>
              <w:bottom w:val="single" w:sz="4" w:space="0" w:color="auto"/>
            </w:tcBorders>
            <w:shd w:val="clear" w:color="auto" w:fill="auto"/>
            <w:vAlign w:val="center"/>
          </w:tcPr>
          <w:p w14:paraId="65A93C1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Digestive problems</w:t>
            </w:r>
          </w:p>
        </w:tc>
        <w:tc>
          <w:tcPr>
            <w:tcW w:w="1823" w:type="pct"/>
            <w:tcBorders>
              <w:top w:val="single" w:sz="4" w:space="0" w:color="auto"/>
            </w:tcBorders>
            <w:shd w:val="clear" w:color="auto" w:fill="auto"/>
            <w:vAlign w:val="center"/>
          </w:tcPr>
          <w:p w14:paraId="2873C9B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Liver dysfunction </w:t>
            </w:r>
          </w:p>
        </w:tc>
        <w:tc>
          <w:tcPr>
            <w:tcW w:w="503" w:type="pct"/>
            <w:tcBorders>
              <w:top w:val="single" w:sz="4" w:space="0" w:color="auto"/>
            </w:tcBorders>
            <w:shd w:val="clear" w:color="auto" w:fill="auto"/>
            <w:vAlign w:val="center"/>
          </w:tcPr>
          <w:p w14:paraId="7D0DB57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w:t>
            </w:r>
          </w:p>
        </w:tc>
        <w:tc>
          <w:tcPr>
            <w:tcW w:w="671" w:type="pct"/>
            <w:tcBorders>
              <w:top w:val="single" w:sz="4" w:space="0" w:color="auto"/>
            </w:tcBorders>
            <w:shd w:val="clear" w:color="auto" w:fill="auto"/>
            <w:vAlign w:val="center"/>
          </w:tcPr>
          <w:p w14:paraId="11F75D1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2.5</w:t>
            </w:r>
          </w:p>
        </w:tc>
        <w:tc>
          <w:tcPr>
            <w:tcW w:w="640" w:type="pct"/>
            <w:vMerge w:val="restart"/>
            <w:tcBorders>
              <w:top w:val="single" w:sz="4" w:space="0" w:color="auto"/>
              <w:bottom w:val="single" w:sz="4" w:space="0" w:color="auto"/>
            </w:tcBorders>
            <w:shd w:val="clear" w:color="auto" w:fill="auto"/>
            <w:vAlign w:val="center"/>
          </w:tcPr>
          <w:p w14:paraId="59BBF51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25.8</w:t>
            </w:r>
          </w:p>
        </w:tc>
      </w:tr>
      <w:tr w:rsidR="009262E5" w:rsidRPr="008B4A2A" w14:paraId="27CF6E8F" w14:textId="77777777" w:rsidTr="00C24116">
        <w:tc>
          <w:tcPr>
            <w:tcW w:w="1363" w:type="pct"/>
            <w:vMerge/>
            <w:tcBorders>
              <w:bottom w:val="single" w:sz="4" w:space="0" w:color="auto"/>
            </w:tcBorders>
            <w:shd w:val="clear" w:color="auto" w:fill="auto"/>
            <w:vAlign w:val="center"/>
          </w:tcPr>
          <w:p w14:paraId="50880C6F"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0E51D37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Stomach/duodenal ulcer </w:t>
            </w:r>
          </w:p>
        </w:tc>
        <w:tc>
          <w:tcPr>
            <w:tcW w:w="503" w:type="pct"/>
            <w:shd w:val="clear" w:color="auto" w:fill="auto"/>
            <w:vAlign w:val="center"/>
          </w:tcPr>
          <w:p w14:paraId="74297D1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14</w:t>
            </w:r>
          </w:p>
        </w:tc>
        <w:tc>
          <w:tcPr>
            <w:tcW w:w="671" w:type="pct"/>
            <w:shd w:val="clear" w:color="auto" w:fill="auto"/>
            <w:vAlign w:val="center"/>
          </w:tcPr>
          <w:p w14:paraId="76B038B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7.1</w:t>
            </w:r>
          </w:p>
        </w:tc>
        <w:tc>
          <w:tcPr>
            <w:tcW w:w="640" w:type="pct"/>
            <w:vMerge/>
            <w:tcBorders>
              <w:bottom w:val="single" w:sz="4" w:space="0" w:color="auto"/>
            </w:tcBorders>
            <w:shd w:val="clear" w:color="auto" w:fill="auto"/>
            <w:vAlign w:val="center"/>
          </w:tcPr>
          <w:p w14:paraId="617D87CB"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3A587CF9" w14:textId="77777777" w:rsidTr="00C24116">
        <w:tc>
          <w:tcPr>
            <w:tcW w:w="1363" w:type="pct"/>
            <w:vMerge/>
            <w:tcBorders>
              <w:bottom w:val="single" w:sz="4" w:space="0" w:color="auto"/>
            </w:tcBorders>
            <w:shd w:val="clear" w:color="auto" w:fill="auto"/>
            <w:vAlign w:val="center"/>
          </w:tcPr>
          <w:p w14:paraId="5BD1286F"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tcPr>
          <w:p w14:paraId="020904E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Chronic constipation </w:t>
            </w:r>
          </w:p>
        </w:tc>
        <w:tc>
          <w:tcPr>
            <w:tcW w:w="503" w:type="pct"/>
            <w:shd w:val="clear" w:color="auto" w:fill="auto"/>
            <w:vAlign w:val="center"/>
          </w:tcPr>
          <w:p w14:paraId="2F0E4FA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28</w:t>
            </w:r>
          </w:p>
        </w:tc>
        <w:tc>
          <w:tcPr>
            <w:tcW w:w="671" w:type="pct"/>
            <w:shd w:val="clear" w:color="auto" w:fill="auto"/>
            <w:vAlign w:val="center"/>
          </w:tcPr>
          <w:p w14:paraId="5311F6C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14.1</w:t>
            </w:r>
          </w:p>
        </w:tc>
        <w:tc>
          <w:tcPr>
            <w:tcW w:w="640" w:type="pct"/>
            <w:vMerge/>
            <w:tcBorders>
              <w:bottom w:val="single" w:sz="4" w:space="0" w:color="auto"/>
            </w:tcBorders>
            <w:shd w:val="clear" w:color="auto" w:fill="auto"/>
            <w:vAlign w:val="center"/>
          </w:tcPr>
          <w:p w14:paraId="73345973"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52A617AA" w14:textId="77777777" w:rsidTr="00C24116">
        <w:tc>
          <w:tcPr>
            <w:tcW w:w="1363" w:type="pct"/>
            <w:vMerge/>
            <w:tcBorders>
              <w:bottom w:val="single" w:sz="4" w:space="0" w:color="auto"/>
            </w:tcBorders>
            <w:shd w:val="clear" w:color="auto" w:fill="auto"/>
            <w:vAlign w:val="center"/>
          </w:tcPr>
          <w:p w14:paraId="6FBF4162"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tcBorders>
              <w:bottom w:val="single" w:sz="4" w:space="0" w:color="auto"/>
            </w:tcBorders>
            <w:shd w:val="clear" w:color="auto" w:fill="auto"/>
            <w:vAlign w:val="center"/>
          </w:tcPr>
          <w:p w14:paraId="173C402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Haemorrhoids</w:t>
            </w:r>
          </w:p>
        </w:tc>
        <w:tc>
          <w:tcPr>
            <w:tcW w:w="503" w:type="pct"/>
            <w:tcBorders>
              <w:bottom w:val="single" w:sz="4" w:space="0" w:color="auto"/>
            </w:tcBorders>
            <w:shd w:val="clear" w:color="auto" w:fill="auto"/>
            <w:vAlign w:val="center"/>
          </w:tcPr>
          <w:p w14:paraId="7D75828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38</w:t>
            </w:r>
          </w:p>
        </w:tc>
        <w:tc>
          <w:tcPr>
            <w:tcW w:w="671" w:type="pct"/>
            <w:tcBorders>
              <w:bottom w:val="single" w:sz="4" w:space="0" w:color="auto"/>
            </w:tcBorders>
            <w:shd w:val="clear" w:color="auto" w:fill="auto"/>
            <w:vAlign w:val="center"/>
          </w:tcPr>
          <w:p w14:paraId="201CC8D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19.2</w:t>
            </w:r>
          </w:p>
        </w:tc>
        <w:tc>
          <w:tcPr>
            <w:tcW w:w="640" w:type="pct"/>
            <w:vMerge/>
            <w:tcBorders>
              <w:bottom w:val="single" w:sz="4" w:space="0" w:color="auto"/>
            </w:tcBorders>
            <w:shd w:val="clear" w:color="auto" w:fill="auto"/>
            <w:vAlign w:val="center"/>
          </w:tcPr>
          <w:p w14:paraId="0B518D4A"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7A878616" w14:textId="77777777" w:rsidTr="00C24116">
        <w:tc>
          <w:tcPr>
            <w:tcW w:w="1363" w:type="pct"/>
            <w:vMerge w:val="restart"/>
            <w:tcBorders>
              <w:top w:val="single" w:sz="4" w:space="0" w:color="auto"/>
              <w:bottom w:val="single" w:sz="4" w:space="0" w:color="auto"/>
            </w:tcBorders>
            <w:shd w:val="clear" w:color="auto" w:fill="auto"/>
            <w:vAlign w:val="center"/>
          </w:tcPr>
          <w:p w14:paraId="48E6AF0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Urogenital diseases</w:t>
            </w:r>
          </w:p>
        </w:tc>
        <w:tc>
          <w:tcPr>
            <w:tcW w:w="1823" w:type="pct"/>
            <w:tcBorders>
              <w:top w:val="single" w:sz="4" w:space="0" w:color="auto"/>
            </w:tcBorders>
            <w:shd w:val="clear" w:color="auto" w:fill="auto"/>
            <w:vAlign w:val="center"/>
            <w:hideMark/>
          </w:tcPr>
          <w:p w14:paraId="54D6347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Urinary incontinence</w:t>
            </w:r>
          </w:p>
        </w:tc>
        <w:tc>
          <w:tcPr>
            <w:tcW w:w="503" w:type="pct"/>
            <w:tcBorders>
              <w:top w:val="single" w:sz="4" w:space="0" w:color="auto"/>
            </w:tcBorders>
            <w:shd w:val="clear" w:color="auto" w:fill="auto"/>
            <w:vAlign w:val="center"/>
          </w:tcPr>
          <w:p w14:paraId="38A8135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29</w:t>
            </w:r>
          </w:p>
        </w:tc>
        <w:tc>
          <w:tcPr>
            <w:tcW w:w="671" w:type="pct"/>
            <w:tcBorders>
              <w:top w:val="single" w:sz="4" w:space="0" w:color="auto"/>
            </w:tcBorders>
            <w:shd w:val="clear" w:color="auto" w:fill="auto"/>
            <w:vAlign w:val="center"/>
          </w:tcPr>
          <w:p w14:paraId="22FB0DC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14.6</w:t>
            </w:r>
          </w:p>
        </w:tc>
        <w:tc>
          <w:tcPr>
            <w:tcW w:w="640" w:type="pct"/>
            <w:vMerge w:val="restart"/>
            <w:tcBorders>
              <w:top w:val="single" w:sz="4" w:space="0" w:color="auto"/>
              <w:bottom w:val="single" w:sz="4" w:space="0" w:color="auto"/>
            </w:tcBorders>
            <w:shd w:val="clear" w:color="auto" w:fill="auto"/>
            <w:vAlign w:val="center"/>
          </w:tcPr>
          <w:p w14:paraId="144D74D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28.8</w:t>
            </w:r>
          </w:p>
        </w:tc>
      </w:tr>
      <w:tr w:rsidR="009262E5" w:rsidRPr="008B4A2A" w14:paraId="4D1219BC" w14:textId="77777777" w:rsidTr="00C24116">
        <w:tc>
          <w:tcPr>
            <w:tcW w:w="1363" w:type="pct"/>
            <w:vMerge/>
            <w:tcBorders>
              <w:bottom w:val="single" w:sz="4" w:space="0" w:color="auto"/>
            </w:tcBorders>
            <w:shd w:val="clear" w:color="auto" w:fill="auto"/>
            <w:vAlign w:val="center"/>
          </w:tcPr>
          <w:p w14:paraId="3C2FE61D"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tcPr>
          <w:p w14:paraId="149BC49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Kidney problems </w:t>
            </w:r>
          </w:p>
        </w:tc>
        <w:tc>
          <w:tcPr>
            <w:tcW w:w="503" w:type="pct"/>
            <w:shd w:val="clear" w:color="auto" w:fill="auto"/>
            <w:vAlign w:val="center"/>
          </w:tcPr>
          <w:p w14:paraId="36D0ED4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w:t>
            </w:r>
          </w:p>
        </w:tc>
        <w:tc>
          <w:tcPr>
            <w:tcW w:w="671" w:type="pct"/>
            <w:shd w:val="clear" w:color="auto" w:fill="auto"/>
            <w:vAlign w:val="center"/>
          </w:tcPr>
          <w:p w14:paraId="082CA22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9.6</w:t>
            </w:r>
          </w:p>
        </w:tc>
        <w:tc>
          <w:tcPr>
            <w:tcW w:w="640" w:type="pct"/>
            <w:vMerge/>
            <w:tcBorders>
              <w:bottom w:val="single" w:sz="4" w:space="0" w:color="auto"/>
            </w:tcBorders>
            <w:shd w:val="clear" w:color="auto" w:fill="auto"/>
            <w:vAlign w:val="center"/>
          </w:tcPr>
          <w:p w14:paraId="335488D5"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45BCA8F" w14:textId="77777777" w:rsidTr="00C24116">
        <w:tc>
          <w:tcPr>
            <w:tcW w:w="1363" w:type="pct"/>
            <w:vMerge/>
            <w:tcBorders>
              <w:bottom w:val="single" w:sz="4" w:space="0" w:color="auto"/>
            </w:tcBorders>
            <w:shd w:val="clear" w:color="auto" w:fill="auto"/>
            <w:vAlign w:val="center"/>
          </w:tcPr>
          <w:p w14:paraId="4A7230A4"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tcPr>
          <w:p w14:paraId="19C0DA4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Prostate problems (men)</w:t>
            </w:r>
          </w:p>
        </w:tc>
        <w:tc>
          <w:tcPr>
            <w:tcW w:w="503" w:type="pct"/>
            <w:shd w:val="clear" w:color="auto" w:fill="auto"/>
            <w:vAlign w:val="center"/>
          </w:tcPr>
          <w:p w14:paraId="168268F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14</w:t>
            </w:r>
          </w:p>
        </w:tc>
        <w:tc>
          <w:tcPr>
            <w:tcW w:w="671" w:type="pct"/>
            <w:shd w:val="clear" w:color="auto" w:fill="auto"/>
            <w:vAlign w:val="center"/>
          </w:tcPr>
          <w:p w14:paraId="2402057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7.1 (17.9)</w:t>
            </w:r>
          </w:p>
        </w:tc>
        <w:tc>
          <w:tcPr>
            <w:tcW w:w="640" w:type="pct"/>
            <w:vMerge/>
            <w:tcBorders>
              <w:bottom w:val="single" w:sz="4" w:space="0" w:color="auto"/>
            </w:tcBorders>
            <w:shd w:val="clear" w:color="auto" w:fill="auto"/>
            <w:vAlign w:val="center"/>
          </w:tcPr>
          <w:p w14:paraId="7C98FE2C"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3BB59F22" w14:textId="77777777" w:rsidTr="00C24116">
        <w:tc>
          <w:tcPr>
            <w:tcW w:w="1363" w:type="pct"/>
            <w:vMerge/>
            <w:tcBorders>
              <w:bottom w:val="single" w:sz="4" w:space="0" w:color="auto"/>
            </w:tcBorders>
            <w:shd w:val="clear" w:color="auto" w:fill="auto"/>
            <w:vAlign w:val="center"/>
          </w:tcPr>
          <w:p w14:paraId="20768B12"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tcBorders>
              <w:bottom w:val="single" w:sz="4" w:space="0" w:color="auto"/>
            </w:tcBorders>
            <w:shd w:val="clear" w:color="auto" w:fill="auto"/>
            <w:vAlign w:val="center"/>
          </w:tcPr>
          <w:p w14:paraId="7EC1F11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 xml:space="preserve">Menopausal problems (women) </w:t>
            </w:r>
          </w:p>
        </w:tc>
        <w:tc>
          <w:tcPr>
            <w:tcW w:w="503" w:type="pct"/>
            <w:tcBorders>
              <w:bottom w:val="single" w:sz="4" w:space="0" w:color="auto"/>
            </w:tcBorders>
            <w:shd w:val="clear" w:color="auto" w:fill="auto"/>
            <w:vAlign w:val="center"/>
          </w:tcPr>
          <w:p w14:paraId="714A674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16</w:t>
            </w:r>
          </w:p>
        </w:tc>
        <w:tc>
          <w:tcPr>
            <w:tcW w:w="671" w:type="pct"/>
            <w:tcBorders>
              <w:bottom w:val="single" w:sz="4" w:space="0" w:color="auto"/>
            </w:tcBorders>
            <w:shd w:val="clear" w:color="auto" w:fill="auto"/>
            <w:vAlign w:val="center"/>
          </w:tcPr>
          <w:p w14:paraId="4E69E97C"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8.1 (13.3)</w:t>
            </w:r>
          </w:p>
        </w:tc>
        <w:tc>
          <w:tcPr>
            <w:tcW w:w="640" w:type="pct"/>
            <w:vMerge/>
            <w:tcBorders>
              <w:bottom w:val="single" w:sz="4" w:space="0" w:color="auto"/>
            </w:tcBorders>
            <w:shd w:val="clear" w:color="auto" w:fill="auto"/>
            <w:vAlign w:val="center"/>
          </w:tcPr>
          <w:p w14:paraId="502F2545"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47A49243" w14:textId="77777777" w:rsidTr="00C24116">
        <w:tc>
          <w:tcPr>
            <w:tcW w:w="1363" w:type="pct"/>
            <w:tcBorders>
              <w:top w:val="single" w:sz="4" w:space="0" w:color="auto"/>
              <w:bottom w:val="single" w:sz="4" w:space="0" w:color="auto"/>
            </w:tcBorders>
            <w:shd w:val="clear" w:color="auto" w:fill="auto"/>
            <w:vAlign w:val="center"/>
          </w:tcPr>
          <w:p w14:paraId="41A6B7B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Eye problems</w:t>
            </w:r>
          </w:p>
        </w:tc>
        <w:tc>
          <w:tcPr>
            <w:tcW w:w="1823" w:type="pct"/>
            <w:tcBorders>
              <w:top w:val="single" w:sz="4" w:space="0" w:color="auto"/>
              <w:bottom w:val="single" w:sz="4" w:space="0" w:color="auto"/>
            </w:tcBorders>
            <w:shd w:val="clear" w:color="auto" w:fill="auto"/>
            <w:vAlign w:val="center"/>
            <w:hideMark/>
          </w:tcPr>
          <w:p w14:paraId="33E3A614"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Cataracts</w:t>
            </w:r>
          </w:p>
        </w:tc>
        <w:tc>
          <w:tcPr>
            <w:tcW w:w="503" w:type="pct"/>
            <w:tcBorders>
              <w:top w:val="single" w:sz="4" w:space="0" w:color="auto"/>
              <w:bottom w:val="single" w:sz="4" w:space="0" w:color="auto"/>
            </w:tcBorders>
            <w:shd w:val="clear" w:color="auto" w:fill="auto"/>
            <w:vAlign w:val="center"/>
          </w:tcPr>
          <w:p w14:paraId="3F670DA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30</w:t>
            </w:r>
          </w:p>
        </w:tc>
        <w:tc>
          <w:tcPr>
            <w:tcW w:w="671" w:type="pct"/>
            <w:tcBorders>
              <w:top w:val="single" w:sz="4" w:space="0" w:color="auto"/>
              <w:bottom w:val="single" w:sz="4" w:space="0" w:color="auto"/>
            </w:tcBorders>
            <w:shd w:val="clear" w:color="auto" w:fill="auto"/>
            <w:vAlign w:val="center"/>
          </w:tcPr>
          <w:p w14:paraId="6F82B47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15.2</w:t>
            </w:r>
          </w:p>
        </w:tc>
        <w:tc>
          <w:tcPr>
            <w:tcW w:w="640" w:type="pct"/>
            <w:tcBorders>
              <w:top w:val="single" w:sz="4" w:space="0" w:color="auto"/>
              <w:bottom w:val="single" w:sz="4" w:space="0" w:color="auto"/>
            </w:tcBorders>
            <w:shd w:val="clear" w:color="auto" w:fill="auto"/>
            <w:vAlign w:val="center"/>
          </w:tcPr>
          <w:p w14:paraId="04518D4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15.2</w:t>
            </w:r>
          </w:p>
        </w:tc>
      </w:tr>
      <w:tr w:rsidR="009262E5" w:rsidRPr="008B4A2A" w14:paraId="4346A360" w14:textId="77777777" w:rsidTr="00C24116">
        <w:tc>
          <w:tcPr>
            <w:tcW w:w="1363" w:type="pct"/>
            <w:tcBorders>
              <w:top w:val="single" w:sz="4" w:space="0" w:color="auto"/>
              <w:bottom w:val="single" w:sz="4" w:space="0" w:color="auto"/>
            </w:tcBorders>
            <w:shd w:val="clear" w:color="auto" w:fill="auto"/>
            <w:vAlign w:val="center"/>
          </w:tcPr>
          <w:p w14:paraId="0F8BEF2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Dermatological problems</w:t>
            </w:r>
          </w:p>
        </w:tc>
        <w:tc>
          <w:tcPr>
            <w:tcW w:w="1823" w:type="pct"/>
            <w:tcBorders>
              <w:top w:val="single" w:sz="4" w:space="0" w:color="auto"/>
              <w:bottom w:val="single" w:sz="4" w:space="0" w:color="auto"/>
            </w:tcBorders>
            <w:shd w:val="clear" w:color="auto" w:fill="auto"/>
            <w:vAlign w:val="center"/>
            <w:hideMark/>
          </w:tcPr>
          <w:p w14:paraId="06628AB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Chronic skin problems</w:t>
            </w:r>
          </w:p>
        </w:tc>
        <w:tc>
          <w:tcPr>
            <w:tcW w:w="503" w:type="pct"/>
            <w:tcBorders>
              <w:top w:val="single" w:sz="4" w:space="0" w:color="auto"/>
              <w:bottom w:val="single" w:sz="4" w:space="0" w:color="auto"/>
            </w:tcBorders>
            <w:shd w:val="clear" w:color="auto" w:fill="auto"/>
            <w:vAlign w:val="center"/>
          </w:tcPr>
          <w:p w14:paraId="0D6FE59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34</w:t>
            </w:r>
          </w:p>
        </w:tc>
        <w:tc>
          <w:tcPr>
            <w:tcW w:w="671" w:type="pct"/>
            <w:tcBorders>
              <w:top w:val="single" w:sz="4" w:space="0" w:color="auto"/>
              <w:bottom w:val="single" w:sz="4" w:space="0" w:color="auto"/>
            </w:tcBorders>
            <w:shd w:val="clear" w:color="auto" w:fill="auto"/>
            <w:vAlign w:val="center"/>
          </w:tcPr>
          <w:p w14:paraId="18C6E52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17.2</w:t>
            </w:r>
          </w:p>
        </w:tc>
        <w:tc>
          <w:tcPr>
            <w:tcW w:w="640" w:type="pct"/>
            <w:tcBorders>
              <w:top w:val="single" w:sz="4" w:space="0" w:color="auto"/>
              <w:bottom w:val="single" w:sz="4" w:space="0" w:color="auto"/>
            </w:tcBorders>
            <w:shd w:val="clear" w:color="auto" w:fill="auto"/>
            <w:vAlign w:val="center"/>
          </w:tcPr>
          <w:p w14:paraId="2151340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17.2</w:t>
            </w:r>
          </w:p>
        </w:tc>
      </w:tr>
      <w:tr w:rsidR="009262E5" w:rsidRPr="008B4A2A" w14:paraId="09BB2B21" w14:textId="77777777" w:rsidTr="00C24116">
        <w:tc>
          <w:tcPr>
            <w:tcW w:w="1363" w:type="pct"/>
            <w:vMerge w:val="restart"/>
            <w:tcBorders>
              <w:top w:val="single" w:sz="4" w:space="0" w:color="auto"/>
              <w:bottom w:val="single" w:sz="4" w:space="0" w:color="auto"/>
            </w:tcBorders>
            <w:shd w:val="clear" w:color="auto" w:fill="auto"/>
            <w:vAlign w:val="center"/>
          </w:tcPr>
          <w:p w14:paraId="07F66CC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Mental health problems</w:t>
            </w:r>
          </w:p>
        </w:tc>
        <w:tc>
          <w:tcPr>
            <w:tcW w:w="1823" w:type="pct"/>
            <w:tcBorders>
              <w:top w:val="single" w:sz="4" w:space="0" w:color="auto"/>
            </w:tcBorders>
            <w:shd w:val="clear" w:color="auto" w:fill="auto"/>
            <w:vAlign w:val="center"/>
            <w:hideMark/>
          </w:tcPr>
          <w:p w14:paraId="13B6B12F"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Depression</w:t>
            </w:r>
          </w:p>
        </w:tc>
        <w:tc>
          <w:tcPr>
            <w:tcW w:w="503" w:type="pct"/>
            <w:tcBorders>
              <w:top w:val="single" w:sz="4" w:space="0" w:color="auto"/>
            </w:tcBorders>
            <w:shd w:val="clear" w:color="auto" w:fill="auto"/>
            <w:vAlign w:val="center"/>
          </w:tcPr>
          <w:p w14:paraId="62B80AB9"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52</w:t>
            </w:r>
          </w:p>
        </w:tc>
        <w:tc>
          <w:tcPr>
            <w:tcW w:w="671" w:type="pct"/>
            <w:tcBorders>
              <w:top w:val="single" w:sz="4" w:space="0" w:color="auto"/>
            </w:tcBorders>
            <w:shd w:val="clear" w:color="auto" w:fill="auto"/>
            <w:vAlign w:val="center"/>
          </w:tcPr>
          <w:p w14:paraId="4980535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26.3</w:t>
            </w:r>
          </w:p>
        </w:tc>
        <w:tc>
          <w:tcPr>
            <w:tcW w:w="640" w:type="pct"/>
            <w:vMerge w:val="restart"/>
            <w:tcBorders>
              <w:top w:val="single" w:sz="4" w:space="0" w:color="auto"/>
              <w:bottom w:val="single" w:sz="4" w:space="0" w:color="auto"/>
            </w:tcBorders>
            <w:shd w:val="clear" w:color="auto" w:fill="auto"/>
            <w:vAlign w:val="center"/>
          </w:tcPr>
          <w:p w14:paraId="5B092AC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32.8</w:t>
            </w:r>
          </w:p>
        </w:tc>
      </w:tr>
      <w:tr w:rsidR="009262E5" w:rsidRPr="008B4A2A" w14:paraId="1DCA8143" w14:textId="77777777" w:rsidTr="00C24116">
        <w:tc>
          <w:tcPr>
            <w:tcW w:w="1363" w:type="pct"/>
            <w:vMerge/>
            <w:tcBorders>
              <w:bottom w:val="single" w:sz="4" w:space="0" w:color="auto"/>
            </w:tcBorders>
            <w:shd w:val="clear" w:color="auto" w:fill="auto"/>
            <w:vAlign w:val="center"/>
          </w:tcPr>
          <w:p w14:paraId="6C7236C0"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hideMark/>
          </w:tcPr>
          <w:p w14:paraId="74AB5291"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Chronic anxiety</w:t>
            </w:r>
          </w:p>
        </w:tc>
        <w:tc>
          <w:tcPr>
            <w:tcW w:w="503" w:type="pct"/>
            <w:shd w:val="clear" w:color="auto" w:fill="auto"/>
            <w:vAlign w:val="center"/>
          </w:tcPr>
          <w:p w14:paraId="6B8B776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46</w:t>
            </w:r>
          </w:p>
        </w:tc>
        <w:tc>
          <w:tcPr>
            <w:tcW w:w="671" w:type="pct"/>
            <w:shd w:val="clear" w:color="auto" w:fill="auto"/>
            <w:vAlign w:val="center"/>
          </w:tcPr>
          <w:p w14:paraId="607014C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23.2</w:t>
            </w:r>
          </w:p>
        </w:tc>
        <w:tc>
          <w:tcPr>
            <w:tcW w:w="640" w:type="pct"/>
            <w:vMerge/>
            <w:tcBorders>
              <w:bottom w:val="single" w:sz="4" w:space="0" w:color="auto"/>
            </w:tcBorders>
            <w:shd w:val="clear" w:color="auto" w:fill="auto"/>
            <w:vAlign w:val="center"/>
          </w:tcPr>
          <w:p w14:paraId="46D96A29"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AB60594" w14:textId="77777777" w:rsidTr="00C24116">
        <w:tc>
          <w:tcPr>
            <w:tcW w:w="1363" w:type="pct"/>
            <w:vMerge/>
            <w:tcBorders>
              <w:bottom w:val="single" w:sz="4" w:space="0" w:color="auto"/>
            </w:tcBorders>
            <w:shd w:val="clear" w:color="auto" w:fill="auto"/>
            <w:vAlign w:val="center"/>
          </w:tcPr>
          <w:p w14:paraId="7CCD9D0F"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tcBorders>
              <w:bottom w:val="single" w:sz="4" w:space="0" w:color="auto"/>
            </w:tcBorders>
            <w:shd w:val="clear" w:color="auto" w:fill="auto"/>
            <w:vAlign w:val="center"/>
            <w:hideMark/>
          </w:tcPr>
          <w:p w14:paraId="770F51B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Other mental problems</w:t>
            </w:r>
          </w:p>
        </w:tc>
        <w:tc>
          <w:tcPr>
            <w:tcW w:w="503" w:type="pct"/>
            <w:tcBorders>
              <w:bottom w:val="single" w:sz="4" w:space="0" w:color="auto"/>
            </w:tcBorders>
            <w:shd w:val="clear" w:color="auto" w:fill="auto"/>
            <w:vAlign w:val="center"/>
          </w:tcPr>
          <w:p w14:paraId="21BED0B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w:t>
            </w:r>
          </w:p>
        </w:tc>
        <w:tc>
          <w:tcPr>
            <w:tcW w:w="671" w:type="pct"/>
            <w:tcBorders>
              <w:bottom w:val="single" w:sz="4" w:space="0" w:color="auto"/>
            </w:tcBorders>
            <w:shd w:val="clear" w:color="auto" w:fill="auto"/>
            <w:vAlign w:val="center"/>
          </w:tcPr>
          <w:p w14:paraId="3058EFD7"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2.0</w:t>
            </w:r>
          </w:p>
        </w:tc>
        <w:tc>
          <w:tcPr>
            <w:tcW w:w="640" w:type="pct"/>
            <w:vMerge/>
            <w:tcBorders>
              <w:bottom w:val="single" w:sz="4" w:space="0" w:color="auto"/>
            </w:tcBorders>
            <w:shd w:val="clear" w:color="auto" w:fill="auto"/>
            <w:vAlign w:val="center"/>
          </w:tcPr>
          <w:p w14:paraId="5EF5E744"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57A893DF" w14:textId="77777777" w:rsidTr="00C24116">
        <w:tc>
          <w:tcPr>
            <w:tcW w:w="1363" w:type="pct"/>
            <w:tcBorders>
              <w:top w:val="single" w:sz="4" w:space="0" w:color="auto"/>
              <w:bottom w:val="single" w:sz="4" w:space="0" w:color="auto"/>
            </w:tcBorders>
            <w:shd w:val="clear" w:color="auto" w:fill="auto"/>
            <w:vAlign w:val="center"/>
          </w:tcPr>
          <w:p w14:paraId="5400CB7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Neurological disorder</w:t>
            </w:r>
          </w:p>
        </w:tc>
        <w:tc>
          <w:tcPr>
            <w:tcW w:w="1823" w:type="pct"/>
            <w:tcBorders>
              <w:top w:val="single" w:sz="4" w:space="0" w:color="auto"/>
              <w:bottom w:val="single" w:sz="4" w:space="0" w:color="auto"/>
            </w:tcBorders>
            <w:shd w:val="clear" w:color="auto" w:fill="auto"/>
            <w:vAlign w:val="center"/>
            <w:hideMark/>
          </w:tcPr>
          <w:p w14:paraId="3D8B7A9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Migraine</w:t>
            </w:r>
          </w:p>
        </w:tc>
        <w:tc>
          <w:tcPr>
            <w:tcW w:w="503" w:type="pct"/>
            <w:tcBorders>
              <w:top w:val="single" w:sz="4" w:space="0" w:color="auto"/>
              <w:bottom w:val="single" w:sz="4" w:space="0" w:color="auto"/>
            </w:tcBorders>
            <w:shd w:val="clear" w:color="auto" w:fill="auto"/>
            <w:vAlign w:val="center"/>
          </w:tcPr>
          <w:p w14:paraId="2AEBAAB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62</w:t>
            </w:r>
          </w:p>
        </w:tc>
        <w:tc>
          <w:tcPr>
            <w:tcW w:w="671" w:type="pct"/>
            <w:tcBorders>
              <w:top w:val="single" w:sz="4" w:space="0" w:color="auto"/>
              <w:bottom w:val="single" w:sz="4" w:space="0" w:color="auto"/>
            </w:tcBorders>
            <w:shd w:val="clear" w:color="auto" w:fill="auto"/>
            <w:vAlign w:val="center"/>
          </w:tcPr>
          <w:p w14:paraId="2E00BB2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31.3</w:t>
            </w:r>
          </w:p>
        </w:tc>
        <w:tc>
          <w:tcPr>
            <w:tcW w:w="640" w:type="pct"/>
            <w:tcBorders>
              <w:top w:val="single" w:sz="4" w:space="0" w:color="auto"/>
              <w:bottom w:val="single" w:sz="4" w:space="0" w:color="auto"/>
            </w:tcBorders>
            <w:shd w:val="clear" w:color="auto" w:fill="auto"/>
            <w:vAlign w:val="center"/>
          </w:tcPr>
          <w:p w14:paraId="6D1848A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31.3</w:t>
            </w:r>
          </w:p>
        </w:tc>
      </w:tr>
      <w:tr w:rsidR="009262E5" w:rsidRPr="008B4A2A" w14:paraId="57727F9E" w14:textId="77777777" w:rsidTr="00C24116">
        <w:tc>
          <w:tcPr>
            <w:tcW w:w="1363" w:type="pct"/>
            <w:tcBorders>
              <w:top w:val="single" w:sz="4" w:space="0" w:color="auto"/>
              <w:bottom w:val="single" w:sz="4" w:space="0" w:color="auto"/>
            </w:tcBorders>
            <w:shd w:val="clear" w:color="auto" w:fill="auto"/>
            <w:vAlign w:val="center"/>
          </w:tcPr>
          <w:p w14:paraId="793DC46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Neoplasias</w:t>
            </w:r>
          </w:p>
        </w:tc>
        <w:tc>
          <w:tcPr>
            <w:tcW w:w="1823" w:type="pct"/>
            <w:tcBorders>
              <w:top w:val="single" w:sz="4" w:space="0" w:color="auto"/>
              <w:bottom w:val="single" w:sz="4" w:space="0" w:color="auto"/>
            </w:tcBorders>
            <w:shd w:val="clear" w:color="auto" w:fill="auto"/>
            <w:vAlign w:val="center"/>
            <w:hideMark/>
          </w:tcPr>
          <w:p w14:paraId="51A5717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Malignant tumors</w:t>
            </w:r>
          </w:p>
        </w:tc>
        <w:tc>
          <w:tcPr>
            <w:tcW w:w="503" w:type="pct"/>
            <w:tcBorders>
              <w:top w:val="single" w:sz="4" w:space="0" w:color="auto"/>
              <w:bottom w:val="single" w:sz="4" w:space="0" w:color="auto"/>
            </w:tcBorders>
            <w:shd w:val="clear" w:color="auto" w:fill="auto"/>
            <w:vAlign w:val="center"/>
          </w:tcPr>
          <w:p w14:paraId="52FE1953"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19</w:t>
            </w:r>
          </w:p>
        </w:tc>
        <w:tc>
          <w:tcPr>
            <w:tcW w:w="671" w:type="pct"/>
            <w:tcBorders>
              <w:top w:val="single" w:sz="4" w:space="0" w:color="auto"/>
              <w:bottom w:val="single" w:sz="4" w:space="0" w:color="auto"/>
            </w:tcBorders>
            <w:shd w:val="clear" w:color="auto" w:fill="auto"/>
            <w:vAlign w:val="center"/>
          </w:tcPr>
          <w:p w14:paraId="791E691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9.6</w:t>
            </w:r>
          </w:p>
        </w:tc>
        <w:tc>
          <w:tcPr>
            <w:tcW w:w="640" w:type="pct"/>
            <w:tcBorders>
              <w:top w:val="single" w:sz="4" w:space="0" w:color="auto"/>
              <w:bottom w:val="single" w:sz="4" w:space="0" w:color="auto"/>
            </w:tcBorders>
            <w:shd w:val="clear" w:color="auto" w:fill="auto"/>
            <w:vAlign w:val="center"/>
          </w:tcPr>
          <w:p w14:paraId="1EB3167D"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9.6</w:t>
            </w:r>
          </w:p>
        </w:tc>
      </w:tr>
      <w:tr w:rsidR="009262E5" w:rsidRPr="008B4A2A" w14:paraId="56AAC107" w14:textId="77777777" w:rsidTr="00C24116">
        <w:tc>
          <w:tcPr>
            <w:tcW w:w="1363" w:type="pct"/>
            <w:vMerge w:val="restart"/>
            <w:tcBorders>
              <w:top w:val="single" w:sz="4" w:space="0" w:color="auto"/>
            </w:tcBorders>
            <w:shd w:val="clear" w:color="auto" w:fill="auto"/>
            <w:vAlign w:val="center"/>
          </w:tcPr>
          <w:p w14:paraId="5E96B1C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Endocrinal &amp; metabolic diseases</w:t>
            </w:r>
          </w:p>
        </w:tc>
        <w:tc>
          <w:tcPr>
            <w:tcW w:w="1823" w:type="pct"/>
            <w:tcBorders>
              <w:top w:val="single" w:sz="4" w:space="0" w:color="auto"/>
            </w:tcBorders>
            <w:shd w:val="clear" w:color="auto" w:fill="auto"/>
            <w:vAlign w:val="center"/>
            <w:hideMark/>
          </w:tcPr>
          <w:p w14:paraId="56300AC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Thyroid problems</w:t>
            </w:r>
          </w:p>
        </w:tc>
        <w:tc>
          <w:tcPr>
            <w:tcW w:w="503" w:type="pct"/>
            <w:tcBorders>
              <w:top w:val="single" w:sz="4" w:space="0" w:color="auto"/>
            </w:tcBorders>
            <w:shd w:val="clear" w:color="auto" w:fill="auto"/>
            <w:vAlign w:val="center"/>
          </w:tcPr>
          <w:p w14:paraId="0C1A06BB"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16</w:t>
            </w:r>
          </w:p>
        </w:tc>
        <w:tc>
          <w:tcPr>
            <w:tcW w:w="671" w:type="pct"/>
            <w:tcBorders>
              <w:top w:val="single" w:sz="4" w:space="0" w:color="auto"/>
            </w:tcBorders>
            <w:shd w:val="clear" w:color="auto" w:fill="auto"/>
            <w:vAlign w:val="center"/>
          </w:tcPr>
          <w:p w14:paraId="5D80DB4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8.1</w:t>
            </w:r>
          </w:p>
        </w:tc>
        <w:tc>
          <w:tcPr>
            <w:tcW w:w="640" w:type="pct"/>
            <w:vMerge w:val="restart"/>
            <w:tcBorders>
              <w:top w:val="single" w:sz="4" w:space="0" w:color="auto"/>
              <w:bottom w:val="single" w:sz="4" w:space="0" w:color="auto"/>
            </w:tcBorders>
            <w:shd w:val="clear" w:color="auto" w:fill="auto"/>
            <w:vAlign w:val="center"/>
          </w:tcPr>
          <w:p w14:paraId="3368CDC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41.9</w:t>
            </w:r>
          </w:p>
        </w:tc>
      </w:tr>
      <w:tr w:rsidR="009262E5" w:rsidRPr="008B4A2A" w14:paraId="4260CA6A" w14:textId="77777777" w:rsidTr="00C24116">
        <w:tc>
          <w:tcPr>
            <w:tcW w:w="1363" w:type="pct"/>
            <w:vMerge/>
            <w:shd w:val="clear" w:color="auto" w:fill="auto"/>
            <w:vAlign w:val="center"/>
          </w:tcPr>
          <w:p w14:paraId="6FBC07CD"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shd w:val="clear" w:color="auto" w:fill="auto"/>
            <w:vAlign w:val="center"/>
          </w:tcPr>
          <w:p w14:paraId="1B8430A5"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Diabetes</w:t>
            </w:r>
          </w:p>
        </w:tc>
        <w:tc>
          <w:tcPr>
            <w:tcW w:w="503" w:type="pct"/>
            <w:shd w:val="clear" w:color="auto" w:fill="auto"/>
            <w:vAlign w:val="center"/>
          </w:tcPr>
          <w:p w14:paraId="394AF67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30</w:t>
            </w:r>
          </w:p>
        </w:tc>
        <w:tc>
          <w:tcPr>
            <w:tcW w:w="671" w:type="pct"/>
            <w:shd w:val="clear" w:color="auto" w:fill="auto"/>
            <w:vAlign w:val="center"/>
          </w:tcPr>
          <w:p w14:paraId="0BDD385A"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15.2</w:t>
            </w:r>
          </w:p>
        </w:tc>
        <w:tc>
          <w:tcPr>
            <w:tcW w:w="640" w:type="pct"/>
            <w:vMerge/>
            <w:tcBorders>
              <w:bottom w:val="single" w:sz="4" w:space="0" w:color="auto"/>
            </w:tcBorders>
            <w:shd w:val="clear" w:color="auto" w:fill="auto"/>
            <w:vAlign w:val="center"/>
          </w:tcPr>
          <w:p w14:paraId="40C78C5E"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4C7C6CDE" w14:textId="77777777" w:rsidTr="00C24116">
        <w:tc>
          <w:tcPr>
            <w:tcW w:w="1363" w:type="pct"/>
            <w:vMerge/>
            <w:tcBorders>
              <w:bottom w:val="single" w:sz="4" w:space="0" w:color="auto"/>
            </w:tcBorders>
            <w:shd w:val="clear" w:color="auto" w:fill="auto"/>
            <w:vAlign w:val="center"/>
          </w:tcPr>
          <w:p w14:paraId="16421D4D" w14:textId="77777777" w:rsidR="009262E5" w:rsidRPr="008B4A2A" w:rsidRDefault="009262E5" w:rsidP="00C24116">
            <w:pPr>
              <w:autoSpaceDE w:val="0"/>
              <w:autoSpaceDN w:val="0"/>
              <w:adjustRightInd w:val="0"/>
              <w:snapToGrid w:val="0"/>
              <w:spacing w:line="240" w:lineRule="auto"/>
              <w:jc w:val="center"/>
              <w:rPr>
                <w:sz w:val="18"/>
                <w:lang w:val="en-GB"/>
              </w:rPr>
            </w:pPr>
          </w:p>
        </w:tc>
        <w:tc>
          <w:tcPr>
            <w:tcW w:w="1823" w:type="pct"/>
            <w:tcBorders>
              <w:bottom w:val="single" w:sz="4" w:space="0" w:color="auto"/>
            </w:tcBorders>
            <w:shd w:val="clear" w:color="auto" w:fill="auto"/>
            <w:vAlign w:val="center"/>
          </w:tcPr>
          <w:p w14:paraId="016ACFD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High cholesterol</w:t>
            </w:r>
          </w:p>
        </w:tc>
        <w:tc>
          <w:tcPr>
            <w:tcW w:w="503" w:type="pct"/>
            <w:tcBorders>
              <w:bottom w:val="single" w:sz="4" w:space="0" w:color="auto"/>
            </w:tcBorders>
            <w:shd w:val="clear" w:color="auto" w:fill="auto"/>
            <w:vAlign w:val="center"/>
          </w:tcPr>
          <w:p w14:paraId="79B34B48"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62</w:t>
            </w:r>
          </w:p>
        </w:tc>
        <w:tc>
          <w:tcPr>
            <w:tcW w:w="671" w:type="pct"/>
            <w:tcBorders>
              <w:bottom w:val="single" w:sz="4" w:space="0" w:color="auto"/>
            </w:tcBorders>
            <w:shd w:val="clear" w:color="auto" w:fill="auto"/>
            <w:vAlign w:val="center"/>
          </w:tcPr>
          <w:p w14:paraId="6E5BF88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31.3</w:t>
            </w:r>
          </w:p>
        </w:tc>
        <w:tc>
          <w:tcPr>
            <w:tcW w:w="640" w:type="pct"/>
            <w:vMerge/>
            <w:tcBorders>
              <w:bottom w:val="single" w:sz="4" w:space="0" w:color="auto"/>
            </w:tcBorders>
            <w:shd w:val="clear" w:color="auto" w:fill="auto"/>
            <w:vAlign w:val="center"/>
          </w:tcPr>
          <w:p w14:paraId="595928BB" w14:textId="77777777" w:rsidR="009262E5" w:rsidRPr="008B4A2A" w:rsidRDefault="009262E5" w:rsidP="00C24116">
            <w:pPr>
              <w:autoSpaceDE w:val="0"/>
              <w:autoSpaceDN w:val="0"/>
              <w:adjustRightInd w:val="0"/>
              <w:snapToGrid w:val="0"/>
              <w:spacing w:line="240" w:lineRule="auto"/>
              <w:jc w:val="center"/>
              <w:rPr>
                <w:sz w:val="18"/>
                <w:lang w:val="en-GB"/>
              </w:rPr>
            </w:pPr>
          </w:p>
        </w:tc>
      </w:tr>
      <w:tr w:rsidR="009262E5" w:rsidRPr="008B4A2A" w14:paraId="127B34F3" w14:textId="77777777" w:rsidTr="00C24116">
        <w:tc>
          <w:tcPr>
            <w:tcW w:w="3186" w:type="pct"/>
            <w:gridSpan w:val="2"/>
            <w:tcBorders>
              <w:top w:val="single" w:sz="4" w:space="0" w:color="auto"/>
              <w:bottom w:val="single" w:sz="4" w:space="0" w:color="auto"/>
            </w:tcBorders>
            <w:shd w:val="clear" w:color="auto" w:fill="auto"/>
            <w:vAlign w:val="center"/>
          </w:tcPr>
          <w:p w14:paraId="5C695FCE"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Permanent injuries (accident)</w:t>
            </w:r>
          </w:p>
        </w:tc>
        <w:tc>
          <w:tcPr>
            <w:tcW w:w="503" w:type="pct"/>
            <w:tcBorders>
              <w:top w:val="single" w:sz="4" w:space="0" w:color="auto"/>
              <w:bottom w:val="single" w:sz="4" w:space="0" w:color="auto"/>
            </w:tcBorders>
            <w:shd w:val="clear" w:color="auto" w:fill="auto"/>
            <w:vAlign w:val="center"/>
          </w:tcPr>
          <w:p w14:paraId="518D55E6"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33</w:t>
            </w:r>
          </w:p>
        </w:tc>
        <w:tc>
          <w:tcPr>
            <w:tcW w:w="671" w:type="pct"/>
            <w:tcBorders>
              <w:top w:val="single" w:sz="4" w:space="0" w:color="auto"/>
              <w:bottom w:val="single" w:sz="4" w:space="0" w:color="auto"/>
            </w:tcBorders>
            <w:shd w:val="clear" w:color="auto" w:fill="auto"/>
            <w:vAlign w:val="center"/>
          </w:tcPr>
          <w:p w14:paraId="36254042"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16.7</w:t>
            </w:r>
          </w:p>
        </w:tc>
        <w:tc>
          <w:tcPr>
            <w:tcW w:w="640" w:type="pct"/>
            <w:tcBorders>
              <w:top w:val="single" w:sz="4" w:space="0" w:color="auto"/>
              <w:bottom w:val="single" w:sz="4" w:space="0" w:color="auto"/>
            </w:tcBorders>
            <w:shd w:val="clear" w:color="auto" w:fill="auto"/>
            <w:vAlign w:val="center"/>
          </w:tcPr>
          <w:p w14:paraId="4E1EE670" w14:textId="77777777" w:rsidR="009262E5" w:rsidRPr="008B4A2A" w:rsidRDefault="009262E5" w:rsidP="00C24116">
            <w:pPr>
              <w:autoSpaceDE w:val="0"/>
              <w:autoSpaceDN w:val="0"/>
              <w:adjustRightInd w:val="0"/>
              <w:snapToGrid w:val="0"/>
              <w:spacing w:line="240" w:lineRule="auto"/>
              <w:jc w:val="center"/>
              <w:rPr>
                <w:sz w:val="18"/>
                <w:lang w:val="en-GB"/>
              </w:rPr>
            </w:pPr>
            <w:r w:rsidRPr="008B4A2A">
              <w:rPr>
                <w:sz w:val="18"/>
                <w:lang w:val="en-GB"/>
              </w:rPr>
              <w:t>16.7</w:t>
            </w:r>
          </w:p>
        </w:tc>
      </w:tr>
    </w:tbl>
    <w:p w14:paraId="5BE69915" w14:textId="394031A5" w:rsidR="00C24116" w:rsidRPr="008B4A2A" w:rsidRDefault="00C24116" w:rsidP="00C24116">
      <w:pPr>
        <w:pStyle w:val="MDPI43tablefooter"/>
      </w:pPr>
      <w:r w:rsidRPr="008B4A2A">
        <w:rPr>
          <w:lang w:val="en-GB"/>
        </w:rPr>
        <w:t>ACO: asthma and COPD overlap; N: sample size; %: percentage, HD: heart disease, CBP: chronic back pain, COPD: chronic obstructive pulmonary disease.</w:t>
      </w:r>
    </w:p>
    <w:p w14:paraId="7D0D97E8" w14:textId="63865DEC" w:rsidR="00AE1135" w:rsidRPr="008B4A2A" w:rsidRDefault="009262E5" w:rsidP="0069081C">
      <w:pPr>
        <w:pStyle w:val="MDPI31text"/>
        <w:spacing w:before="240"/>
      </w:pPr>
      <w:r w:rsidRPr="008B4A2A">
        <w:t>The associations between ACO comorbidities and PA are shown in Table 3. When models were not adjusted for any covariates, those who engage in less than 600 MET·min/week of PA showed higher probability of suffering from chronic lumbar pain, osteoporosis, urinary incontinence and cataracts. When models were adjusted for age, BMI, education, marital status, smoking and alcohol, results showed a greater probability of existing osteoporosis and urinary incontinence among those who do not practice at least 600 MET·min/week. Considering the third model, adjusted for presence of comorbidities and medication intake, lower levels of PA were associated with higher odds of osteoporosis and urinary incontinence, showing the last one the highest risk with an odds ratio of 3.499 with a 95%CI</w:t>
      </w:r>
      <w:r w:rsidR="0069081C" w:rsidRPr="008B4A2A">
        <w:t xml:space="preserve"> </w:t>
      </w:r>
      <w:r w:rsidRPr="008B4A2A">
        <w:t>=</w:t>
      </w:r>
      <w:r w:rsidR="0069081C" w:rsidRPr="008B4A2A">
        <w:t xml:space="preserve"> </w:t>
      </w:r>
      <w:r w:rsidRPr="008B4A2A">
        <w:t>1.369-8.944.</w:t>
      </w:r>
      <w:r w:rsidR="00AE1135" w:rsidRPr="008B4A2A">
        <w:t xml:space="preserve"> </w:t>
      </w:r>
      <w:r w:rsidR="00765B9B" w:rsidRPr="008B4A2A">
        <w:t xml:space="preserve">When considering </w:t>
      </w:r>
      <w:r w:rsidR="00AE1135" w:rsidRPr="008B4A2A">
        <w:t xml:space="preserve">those older than 50 years </w:t>
      </w:r>
      <w:r w:rsidR="00034EB1" w:rsidRPr="008B4A2A">
        <w:t>(</w:t>
      </w:r>
      <w:r w:rsidR="00034EB1" w:rsidRPr="008B4A2A">
        <w:rPr>
          <w:i/>
          <w:iCs/>
        </w:rPr>
        <w:t>n</w:t>
      </w:r>
      <w:r w:rsidR="0069081C" w:rsidRPr="008B4A2A">
        <w:t xml:space="preserve"> </w:t>
      </w:r>
      <w:r w:rsidR="00034EB1" w:rsidRPr="008B4A2A">
        <w:t>=</w:t>
      </w:r>
      <w:r w:rsidR="0069081C" w:rsidRPr="008B4A2A">
        <w:t xml:space="preserve"> </w:t>
      </w:r>
      <w:r w:rsidR="00034EB1" w:rsidRPr="008B4A2A">
        <w:t>114)</w:t>
      </w:r>
      <w:r w:rsidR="00AE1135" w:rsidRPr="008B4A2A">
        <w:t xml:space="preserve">, urinary incontinence </w:t>
      </w:r>
      <w:r w:rsidR="00765B9B" w:rsidRPr="008B4A2A">
        <w:t xml:space="preserve">was significant in all </w:t>
      </w:r>
      <w:r w:rsidR="00AE1135" w:rsidRPr="008B4A2A">
        <w:t xml:space="preserve">models, showing </w:t>
      </w:r>
      <w:r w:rsidR="00B24E6E" w:rsidRPr="008B4A2A">
        <w:t>the highe</w:t>
      </w:r>
      <w:r w:rsidR="00C17F38" w:rsidRPr="008B4A2A">
        <w:t>st</w:t>
      </w:r>
      <w:r w:rsidR="00B24E6E" w:rsidRPr="008B4A2A">
        <w:t xml:space="preserve"> odds in the </w:t>
      </w:r>
      <w:r w:rsidR="00C17F38" w:rsidRPr="008B4A2A">
        <w:lastRenderedPageBreak/>
        <w:t xml:space="preserve">fully </w:t>
      </w:r>
      <w:r w:rsidR="00B24E6E" w:rsidRPr="008B4A2A">
        <w:t>adjusted model (OR</w:t>
      </w:r>
      <w:r w:rsidR="0069081C" w:rsidRPr="008B4A2A">
        <w:t xml:space="preserve"> </w:t>
      </w:r>
      <w:r w:rsidR="00B24E6E" w:rsidRPr="008B4A2A">
        <w:t>=</w:t>
      </w:r>
      <w:r w:rsidR="0069081C" w:rsidRPr="008B4A2A">
        <w:t xml:space="preserve"> </w:t>
      </w:r>
      <w:r w:rsidR="00B24E6E" w:rsidRPr="008B4A2A">
        <w:t>3.906; 95%CI</w:t>
      </w:r>
      <w:r w:rsidR="0069081C" w:rsidRPr="008B4A2A">
        <w:t xml:space="preserve"> </w:t>
      </w:r>
      <w:r w:rsidR="00B24E6E" w:rsidRPr="008B4A2A">
        <w:t>=</w:t>
      </w:r>
      <w:r w:rsidR="0069081C" w:rsidRPr="008B4A2A">
        <w:t xml:space="preserve"> </w:t>
      </w:r>
      <w:r w:rsidR="00B24E6E" w:rsidRPr="008B4A2A">
        <w:t xml:space="preserve">1.234-12.360; </w:t>
      </w:r>
      <w:r w:rsidR="00B24E6E" w:rsidRPr="008B4A2A">
        <w:rPr>
          <w:i/>
          <w:iCs/>
        </w:rPr>
        <w:t>p</w:t>
      </w:r>
      <w:r w:rsidR="0069081C" w:rsidRPr="008B4A2A">
        <w:t xml:space="preserve"> </w:t>
      </w:r>
      <w:r w:rsidR="00B24E6E" w:rsidRPr="008B4A2A">
        <w:t>=</w:t>
      </w:r>
      <w:r w:rsidR="0069081C" w:rsidRPr="008B4A2A">
        <w:t xml:space="preserve"> </w:t>
      </w:r>
      <w:r w:rsidR="00B24E6E" w:rsidRPr="008B4A2A">
        <w:t>0</w:t>
      </w:r>
      <w:r w:rsidR="002F39A7" w:rsidRPr="008B4A2A">
        <w:t>.02)</w:t>
      </w:r>
      <w:r w:rsidR="00C17F38" w:rsidRPr="008B4A2A">
        <w:t>,</w:t>
      </w:r>
      <w:r w:rsidR="002F39A7" w:rsidRPr="008B4A2A">
        <w:t xml:space="preserve"> while osteoporosis was</w:t>
      </w:r>
      <w:r w:rsidR="00B24E6E" w:rsidRPr="008B4A2A">
        <w:t xml:space="preserve"> significant in the first and second model </w:t>
      </w:r>
      <w:r w:rsidR="002F39A7" w:rsidRPr="008B4A2A">
        <w:t>(</w:t>
      </w:r>
      <w:r w:rsidR="004D1115" w:rsidRPr="008B4A2A">
        <w:t>Model 1: OR</w:t>
      </w:r>
      <w:r w:rsidR="0069081C" w:rsidRPr="008B4A2A">
        <w:t xml:space="preserve"> </w:t>
      </w:r>
      <w:r w:rsidR="004D1115" w:rsidRPr="008B4A2A">
        <w:t>= 2.866</w:t>
      </w:r>
      <w:r w:rsidR="002F39A7" w:rsidRPr="008B4A2A">
        <w:t xml:space="preserve"> 95%CI</w:t>
      </w:r>
      <w:r w:rsidR="0069081C" w:rsidRPr="008B4A2A">
        <w:t xml:space="preserve"> </w:t>
      </w:r>
      <w:r w:rsidR="002F39A7" w:rsidRPr="008B4A2A">
        <w:t>=</w:t>
      </w:r>
      <w:r w:rsidR="0069081C" w:rsidRPr="008B4A2A">
        <w:t xml:space="preserve"> </w:t>
      </w:r>
      <w:r w:rsidR="002F39A7" w:rsidRPr="008B4A2A">
        <w:t>1.</w:t>
      </w:r>
      <w:r w:rsidR="004D1115" w:rsidRPr="008B4A2A">
        <w:t>017-8</w:t>
      </w:r>
      <w:r w:rsidR="002F39A7" w:rsidRPr="008B4A2A">
        <w:t>.</w:t>
      </w:r>
      <w:r w:rsidR="004D1115" w:rsidRPr="008B4A2A">
        <w:t xml:space="preserve">074, </w:t>
      </w:r>
      <w:r w:rsidR="004D1115" w:rsidRPr="008B4A2A">
        <w:rPr>
          <w:i/>
          <w:iCs/>
        </w:rPr>
        <w:t>p</w:t>
      </w:r>
      <w:r w:rsidR="0069081C" w:rsidRPr="008B4A2A">
        <w:t xml:space="preserve"> </w:t>
      </w:r>
      <w:r w:rsidR="004D1115" w:rsidRPr="008B4A2A">
        <w:t>=</w:t>
      </w:r>
      <w:r w:rsidR="0069081C" w:rsidRPr="008B4A2A">
        <w:t xml:space="preserve"> </w:t>
      </w:r>
      <w:r w:rsidR="004D1115" w:rsidRPr="008B4A2A">
        <w:t>0.046; Model 2: OR</w:t>
      </w:r>
      <w:r w:rsidR="0069081C" w:rsidRPr="008B4A2A">
        <w:t xml:space="preserve"> </w:t>
      </w:r>
      <w:r w:rsidR="004D1115" w:rsidRPr="008B4A2A">
        <w:t>= 3.187 95%CI</w:t>
      </w:r>
      <w:r w:rsidR="0069081C" w:rsidRPr="008B4A2A">
        <w:t xml:space="preserve"> </w:t>
      </w:r>
      <w:r w:rsidR="004D1115" w:rsidRPr="008B4A2A">
        <w:t>=</w:t>
      </w:r>
      <w:r w:rsidR="0069081C" w:rsidRPr="008B4A2A">
        <w:t xml:space="preserve"> </w:t>
      </w:r>
      <w:r w:rsidR="004D1115" w:rsidRPr="008B4A2A">
        <w:t xml:space="preserve">1.033-9.826, </w:t>
      </w:r>
      <w:r w:rsidR="004D1115" w:rsidRPr="008B4A2A">
        <w:rPr>
          <w:i/>
          <w:iCs/>
        </w:rPr>
        <w:t>p</w:t>
      </w:r>
      <w:r w:rsidR="0069081C" w:rsidRPr="008B4A2A">
        <w:t xml:space="preserve"> </w:t>
      </w:r>
      <w:r w:rsidR="004D1115" w:rsidRPr="008B4A2A">
        <w:t>=</w:t>
      </w:r>
      <w:r w:rsidR="0069081C" w:rsidRPr="008B4A2A">
        <w:t xml:space="preserve"> </w:t>
      </w:r>
      <w:r w:rsidR="004D1115" w:rsidRPr="008B4A2A">
        <w:t>0.044</w:t>
      </w:r>
      <w:r w:rsidR="002F39A7" w:rsidRPr="008B4A2A">
        <w:t>), but not in the third model (p</w:t>
      </w:r>
      <w:r w:rsidR="0069081C" w:rsidRPr="008B4A2A">
        <w:t xml:space="preserve"> </w:t>
      </w:r>
      <w:r w:rsidR="002F39A7" w:rsidRPr="008B4A2A">
        <w:t>=</w:t>
      </w:r>
      <w:r w:rsidR="0069081C" w:rsidRPr="008B4A2A">
        <w:t xml:space="preserve"> </w:t>
      </w:r>
      <w:r w:rsidR="002F39A7" w:rsidRPr="008B4A2A">
        <w:t xml:space="preserve">0.051). </w:t>
      </w:r>
      <w:r w:rsidR="00D5686C" w:rsidRPr="008B4A2A">
        <w:t>The other conditions were not significant</w:t>
      </w:r>
      <w:r w:rsidR="00C17F38" w:rsidRPr="008B4A2A">
        <w:t xml:space="preserve"> in</w:t>
      </w:r>
      <w:r w:rsidR="00E92985" w:rsidRPr="008B4A2A">
        <w:t xml:space="preserve"> those older than 50 years</w:t>
      </w:r>
      <w:r w:rsidR="00D5686C" w:rsidRPr="008B4A2A">
        <w:t>.</w:t>
      </w:r>
    </w:p>
    <w:p w14:paraId="5BE93A58" w14:textId="5EB0D0CC" w:rsidR="00C24116" w:rsidRPr="008B4A2A" w:rsidRDefault="0069081C" w:rsidP="0069081C">
      <w:pPr>
        <w:pStyle w:val="MDPI41tablecaption"/>
        <w:ind w:left="425" w:right="425"/>
        <w:jc w:val="both"/>
      </w:pPr>
      <w:r w:rsidRPr="008B4A2A">
        <w:rPr>
          <w:b/>
          <w:lang w:val="en-GB"/>
        </w:rPr>
        <w:t xml:space="preserve">Table 3. </w:t>
      </w:r>
      <w:r w:rsidR="00C24116" w:rsidRPr="008B4A2A">
        <w:rPr>
          <w:lang w:val="en-GB"/>
        </w:rPr>
        <w:t>Association between PA (exposure) and ACO comorbidities (outcome) estimated by multivariable logistic regression.</w:t>
      </w:r>
    </w:p>
    <w:tbl>
      <w:tblPr>
        <w:tblW w:w="10465" w:type="dxa"/>
        <w:jc w:val="center"/>
        <w:tblLayout w:type="fixed"/>
        <w:tblCellMar>
          <w:left w:w="0" w:type="dxa"/>
          <w:right w:w="0" w:type="dxa"/>
        </w:tblCellMar>
        <w:tblLook w:val="04A0" w:firstRow="1" w:lastRow="0" w:firstColumn="1" w:lastColumn="0" w:noHBand="0" w:noVBand="1"/>
      </w:tblPr>
      <w:tblGrid>
        <w:gridCol w:w="2281"/>
        <w:gridCol w:w="827"/>
        <w:gridCol w:w="1252"/>
        <w:gridCol w:w="649"/>
        <w:gridCol w:w="829"/>
        <w:gridCol w:w="1247"/>
        <w:gridCol w:w="649"/>
        <w:gridCol w:w="829"/>
        <w:gridCol w:w="1247"/>
        <w:gridCol w:w="655"/>
      </w:tblGrid>
      <w:tr w:rsidR="00C24116" w:rsidRPr="008B4A2A" w14:paraId="5F95073D" w14:textId="77777777" w:rsidTr="00221631">
        <w:trPr>
          <w:jc w:val="center"/>
        </w:trPr>
        <w:tc>
          <w:tcPr>
            <w:tcW w:w="1090" w:type="pct"/>
            <w:tcBorders>
              <w:top w:val="single" w:sz="8" w:space="0" w:color="auto"/>
              <w:bottom w:val="single" w:sz="4" w:space="0" w:color="auto"/>
            </w:tcBorders>
            <w:shd w:val="clear" w:color="auto" w:fill="auto"/>
            <w:vAlign w:val="center"/>
            <w:hideMark/>
          </w:tcPr>
          <w:p w14:paraId="27E4AC67"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Comorbidities</w:t>
            </w:r>
          </w:p>
        </w:tc>
        <w:tc>
          <w:tcPr>
            <w:tcW w:w="395" w:type="pct"/>
            <w:tcBorders>
              <w:top w:val="single" w:sz="8" w:space="0" w:color="auto"/>
              <w:bottom w:val="single" w:sz="4" w:space="0" w:color="auto"/>
            </w:tcBorders>
            <w:shd w:val="clear" w:color="auto" w:fill="auto"/>
            <w:vAlign w:val="center"/>
            <w:hideMark/>
          </w:tcPr>
          <w:p w14:paraId="0AB6A57E"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OR</w:t>
            </w:r>
            <w:r w:rsidRPr="008B4A2A">
              <w:rPr>
                <w:b/>
                <w:sz w:val="18"/>
                <w:vertAlign w:val="superscript"/>
                <w:lang w:val="en-GB"/>
              </w:rPr>
              <w:t>1</w:t>
            </w:r>
          </w:p>
        </w:tc>
        <w:tc>
          <w:tcPr>
            <w:tcW w:w="598" w:type="pct"/>
            <w:tcBorders>
              <w:top w:val="single" w:sz="8" w:space="0" w:color="auto"/>
              <w:bottom w:val="single" w:sz="4" w:space="0" w:color="auto"/>
            </w:tcBorders>
            <w:shd w:val="clear" w:color="auto" w:fill="auto"/>
            <w:vAlign w:val="center"/>
            <w:hideMark/>
          </w:tcPr>
          <w:p w14:paraId="1BF77D7C"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CI 95 % </w:t>
            </w:r>
            <w:r w:rsidRPr="008B4A2A">
              <w:rPr>
                <w:b/>
                <w:sz w:val="18"/>
                <w:vertAlign w:val="superscript"/>
                <w:lang w:val="en-GB"/>
              </w:rPr>
              <w:t>1</w:t>
            </w:r>
          </w:p>
        </w:tc>
        <w:tc>
          <w:tcPr>
            <w:tcW w:w="310" w:type="pct"/>
            <w:tcBorders>
              <w:top w:val="single" w:sz="8" w:space="0" w:color="auto"/>
              <w:bottom w:val="single" w:sz="4" w:space="0" w:color="auto"/>
            </w:tcBorders>
            <w:shd w:val="clear" w:color="auto" w:fill="auto"/>
            <w:vAlign w:val="center"/>
            <w:hideMark/>
          </w:tcPr>
          <w:p w14:paraId="0095C60F"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p </w:t>
            </w:r>
            <w:r w:rsidRPr="008B4A2A">
              <w:rPr>
                <w:b/>
                <w:sz w:val="18"/>
                <w:vertAlign w:val="superscript"/>
                <w:lang w:val="en-GB"/>
              </w:rPr>
              <w:t>1</w:t>
            </w:r>
          </w:p>
        </w:tc>
        <w:tc>
          <w:tcPr>
            <w:tcW w:w="396" w:type="pct"/>
            <w:tcBorders>
              <w:top w:val="single" w:sz="8" w:space="0" w:color="auto"/>
              <w:bottom w:val="single" w:sz="4" w:space="0" w:color="auto"/>
            </w:tcBorders>
            <w:shd w:val="clear" w:color="auto" w:fill="auto"/>
            <w:vAlign w:val="center"/>
            <w:hideMark/>
          </w:tcPr>
          <w:p w14:paraId="0CDBCFEB"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OR </w:t>
            </w:r>
            <w:r w:rsidRPr="008B4A2A">
              <w:rPr>
                <w:b/>
                <w:sz w:val="18"/>
                <w:vertAlign w:val="superscript"/>
                <w:lang w:val="en-GB"/>
              </w:rPr>
              <w:t>2</w:t>
            </w:r>
          </w:p>
        </w:tc>
        <w:tc>
          <w:tcPr>
            <w:tcW w:w="596" w:type="pct"/>
            <w:tcBorders>
              <w:top w:val="single" w:sz="8" w:space="0" w:color="auto"/>
              <w:bottom w:val="single" w:sz="4" w:space="0" w:color="auto"/>
            </w:tcBorders>
            <w:shd w:val="clear" w:color="auto" w:fill="auto"/>
            <w:vAlign w:val="center"/>
            <w:hideMark/>
          </w:tcPr>
          <w:p w14:paraId="67C43320"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CI 95 % </w:t>
            </w:r>
            <w:r w:rsidRPr="008B4A2A">
              <w:rPr>
                <w:b/>
                <w:sz w:val="18"/>
                <w:vertAlign w:val="superscript"/>
                <w:lang w:val="en-GB"/>
              </w:rPr>
              <w:t>2</w:t>
            </w:r>
          </w:p>
        </w:tc>
        <w:tc>
          <w:tcPr>
            <w:tcW w:w="310" w:type="pct"/>
            <w:tcBorders>
              <w:top w:val="single" w:sz="8" w:space="0" w:color="auto"/>
              <w:bottom w:val="single" w:sz="4" w:space="0" w:color="auto"/>
            </w:tcBorders>
            <w:shd w:val="clear" w:color="auto" w:fill="auto"/>
            <w:vAlign w:val="center"/>
            <w:hideMark/>
          </w:tcPr>
          <w:p w14:paraId="6CEA4646"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p </w:t>
            </w:r>
            <w:r w:rsidRPr="008B4A2A">
              <w:rPr>
                <w:b/>
                <w:sz w:val="18"/>
                <w:vertAlign w:val="superscript"/>
                <w:lang w:val="en-GB"/>
              </w:rPr>
              <w:t>2</w:t>
            </w:r>
          </w:p>
        </w:tc>
        <w:tc>
          <w:tcPr>
            <w:tcW w:w="396" w:type="pct"/>
            <w:tcBorders>
              <w:top w:val="single" w:sz="8" w:space="0" w:color="auto"/>
              <w:bottom w:val="single" w:sz="4" w:space="0" w:color="auto"/>
            </w:tcBorders>
            <w:shd w:val="clear" w:color="auto" w:fill="auto"/>
            <w:vAlign w:val="center"/>
            <w:hideMark/>
          </w:tcPr>
          <w:p w14:paraId="7296E64F"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OR </w:t>
            </w:r>
            <w:r w:rsidRPr="008B4A2A">
              <w:rPr>
                <w:b/>
                <w:sz w:val="18"/>
                <w:vertAlign w:val="superscript"/>
                <w:lang w:val="en-GB"/>
              </w:rPr>
              <w:t>3</w:t>
            </w:r>
          </w:p>
        </w:tc>
        <w:tc>
          <w:tcPr>
            <w:tcW w:w="596" w:type="pct"/>
            <w:tcBorders>
              <w:top w:val="single" w:sz="8" w:space="0" w:color="auto"/>
              <w:bottom w:val="single" w:sz="4" w:space="0" w:color="auto"/>
            </w:tcBorders>
            <w:shd w:val="clear" w:color="auto" w:fill="auto"/>
            <w:vAlign w:val="center"/>
            <w:hideMark/>
          </w:tcPr>
          <w:p w14:paraId="220E60B5"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CI 95 % </w:t>
            </w:r>
            <w:r w:rsidRPr="008B4A2A">
              <w:rPr>
                <w:b/>
                <w:sz w:val="18"/>
                <w:vertAlign w:val="superscript"/>
                <w:lang w:val="en-GB"/>
              </w:rPr>
              <w:t>3</w:t>
            </w:r>
          </w:p>
        </w:tc>
        <w:tc>
          <w:tcPr>
            <w:tcW w:w="313" w:type="pct"/>
            <w:tcBorders>
              <w:top w:val="single" w:sz="8" w:space="0" w:color="auto"/>
              <w:bottom w:val="single" w:sz="4" w:space="0" w:color="auto"/>
            </w:tcBorders>
            <w:shd w:val="clear" w:color="auto" w:fill="auto"/>
            <w:vAlign w:val="center"/>
            <w:hideMark/>
          </w:tcPr>
          <w:p w14:paraId="1CA0CAE9" w14:textId="77777777" w:rsidR="00C24116" w:rsidRPr="008B4A2A" w:rsidRDefault="00C24116" w:rsidP="00221631">
            <w:pPr>
              <w:autoSpaceDE w:val="0"/>
              <w:autoSpaceDN w:val="0"/>
              <w:adjustRightInd w:val="0"/>
              <w:snapToGrid w:val="0"/>
              <w:spacing w:line="240" w:lineRule="auto"/>
              <w:jc w:val="center"/>
              <w:rPr>
                <w:b/>
                <w:sz w:val="18"/>
                <w:vertAlign w:val="superscript"/>
                <w:lang w:val="en-GB"/>
              </w:rPr>
            </w:pPr>
            <w:r w:rsidRPr="008B4A2A">
              <w:rPr>
                <w:b/>
                <w:sz w:val="18"/>
                <w:lang w:val="en-GB"/>
              </w:rPr>
              <w:t xml:space="preserve">p </w:t>
            </w:r>
            <w:r w:rsidRPr="008B4A2A">
              <w:rPr>
                <w:b/>
                <w:sz w:val="18"/>
                <w:vertAlign w:val="superscript"/>
                <w:lang w:val="en-GB"/>
              </w:rPr>
              <w:t>3</w:t>
            </w:r>
          </w:p>
        </w:tc>
      </w:tr>
      <w:tr w:rsidR="00C24116" w:rsidRPr="008B4A2A" w14:paraId="7278637E" w14:textId="77777777" w:rsidTr="00221631">
        <w:trPr>
          <w:jc w:val="center"/>
        </w:trPr>
        <w:tc>
          <w:tcPr>
            <w:tcW w:w="1090" w:type="pct"/>
            <w:tcBorders>
              <w:top w:val="single" w:sz="4" w:space="0" w:color="auto"/>
            </w:tcBorders>
            <w:shd w:val="clear" w:color="auto" w:fill="auto"/>
            <w:vAlign w:val="center"/>
            <w:hideMark/>
          </w:tcPr>
          <w:p w14:paraId="73438AA5" w14:textId="77777777" w:rsidR="00C24116" w:rsidRPr="008B4A2A" w:rsidRDefault="00C24116" w:rsidP="00221631">
            <w:pPr>
              <w:autoSpaceDE w:val="0"/>
              <w:autoSpaceDN w:val="0"/>
              <w:adjustRightInd w:val="0"/>
              <w:snapToGrid w:val="0"/>
              <w:spacing w:line="240" w:lineRule="auto"/>
              <w:jc w:val="center"/>
              <w:rPr>
                <w:sz w:val="18"/>
                <w:vertAlign w:val="superscript"/>
                <w:lang w:val="en-GB"/>
              </w:rPr>
            </w:pPr>
            <w:r w:rsidRPr="008B4A2A">
              <w:rPr>
                <w:sz w:val="18"/>
                <w:lang w:val="en-GB"/>
              </w:rPr>
              <w:t>Hypertension</w:t>
            </w:r>
          </w:p>
        </w:tc>
        <w:tc>
          <w:tcPr>
            <w:tcW w:w="395" w:type="pct"/>
            <w:tcBorders>
              <w:top w:val="single" w:sz="4" w:space="0" w:color="auto"/>
            </w:tcBorders>
            <w:shd w:val="clear" w:color="auto" w:fill="auto"/>
            <w:vAlign w:val="center"/>
          </w:tcPr>
          <w:p w14:paraId="012AD3D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1.140</w:t>
            </w:r>
          </w:p>
        </w:tc>
        <w:tc>
          <w:tcPr>
            <w:tcW w:w="598" w:type="pct"/>
            <w:tcBorders>
              <w:top w:val="single" w:sz="4" w:space="0" w:color="auto"/>
            </w:tcBorders>
            <w:shd w:val="clear" w:color="auto" w:fill="auto"/>
            <w:vAlign w:val="center"/>
          </w:tcPr>
          <w:p w14:paraId="630D377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0.618-2.104</w:t>
            </w:r>
          </w:p>
        </w:tc>
        <w:tc>
          <w:tcPr>
            <w:tcW w:w="310" w:type="pct"/>
            <w:tcBorders>
              <w:top w:val="single" w:sz="4" w:space="0" w:color="auto"/>
            </w:tcBorders>
            <w:shd w:val="clear" w:color="auto" w:fill="auto"/>
            <w:vAlign w:val="center"/>
          </w:tcPr>
          <w:p w14:paraId="0D15CD1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0.675</w:t>
            </w:r>
          </w:p>
        </w:tc>
        <w:tc>
          <w:tcPr>
            <w:tcW w:w="396" w:type="pct"/>
            <w:tcBorders>
              <w:top w:val="single" w:sz="4" w:space="0" w:color="auto"/>
            </w:tcBorders>
            <w:shd w:val="clear" w:color="auto" w:fill="auto"/>
            <w:vAlign w:val="center"/>
          </w:tcPr>
          <w:p w14:paraId="1868B54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0.978</w:t>
            </w:r>
          </w:p>
        </w:tc>
        <w:tc>
          <w:tcPr>
            <w:tcW w:w="596" w:type="pct"/>
            <w:tcBorders>
              <w:top w:val="single" w:sz="4" w:space="0" w:color="auto"/>
            </w:tcBorders>
            <w:shd w:val="clear" w:color="auto" w:fill="auto"/>
            <w:vAlign w:val="center"/>
          </w:tcPr>
          <w:p w14:paraId="03FF562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0.478-2.001</w:t>
            </w:r>
          </w:p>
        </w:tc>
        <w:tc>
          <w:tcPr>
            <w:tcW w:w="310" w:type="pct"/>
            <w:tcBorders>
              <w:top w:val="single" w:sz="4" w:space="0" w:color="auto"/>
            </w:tcBorders>
            <w:shd w:val="clear" w:color="auto" w:fill="auto"/>
            <w:vAlign w:val="center"/>
          </w:tcPr>
          <w:p w14:paraId="759935E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0.952</w:t>
            </w:r>
          </w:p>
        </w:tc>
        <w:tc>
          <w:tcPr>
            <w:tcW w:w="396" w:type="pct"/>
            <w:tcBorders>
              <w:top w:val="single" w:sz="4" w:space="0" w:color="auto"/>
            </w:tcBorders>
            <w:shd w:val="clear" w:color="auto" w:fill="auto"/>
            <w:vAlign w:val="center"/>
          </w:tcPr>
          <w:p w14:paraId="11B635B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0.998</w:t>
            </w:r>
          </w:p>
        </w:tc>
        <w:tc>
          <w:tcPr>
            <w:tcW w:w="596" w:type="pct"/>
            <w:tcBorders>
              <w:top w:val="single" w:sz="4" w:space="0" w:color="auto"/>
            </w:tcBorders>
            <w:shd w:val="clear" w:color="auto" w:fill="auto"/>
            <w:vAlign w:val="center"/>
          </w:tcPr>
          <w:p w14:paraId="1638648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0.486-1.105</w:t>
            </w:r>
          </w:p>
        </w:tc>
        <w:tc>
          <w:tcPr>
            <w:tcW w:w="313" w:type="pct"/>
            <w:tcBorders>
              <w:top w:val="single" w:sz="4" w:space="0" w:color="auto"/>
            </w:tcBorders>
            <w:shd w:val="clear" w:color="auto" w:fill="auto"/>
            <w:vAlign w:val="center"/>
          </w:tcPr>
          <w:p w14:paraId="0C74A8B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0.996</w:t>
            </w:r>
          </w:p>
        </w:tc>
      </w:tr>
      <w:tr w:rsidR="00C24116" w:rsidRPr="008B4A2A" w14:paraId="37791AF5" w14:textId="77777777" w:rsidTr="00221631">
        <w:trPr>
          <w:jc w:val="center"/>
        </w:trPr>
        <w:tc>
          <w:tcPr>
            <w:tcW w:w="1090" w:type="pct"/>
            <w:shd w:val="clear" w:color="auto" w:fill="auto"/>
            <w:vAlign w:val="center"/>
            <w:hideMark/>
          </w:tcPr>
          <w:p w14:paraId="0F8DC6C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Myocardial infarction</w:t>
            </w:r>
          </w:p>
        </w:tc>
        <w:tc>
          <w:tcPr>
            <w:tcW w:w="395" w:type="pct"/>
            <w:shd w:val="clear" w:color="auto" w:fill="auto"/>
            <w:vAlign w:val="center"/>
          </w:tcPr>
          <w:p w14:paraId="4D0F3FE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0.439</w:t>
            </w:r>
          </w:p>
        </w:tc>
        <w:tc>
          <w:tcPr>
            <w:tcW w:w="598" w:type="pct"/>
            <w:shd w:val="clear" w:color="auto" w:fill="auto"/>
            <w:vAlign w:val="center"/>
          </w:tcPr>
          <w:p w14:paraId="5D13F7B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0.048-4.008</w:t>
            </w:r>
          </w:p>
        </w:tc>
        <w:tc>
          <w:tcPr>
            <w:tcW w:w="310" w:type="pct"/>
            <w:shd w:val="clear" w:color="auto" w:fill="auto"/>
            <w:vAlign w:val="center"/>
          </w:tcPr>
          <w:p w14:paraId="6213A73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0.466</w:t>
            </w:r>
          </w:p>
        </w:tc>
        <w:tc>
          <w:tcPr>
            <w:tcW w:w="396" w:type="pct"/>
            <w:shd w:val="clear" w:color="auto" w:fill="auto"/>
            <w:vAlign w:val="center"/>
          </w:tcPr>
          <w:p w14:paraId="27029A2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0.131</w:t>
            </w:r>
          </w:p>
        </w:tc>
        <w:tc>
          <w:tcPr>
            <w:tcW w:w="596" w:type="pct"/>
            <w:shd w:val="clear" w:color="auto" w:fill="auto"/>
            <w:vAlign w:val="center"/>
          </w:tcPr>
          <w:p w14:paraId="29DFEA3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0.006-2.824</w:t>
            </w:r>
          </w:p>
        </w:tc>
        <w:tc>
          <w:tcPr>
            <w:tcW w:w="310" w:type="pct"/>
            <w:shd w:val="clear" w:color="auto" w:fill="auto"/>
            <w:vAlign w:val="center"/>
          </w:tcPr>
          <w:p w14:paraId="0E27F32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0.194</w:t>
            </w:r>
          </w:p>
        </w:tc>
        <w:tc>
          <w:tcPr>
            <w:tcW w:w="396" w:type="pct"/>
            <w:shd w:val="clear" w:color="auto" w:fill="auto"/>
            <w:vAlign w:val="center"/>
          </w:tcPr>
          <w:p w14:paraId="2DA6FB9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0.128</w:t>
            </w:r>
          </w:p>
        </w:tc>
        <w:tc>
          <w:tcPr>
            <w:tcW w:w="596" w:type="pct"/>
            <w:shd w:val="clear" w:color="auto" w:fill="auto"/>
            <w:vAlign w:val="center"/>
          </w:tcPr>
          <w:p w14:paraId="7A0F08C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0.005-3.083</w:t>
            </w:r>
          </w:p>
        </w:tc>
        <w:tc>
          <w:tcPr>
            <w:tcW w:w="313" w:type="pct"/>
            <w:shd w:val="clear" w:color="auto" w:fill="auto"/>
            <w:vAlign w:val="center"/>
          </w:tcPr>
          <w:p w14:paraId="2DD09F3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0.205</w:t>
            </w:r>
          </w:p>
        </w:tc>
      </w:tr>
      <w:tr w:rsidR="00C24116" w:rsidRPr="008B4A2A" w14:paraId="4564D149" w14:textId="77777777" w:rsidTr="00221631">
        <w:trPr>
          <w:jc w:val="center"/>
        </w:trPr>
        <w:tc>
          <w:tcPr>
            <w:tcW w:w="1090" w:type="pct"/>
            <w:shd w:val="clear" w:color="auto" w:fill="auto"/>
            <w:vAlign w:val="center"/>
            <w:hideMark/>
          </w:tcPr>
          <w:p w14:paraId="3C0C0D4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Angina, Coronary HD</w:t>
            </w:r>
          </w:p>
        </w:tc>
        <w:tc>
          <w:tcPr>
            <w:tcW w:w="395" w:type="pct"/>
            <w:shd w:val="clear" w:color="auto" w:fill="auto"/>
            <w:vAlign w:val="center"/>
          </w:tcPr>
          <w:p w14:paraId="3565782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0.656</w:t>
            </w:r>
          </w:p>
        </w:tc>
        <w:tc>
          <w:tcPr>
            <w:tcW w:w="598" w:type="pct"/>
            <w:shd w:val="clear" w:color="auto" w:fill="auto"/>
            <w:vAlign w:val="center"/>
          </w:tcPr>
          <w:p w14:paraId="10BFBF4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0.168-2.557</w:t>
            </w:r>
          </w:p>
        </w:tc>
        <w:tc>
          <w:tcPr>
            <w:tcW w:w="310" w:type="pct"/>
            <w:shd w:val="clear" w:color="auto" w:fill="auto"/>
            <w:vAlign w:val="center"/>
          </w:tcPr>
          <w:p w14:paraId="2719960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0.544</w:t>
            </w:r>
          </w:p>
        </w:tc>
        <w:tc>
          <w:tcPr>
            <w:tcW w:w="396" w:type="pct"/>
            <w:shd w:val="clear" w:color="auto" w:fill="auto"/>
            <w:vAlign w:val="center"/>
          </w:tcPr>
          <w:p w14:paraId="1B9C795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0.473</w:t>
            </w:r>
          </w:p>
        </w:tc>
        <w:tc>
          <w:tcPr>
            <w:tcW w:w="596" w:type="pct"/>
            <w:shd w:val="clear" w:color="auto" w:fill="auto"/>
            <w:vAlign w:val="center"/>
          </w:tcPr>
          <w:p w14:paraId="5CE78AF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0.096-2.338</w:t>
            </w:r>
          </w:p>
        </w:tc>
        <w:tc>
          <w:tcPr>
            <w:tcW w:w="310" w:type="pct"/>
            <w:shd w:val="clear" w:color="auto" w:fill="auto"/>
            <w:vAlign w:val="center"/>
          </w:tcPr>
          <w:p w14:paraId="39CB24C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0.359</w:t>
            </w:r>
          </w:p>
        </w:tc>
        <w:tc>
          <w:tcPr>
            <w:tcW w:w="396" w:type="pct"/>
            <w:shd w:val="clear" w:color="auto" w:fill="auto"/>
            <w:vAlign w:val="center"/>
          </w:tcPr>
          <w:p w14:paraId="414FF57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0.471</w:t>
            </w:r>
          </w:p>
        </w:tc>
        <w:tc>
          <w:tcPr>
            <w:tcW w:w="596" w:type="pct"/>
            <w:shd w:val="clear" w:color="auto" w:fill="auto"/>
            <w:vAlign w:val="center"/>
          </w:tcPr>
          <w:p w14:paraId="3387942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0.091-2.428</w:t>
            </w:r>
          </w:p>
        </w:tc>
        <w:tc>
          <w:tcPr>
            <w:tcW w:w="313" w:type="pct"/>
            <w:shd w:val="clear" w:color="auto" w:fill="auto"/>
            <w:vAlign w:val="center"/>
          </w:tcPr>
          <w:p w14:paraId="734BFE3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0.368</w:t>
            </w:r>
          </w:p>
        </w:tc>
      </w:tr>
      <w:tr w:rsidR="00C24116" w:rsidRPr="008B4A2A" w14:paraId="2121E6D1" w14:textId="77777777" w:rsidTr="00221631">
        <w:trPr>
          <w:jc w:val="center"/>
        </w:trPr>
        <w:tc>
          <w:tcPr>
            <w:tcW w:w="1090" w:type="pct"/>
            <w:shd w:val="clear" w:color="auto" w:fill="auto"/>
            <w:vAlign w:val="center"/>
            <w:hideMark/>
          </w:tcPr>
          <w:p w14:paraId="47BDABA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Other HD</w:t>
            </w:r>
          </w:p>
        </w:tc>
        <w:tc>
          <w:tcPr>
            <w:tcW w:w="395" w:type="pct"/>
            <w:shd w:val="clear" w:color="auto" w:fill="auto"/>
            <w:vAlign w:val="center"/>
          </w:tcPr>
          <w:p w14:paraId="526FAA4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0.973</w:t>
            </w:r>
          </w:p>
        </w:tc>
        <w:tc>
          <w:tcPr>
            <w:tcW w:w="598" w:type="pct"/>
            <w:shd w:val="clear" w:color="auto" w:fill="auto"/>
            <w:vAlign w:val="center"/>
          </w:tcPr>
          <w:p w14:paraId="20E3E92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0.344-2.754</w:t>
            </w:r>
          </w:p>
        </w:tc>
        <w:tc>
          <w:tcPr>
            <w:tcW w:w="310" w:type="pct"/>
            <w:shd w:val="clear" w:color="auto" w:fill="auto"/>
            <w:vAlign w:val="center"/>
          </w:tcPr>
          <w:p w14:paraId="6274D0C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0.960</w:t>
            </w:r>
          </w:p>
        </w:tc>
        <w:tc>
          <w:tcPr>
            <w:tcW w:w="396" w:type="pct"/>
            <w:shd w:val="clear" w:color="auto" w:fill="auto"/>
            <w:vAlign w:val="center"/>
          </w:tcPr>
          <w:p w14:paraId="3679C73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0.825</w:t>
            </w:r>
          </w:p>
        </w:tc>
        <w:tc>
          <w:tcPr>
            <w:tcW w:w="596" w:type="pct"/>
            <w:shd w:val="clear" w:color="auto" w:fill="auto"/>
            <w:vAlign w:val="center"/>
          </w:tcPr>
          <w:p w14:paraId="78DD7FC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0.266-2.563</w:t>
            </w:r>
          </w:p>
        </w:tc>
        <w:tc>
          <w:tcPr>
            <w:tcW w:w="310" w:type="pct"/>
            <w:shd w:val="clear" w:color="auto" w:fill="auto"/>
            <w:vAlign w:val="center"/>
          </w:tcPr>
          <w:p w14:paraId="647B982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0.740</w:t>
            </w:r>
          </w:p>
        </w:tc>
        <w:tc>
          <w:tcPr>
            <w:tcW w:w="396" w:type="pct"/>
            <w:shd w:val="clear" w:color="auto" w:fill="auto"/>
            <w:vAlign w:val="center"/>
          </w:tcPr>
          <w:p w14:paraId="74883C0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0.849</w:t>
            </w:r>
          </w:p>
        </w:tc>
        <w:tc>
          <w:tcPr>
            <w:tcW w:w="596" w:type="pct"/>
            <w:shd w:val="clear" w:color="auto" w:fill="auto"/>
            <w:vAlign w:val="center"/>
          </w:tcPr>
          <w:p w14:paraId="29738CB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0.273-2.643</w:t>
            </w:r>
          </w:p>
        </w:tc>
        <w:tc>
          <w:tcPr>
            <w:tcW w:w="313" w:type="pct"/>
            <w:shd w:val="clear" w:color="auto" w:fill="auto"/>
            <w:vAlign w:val="center"/>
          </w:tcPr>
          <w:p w14:paraId="50E94C5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0.778</w:t>
            </w:r>
          </w:p>
        </w:tc>
      </w:tr>
      <w:tr w:rsidR="00C24116" w:rsidRPr="008B4A2A" w14:paraId="27C11D7C" w14:textId="77777777" w:rsidTr="00221631">
        <w:trPr>
          <w:jc w:val="center"/>
        </w:trPr>
        <w:tc>
          <w:tcPr>
            <w:tcW w:w="1090" w:type="pct"/>
            <w:shd w:val="clear" w:color="auto" w:fill="auto"/>
            <w:vAlign w:val="center"/>
          </w:tcPr>
          <w:p w14:paraId="2CA0B18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Stroke</w:t>
            </w:r>
          </w:p>
        </w:tc>
        <w:tc>
          <w:tcPr>
            <w:tcW w:w="395" w:type="pct"/>
            <w:shd w:val="clear" w:color="auto" w:fill="auto"/>
            <w:vAlign w:val="center"/>
          </w:tcPr>
          <w:p w14:paraId="2BC7341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0.891</w:t>
            </w:r>
          </w:p>
        </w:tc>
        <w:tc>
          <w:tcPr>
            <w:tcW w:w="598" w:type="pct"/>
            <w:shd w:val="clear" w:color="auto" w:fill="auto"/>
            <w:vAlign w:val="center"/>
          </w:tcPr>
          <w:p w14:paraId="14269BC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0.159-4.991</w:t>
            </w:r>
          </w:p>
        </w:tc>
        <w:tc>
          <w:tcPr>
            <w:tcW w:w="310" w:type="pct"/>
            <w:shd w:val="clear" w:color="auto" w:fill="auto"/>
            <w:vAlign w:val="center"/>
          </w:tcPr>
          <w:p w14:paraId="2833862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0.896</w:t>
            </w:r>
          </w:p>
        </w:tc>
        <w:tc>
          <w:tcPr>
            <w:tcW w:w="396" w:type="pct"/>
            <w:shd w:val="clear" w:color="auto" w:fill="auto"/>
            <w:vAlign w:val="center"/>
          </w:tcPr>
          <w:p w14:paraId="5BAD491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0.583</w:t>
            </w:r>
          </w:p>
        </w:tc>
        <w:tc>
          <w:tcPr>
            <w:tcW w:w="596" w:type="pct"/>
            <w:shd w:val="clear" w:color="auto" w:fill="auto"/>
            <w:vAlign w:val="center"/>
          </w:tcPr>
          <w:p w14:paraId="21DB1FC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0.081-4.176</w:t>
            </w:r>
          </w:p>
        </w:tc>
        <w:tc>
          <w:tcPr>
            <w:tcW w:w="310" w:type="pct"/>
            <w:shd w:val="clear" w:color="auto" w:fill="auto"/>
            <w:vAlign w:val="center"/>
          </w:tcPr>
          <w:p w14:paraId="6E5DDB6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0.591</w:t>
            </w:r>
          </w:p>
        </w:tc>
        <w:tc>
          <w:tcPr>
            <w:tcW w:w="396" w:type="pct"/>
            <w:shd w:val="clear" w:color="auto" w:fill="auto"/>
            <w:vAlign w:val="center"/>
          </w:tcPr>
          <w:p w14:paraId="21B698F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0.606</w:t>
            </w:r>
          </w:p>
        </w:tc>
        <w:tc>
          <w:tcPr>
            <w:tcW w:w="596" w:type="pct"/>
            <w:shd w:val="clear" w:color="auto" w:fill="auto"/>
            <w:vAlign w:val="center"/>
          </w:tcPr>
          <w:p w14:paraId="75163B1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0.085-4.303</w:t>
            </w:r>
          </w:p>
        </w:tc>
        <w:tc>
          <w:tcPr>
            <w:tcW w:w="313" w:type="pct"/>
            <w:shd w:val="clear" w:color="auto" w:fill="auto"/>
            <w:vAlign w:val="center"/>
          </w:tcPr>
          <w:p w14:paraId="70E54CD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0.616</w:t>
            </w:r>
          </w:p>
        </w:tc>
      </w:tr>
      <w:tr w:rsidR="00C24116" w:rsidRPr="008B4A2A" w14:paraId="210AD23F" w14:textId="77777777" w:rsidTr="00221631">
        <w:trPr>
          <w:jc w:val="center"/>
        </w:trPr>
        <w:tc>
          <w:tcPr>
            <w:tcW w:w="1090" w:type="pct"/>
            <w:shd w:val="clear" w:color="auto" w:fill="auto"/>
            <w:vAlign w:val="center"/>
          </w:tcPr>
          <w:p w14:paraId="3694E80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Varicose veins (legs)</w:t>
            </w:r>
          </w:p>
        </w:tc>
        <w:tc>
          <w:tcPr>
            <w:tcW w:w="395" w:type="pct"/>
            <w:shd w:val="clear" w:color="auto" w:fill="auto"/>
            <w:vAlign w:val="center"/>
          </w:tcPr>
          <w:p w14:paraId="09952C8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0.962</w:t>
            </w:r>
          </w:p>
        </w:tc>
        <w:tc>
          <w:tcPr>
            <w:tcW w:w="598" w:type="pct"/>
            <w:shd w:val="clear" w:color="auto" w:fill="auto"/>
            <w:vAlign w:val="center"/>
          </w:tcPr>
          <w:p w14:paraId="3ADB144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0.455-2.032</w:t>
            </w:r>
          </w:p>
        </w:tc>
        <w:tc>
          <w:tcPr>
            <w:tcW w:w="310" w:type="pct"/>
            <w:shd w:val="clear" w:color="auto" w:fill="auto"/>
            <w:vAlign w:val="center"/>
          </w:tcPr>
          <w:p w14:paraId="01A6000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0.919</w:t>
            </w:r>
          </w:p>
        </w:tc>
        <w:tc>
          <w:tcPr>
            <w:tcW w:w="396" w:type="pct"/>
            <w:shd w:val="clear" w:color="auto" w:fill="auto"/>
            <w:vAlign w:val="center"/>
          </w:tcPr>
          <w:p w14:paraId="585CA9C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0.687</w:t>
            </w:r>
          </w:p>
        </w:tc>
        <w:tc>
          <w:tcPr>
            <w:tcW w:w="596" w:type="pct"/>
            <w:shd w:val="clear" w:color="auto" w:fill="auto"/>
            <w:vAlign w:val="center"/>
          </w:tcPr>
          <w:p w14:paraId="75EABDF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0.296-1.594</w:t>
            </w:r>
          </w:p>
        </w:tc>
        <w:tc>
          <w:tcPr>
            <w:tcW w:w="310" w:type="pct"/>
            <w:shd w:val="clear" w:color="auto" w:fill="auto"/>
            <w:vAlign w:val="center"/>
          </w:tcPr>
          <w:p w14:paraId="4987982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0.382</w:t>
            </w:r>
          </w:p>
        </w:tc>
        <w:tc>
          <w:tcPr>
            <w:tcW w:w="396" w:type="pct"/>
            <w:shd w:val="clear" w:color="auto" w:fill="auto"/>
            <w:vAlign w:val="center"/>
          </w:tcPr>
          <w:p w14:paraId="71E428B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0.669</w:t>
            </w:r>
          </w:p>
        </w:tc>
        <w:tc>
          <w:tcPr>
            <w:tcW w:w="596" w:type="pct"/>
            <w:shd w:val="clear" w:color="auto" w:fill="auto"/>
            <w:vAlign w:val="center"/>
          </w:tcPr>
          <w:p w14:paraId="58F9EE0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0.288-1.551</w:t>
            </w:r>
          </w:p>
        </w:tc>
        <w:tc>
          <w:tcPr>
            <w:tcW w:w="313" w:type="pct"/>
            <w:shd w:val="clear" w:color="auto" w:fill="auto"/>
            <w:vAlign w:val="center"/>
          </w:tcPr>
          <w:p w14:paraId="072E94B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0.349</w:t>
            </w:r>
          </w:p>
        </w:tc>
      </w:tr>
      <w:tr w:rsidR="00C24116" w:rsidRPr="008B4A2A" w14:paraId="628E08C7" w14:textId="77777777" w:rsidTr="00221631">
        <w:trPr>
          <w:jc w:val="center"/>
        </w:trPr>
        <w:tc>
          <w:tcPr>
            <w:tcW w:w="1090" w:type="pct"/>
            <w:tcBorders>
              <w:top w:val="single" w:sz="4" w:space="0" w:color="auto"/>
            </w:tcBorders>
            <w:shd w:val="clear" w:color="auto" w:fill="auto"/>
            <w:vAlign w:val="center"/>
            <w:hideMark/>
          </w:tcPr>
          <w:p w14:paraId="3730781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Arthrosis</w:t>
            </w:r>
          </w:p>
        </w:tc>
        <w:tc>
          <w:tcPr>
            <w:tcW w:w="395" w:type="pct"/>
            <w:tcBorders>
              <w:top w:val="single" w:sz="4" w:space="0" w:color="auto"/>
            </w:tcBorders>
            <w:shd w:val="clear" w:color="auto" w:fill="auto"/>
            <w:vAlign w:val="center"/>
          </w:tcPr>
          <w:p w14:paraId="597C66A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1.712</w:t>
            </w:r>
          </w:p>
        </w:tc>
        <w:tc>
          <w:tcPr>
            <w:tcW w:w="598" w:type="pct"/>
            <w:tcBorders>
              <w:top w:val="single" w:sz="4" w:space="0" w:color="auto"/>
            </w:tcBorders>
            <w:shd w:val="clear" w:color="auto" w:fill="auto"/>
            <w:vAlign w:val="center"/>
          </w:tcPr>
          <w:p w14:paraId="147AA2A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0.926-3.165</w:t>
            </w:r>
          </w:p>
        </w:tc>
        <w:tc>
          <w:tcPr>
            <w:tcW w:w="310" w:type="pct"/>
            <w:tcBorders>
              <w:top w:val="single" w:sz="4" w:space="0" w:color="auto"/>
            </w:tcBorders>
            <w:shd w:val="clear" w:color="auto" w:fill="auto"/>
            <w:vAlign w:val="center"/>
          </w:tcPr>
          <w:p w14:paraId="3FBFC5C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0.087</w:t>
            </w:r>
          </w:p>
        </w:tc>
        <w:tc>
          <w:tcPr>
            <w:tcW w:w="396" w:type="pct"/>
            <w:tcBorders>
              <w:top w:val="single" w:sz="4" w:space="0" w:color="auto"/>
            </w:tcBorders>
            <w:shd w:val="clear" w:color="auto" w:fill="auto"/>
            <w:vAlign w:val="center"/>
          </w:tcPr>
          <w:p w14:paraId="3B13319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1.350</w:t>
            </w:r>
          </w:p>
        </w:tc>
        <w:tc>
          <w:tcPr>
            <w:tcW w:w="596" w:type="pct"/>
            <w:tcBorders>
              <w:top w:val="single" w:sz="4" w:space="0" w:color="auto"/>
            </w:tcBorders>
            <w:shd w:val="clear" w:color="auto" w:fill="auto"/>
            <w:vAlign w:val="center"/>
          </w:tcPr>
          <w:p w14:paraId="6A6266F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0.643-2.838</w:t>
            </w:r>
          </w:p>
        </w:tc>
        <w:tc>
          <w:tcPr>
            <w:tcW w:w="310" w:type="pct"/>
            <w:tcBorders>
              <w:top w:val="single" w:sz="4" w:space="0" w:color="auto"/>
            </w:tcBorders>
            <w:shd w:val="clear" w:color="auto" w:fill="auto"/>
            <w:vAlign w:val="center"/>
          </w:tcPr>
          <w:p w14:paraId="5C13F36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0.455</w:t>
            </w:r>
          </w:p>
        </w:tc>
        <w:tc>
          <w:tcPr>
            <w:tcW w:w="396" w:type="pct"/>
            <w:tcBorders>
              <w:top w:val="single" w:sz="4" w:space="0" w:color="auto"/>
            </w:tcBorders>
            <w:shd w:val="clear" w:color="auto" w:fill="auto"/>
            <w:vAlign w:val="center"/>
          </w:tcPr>
          <w:p w14:paraId="046DBE0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1.329</w:t>
            </w:r>
          </w:p>
        </w:tc>
        <w:tc>
          <w:tcPr>
            <w:tcW w:w="596" w:type="pct"/>
            <w:tcBorders>
              <w:top w:val="single" w:sz="4" w:space="0" w:color="auto"/>
            </w:tcBorders>
            <w:shd w:val="clear" w:color="auto" w:fill="auto"/>
            <w:vAlign w:val="center"/>
          </w:tcPr>
          <w:p w14:paraId="012056A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0.630-2.804</w:t>
            </w:r>
          </w:p>
        </w:tc>
        <w:tc>
          <w:tcPr>
            <w:tcW w:w="313" w:type="pct"/>
            <w:tcBorders>
              <w:top w:val="single" w:sz="4" w:space="0" w:color="auto"/>
            </w:tcBorders>
            <w:shd w:val="clear" w:color="auto" w:fill="auto"/>
            <w:vAlign w:val="center"/>
          </w:tcPr>
          <w:p w14:paraId="50A845E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0.455</w:t>
            </w:r>
          </w:p>
        </w:tc>
      </w:tr>
      <w:tr w:rsidR="00C24116" w:rsidRPr="008B4A2A" w14:paraId="54B75108" w14:textId="77777777" w:rsidTr="00221631">
        <w:trPr>
          <w:jc w:val="center"/>
        </w:trPr>
        <w:tc>
          <w:tcPr>
            <w:tcW w:w="1090" w:type="pct"/>
            <w:shd w:val="clear" w:color="auto" w:fill="auto"/>
            <w:vAlign w:val="center"/>
            <w:hideMark/>
          </w:tcPr>
          <w:p w14:paraId="7DF3B47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CBP cervical</w:t>
            </w:r>
          </w:p>
        </w:tc>
        <w:tc>
          <w:tcPr>
            <w:tcW w:w="395" w:type="pct"/>
            <w:shd w:val="clear" w:color="auto" w:fill="auto"/>
            <w:vAlign w:val="center"/>
          </w:tcPr>
          <w:p w14:paraId="0960762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1.175</w:t>
            </w:r>
          </w:p>
        </w:tc>
        <w:tc>
          <w:tcPr>
            <w:tcW w:w="598" w:type="pct"/>
            <w:shd w:val="clear" w:color="auto" w:fill="auto"/>
            <w:vAlign w:val="center"/>
          </w:tcPr>
          <w:p w14:paraId="54A1A67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0.648-2.130</w:t>
            </w:r>
          </w:p>
        </w:tc>
        <w:tc>
          <w:tcPr>
            <w:tcW w:w="310" w:type="pct"/>
            <w:shd w:val="clear" w:color="auto" w:fill="auto"/>
            <w:vAlign w:val="center"/>
          </w:tcPr>
          <w:p w14:paraId="587CC79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0.595</w:t>
            </w:r>
          </w:p>
        </w:tc>
        <w:tc>
          <w:tcPr>
            <w:tcW w:w="396" w:type="pct"/>
            <w:shd w:val="clear" w:color="auto" w:fill="auto"/>
            <w:vAlign w:val="center"/>
          </w:tcPr>
          <w:p w14:paraId="46022FA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1.025</w:t>
            </w:r>
          </w:p>
        </w:tc>
        <w:tc>
          <w:tcPr>
            <w:tcW w:w="596" w:type="pct"/>
            <w:shd w:val="clear" w:color="auto" w:fill="auto"/>
            <w:vAlign w:val="center"/>
          </w:tcPr>
          <w:p w14:paraId="5CEA987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0.534-1.967</w:t>
            </w:r>
          </w:p>
        </w:tc>
        <w:tc>
          <w:tcPr>
            <w:tcW w:w="310" w:type="pct"/>
            <w:shd w:val="clear" w:color="auto" w:fill="auto"/>
            <w:vAlign w:val="center"/>
          </w:tcPr>
          <w:p w14:paraId="2EE8110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0.941</w:t>
            </w:r>
          </w:p>
        </w:tc>
        <w:tc>
          <w:tcPr>
            <w:tcW w:w="396" w:type="pct"/>
            <w:shd w:val="clear" w:color="auto" w:fill="auto"/>
            <w:vAlign w:val="center"/>
          </w:tcPr>
          <w:p w14:paraId="17E226C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0.968</w:t>
            </w:r>
          </w:p>
        </w:tc>
        <w:tc>
          <w:tcPr>
            <w:tcW w:w="596" w:type="pct"/>
            <w:shd w:val="clear" w:color="auto" w:fill="auto"/>
            <w:vAlign w:val="center"/>
          </w:tcPr>
          <w:p w14:paraId="59F6E6C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0.503-1.861</w:t>
            </w:r>
          </w:p>
        </w:tc>
        <w:tc>
          <w:tcPr>
            <w:tcW w:w="313" w:type="pct"/>
            <w:shd w:val="clear" w:color="auto" w:fill="auto"/>
            <w:vAlign w:val="center"/>
          </w:tcPr>
          <w:p w14:paraId="7000408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0.922</w:t>
            </w:r>
          </w:p>
        </w:tc>
      </w:tr>
      <w:tr w:rsidR="00C24116" w:rsidRPr="008B4A2A" w14:paraId="7FB70140" w14:textId="77777777" w:rsidTr="00221631">
        <w:trPr>
          <w:jc w:val="center"/>
        </w:trPr>
        <w:tc>
          <w:tcPr>
            <w:tcW w:w="1090" w:type="pct"/>
            <w:shd w:val="clear" w:color="auto" w:fill="auto"/>
            <w:vAlign w:val="center"/>
            <w:hideMark/>
          </w:tcPr>
          <w:p w14:paraId="17AC745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CBP lumbar</w:t>
            </w:r>
          </w:p>
        </w:tc>
        <w:tc>
          <w:tcPr>
            <w:tcW w:w="395" w:type="pct"/>
            <w:shd w:val="clear" w:color="auto" w:fill="auto"/>
            <w:vAlign w:val="center"/>
          </w:tcPr>
          <w:p w14:paraId="4DF86F5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2.028</w:t>
            </w:r>
          </w:p>
        </w:tc>
        <w:tc>
          <w:tcPr>
            <w:tcW w:w="598" w:type="pct"/>
            <w:shd w:val="clear" w:color="auto" w:fill="auto"/>
            <w:vAlign w:val="center"/>
          </w:tcPr>
          <w:p w14:paraId="4ED55EB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1.124-3.659</w:t>
            </w:r>
          </w:p>
        </w:tc>
        <w:tc>
          <w:tcPr>
            <w:tcW w:w="310" w:type="pct"/>
            <w:shd w:val="clear" w:color="auto" w:fill="auto"/>
            <w:vAlign w:val="center"/>
          </w:tcPr>
          <w:p w14:paraId="6A9F45BB"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0.019*</w:t>
            </w:r>
          </w:p>
        </w:tc>
        <w:tc>
          <w:tcPr>
            <w:tcW w:w="396" w:type="pct"/>
            <w:shd w:val="clear" w:color="auto" w:fill="auto"/>
            <w:vAlign w:val="center"/>
          </w:tcPr>
          <w:p w14:paraId="7B42FA0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1.753</w:t>
            </w:r>
          </w:p>
        </w:tc>
        <w:tc>
          <w:tcPr>
            <w:tcW w:w="596" w:type="pct"/>
            <w:shd w:val="clear" w:color="auto" w:fill="auto"/>
            <w:vAlign w:val="center"/>
          </w:tcPr>
          <w:p w14:paraId="53801D9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0.936-3.283</w:t>
            </w:r>
          </w:p>
        </w:tc>
        <w:tc>
          <w:tcPr>
            <w:tcW w:w="310" w:type="pct"/>
            <w:shd w:val="clear" w:color="auto" w:fill="auto"/>
            <w:vAlign w:val="center"/>
          </w:tcPr>
          <w:p w14:paraId="74FB10E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0.080</w:t>
            </w:r>
          </w:p>
        </w:tc>
        <w:tc>
          <w:tcPr>
            <w:tcW w:w="396" w:type="pct"/>
            <w:shd w:val="clear" w:color="auto" w:fill="auto"/>
            <w:vAlign w:val="center"/>
          </w:tcPr>
          <w:p w14:paraId="5EC5385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1.702</w:t>
            </w:r>
          </w:p>
        </w:tc>
        <w:tc>
          <w:tcPr>
            <w:tcW w:w="596" w:type="pct"/>
            <w:shd w:val="clear" w:color="auto" w:fill="auto"/>
            <w:vAlign w:val="center"/>
          </w:tcPr>
          <w:p w14:paraId="4F0FB00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0.902-3.210</w:t>
            </w:r>
          </w:p>
        </w:tc>
        <w:tc>
          <w:tcPr>
            <w:tcW w:w="313" w:type="pct"/>
            <w:shd w:val="clear" w:color="auto" w:fill="auto"/>
            <w:vAlign w:val="center"/>
          </w:tcPr>
          <w:p w14:paraId="27E10CD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0.101</w:t>
            </w:r>
          </w:p>
        </w:tc>
      </w:tr>
      <w:tr w:rsidR="00C24116" w:rsidRPr="008B4A2A" w14:paraId="3A17E4EC" w14:textId="77777777" w:rsidTr="00221631">
        <w:trPr>
          <w:jc w:val="center"/>
        </w:trPr>
        <w:tc>
          <w:tcPr>
            <w:tcW w:w="1090" w:type="pct"/>
            <w:tcBorders>
              <w:bottom w:val="single" w:sz="4" w:space="0" w:color="auto"/>
            </w:tcBorders>
            <w:shd w:val="clear" w:color="auto" w:fill="auto"/>
            <w:vAlign w:val="center"/>
          </w:tcPr>
          <w:p w14:paraId="2AB7F05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Osteoporosis</w:t>
            </w:r>
          </w:p>
        </w:tc>
        <w:tc>
          <w:tcPr>
            <w:tcW w:w="395" w:type="pct"/>
            <w:tcBorders>
              <w:bottom w:val="single" w:sz="4" w:space="0" w:color="auto"/>
            </w:tcBorders>
            <w:shd w:val="clear" w:color="auto" w:fill="auto"/>
            <w:vAlign w:val="center"/>
          </w:tcPr>
          <w:p w14:paraId="6D8BBEE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3.334</w:t>
            </w:r>
          </w:p>
        </w:tc>
        <w:tc>
          <w:tcPr>
            <w:tcW w:w="598" w:type="pct"/>
            <w:tcBorders>
              <w:bottom w:val="single" w:sz="4" w:space="0" w:color="auto"/>
            </w:tcBorders>
            <w:shd w:val="clear" w:color="auto" w:fill="auto"/>
            <w:vAlign w:val="center"/>
          </w:tcPr>
          <w:p w14:paraId="25285FF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1.309-8.492</w:t>
            </w:r>
          </w:p>
        </w:tc>
        <w:tc>
          <w:tcPr>
            <w:tcW w:w="310" w:type="pct"/>
            <w:tcBorders>
              <w:bottom w:val="single" w:sz="4" w:space="0" w:color="auto"/>
            </w:tcBorders>
            <w:shd w:val="clear" w:color="auto" w:fill="auto"/>
            <w:vAlign w:val="center"/>
          </w:tcPr>
          <w:p w14:paraId="18F666DE"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0.012*</w:t>
            </w:r>
          </w:p>
        </w:tc>
        <w:tc>
          <w:tcPr>
            <w:tcW w:w="396" w:type="pct"/>
            <w:tcBorders>
              <w:bottom w:val="single" w:sz="4" w:space="0" w:color="auto"/>
            </w:tcBorders>
            <w:shd w:val="clear" w:color="auto" w:fill="auto"/>
            <w:vAlign w:val="center"/>
          </w:tcPr>
          <w:p w14:paraId="3FD507D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3.161</w:t>
            </w:r>
          </w:p>
        </w:tc>
        <w:tc>
          <w:tcPr>
            <w:tcW w:w="596" w:type="pct"/>
            <w:tcBorders>
              <w:bottom w:val="single" w:sz="4" w:space="0" w:color="auto"/>
            </w:tcBorders>
            <w:shd w:val="clear" w:color="auto" w:fill="auto"/>
            <w:vAlign w:val="center"/>
          </w:tcPr>
          <w:p w14:paraId="6A9AE85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1.141-8.757</w:t>
            </w:r>
          </w:p>
        </w:tc>
        <w:tc>
          <w:tcPr>
            <w:tcW w:w="310" w:type="pct"/>
            <w:tcBorders>
              <w:bottom w:val="single" w:sz="4" w:space="0" w:color="auto"/>
            </w:tcBorders>
            <w:shd w:val="clear" w:color="auto" w:fill="auto"/>
            <w:vAlign w:val="center"/>
          </w:tcPr>
          <w:p w14:paraId="53CF7F7C"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0.027*</w:t>
            </w:r>
          </w:p>
        </w:tc>
        <w:tc>
          <w:tcPr>
            <w:tcW w:w="396" w:type="pct"/>
            <w:tcBorders>
              <w:bottom w:val="single" w:sz="4" w:space="0" w:color="auto"/>
            </w:tcBorders>
            <w:shd w:val="clear" w:color="auto" w:fill="auto"/>
            <w:vAlign w:val="center"/>
          </w:tcPr>
          <w:p w14:paraId="5A5A8EE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3.056</w:t>
            </w:r>
          </w:p>
        </w:tc>
        <w:tc>
          <w:tcPr>
            <w:tcW w:w="596" w:type="pct"/>
            <w:tcBorders>
              <w:bottom w:val="single" w:sz="4" w:space="0" w:color="auto"/>
            </w:tcBorders>
            <w:shd w:val="clear" w:color="auto" w:fill="auto"/>
            <w:vAlign w:val="center"/>
          </w:tcPr>
          <w:p w14:paraId="5F28884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1.094-8.538</w:t>
            </w:r>
          </w:p>
        </w:tc>
        <w:tc>
          <w:tcPr>
            <w:tcW w:w="313" w:type="pct"/>
            <w:tcBorders>
              <w:bottom w:val="single" w:sz="4" w:space="0" w:color="auto"/>
            </w:tcBorders>
            <w:shd w:val="clear" w:color="auto" w:fill="auto"/>
            <w:vAlign w:val="center"/>
          </w:tcPr>
          <w:p w14:paraId="3102237B"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0.033*</w:t>
            </w:r>
          </w:p>
        </w:tc>
      </w:tr>
      <w:tr w:rsidR="00C24116" w:rsidRPr="008B4A2A" w14:paraId="6604091E" w14:textId="77777777" w:rsidTr="00221631">
        <w:trPr>
          <w:jc w:val="center"/>
        </w:trPr>
        <w:tc>
          <w:tcPr>
            <w:tcW w:w="1090" w:type="pct"/>
            <w:tcBorders>
              <w:top w:val="single" w:sz="4" w:space="0" w:color="auto"/>
              <w:bottom w:val="single" w:sz="4" w:space="0" w:color="auto"/>
            </w:tcBorders>
            <w:shd w:val="clear" w:color="auto" w:fill="auto"/>
            <w:vAlign w:val="center"/>
            <w:hideMark/>
          </w:tcPr>
          <w:p w14:paraId="41B6174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Chronic allergy</w:t>
            </w:r>
          </w:p>
        </w:tc>
        <w:tc>
          <w:tcPr>
            <w:tcW w:w="395" w:type="pct"/>
            <w:tcBorders>
              <w:top w:val="single" w:sz="4" w:space="0" w:color="auto"/>
              <w:bottom w:val="single" w:sz="4" w:space="0" w:color="auto"/>
            </w:tcBorders>
            <w:shd w:val="clear" w:color="auto" w:fill="auto"/>
            <w:vAlign w:val="center"/>
          </w:tcPr>
          <w:p w14:paraId="01A743E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1.071</w:t>
            </w:r>
          </w:p>
        </w:tc>
        <w:tc>
          <w:tcPr>
            <w:tcW w:w="598" w:type="pct"/>
            <w:tcBorders>
              <w:top w:val="single" w:sz="4" w:space="0" w:color="auto"/>
              <w:bottom w:val="single" w:sz="4" w:space="0" w:color="auto"/>
            </w:tcBorders>
            <w:shd w:val="clear" w:color="auto" w:fill="auto"/>
            <w:vAlign w:val="center"/>
          </w:tcPr>
          <w:p w14:paraId="08E4B13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0.594-1.932</w:t>
            </w:r>
          </w:p>
        </w:tc>
        <w:tc>
          <w:tcPr>
            <w:tcW w:w="310" w:type="pct"/>
            <w:tcBorders>
              <w:top w:val="single" w:sz="4" w:space="0" w:color="auto"/>
              <w:bottom w:val="single" w:sz="4" w:space="0" w:color="auto"/>
            </w:tcBorders>
            <w:shd w:val="clear" w:color="auto" w:fill="auto"/>
            <w:vAlign w:val="center"/>
          </w:tcPr>
          <w:p w14:paraId="48702D1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0.819</w:t>
            </w:r>
          </w:p>
        </w:tc>
        <w:tc>
          <w:tcPr>
            <w:tcW w:w="396" w:type="pct"/>
            <w:tcBorders>
              <w:top w:val="single" w:sz="4" w:space="0" w:color="auto"/>
              <w:bottom w:val="single" w:sz="4" w:space="0" w:color="auto"/>
            </w:tcBorders>
            <w:shd w:val="clear" w:color="auto" w:fill="auto"/>
            <w:vAlign w:val="center"/>
          </w:tcPr>
          <w:p w14:paraId="127F2FC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1.061</w:t>
            </w:r>
          </w:p>
        </w:tc>
        <w:tc>
          <w:tcPr>
            <w:tcW w:w="596" w:type="pct"/>
            <w:tcBorders>
              <w:top w:val="single" w:sz="4" w:space="0" w:color="auto"/>
              <w:bottom w:val="single" w:sz="4" w:space="0" w:color="auto"/>
            </w:tcBorders>
            <w:shd w:val="clear" w:color="auto" w:fill="auto"/>
            <w:vAlign w:val="center"/>
          </w:tcPr>
          <w:p w14:paraId="3458A1B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0.560-2.010</w:t>
            </w:r>
          </w:p>
        </w:tc>
        <w:tc>
          <w:tcPr>
            <w:tcW w:w="310" w:type="pct"/>
            <w:tcBorders>
              <w:top w:val="single" w:sz="4" w:space="0" w:color="auto"/>
              <w:bottom w:val="single" w:sz="4" w:space="0" w:color="auto"/>
            </w:tcBorders>
            <w:shd w:val="clear" w:color="auto" w:fill="auto"/>
            <w:vAlign w:val="center"/>
          </w:tcPr>
          <w:p w14:paraId="473F9FD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0.855</w:t>
            </w:r>
          </w:p>
        </w:tc>
        <w:tc>
          <w:tcPr>
            <w:tcW w:w="396" w:type="pct"/>
            <w:tcBorders>
              <w:top w:val="single" w:sz="4" w:space="0" w:color="auto"/>
              <w:bottom w:val="single" w:sz="4" w:space="0" w:color="auto"/>
            </w:tcBorders>
            <w:shd w:val="clear" w:color="auto" w:fill="auto"/>
            <w:vAlign w:val="center"/>
          </w:tcPr>
          <w:p w14:paraId="6EE4298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0.936</w:t>
            </w:r>
          </w:p>
        </w:tc>
        <w:tc>
          <w:tcPr>
            <w:tcW w:w="596" w:type="pct"/>
            <w:tcBorders>
              <w:top w:val="single" w:sz="4" w:space="0" w:color="auto"/>
              <w:bottom w:val="single" w:sz="4" w:space="0" w:color="auto"/>
            </w:tcBorders>
            <w:shd w:val="clear" w:color="auto" w:fill="auto"/>
            <w:vAlign w:val="center"/>
          </w:tcPr>
          <w:p w14:paraId="421A679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0.471-1.859</w:t>
            </w:r>
          </w:p>
        </w:tc>
        <w:tc>
          <w:tcPr>
            <w:tcW w:w="313" w:type="pct"/>
            <w:tcBorders>
              <w:top w:val="single" w:sz="4" w:space="0" w:color="auto"/>
              <w:bottom w:val="single" w:sz="4" w:space="0" w:color="auto"/>
            </w:tcBorders>
            <w:shd w:val="clear" w:color="auto" w:fill="auto"/>
            <w:vAlign w:val="center"/>
          </w:tcPr>
          <w:p w14:paraId="0A04678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0.850</w:t>
            </w:r>
          </w:p>
        </w:tc>
      </w:tr>
      <w:tr w:rsidR="00C24116" w:rsidRPr="008B4A2A" w14:paraId="411DBD9A" w14:textId="77777777" w:rsidTr="00221631">
        <w:trPr>
          <w:jc w:val="center"/>
        </w:trPr>
        <w:tc>
          <w:tcPr>
            <w:tcW w:w="1090" w:type="pct"/>
            <w:tcBorders>
              <w:top w:val="single" w:sz="4" w:space="0" w:color="auto"/>
            </w:tcBorders>
            <w:shd w:val="clear" w:color="auto" w:fill="auto"/>
            <w:vAlign w:val="center"/>
          </w:tcPr>
          <w:p w14:paraId="43DEBFC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Liver dysfunction</w:t>
            </w:r>
          </w:p>
        </w:tc>
        <w:tc>
          <w:tcPr>
            <w:tcW w:w="395" w:type="pct"/>
            <w:tcBorders>
              <w:top w:val="single" w:sz="4" w:space="0" w:color="auto"/>
            </w:tcBorders>
            <w:shd w:val="clear" w:color="auto" w:fill="auto"/>
            <w:vAlign w:val="center"/>
          </w:tcPr>
          <w:p w14:paraId="536F329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1.198</w:t>
            </w:r>
          </w:p>
        </w:tc>
        <w:tc>
          <w:tcPr>
            <w:tcW w:w="598" w:type="pct"/>
            <w:tcBorders>
              <w:top w:val="single" w:sz="4" w:space="0" w:color="auto"/>
            </w:tcBorders>
            <w:shd w:val="clear" w:color="auto" w:fill="auto"/>
            <w:vAlign w:val="center"/>
          </w:tcPr>
          <w:p w14:paraId="6BF5B9A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0.195-7.345</w:t>
            </w:r>
          </w:p>
        </w:tc>
        <w:tc>
          <w:tcPr>
            <w:tcW w:w="310" w:type="pct"/>
            <w:tcBorders>
              <w:top w:val="single" w:sz="4" w:space="0" w:color="auto"/>
            </w:tcBorders>
            <w:shd w:val="clear" w:color="auto" w:fill="auto"/>
            <w:vAlign w:val="center"/>
          </w:tcPr>
          <w:p w14:paraId="4CDF345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0.845</w:t>
            </w:r>
          </w:p>
        </w:tc>
        <w:tc>
          <w:tcPr>
            <w:tcW w:w="396" w:type="pct"/>
            <w:tcBorders>
              <w:top w:val="single" w:sz="4" w:space="0" w:color="auto"/>
            </w:tcBorders>
            <w:shd w:val="clear" w:color="auto" w:fill="auto"/>
            <w:vAlign w:val="center"/>
          </w:tcPr>
          <w:p w14:paraId="29E812A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0.583</w:t>
            </w:r>
          </w:p>
        </w:tc>
        <w:tc>
          <w:tcPr>
            <w:tcW w:w="596" w:type="pct"/>
            <w:tcBorders>
              <w:top w:val="single" w:sz="4" w:space="0" w:color="auto"/>
            </w:tcBorders>
            <w:shd w:val="clear" w:color="auto" w:fill="auto"/>
            <w:vAlign w:val="center"/>
          </w:tcPr>
          <w:p w14:paraId="4721303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0.074-4.604</w:t>
            </w:r>
          </w:p>
        </w:tc>
        <w:tc>
          <w:tcPr>
            <w:tcW w:w="310" w:type="pct"/>
            <w:tcBorders>
              <w:top w:val="single" w:sz="4" w:space="0" w:color="auto"/>
            </w:tcBorders>
            <w:shd w:val="clear" w:color="auto" w:fill="auto"/>
            <w:vAlign w:val="center"/>
          </w:tcPr>
          <w:p w14:paraId="5F44999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0.609</w:t>
            </w:r>
          </w:p>
        </w:tc>
        <w:tc>
          <w:tcPr>
            <w:tcW w:w="396" w:type="pct"/>
            <w:tcBorders>
              <w:top w:val="single" w:sz="4" w:space="0" w:color="auto"/>
            </w:tcBorders>
            <w:shd w:val="clear" w:color="auto" w:fill="auto"/>
            <w:vAlign w:val="center"/>
          </w:tcPr>
          <w:p w14:paraId="65C5BC6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0.501</w:t>
            </w:r>
          </w:p>
        </w:tc>
        <w:tc>
          <w:tcPr>
            <w:tcW w:w="596" w:type="pct"/>
            <w:tcBorders>
              <w:top w:val="single" w:sz="4" w:space="0" w:color="auto"/>
            </w:tcBorders>
            <w:shd w:val="clear" w:color="auto" w:fill="auto"/>
            <w:vAlign w:val="center"/>
          </w:tcPr>
          <w:p w14:paraId="6DD9A73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0.056-4.495</w:t>
            </w:r>
          </w:p>
        </w:tc>
        <w:tc>
          <w:tcPr>
            <w:tcW w:w="313" w:type="pct"/>
            <w:tcBorders>
              <w:top w:val="single" w:sz="4" w:space="0" w:color="auto"/>
            </w:tcBorders>
            <w:shd w:val="clear" w:color="auto" w:fill="auto"/>
            <w:vAlign w:val="center"/>
          </w:tcPr>
          <w:p w14:paraId="51F1B79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0.537</w:t>
            </w:r>
          </w:p>
        </w:tc>
      </w:tr>
      <w:tr w:rsidR="00C24116" w:rsidRPr="008B4A2A" w14:paraId="518AA6B4" w14:textId="77777777" w:rsidTr="00221631">
        <w:trPr>
          <w:jc w:val="center"/>
        </w:trPr>
        <w:tc>
          <w:tcPr>
            <w:tcW w:w="1090" w:type="pct"/>
            <w:shd w:val="clear" w:color="auto" w:fill="auto"/>
            <w:vAlign w:val="center"/>
            <w:hideMark/>
          </w:tcPr>
          <w:p w14:paraId="2CFFA64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Stomach/duodenal ulcer</w:t>
            </w:r>
          </w:p>
        </w:tc>
        <w:tc>
          <w:tcPr>
            <w:tcW w:w="395" w:type="pct"/>
            <w:shd w:val="clear" w:color="auto" w:fill="auto"/>
            <w:vAlign w:val="center"/>
          </w:tcPr>
          <w:p w14:paraId="669B73E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1.373</w:t>
            </w:r>
          </w:p>
        </w:tc>
        <w:tc>
          <w:tcPr>
            <w:tcW w:w="598" w:type="pct"/>
            <w:shd w:val="clear" w:color="auto" w:fill="auto"/>
            <w:vAlign w:val="center"/>
          </w:tcPr>
          <w:p w14:paraId="74BAF50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0.457-4.128</w:t>
            </w:r>
          </w:p>
        </w:tc>
        <w:tc>
          <w:tcPr>
            <w:tcW w:w="310" w:type="pct"/>
            <w:shd w:val="clear" w:color="auto" w:fill="auto"/>
            <w:vAlign w:val="center"/>
          </w:tcPr>
          <w:p w14:paraId="43580F8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0.572</w:t>
            </w:r>
          </w:p>
        </w:tc>
        <w:tc>
          <w:tcPr>
            <w:tcW w:w="396" w:type="pct"/>
            <w:shd w:val="clear" w:color="auto" w:fill="auto"/>
            <w:vAlign w:val="center"/>
          </w:tcPr>
          <w:p w14:paraId="24576D4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0.935</w:t>
            </w:r>
          </w:p>
        </w:tc>
        <w:tc>
          <w:tcPr>
            <w:tcW w:w="596" w:type="pct"/>
            <w:shd w:val="clear" w:color="auto" w:fill="auto"/>
            <w:vAlign w:val="center"/>
          </w:tcPr>
          <w:p w14:paraId="4907229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0.281-3.115</w:t>
            </w:r>
          </w:p>
        </w:tc>
        <w:tc>
          <w:tcPr>
            <w:tcW w:w="310" w:type="pct"/>
            <w:shd w:val="clear" w:color="auto" w:fill="auto"/>
            <w:vAlign w:val="center"/>
          </w:tcPr>
          <w:p w14:paraId="31C6DBB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0.913</w:t>
            </w:r>
          </w:p>
        </w:tc>
        <w:tc>
          <w:tcPr>
            <w:tcW w:w="396" w:type="pct"/>
            <w:shd w:val="clear" w:color="auto" w:fill="auto"/>
            <w:vAlign w:val="center"/>
          </w:tcPr>
          <w:p w14:paraId="34E8B62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0.924</w:t>
            </w:r>
          </w:p>
        </w:tc>
        <w:tc>
          <w:tcPr>
            <w:tcW w:w="596" w:type="pct"/>
            <w:shd w:val="clear" w:color="auto" w:fill="auto"/>
            <w:vAlign w:val="center"/>
          </w:tcPr>
          <w:p w14:paraId="5EA1D85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0.253-3.370</w:t>
            </w:r>
          </w:p>
        </w:tc>
        <w:tc>
          <w:tcPr>
            <w:tcW w:w="313" w:type="pct"/>
            <w:shd w:val="clear" w:color="auto" w:fill="auto"/>
            <w:vAlign w:val="center"/>
          </w:tcPr>
          <w:p w14:paraId="01F5E62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0.924</w:t>
            </w:r>
          </w:p>
        </w:tc>
      </w:tr>
      <w:tr w:rsidR="00C24116" w:rsidRPr="008B4A2A" w14:paraId="12C79733" w14:textId="77777777" w:rsidTr="00221631">
        <w:trPr>
          <w:jc w:val="center"/>
        </w:trPr>
        <w:tc>
          <w:tcPr>
            <w:tcW w:w="1090" w:type="pct"/>
            <w:shd w:val="clear" w:color="auto" w:fill="auto"/>
            <w:vAlign w:val="center"/>
          </w:tcPr>
          <w:p w14:paraId="4F2A270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Chronic constipation</w:t>
            </w:r>
          </w:p>
        </w:tc>
        <w:tc>
          <w:tcPr>
            <w:tcW w:w="395" w:type="pct"/>
            <w:shd w:val="clear" w:color="auto" w:fill="auto"/>
            <w:vAlign w:val="center"/>
          </w:tcPr>
          <w:p w14:paraId="1F27132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1.982</w:t>
            </w:r>
          </w:p>
        </w:tc>
        <w:tc>
          <w:tcPr>
            <w:tcW w:w="598" w:type="pct"/>
            <w:shd w:val="clear" w:color="auto" w:fill="auto"/>
            <w:vAlign w:val="center"/>
          </w:tcPr>
          <w:p w14:paraId="3916851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0.885-4.440</w:t>
            </w:r>
          </w:p>
        </w:tc>
        <w:tc>
          <w:tcPr>
            <w:tcW w:w="310" w:type="pct"/>
            <w:shd w:val="clear" w:color="auto" w:fill="auto"/>
            <w:vAlign w:val="center"/>
          </w:tcPr>
          <w:p w14:paraId="2FFC15C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0.096</w:t>
            </w:r>
          </w:p>
        </w:tc>
        <w:tc>
          <w:tcPr>
            <w:tcW w:w="396" w:type="pct"/>
            <w:shd w:val="clear" w:color="auto" w:fill="auto"/>
            <w:vAlign w:val="center"/>
          </w:tcPr>
          <w:p w14:paraId="74DD228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1.678</w:t>
            </w:r>
          </w:p>
        </w:tc>
        <w:tc>
          <w:tcPr>
            <w:tcW w:w="596" w:type="pct"/>
            <w:shd w:val="clear" w:color="auto" w:fill="auto"/>
            <w:vAlign w:val="center"/>
          </w:tcPr>
          <w:p w14:paraId="628272B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0.692-4.069</w:t>
            </w:r>
          </w:p>
        </w:tc>
        <w:tc>
          <w:tcPr>
            <w:tcW w:w="310" w:type="pct"/>
            <w:shd w:val="clear" w:color="auto" w:fill="auto"/>
            <w:vAlign w:val="center"/>
          </w:tcPr>
          <w:p w14:paraId="41773F5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0.252</w:t>
            </w:r>
          </w:p>
        </w:tc>
        <w:tc>
          <w:tcPr>
            <w:tcW w:w="396" w:type="pct"/>
            <w:shd w:val="clear" w:color="auto" w:fill="auto"/>
            <w:vAlign w:val="center"/>
          </w:tcPr>
          <w:p w14:paraId="16C54E7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1.619</w:t>
            </w:r>
          </w:p>
        </w:tc>
        <w:tc>
          <w:tcPr>
            <w:tcW w:w="596" w:type="pct"/>
            <w:shd w:val="clear" w:color="auto" w:fill="auto"/>
            <w:vAlign w:val="center"/>
          </w:tcPr>
          <w:p w14:paraId="2A60C42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0.665-3.940</w:t>
            </w:r>
          </w:p>
        </w:tc>
        <w:tc>
          <w:tcPr>
            <w:tcW w:w="313" w:type="pct"/>
            <w:shd w:val="clear" w:color="auto" w:fill="auto"/>
            <w:vAlign w:val="center"/>
          </w:tcPr>
          <w:p w14:paraId="5D514B6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0.289</w:t>
            </w:r>
          </w:p>
        </w:tc>
      </w:tr>
      <w:tr w:rsidR="00C24116" w:rsidRPr="008B4A2A" w14:paraId="4D4DE635" w14:textId="77777777" w:rsidTr="00221631">
        <w:trPr>
          <w:jc w:val="center"/>
        </w:trPr>
        <w:tc>
          <w:tcPr>
            <w:tcW w:w="1090" w:type="pct"/>
            <w:tcBorders>
              <w:bottom w:val="single" w:sz="4" w:space="0" w:color="auto"/>
            </w:tcBorders>
            <w:shd w:val="clear" w:color="auto" w:fill="auto"/>
            <w:vAlign w:val="center"/>
          </w:tcPr>
          <w:p w14:paraId="0E004A0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Haemorrhoids</w:t>
            </w:r>
          </w:p>
        </w:tc>
        <w:tc>
          <w:tcPr>
            <w:tcW w:w="395" w:type="pct"/>
            <w:tcBorders>
              <w:bottom w:val="single" w:sz="4" w:space="0" w:color="auto"/>
            </w:tcBorders>
            <w:shd w:val="clear" w:color="auto" w:fill="auto"/>
            <w:vAlign w:val="center"/>
          </w:tcPr>
          <w:p w14:paraId="3C23F75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1.054</w:t>
            </w:r>
          </w:p>
        </w:tc>
        <w:tc>
          <w:tcPr>
            <w:tcW w:w="598" w:type="pct"/>
            <w:tcBorders>
              <w:bottom w:val="single" w:sz="4" w:space="0" w:color="auto"/>
            </w:tcBorders>
            <w:shd w:val="clear" w:color="auto" w:fill="auto"/>
            <w:vAlign w:val="center"/>
          </w:tcPr>
          <w:p w14:paraId="4AD4521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0.506-2.197</w:t>
            </w:r>
          </w:p>
        </w:tc>
        <w:tc>
          <w:tcPr>
            <w:tcW w:w="310" w:type="pct"/>
            <w:tcBorders>
              <w:bottom w:val="single" w:sz="4" w:space="0" w:color="auto"/>
            </w:tcBorders>
            <w:shd w:val="clear" w:color="auto" w:fill="auto"/>
            <w:vAlign w:val="center"/>
          </w:tcPr>
          <w:p w14:paraId="4E5E30D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0.888</w:t>
            </w:r>
          </w:p>
        </w:tc>
        <w:tc>
          <w:tcPr>
            <w:tcW w:w="396" w:type="pct"/>
            <w:tcBorders>
              <w:bottom w:val="single" w:sz="4" w:space="0" w:color="auto"/>
            </w:tcBorders>
            <w:shd w:val="clear" w:color="auto" w:fill="auto"/>
            <w:vAlign w:val="center"/>
          </w:tcPr>
          <w:p w14:paraId="0E859FC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0.994</w:t>
            </w:r>
          </w:p>
        </w:tc>
        <w:tc>
          <w:tcPr>
            <w:tcW w:w="596" w:type="pct"/>
            <w:tcBorders>
              <w:bottom w:val="single" w:sz="4" w:space="0" w:color="auto"/>
            </w:tcBorders>
            <w:shd w:val="clear" w:color="auto" w:fill="auto"/>
            <w:vAlign w:val="center"/>
          </w:tcPr>
          <w:p w14:paraId="3750253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0.454-2.178</w:t>
            </w:r>
          </w:p>
        </w:tc>
        <w:tc>
          <w:tcPr>
            <w:tcW w:w="310" w:type="pct"/>
            <w:tcBorders>
              <w:bottom w:val="single" w:sz="4" w:space="0" w:color="auto"/>
            </w:tcBorders>
            <w:shd w:val="clear" w:color="auto" w:fill="auto"/>
            <w:vAlign w:val="center"/>
          </w:tcPr>
          <w:p w14:paraId="18B042C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0.988</w:t>
            </w:r>
          </w:p>
        </w:tc>
        <w:tc>
          <w:tcPr>
            <w:tcW w:w="396" w:type="pct"/>
            <w:tcBorders>
              <w:bottom w:val="single" w:sz="4" w:space="0" w:color="auto"/>
            </w:tcBorders>
            <w:shd w:val="clear" w:color="auto" w:fill="auto"/>
            <w:vAlign w:val="center"/>
          </w:tcPr>
          <w:p w14:paraId="3CFE0AE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0.947</w:t>
            </w:r>
          </w:p>
        </w:tc>
        <w:tc>
          <w:tcPr>
            <w:tcW w:w="596" w:type="pct"/>
            <w:tcBorders>
              <w:bottom w:val="single" w:sz="4" w:space="0" w:color="auto"/>
            </w:tcBorders>
            <w:shd w:val="clear" w:color="auto" w:fill="auto"/>
            <w:vAlign w:val="center"/>
          </w:tcPr>
          <w:p w14:paraId="78F443F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0.428-2.092</w:t>
            </w:r>
          </w:p>
        </w:tc>
        <w:tc>
          <w:tcPr>
            <w:tcW w:w="313" w:type="pct"/>
            <w:tcBorders>
              <w:bottom w:val="single" w:sz="4" w:space="0" w:color="auto"/>
            </w:tcBorders>
            <w:shd w:val="clear" w:color="auto" w:fill="auto"/>
            <w:vAlign w:val="center"/>
          </w:tcPr>
          <w:p w14:paraId="4DE10A1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0.892</w:t>
            </w:r>
          </w:p>
        </w:tc>
      </w:tr>
      <w:tr w:rsidR="00C24116" w:rsidRPr="008B4A2A" w14:paraId="55F4BEBC" w14:textId="77777777" w:rsidTr="00221631">
        <w:trPr>
          <w:jc w:val="center"/>
        </w:trPr>
        <w:tc>
          <w:tcPr>
            <w:tcW w:w="1090" w:type="pct"/>
            <w:tcBorders>
              <w:top w:val="single" w:sz="4" w:space="0" w:color="auto"/>
            </w:tcBorders>
            <w:shd w:val="clear" w:color="auto" w:fill="auto"/>
            <w:vAlign w:val="center"/>
            <w:hideMark/>
          </w:tcPr>
          <w:p w14:paraId="408559C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Urinary incontinence</w:t>
            </w:r>
          </w:p>
        </w:tc>
        <w:tc>
          <w:tcPr>
            <w:tcW w:w="395" w:type="pct"/>
            <w:tcBorders>
              <w:top w:val="single" w:sz="4" w:space="0" w:color="auto"/>
            </w:tcBorders>
            <w:shd w:val="clear" w:color="auto" w:fill="auto"/>
            <w:vAlign w:val="center"/>
          </w:tcPr>
          <w:p w14:paraId="56D19E3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4.275</w:t>
            </w:r>
          </w:p>
        </w:tc>
        <w:tc>
          <w:tcPr>
            <w:tcW w:w="598" w:type="pct"/>
            <w:tcBorders>
              <w:top w:val="single" w:sz="4" w:space="0" w:color="auto"/>
            </w:tcBorders>
            <w:shd w:val="clear" w:color="auto" w:fill="auto"/>
            <w:vAlign w:val="center"/>
          </w:tcPr>
          <w:p w14:paraId="42AFF1B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1.859-9.828</w:t>
            </w:r>
          </w:p>
        </w:tc>
        <w:tc>
          <w:tcPr>
            <w:tcW w:w="310" w:type="pct"/>
            <w:tcBorders>
              <w:top w:val="single" w:sz="4" w:space="0" w:color="auto"/>
            </w:tcBorders>
            <w:shd w:val="clear" w:color="auto" w:fill="auto"/>
            <w:vAlign w:val="center"/>
          </w:tcPr>
          <w:p w14:paraId="72D98AE4"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0.001*</w:t>
            </w:r>
          </w:p>
        </w:tc>
        <w:tc>
          <w:tcPr>
            <w:tcW w:w="396" w:type="pct"/>
            <w:tcBorders>
              <w:top w:val="single" w:sz="4" w:space="0" w:color="auto"/>
            </w:tcBorders>
            <w:shd w:val="clear" w:color="auto" w:fill="auto"/>
            <w:vAlign w:val="center"/>
          </w:tcPr>
          <w:p w14:paraId="1EB2459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3.550</w:t>
            </w:r>
          </w:p>
        </w:tc>
        <w:tc>
          <w:tcPr>
            <w:tcW w:w="596" w:type="pct"/>
            <w:tcBorders>
              <w:top w:val="single" w:sz="4" w:space="0" w:color="auto"/>
            </w:tcBorders>
            <w:shd w:val="clear" w:color="auto" w:fill="auto"/>
            <w:vAlign w:val="center"/>
          </w:tcPr>
          <w:p w14:paraId="38256A6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1.396-9.029</w:t>
            </w:r>
          </w:p>
        </w:tc>
        <w:tc>
          <w:tcPr>
            <w:tcW w:w="310" w:type="pct"/>
            <w:tcBorders>
              <w:top w:val="single" w:sz="4" w:space="0" w:color="auto"/>
            </w:tcBorders>
            <w:shd w:val="clear" w:color="auto" w:fill="auto"/>
            <w:vAlign w:val="center"/>
          </w:tcPr>
          <w:p w14:paraId="0E6EFCFC"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0.008*</w:t>
            </w:r>
          </w:p>
        </w:tc>
        <w:tc>
          <w:tcPr>
            <w:tcW w:w="396" w:type="pct"/>
            <w:tcBorders>
              <w:top w:val="single" w:sz="4" w:space="0" w:color="auto"/>
            </w:tcBorders>
            <w:shd w:val="clear" w:color="auto" w:fill="auto"/>
            <w:vAlign w:val="center"/>
          </w:tcPr>
          <w:p w14:paraId="52EBF8A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3.499</w:t>
            </w:r>
          </w:p>
        </w:tc>
        <w:tc>
          <w:tcPr>
            <w:tcW w:w="596" w:type="pct"/>
            <w:tcBorders>
              <w:top w:val="single" w:sz="4" w:space="0" w:color="auto"/>
            </w:tcBorders>
            <w:shd w:val="clear" w:color="auto" w:fill="auto"/>
            <w:vAlign w:val="center"/>
          </w:tcPr>
          <w:p w14:paraId="41B020B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1.369-8.944</w:t>
            </w:r>
          </w:p>
        </w:tc>
        <w:tc>
          <w:tcPr>
            <w:tcW w:w="313" w:type="pct"/>
            <w:tcBorders>
              <w:top w:val="single" w:sz="4" w:space="0" w:color="auto"/>
            </w:tcBorders>
            <w:shd w:val="clear" w:color="auto" w:fill="auto"/>
            <w:vAlign w:val="center"/>
          </w:tcPr>
          <w:p w14:paraId="1CE345AD"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0.009*</w:t>
            </w:r>
          </w:p>
        </w:tc>
      </w:tr>
      <w:tr w:rsidR="00C24116" w:rsidRPr="008B4A2A" w14:paraId="3E600F19" w14:textId="77777777" w:rsidTr="00221631">
        <w:trPr>
          <w:jc w:val="center"/>
        </w:trPr>
        <w:tc>
          <w:tcPr>
            <w:tcW w:w="1090" w:type="pct"/>
            <w:shd w:val="clear" w:color="auto" w:fill="auto"/>
            <w:vAlign w:val="center"/>
          </w:tcPr>
          <w:p w14:paraId="294617A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Kidney problems</w:t>
            </w:r>
          </w:p>
        </w:tc>
        <w:tc>
          <w:tcPr>
            <w:tcW w:w="395" w:type="pct"/>
            <w:shd w:val="clear" w:color="auto" w:fill="auto"/>
            <w:vAlign w:val="center"/>
          </w:tcPr>
          <w:p w14:paraId="0107187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1.339</w:t>
            </w:r>
          </w:p>
        </w:tc>
        <w:tc>
          <w:tcPr>
            <w:tcW w:w="598" w:type="pct"/>
            <w:shd w:val="clear" w:color="auto" w:fill="auto"/>
            <w:vAlign w:val="center"/>
          </w:tcPr>
          <w:p w14:paraId="08429E8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0.512-3.501</w:t>
            </w:r>
          </w:p>
        </w:tc>
        <w:tc>
          <w:tcPr>
            <w:tcW w:w="310" w:type="pct"/>
            <w:shd w:val="clear" w:color="auto" w:fill="auto"/>
            <w:vAlign w:val="center"/>
          </w:tcPr>
          <w:p w14:paraId="7EC80F8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0.551</w:t>
            </w:r>
          </w:p>
        </w:tc>
        <w:tc>
          <w:tcPr>
            <w:tcW w:w="396" w:type="pct"/>
            <w:shd w:val="clear" w:color="auto" w:fill="auto"/>
            <w:vAlign w:val="center"/>
          </w:tcPr>
          <w:p w14:paraId="5C07E69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1.034</w:t>
            </w:r>
          </w:p>
        </w:tc>
        <w:tc>
          <w:tcPr>
            <w:tcW w:w="596" w:type="pct"/>
            <w:shd w:val="clear" w:color="auto" w:fill="auto"/>
            <w:vAlign w:val="center"/>
          </w:tcPr>
          <w:p w14:paraId="3626614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0.361-2.964</w:t>
            </w:r>
          </w:p>
        </w:tc>
        <w:tc>
          <w:tcPr>
            <w:tcW w:w="310" w:type="pct"/>
            <w:shd w:val="clear" w:color="auto" w:fill="auto"/>
            <w:vAlign w:val="center"/>
          </w:tcPr>
          <w:p w14:paraId="796E0D7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0.950</w:t>
            </w:r>
          </w:p>
        </w:tc>
        <w:tc>
          <w:tcPr>
            <w:tcW w:w="396" w:type="pct"/>
            <w:shd w:val="clear" w:color="auto" w:fill="auto"/>
            <w:vAlign w:val="center"/>
          </w:tcPr>
          <w:p w14:paraId="0E07B56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1.004</w:t>
            </w:r>
          </w:p>
        </w:tc>
        <w:tc>
          <w:tcPr>
            <w:tcW w:w="596" w:type="pct"/>
            <w:shd w:val="clear" w:color="auto" w:fill="auto"/>
            <w:vAlign w:val="center"/>
          </w:tcPr>
          <w:p w14:paraId="58C6C6D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0.346-2.912</w:t>
            </w:r>
          </w:p>
        </w:tc>
        <w:tc>
          <w:tcPr>
            <w:tcW w:w="313" w:type="pct"/>
            <w:shd w:val="clear" w:color="auto" w:fill="auto"/>
            <w:vAlign w:val="center"/>
          </w:tcPr>
          <w:p w14:paraId="5CC64C0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0.994</w:t>
            </w:r>
          </w:p>
        </w:tc>
      </w:tr>
      <w:tr w:rsidR="00C24116" w:rsidRPr="008B4A2A" w14:paraId="1A22AF71" w14:textId="77777777" w:rsidTr="00221631">
        <w:trPr>
          <w:jc w:val="center"/>
        </w:trPr>
        <w:tc>
          <w:tcPr>
            <w:tcW w:w="1090" w:type="pct"/>
            <w:shd w:val="clear" w:color="auto" w:fill="auto"/>
            <w:vAlign w:val="center"/>
          </w:tcPr>
          <w:p w14:paraId="0630086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Prostate problems (males)</w:t>
            </w:r>
          </w:p>
        </w:tc>
        <w:tc>
          <w:tcPr>
            <w:tcW w:w="395" w:type="pct"/>
            <w:shd w:val="clear" w:color="auto" w:fill="auto"/>
            <w:vAlign w:val="center"/>
          </w:tcPr>
          <w:p w14:paraId="7BBF147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2.200</w:t>
            </w:r>
          </w:p>
        </w:tc>
        <w:tc>
          <w:tcPr>
            <w:tcW w:w="598" w:type="pct"/>
            <w:shd w:val="clear" w:color="auto" w:fill="auto"/>
            <w:vAlign w:val="center"/>
          </w:tcPr>
          <w:p w14:paraId="6C81B44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0.680-7.113</w:t>
            </w:r>
          </w:p>
        </w:tc>
        <w:tc>
          <w:tcPr>
            <w:tcW w:w="310" w:type="pct"/>
            <w:shd w:val="clear" w:color="auto" w:fill="auto"/>
            <w:vAlign w:val="center"/>
          </w:tcPr>
          <w:p w14:paraId="46EF1DD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0.188</w:t>
            </w:r>
          </w:p>
        </w:tc>
        <w:tc>
          <w:tcPr>
            <w:tcW w:w="396" w:type="pct"/>
            <w:shd w:val="clear" w:color="auto" w:fill="auto"/>
            <w:vAlign w:val="center"/>
          </w:tcPr>
          <w:p w14:paraId="5E5833D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1.165</w:t>
            </w:r>
          </w:p>
        </w:tc>
        <w:tc>
          <w:tcPr>
            <w:tcW w:w="596" w:type="pct"/>
            <w:shd w:val="clear" w:color="auto" w:fill="auto"/>
            <w:vAlign w:val="center"/>
          </w:tcPr>
          <w:p w14:paraId="78C9B98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0.267-5.082</w:t>
            </w:r>
          </w:p>
        </w:tc>
        <w:tc>
          <w:tcPr>
            <w:tcW w:w="310" w:type="pct"/>
            <w:shd w:val="clear" w:color="auto" w:fill="auto"/>
            <w:vAlign w:val="center"/>
          </w:tcPr>
          <w:p w14:paraId="6DDFB55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0.839</w:t>
            </w:r>
          </w:p>
        </w:tc>
        <w:tc>
          <w:tcPr>
            <w:tcW w:w="396" w:type="pct"/>
            <w:shd w:val="clear" w:color="auto" w:fill="auto"/>
            <w:vAlign w:val="center"/>
          </w:tcPr>
          <w:p w14:paraId="3A3C3B6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2.073</w:t>
            </w:r>
          </w:p>
        </w:tc>
        <w:tc>
          <w:tcPr>
            <w:tcW w:w="596" w:type="pct"/>
            <w:shd w:val="clear" w:color="auto" w:fill="auto"/>
            <w:vAlign w:val="center"/>
          </w:tcPr>
          <w:p w14:paraId="33BF707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0.373-11.509</w:t>
            </w:r>
          </w:p>
        </w:tc>
        <w:tc>
          <w:tcPr>
            <w:tcW w:w="313" w:type="pct"/>
            <w:shd w:val="clear" w:color="auto" w:fill="auto"/>
            <w:vAlign w:val="center"/>
          </w:tcPr>
          <w:p w14:paraId="524AC98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0.405</w:t>
            </w:r>
          </w:p>
        </w:tc>
      </w:tr>
      <w:tr w:rsidR="00C24116" w:rsidRPr="008B4A2A" w14:paraId="4768FC06" w14:textId="77777777" w:rsidTr="00221631">
        <w:trPr>
          <w:jc w:val="center"/>
        </w:trPr>
        <w:tc>
          <w:tcPr>
            <w:tcW w:w="1090" w:type="pct"/>
            <w:tcBorders>
              <w:bottom w:val="single" w:sz="4" w:space="0" w:color="auto"/>
            </w:tcBorders>
            <w:shd w:val="clear" w:color="auto" w:fill="auto"/>
            <w:vAlign w:val="center"/>
          </w:tcPr>
          <w:p w14:paraId="3FB142A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Menopausal problems (females)</w:t>
            </w:r>
          </w:p>
        </w:tc>
        <w:tc>
          <w:tcPr>
            <w:tcW w:w="395" w:type="pct"/>
            <w:tcBorders>
              <w:bottom w:val="single" w:sz="4" w:space="0" w:color="auto"/>
            </w:tcBorders>
            <w:shd w:val="clear" w:color="auto" w:fill="auto"/>
            <w:vAlign w:val="center"/>
          </w:tcPr>
          <w:p w14:paraId="0E56571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0.758</w:t>
            </w:r>
          </w:p>
        </w:tc>
        <w:tc>
          <w:tcPr>
            <w:tcW w:w="598" w:type="pct"/>
            <w:tcBorders>
              <w:bottom w:val="single" w:sz="4" w:space="0" w:color="auto"/>
            </w:tcBorders>
            <w:shd w:val="clear" w:color="auto" w:fill="auto"/>
            <w:vAlign w:val="center"/>
          </w:tcPr>
          <w:p w14:paraId="2157A1B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0.245-2.343</w:t>
            </w:r>
          </w:p>
        </w:tc>
        <w:tc>
          <w:tcPr>
            <w:tcW w:w="310" w:type="pct"/>
            <w:tcBorders>
              <w:bottom w:val="single" w:sz="4" w:space="0" w:color="auto"/>
            </w:tcBorders>
            <w:shd w:val="clear" w:color="auto" w:fill="auto"/>
            <w:vAlign w:val="center"/>
          </w:tcPr>
          <w:p w14:paraId="39E492B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0.630</w:t>
            </w:r>
          </w:p>
        </w:tc>
        <w:tc>
          <w:tcPr>
            <w:tcW w:w="396" w:type="pct"/>
            <w:tcBorders>
              <w:bottom w:val="single" w:sz="4" w:space="0" w:color="auto"/>
            </w:tcBorders>
            <w:shd w:val="clear" w:color="auto" w:fill="auto"/>
            <w:vAlign w:val="center"/>
          </w:tcPr>
          <w:p w14:paraId="10DD8C7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0.778</w:t>
            </w:r>
          </w:p>
        </w:tc>
        <w:tc>
          <w:tcPr>
            <w:tcW w:w="596" w:type="pct"/>
            <w:tcBorders>
              <w:bottom w:val="single" w:sz="4" w:space="0" w:color="auto"/>
            </w:tcBorders>
            <w:shd w:val="clear" w:color="auto" w:fill="auto"/>
            <w:vAlign w:val="center"/>
          </w:tcPr>
          <w:p w14:paraId="1E63639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0.232-2.609</w:t>
            </w:r>
          </w:p>
        </w:tc>
        <w:tc>
          <w:tcPr>
            <w:tcW w:w="310" w:type="pct"/>
            <w:tcBorders>
              <w:bottom w:val="single" w:sz="4" w:space="0" w:color="auto"/>
            </w:tcBorders>
            <w:shd w:val="clear" w:color="auto" w:fill="auto"/>
            <w:vAlign w:val="center"/>
          </w:tcPr>
          <w:p w14:paraId="65F14D7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0.685</w:t>
            </w:r>
          </w:p>
        </w:tc>
        <w:tc>
          <w:tcPr>
            <w:tcW w:w="396" w:type="pct"/>
            <w:tcBorders>
              <w:bottom w:val="single" w:sz="4" w:space="0" w:color="auto"/>
            </w:tcBorders>
            <w:shd w:val="clear" w:color="auto" w:fill="auto"/>
            <w:vAlign w:val="center"/>
          </w:tcPr>
          <w:p w14:paraId="7535700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0.700</w:t>
            </w:r>
          </w:p>
        </w:tc>
        <w:tc>
          <w:tcPr>
            <w:tcW w:w="596" w:type="pct"/>
            <w:tcBorders>
              <w:bottom w:val="single" w:sz="4" w:space="0" w:color="auto"/>
            </w:tcBorders>
            <w:shd w:val="clear" w:color="auto" w:fill="auto"/>
            <w:vAlign w:val="center"/>
          </w:tcPr>
          <w:p w14:paraId="1E176CF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0.209-2.345</w:t>
            </w:r>
          </w:p>
        </w:tc>
        <w:tc>
          <w:tcPr>
            <w:tcW w:w="313" w:type="pct"/>
            <w:tcBorders>
              <w:bottom w:val="single" w:sz="4" w:space="0" w:color="auto"/>
            </w:tcBorders>
            <w:shd w:val="clear" w:color="auto" w:fill="auto"/>
            <w:vAlign w:val="center"/>
          </w:tcPr>
          <w:p w14:paraId="03BB66F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0.563</w:t>
            </w:r>
          </w:p>
        </w:tc>
      </w:tr>
      <w:tr w:rsidR="00C24116" w:rsidRPr="008B4A2A" w14:paraId="4C10D225" w14:textId="77777777" w:rsidTr="00221631">
        <w:trPr>
          <w:jc w:val="center"/>
        </w:trPr>
        <w:tc>
          <w:tcPr>
            <w:tcW w:w="1090" w:type="pct"/>
            <w:tcBorders>
              <w:top w:val="single" w:sz="4" w:space="0" w:color="auto"/>
              <w:bottom w:val="single" w:sz="4" w:space="0" w:color="auto"/>
            </w:tcBorders>
            <w:shd w:val="clear" w:color="auto" w:fill="auto"/>
            <w:vAlign w:val="center"/>
            <w:hideMark/>
          </w:tcPr>
          <w:p w14:paraId="21994F2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Cataracts</w:t>
            </w:r>
          </w:p>
        </w:tc>
        <w:tc>
          <w:tcPr>
            <w:tcW w:w="395" w:type="pct"/>
            <w:tcBorders>
              <w:top w:val="single" w:sz="4" w:space="0" w:color="auto"/>
              <w:bottom w:val="single" w:sz="4" w:space="0" w:color="auto"/>
            </w:tcBorders>
            <w:shd w:val="clear" w:color="auto" w:fill="auto"/>
            <w:vAlign w:val="center"/>
          </w:tcPr>
          <w:p w14:paraId="117EE80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2.348</w:t>
            </w:r>
          </w:p>
        </w:tc>
        <w:tc>
          <w:tcPr>
            <w:tcW w:w="598" w:type="pct"/>
            <w:tcBorders>
              <w:top w:val="single" w:sz="4" w:space="0" w:color="auto"/>
              <w:bottom w:val="single" w:sz="4" w:space="0" w:color="auto"/>
            </w:tcBorders>
            <w:shd w:val="clear" w:color="auto" w:fill="auto"/>
            <w:vAlign w:val="center"/>
          </w:tcPr>
          <w:p w14:paraId="4C994D3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1.070-5.155</w:t>
            </w:r>
          </w:p>
        </w:tc>
        <w:tc>
          <w:tcPr>
            <w:tcW w:w="310" w:type="pct"/>
            <w:tcBorders>
              <w:top w:val="single" w:sz="4" w:space="0" w:color="auto"/>
              <w:bottom w:val="single" w:sz="4" w:space="0" w:color="auto"/>
            </w:tcBorders>
            <w:shd w:val="clear" w:color="auto" w:fill="auto"/>
            <w:vAlign w:val="center"/>
          </w:tcPr>
          <w:p w14:paraId="3033C837" w14:textId="77777777" w:rsidR="00C24116" w:rsidRPr="008B4A2A" w:rsidRDefault="00C24116" w:rsidP="00221631">
            <w:pPr>
              <w:autoSpaceDE w:val="0"/>
              <w:autoSpaceDN w:val="0"/>
              <w:adjustRightInd w:val="0"/>
              <w:snapToGrid w:val="0"/>
              <w:spacing w:line="240" w:lineRule="auto"/>
              <w:jc w:val="center"/>
              <w:rPr>
                <w:b/>
                <w:sz w:val="18"/>
                <w:lang w:val="en-GB"/>
              </w:rPr>
            </w:pPr>
            <w:r w:rsidRPr="008B4A2A">
              <w:rPr>
                <w:b/>
                <w:sz w:val="18"/>
                <w:lang w:val="en-GB"/>
              </w:rPr>
              <w:t>0.033*</w:t>
            </w:r>
          </w:p>
        </w:tc>
        <w:tc>
          <w:tcPr>
            <w:tcW w:w="396" w:type="pct"/>
            <w:tcBorders>
              <w:top w:val="single" w:sz="4" w:space="0" w:color="auto"/>
              <w:bottom w:val="single" w:sz="4" w:space="0" w:color="auto"/>
            </w:tcBorders>
            <w:shd w:val="clear" w:color="auto" w:fill="auto"/>
            <w:vAlign w:val="center"/>
          </w:tcPr>
          <w:p w14:paraId="4D94B74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2.062</w:t>
            </w:r>
          </w:p>
        </w:tc>
        <w:tc>
          <w:tcPr>
            <w:tcW w:w="596" w:type="pct"/>
            <w:tcBorders>
              <w:top w:val="single" w:sz="4" w:space="0" w:color="auto"/>
              <w:bottom w:val="single" w:sz="4" w:space="0" w:color="auto"/>
            </w:tcBorders>
            <w:shd w:val="clear" w:color="auto" w:fill="auto"/>
            <w:vAlign w:val="center"/>
          </w:tcPr>
          <w:p w14:paraId="5D47FBB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0.682-6.236</w:t>
            </w:r>
          </w:p>
        </w:tc>
        <w:tc>
          <w:tcPr>
            <w:tcW w:w="310" w:type="pct"/>
            <w:tcBorders>
              <w:top w:val="single" w:sz="4" w:space="0" w:color="auto"/>
              <w:bottom w:val="single" w:sz="4" w:space="0" w:color="auto"/>
            </w:tcBorders>
            <w:shd w:val="clear" w:color="auto" w:fill="auto"/>
            <w:vAlign w:val="center"/>
          </w:tcPr>
          <w:p w14:paraId="2D900B3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0.200</w:t>
            </w:r>
          </w:p>
        </w:tc>
        <w:tc>
          <w:tcPr>
            <w:tcW w:w="396" w:type="pct"/>
            <w:tcBorders>
              <w:top w:val="single" w:sz="4" w:space="0" w:color="auto"/>
              <w:bottom w:val="single" w:sz="4" w:space="0" w:color="auto"/>
            </w:tcBorders>
            <w:shd w:val="clear" w:color="auto" w:fill="auto"/>
            <w:vAlign w:val="center"/>
          </w:tcPr>
          <w:p w14:paraId="0A0B539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2.253</w:t>
            </w:r>
          </w:p>
        </w:tc>
        <w:tc>
          <w:tcPr>
            <w:tcW w:w="596" w:type="pct"/>
            <w:tcBorders>
              <w:top w:val="single" w:sz="4" w:space="0" w:color="auto"/>
              <w:bottom w:val="single" w:sz="4" w:space="0" w:color="auto"/>
            </w:tcBorders>
            <w:shd w:val="clear" w:color="auto" w:fill="auto"/>
            <w:vAlign w:val="center"/>
          </w:tcPr>
          <w:p w14:paraId="6F927F1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0.730-6.954</w:t>
            </w:r>
          </w:p>
        </w:tc>
        <w:tc>
          <w:tcPr>
            <w:tcW w:w="313" w:type="pct"/>
            <w:tcBorders>
              <w:top w:val="single" w:sz="4" w:space="0" w:color="auto"/>
              <w:bottom w:val="single" w:sz="4" w:space="0" w:color="auto"/>
            </w:tcBorders>
            <w:shd w:val="clear" w:color="auto" w:fill="auto"/>
            <w:vAlign w:val="center"/>
          </w:tcPr>
          <w:p w14:paraId="6221F71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0.158</w:t>
            </w:r>
          </w:p>
        </w:tc>
      </w:tr>
      <w:tr w:rsidR="00C24116" w:rsidRPr="008B4A2A" w14:paraId="59D114C3" w14:textId="77777777" w:rsidTr="00221631">
        <w:trPr>
          <w:jc w:val="center"/>
        </w:trPr>
        <w:tc>
          <w:tcPr>
            <w:tcW w:w="1090" w:type="pct"/>
            <w:tcBorders>
              <w:top w:val="single" w:sz="4" w:space="0" w:color="auto"/>
              <w:bottom w:val="single" w:sz="4" w:space="0" w:color="auto"/>
            </w:tcBorders>
            <w:shd w:val="clear" w:color="auto" w:fill="auto"/>
            <w:vAlign w:val="center"/>
            <w:hideMark/>
          </w:tcPr>
          <w:p w14:paraId="3C5AB66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Chronic skin problems</w:t>
            </w:r>
          </w:p>
        </w:tc>
        <w:tc>
          <w:tcPr>
            <w:tcW w:w="395" w:type="pct"/>
            <w:tcBorders>
              <w:top w:val="single" w:sz="4" w:space="0" w:color="auto"/>
              <w:bottom w:val="single" w:sz="4" w:space="0" w:color="auto"/>
            </w:tcBorders>
            <w:shd w:val="clear" w:color="auto" w:fill="auto"/>
            <w:vAlign w:val="center"/>
          </w:tcPr>
          <w:p w14:paraId="7F14428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1.131</w:t>
            </w:r>
          </w:p>
        </w:tc>
        <w:tc>
          <w:tcPr>
            <w:tcW w:w="598" w:type="pct"/>
            <w:tcBorders>
              <w:top w:val="single" w:sz="4" w:space="0" w:color="auto"/>
              <w:bottom w:val="single" w:sz="4" w:space="0" w:color="auto"/>
            </w:tcBorders>
            <w:shd w:val="clear" w:color="auto" w:fill="auto"/>
            <w:vAlign w:val="center"/>
          </w:tcPr>
          <w:p w14:paraId="4749A00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0.528-2.424</w:t>
            </w:r>
          </w:p>
        </w:tc>
        <w:tc>
          <w:tcPr>
            <w:tcW w:w="310" w:type="pct"/>
            <w:tcBorders>
              <w:top w:val="single" w:sz="4" w:space="0" w:color="auto"/>
              <w:bottom w:val="single" w:sz="4" w:space="0" w:color="auto"/>
            </w:tcBorders>
            <w:shd w:val="clear" w:color="auto" w:fill="auto"/>
            <w:vAlign w:val="center"/>
          </w:tcPr>
          <w:p w14:paraId="6E8CAB4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0.751</w:t>
            </w:r>
          </w:p>
        </w:tc>
        <w:tc>
          <w:tcPr>
            <w:tcW w:w="396" w:type="pct"/>
            <w:tcBorders>
              <w:top w:val="single" w:sz="4" w:space="0" w:color="auto"/>
              <w:bottom w:val="single" w:sz="4" w:space="0" w:color="auto"/>
            </w:tcBorders>
            <w:shd w:val="clear" w:color="auto" w:fill="auto"/>
            <w:vAlign w:val="center"/>
          </w:tcPr>
          <w:p w14:paraId="25934C8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0.969</w:t>
            </w:r>
          </w:p>
        </w:tc>
        <w:tc>
          <w:tcPr>
            <w:tcW w:w="596" w:type="pct"/>
            <w:tcBorders>
              <w:top w:val="single" w:sz="4" w:space="0" w:color="auto"/>
              <w:bottom w:val="single" w:sz="4" w:space="0" w:color="auto"/>
            </w:tcBorders>
            <w:shd w:val="clear" w:color="auto" w:fill="auto"/>
            <w:vAlign w:val="center"/>
          </w:tcPr>
          <w:p w14:paraId="1EEBEEE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0.428-2.194</w:t>
            </w:r>
          </w:p>
        </w:tc>
        <w:tc>
          <w:tcPr>
            <w:tcW w:w="310" w:type="pct"/>
            <w:tcBorders>
              <w:top w:val="single" w:sz="4" w:space="0" w:color="auto"/>
              <w:bottom w:val="single" w:sz="4" w:space="0" w:color="auto"/>
            </w:tcBorders>
            <w:shd w:val="clear" w:color="auto" w:fill="auto"/>
            <w:vAlign w:val="center"/>
          </w:tcPr>
          <w:p w14:paraId="5C39B4B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0.939</w:t>
            </w:r>
          </w:p>
        </w:tc>
        <w:tc>
          <w:tcPr>
            <w:tcW w:w="396" w:type="pct"/>
            <w:tcBorders>
              <w:top w:val="single" w:sz="4" w:space="0" w:color="auto"/>
              <w:bottom w:val="single" w:sz="4" w:space="0" w:color="auto"/>
            </w:tcBorders>
            <w:shd w:val="clear" w:color="auto" w:fill="auto"/>
            <w:vAlign w:val="center"/>
          </w:tcPr>
          <w:p w14:paraId="2CD5C5C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0.901</w:t>
            </w:r>
          </w:p>
        </w:tc>
        <w:tc>
          <w:tcPr>
            <w:tcW w:w="596" w:type="pct"/>
            <w:tcBorders>
              <w:top w:val="single" w:sz="4" w:space="0" w:color="auto"/>
              <w:bottom w:val="single" w:sz="4" w:space="0" w:color="auto"/>
            </w:tcBorders>
            <w:shd w:val="clear" w:color="auto" w:fill="auto"/>
            <w:vAlign w:val="center"/>
          </w:tcPr>
          <w:p w14:paraId="2011A7E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0.395-2.056</w:t>
            </w:r>
          </w:p>
        </w:tc>
        <w:tc>
          <w:tcPr>
            <w:tcW w:w="313" w:type="pct"/>
            <w:tcBorders>
              <w:top w:val="single" w:sz="4" w:space="0" w:color="auto"/>
              <w:bottom w:val="single" w:sz="4" w:space="0" w:color="auto"/>
            </w:tcBorders>
            <w:shd w:val="clear" w:color="auto" w:fill="auto"/>
            <w:vAlign w:val="center"/>
          </w:tcPr>
          <w:p w14:paraId="60633AB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0.805</w:t>
            </w:r>
          </w:p>
        </w:tc>
      </w:tr>
      <w:tr w:rsidR="00C24116" w:rsidRPr="008B4A2A" w14:paraId="555F2E22" w14:textId="77777777" w:rsidTr="00221631">
        <w:trPr>
          <w:jc w:val="center"/>
        </w:trPr>
        <w:tc>
          <w:tcPr>
            <w:tcW w:w="1090" w:type="pct"/>
            <w:shd w:val="clear" w:color="auto" w:fill="auto"/>
            <w:vAlign w:val="center"/>
            <w:hideMark/>
          </w:tcPr>
          <w:p w14:paraId="45166E3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Depression</w:t>
            </w:r>
          </w:p>
        </w:tc>
        <w:tc>
          <w:tcPr>
            <w:tcW w:w="395" w:type="pct"/>
            <w:shd w:val="clear" w:color="auto" w:fill="auto"/>
            <w:vAlign w:val="center"/>
          </w:tcPr>
          <w:p w14:paraId="088EBA4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1.164</w:t>
            </w:r>
          </w:p>
        </w:tc>
        <w:tc>
          <w:tcPr>
            <w:tcW w:w="598" w:type="pct"/>
            <w:shd w:val="clear" w:color="auto" w:fill="auto"/>
            <w:vAlign w:val="center"/>
          </w:tcPr>
          <w:p w14:paraId="668CF32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0.605-2.239</w:t>
            </w:r>
          </w:p>
        </w:tc>
        <w:tc>
          <w:tcPr>
            <w:tcW w:w="310" w:type="pct"/>
            <w:shd w:val="clear" w:color="auto" w:fill="auto"/>
            <w:vAlign w:val="center"/>
          </w:tcPr>
          <w:p w14:paraId="48593CA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0.649</w:t>
            </w:r>
          </w:p>
        </w:tc>
        <w:tc>
          <w:tcPr>
            <w:tcW w:w="396" w:type="pct"/>
            <w:shd w:val="clear" w:color="auto" w:fill="auto"/>
            <w:vAlign w:val="center"/>
          </w:tcPr>
          <w:p w14:paraId="22793E9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0.772</w:t>
            </w:r>
          </w:p>
        </w:tc>
        <w:tc>
          <w:tcPr>
            <w:tcW w:w="596" w:type="pct"/>
            <w:shd w:val="clear" w:color="auto" w:fill="auto"/>
            <w:vAlign w:val="center"/>
          </w:tcPr>
          <w:p w14:paraId="20640CB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0.357-1.667</w:t>
            </w:r>
          </w:p>
        </w:tc>
        <w:tc>
          <w:tcPr>
            <w:tcW w:w="310" w:type="pct"/>
            <w:shd w:val="clear" w:color="auto" w:fill="auto"/>
            <w:vAlign w:val="center"/>
          </w:tcPr>
          <w:p w14:paraId="39488FB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0.510</w:t>
            </w:r>
          </w:p>
        </w:tc>
        <w:tc>
          <w:tcPr>
            <w:tcW w:w="396" w:type="pct"/>
            <w:shd w:val="clear" w:color="auto" w:fill="auto"/>
            <w:vAlign w:val="center"/>
          </w:tcPr>
          <w:p w14:paraId="2FBF158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0.727</w:t>
            </w:r>
          </w:p>
        </w:tc>
        <w:tc>
          <w:tcPr>
            <w:tcW w:w="596" w:type="pct"/>
            <w:shd w:val="clear" w:color="auto" w:fill="auto"/>
            <w:vAlign w:val="center"/>
          </w:tcPr>
          <w:p w14:paraId="50A9F45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0.336-1.572</w:t>
            </w:r>
          </w:p>
        </w:tc>
        <w:tc>
          <w:tcPr>
            <w:tcW w:w="313" w:type="pct"/>
            <w:shd w:val="clear" w:color="auto" w:fill="auto"/>
            <w:vAlign w:val="center"/>
          </w:tcPr>
          <w:p w14:paraId="2310C4E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0.418</w:t>
            </w:r>
          </w:p>
        </w:tc>
      </w:tr>
      <w:tr w:rsidR="00C24116" w:rsidRPr="008B4A2A" w14:paraId="0F15400A" w14:textId="77777777" w:rsidTr="00221631">
        <w:trPr>
          <w:jc w:val="center"/>
        </w:trPr>
        <w:tc>
          <w:tcPr>
            <w:tcW w:w="1090" w:type="pct"/>
            <w:shd w:val="clear" w:color="auto" w:fill="auto"/>
            <w:vAlign w:val="center"/>
            <w:hideMark/>
          </w:tcPr>
          <w:p w14:paraId="3F79A21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Chronic anxiety</w:t>
            </w:r>
          </w:p>
        </w:tc>
        <w:tc>
          <w:tcPr>
            <w:tcW w:w="395" w:type="pct"/>
            <w:shd w:val="clear" w:color="auto" w:fill="auto"/>
            <w:vAlign w:val="center"/>
          </w:tcPr>
          <w:p w14:paraId="384D5BF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1.927</w:t>
            </w:r>
          </w:p>
        </w:tc>
        <w:tc>
          <w:tcPr>
            <w:tcW w:w="598" w:type="pct"/>
            <w:shd w:val="clear" w:color="auto" w:fill="auto"/>
            <w:vAlign w:val="center"/>
          </w:tcPr>
          <w:p w14:paraId="0ACD473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0.985-3.770</w:t>
            </w:r>
          </w:p>
        </w:tc>
        <w:tc>
          <w:tcPr>
            <w:tcW w:w="310" w:type="pct"/>
            <w:shd w:val="clear" w:color="auto" w:fill="auto"/>
            <w:vAlign w:val="center"/>
          </w:tcPr>
          <w:p w14:paraId="00316C2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0.055</w:t>
            </w:r>
          </w:p>
        </w:tc>
        <w:tc>
          <w:tcPr>
            <w:tcW w:w="396" w:type="pct"/>
            <w:shd w:val="clear" w:color="auto" w:fill="auto"/>
            <w:vAlign w:val="center"/>
          </w:tcPr>
          <w:p w14:paraId="030E30D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1.515</w:t>
            </w:r>
          </w:p>
        </w:tc>
        <w:tc>
          <w:tcPr>
            <w:tcW w:w="596" w:type="pct"/>
            <w:shd w:val="clear" w:color="auto" w:fill="auto"/>
            <w:vAlign w:val="center"/>
          </w:tcPr>
          <w:p w14:paraId="52737AF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0.699-3.283</w:t>
            </w:r>
          </w:p>
        </w:tc>
        <w:tc>
          <w:tcPr>
            <w:tcW w:w="310" w:type="pct"/>
            <w:shd w:val="clear" w:color="auto" w:fill="auto"/>
            <w:vAlign w:val="center"/>
          </w:tcPr>
          <w:p w14:paraId="334086E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0.293</w:t>
            </w:r>
          </w:p>
        </w:tc>
        <w:tc>
          <w:tcPr>
            <w:tcW w:w="396" w:type="pct"/>
            <w:shd w:val="clear" w:color="auto" w:fill="auto"/>
            <w:vAlign w:val="center"/>
          </w:tcPr>
          <w:p w14:paraId="4D83D5C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1.431</w:t>
            </w:r>
          </w:p>
        </w:tc>
        <w:tc>
          <w:tcPr>
            <w:tcW w:w="596" w:type="pct"/>
            <w:shd w:val="clear" w:color="auto" w:fill="auto"/>
            <w:vAlign w:val="center"/>
          </w:tcPr>
          <w:p w14:paraId="55AE3F2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0.659-3.109</w:t>
            </w:r>
          </w:p>
        </w:tc>
        <w:tc>
          <w:tcPr>
            <w:tcW w:w="313" w:type="pct"/>
            <w:shd w:val="clear" w:color="auto" w:fill="auto"/>
            <w:vAlign w:val="center"/>
          </w:tcPr>
          <w:p w14:paraId="18B912D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0.365</w:t>
            </w:r>
          </w:p>
        </w:tc>
      </w:tr>
      <w:tr w:rsidR="00C24116" w:rsidRPr="008B4A2A" w14:paraId="34FE5825" w14:textId="77777777" w:rsidTr="00221631">
        <w:trPr>
          <w:jc w:val="center"/>
        </w:trPr>
        <w:tc>
          <w:tcPr>
            <w:tcW w:w="1090" w:type="pct"/>
            <w:tcBorders>
              <w:bottom w:val="single" w:sz="4" w:space="0" w:color="auto"/>
            </w:tcBorders>
            <w:shd w:val="clear" w:color="auto" w:fill="auto"/>
            <w:vAlign w:val="center"/>
            <w:hideMark/>
          </w:tcPr>
          <w:p w14:paraId="3D46895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Other mental problems</w:t>
            </w:r>
          </w:p>
        </w:tc>
        <w:tc>
          <w:tcPr>
            <w:tcW w:w="395" w:type="pct"/>
            <w:tcBorders>
              <w:bottom w:val="single" w:sz="4" w:space="0" w:color="auto"/>
            </w:tcBorders>
            <w:shd w:val="clear" w:color="auto" w:fill="auto"/>
            <w:vAlign w:val="center"/>
          </w:tcPr>
          <w:p w14:paraId="5610846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&lt;0.001</w:t>
            </w:r>
          </w:p>
        </w:tc>
        <w:tc>
          <w:tcPr>
            <w:tcW w:w="598" w:type="pct"/>
            <w:tcBorders>
              <w:bottom w:val="single" w:sz="4" w:space="0" w:color="auto"/>
            </w:tcBorders>
            <w:shd w:val="clear" w:color="auto" w:fill="auto"/>
            <w:vAlign w:val="center"/>
          </w:tcPr>
          <w:p w14:paraId="52B57362" w14:textId="7EE32372" w:rsidR="00C24116" w:rsidRPr="008B4A2A" w:rsidRDefault="0069081C" w:rsidP="00221631">
            <w:pPr>
              <w:autoSpaceDE w:val="0"/>
              <w:autoSpaceDN w:val="0"/>
              <w:adjustRightInd w:val="0"/>
              <w:snapToGrid w:val="0"/>
              <w:spacing w:line="240" w:lineRule="auto"/>
              <w:jc w:val="center"/>
              <w:rPr>
                <w:sz w:val="18"/>
                <w:lang w:val="en-GB"/>
              </w:rPr>
            </w:pPr>
            <w:r w:rsidRPr="008B4A2A">
              <w:rPr>
                <w:sz w:val="18"/>
                <w:lang w:val="en-GB"/>
              </w:rPr>
              <w:t>&lt;0.001</w:t>
            </w:r>
            <w:r w:rsidR="00C24116" w:rsidRPr="008B4A2A">
              <w:rPr>
                <w:sz w:val="18"/>
                <w:lang w:val="en-GB"/>
              </w:rPr>
              <w:t xml:space="preserve"> &lt;0.001</w:t>
            </w:r>
          </w:p>
        </w:tc>
        <w:tc>
          <w:tcPr>
            <w:tcW w:w="310" w:type="pct"/>
            <w:tcBorders>
              <w:bottom w:val="single" w:sz="4" w:space="0" w:color="auto"/>
            </w:tcBorders>
            <w:shd w:val="clear" w:color="auto" w:fill="auto"/>
            <w:vAlign w:val="center"/>
          </w:tcPr>
          <w:p w14:paraId="1618675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w:t>
            </w:r>
          </w:p>
        </w:tc>
        <w:tc>
          <w:tcPr>
            <w:tcW w:w="396" w:type="pct"/>
            <w:tcBorders>
              <w:bottom w:val="single" w:sz="4" w:space="0" w:color="auto"/>
            </w:tcBorders>
            <w:shd w:val="clear" w:color="auto" w:fill="auto"/>
            <w:vAlign w:val="center"/>
          </w:tcPr>
          <w:p w14:paraId="41426926"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&lt;0.001</w:t>
            </w:r>
          </w:p>
        </w:tc>
        <w:tc>
          <w:tcPr>
            <w:tcW w:w="596" w:type="pct"/>
            <w:tcBorders>
              <w:bottom w:val="single" w:sz="4" w:space="0" w:color="auto"/>
            </w:tcBorders>
            <w:shd w:val="clear" w:color="auto" w:fill="auto"/>
            <w:vAlign w:val="center"/>
          </w:tcPr>
          <w:p w14:paraId="2BC8B52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&lt;0.001- &lt;0.001</w:t>
            </w:r>
          </w:p>
        </w:tc>
        <w:tc>
          <w:tcPr>
            <w:tcW w:w="310" w:type="pct"/>
            <w:tcBorders>
              <w:bottom w:val="single" w:sz="4" w:space="0" w:color="auto"/>
            </w:tcBorders>
            <w:shd w:val="clear" w:color="auto" w:fill="auto"/>
            <w:vAlign w:val="center"/>
          </w:tcPr>
          <w:p w14:paraId="4DD9F3D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w:t>
            </w:r>
          </w:p>
        </w:tc>
        <w:tc>
          <w:tcPr>
            <w:tcW w:w="396" w:type="pct"/>
            <w:tcBorders>
              <w:bottom w:val="single" w:sz="4" w:space="0" w:color="auto"/>
            </w:tcBorders>
            <w:shd w:val="clear" w:color="auto" w:fill="auto"/>
            <w:vAlign w:val="center"/>
          </w:tcPr>
          <w:p w14:paraId="3D6CE0D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&lt;0.001</w:t>
            </w:r>
          </w:p>
        </w:tc>
        <w:tc>
          <w:tcPr>
            <w:tcW w:w="596" w:type="pct"/>
            <w:tcBorders>
              <w:bottom w:val="single" w:sz="4" w:space="0" w:color="auto"/>
            </w:tcBorders>
            <w:shd w:val="clear" w:color="auto" w:fill="auto"/>
            <w:vAlign w:val="center"/>
          </w:tcPr>
          <w:p w14:paraId="14FB62F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&lt;0.001- &lt;0.001</w:t>
            </w:r>
          </w:p>
        </w:tc>
        <w:tc>
          <w:tcPr>
            <w:tcW w:w="313" w:type="pct"/>
            <w:tcBorders>
              <w:bottom w:val="single" w:sz="4" w:space="0" w:color="auto"/>
            </w:tcBorders>
            <w:shd w:val="clear" w:color="auto" w:fill="auto"/>
            <w:vAlign w:val="center"/>
          </w:tcPr>
          <w:p w14:paraId="0B11628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w:t>
            </w:r>
          </w:p>
        </w:tc>
      </w:tr>
      <w:tr w:rsidR="00C24116" w:rsidRPr="008B4A2A" w14:paraId="44564F10" w14:textId="77777777" w:rsidTr="00221631">
        <w:trPr>
          <w:jc w:val="center"/>
        </w:trPr>
        <w:tc>
          <w:tcPr>
            <w:tcW w:w="1090" w:type="pct"/>
            <w:tcBorders>
              <w:top w:val="single" w:sz="4" w:space="0" w:color="auto"/>
              <w:bottom w:val="single" w:sz="4" w:space="0" w:color="auto"/>
            </w:tcBorders>
            <w:shd w:val="clear" w:color="auto" w:fill="auto"/>
            <w:vAlign w:val="center"/>
            <w:hideMark/>
          </w:tcPr>
          <w:p w14:paraId="1C8861A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Migraine</w:t>
            </w:r>
          </w:p>
        </w:tc>
        <w:tc>
          <w:tcPr>
            <w:tcW w:w="395" w:type="pct"/>
            <w:tcBorders>
              <w:top w:val="single" w:sz="4" w:space="0" w:color="auto"/>
              <w:bottom w:val="single" w:sz="4" w:space="0" w:color="auto"/>
            </w:tcBorders>
            <w:shd w:val="clear" w:color="auto" w:fill="auto"/>
            <w:vAlign w:val="center"/>
          </w:tcPr>
          <w:p w14:paraId="37161D5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1.081</w:t>
            </w:r>
          </w:p>
        </w:tc>
        <w:tc>
          <w:tcPr>
            <w:tcW w:w="598" w:type="pct"/>
            <w:tcBorders>
              <w:top w:val="single" w:sz="4" w:space="0" w:color="auto"/>
              <w:bottom w:val="single" w:sz="4" w:space="0" w:color="auto"/>
            </w:tcBorders>
            <w:shd w:val="clear" w:color="auto" w:fill="auto"/>
            <w:vAlign w:val="center"/>
          </w:tcPr>
          <w:p w14:paraId="666FF01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0.579-2.018</w:t>
            </w:r>
          </w:p>
        </w:tc>
        <w:tc>
          <w:tcPr>
            <w:tcW w:w="310" w:type="pct"/>
            <w:tcBorders>
              <w:top w:val="single" w:sz="4" w:space="0" w:color="auto"/>
              <w:bottom w:val="single" w:sz="4" w:space="0" w:color="auto"/>
            </w:tcBorders>
            <w:shd w:val="clear" w:color="auto" w:fill="auto"/>
            <w:vAlign w:val="center"/>
          </w:tcPr>
          <w:p w14:paraId="6F5979C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0.806</w:t>
            </w:r>
          </w:p>
        </w:tc>
        <w:tc>
          <w:tcPr>
            <w:tcW w:w="396" w:type="pct"/>
            <w:tcBorders>
              <w:top w:val="single" w:sz="4" w:space="0" w:color="auto"/>
              <w:bottom w:val="single" w:sz="4" w:space="0" w:color="auto"/>
            </w:tcBorders>
            <w:shd w:val="clear" w:color="auto" w:fill="auto"/>
            <w:vAlign w:val="center"/>
          </w:tcPr>
          <w:p w14:paraId="56A139E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0.952</w:t>
            </w:r>
          </w:p>
        </w:tc>
        <w:tc>
          <w:tcPr>
            <w:tcW w:w="596" w:type="pct"/>
            <w:tcBorders>
              <w:top w:val="single" w:sz="4" w:space="0" w:color="auto"/>
              <w:bottom w:val="single" w:sz="4" w:space="0" w:color="auto"/>
            </w:tcBorders>
            <w:shd w:val="clear" w:color="auto" w:fill="auto"/>
            <w:vAlign w:val="center"/>
          </w:tcPr>
          <w:p w14:paraId="0236595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0.468-1.867</w:t>
            </w:r>
          </w:p>
        </w:tc>
        <w:tc>
          <w:tcPr>
            <w:tcW w:w="310" w:type="pct"/>
            <w:tcBorders>
              <w:top w:val="single" w:sz="4" w:space="0" w:color="auto"/>
              <w:bottom w:val="single" w:sz="4" w:space="0" w:color="auto"/>
            </w:tcBorders>
            <w:shd w:val="clear" w:color="auto" w:fill="auto"/>
            <w:vAlign w:val="center"/>
          </w:tcPr>
          <w:p w14:paraId="7A0D0D1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0.887</w:t>
            </w:r>
          </w:p>
        </w:tc>
        <w:tc>
          <w:tcPr>
            <w:tcW w:w="396" w:type="pct"/>
            <w:tcBorders>
              <w:top w:val="single" w:sz="4" w:space="0" w:color="auto"/>
              <w:bottom w:val="single" w:sz="4" w:space="0" w:color="auto"/>
            </w:tcBorders>
            <w:shd w:val="clear" w:color="auto" w:fill="auto"/>
            <w:vAlign w:val="center"/>
          </w:tcPr>
          <w:p w14:paraId="61BCA3B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0.872</w:t>
            </w:r>
          </w:p>
        </w:tc>
        <w:tc>
          <w:tcPr>
            <w:tcW w:w="596" w:type="pct"/>
            <w:tcBorders>
              <w:top w:val="single" w:sz="4" w:space="0" w:color="auto"/>
              <w:bottom w:val="single" w:sz="4" w:space="0" w:color="auto"/>
            </w:tcBorders>
            <w:shd w:val="clear" w:color="auto" w:fill="auto"/>
            <w:vAlign w:val="center"/>
          </w:tcPr>
          <w:p w14:paraId="1CE2A63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0.439-1.734</w:t>
            </w:r>
          </w:p>
        </w:tc>
        <w:tc>
          <w:tcPr>
            <w:tcW w:w="313" w:type="pct"/>
            <w:tcBorders>
              <w:top w:val="single" w:sz="4" w:space="0" w:color="auto"/>
              <w:bottom w:val="single" w:sz="4" w:space="0" w:color="auto"/>
            </w:tcBorders>
            <w:shd w:val="clear" w:color="auto" w:fill="auto"/>
            <w:vAlign w:val="center"/>
          </w:tcPr>
          <w:p w14:paraId="3E0E441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0.872</w:t>
            </w:r>
          </w:p>
        </w:tc>
      </w:tr>
      <w:tr w:rsidR="00C24116" w:rsidRPr="008B4A2A" w14:paraId="65CE464B" w14:textId="77777777" w:rsidTr="00221631">
        <w:trPr>
          <w:jc w:val="center"/>
        </w:trPr>
        <w:tc>
          <w:tcPr>
            <w:tcW w:w="1090" w:type="pct"/>
            <w:tcBorders>
              <w:top w:val="single" w:sz="4" w:space="0" w:color="auto"/>
              <w:bottom w:val="single" w:sz="4" w:space="0" w:color="auto"/>
            </w:tcBorders>
            <w:shd w:val="clear" w:color="auto" w:fill="auto"/>
            <w:vAlign w:val="center"/>
            <w:hideMark/>
          </w:tcPr>
          <w:p w14:paraId="3E24019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Malignant tumors</w:t>
            </w:r>
          </w:p>
        </w:tc>
        <w:tc>
          <w:tcPr>
            <w:tcW w:w="395" w:type="pct"/>
            <w:tcBorders>
              <w:top w:val="single" w:sz="4" w:space="0" w:color="auto"/>
              <w:bottom w:val="single" w:sz="4" w:space="0" w:color="auto"/>
            </w:tcBorders>
            <w:shd w:val="clear" w:color="auto" w:fill="auto"/>
            <w:vAlign w:val="center"/>
          </w:tcPr>
          <w:p w14:paraId="065CC89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1.339</w:t>
            </w:r>
          </w:p>
        </w:tc>
        <w:tc>
          <w:tcPr>
            <w:tcW w:w="598" w:type="pct"/>
            <w:tcBorders>
              <w:top w:val="single" w:sz="4" w:space="0" w:color="auto"/>
              <w:bottom w:val="single" w:sz="4" w:space="0" w:color="auto"/>
            </w:tcBorders>
            <w:shd w:val="clear" w:color="auto" w:fill="auto"/>
            <w:vAlign w:val="center"/>
          </w:tcPr>
          <w:p w14:paraId="3088AD3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0.512-3.501</w:t>
            </w:r>
          </w:p>
        </w:tc>
        <w:tc>
          <w:tcPr>
            <w:tcW w:w="310" w:type="pct"/>
            <w:tcBorders>
              <w:top w:val="single" w:sz="4" w:space="0" w:color="auto"/>
              <w:bottom w:val="single" w:sz="4" w:space="0" w:color="auto"/>
            </w:tcBorders>
            <w:shd w:val="clear" w:color="auto" w:fill="auto"/>
            <w:vAlign w:val="center"/>
          </w:tcPr>
          <w:p w14:paraId="066AC93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0.551</w:t>
            </w:r>
          </w:p>
        </w:tc>
        <w:tc>
          <w:tcPr>
            <w:tcW w:w="396" w:type="pct"/>
            <w:tcBorders>
              <w:top w:val="single" w:sz="4" w:space="0" w:color="auto"/>
              <w:bottom w:val="single" w:sz="4" w:space="0" w:color="auto"/>
            </w:tcBorders>
            <w:shd w:val="clear" w:color="auto" w:fill="auto"/>
            <w:vAlign w:val="center"/>
          </w:tcPr>
          <w:p w14:paraId="49B6047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0.883</w:t>
            </w:r>
          </w:p>
        </w:tc>
        <w:tc>
          <w:tcPr>
            <w:tcW w:w="596" w:type="pct"/>
            <w:tcBorders>
              <w:top w:val="single" w:sz="4" w:space="0" w:color="auto"/>
              <w:bottom w:val="single" w:sz="4" w:space="0" w:color="auto"/>
            </w:tcBorders>
            <w:shd w:val="clear" w:color="auto" w:fill="auto"/>
            <w:vAlign w:val="center"/>
          </w:tcPr>
          <w:p w14:paraId="66D63FF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0.295-2.642</w:t>
            </w:r>
          </w:p>
        </w:tc>
        <w:tc>
          <w:tcPr>
            <w:tcW w:w="310" w:type="pct"/>
            <w:tcBorders>
              <w:top w:val="single" w:sz="4" w:space="0" w:color="auto"/>
              <w:bottom w:val="single" w:sz="4" w:space="0" w:color="auto"/>
            </w:tcBorders>
            <w:shd w:val="clear" w:color="auto" w:fill="auto"/>
            <w:vAlign w:val="center"/>
          </w:tcPr>
          <w:p w14:paraId="4461C94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0.824</w:t>
            </w:r>
          </w:p>
        </w:tc>
        <w:tc>
          <w:tcPr>
            <w:tcW w:w="396" w:type="pct"/>
            <w:tcBorders>
              <w:top w:val="single" w:sz="4" w:space="0" w:color="auto"/>
              <w:bottom w:val="single" w:sz="4" w:space="0" w:color="auto"/>
            </w:tcBorders>
            <w:shd w:val="clear" w:color="auto" w:fill="auto"/>
            <w:vAlign w:val="center"/>
          </w:tcPr>
          <w:p w14:paraId="767409C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0.861</w:t>
            </w:r>
          </w:p>
        </w:tc>
        <w:tc>
          <w:tcPr>
            <w:tcW w:w="596" w:type="pct"/>
            <w:tcBorders>
              <w:top w:val="single" w:sz="4" w:space="0" w:color="auto"/>
              <w:bottom w:val="single" w:sz="4" w:space="0" w:color="auto"/>
            </w:tcBorders>
            <w:shd w:val="clear" w:color="auto" w:fill="auto"/>
            <w:vAlign w:val="center"/>
          </w:tcPr>
          <w:p w14:paraId="5CA8E93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0.288-2.572</w:t>
            </w:r>
          </w:p>
        </w:tc>
        <w:tc>
          <w:tcPr>
            <w:tcW w:w="313" w:type="pct"/>
            <w:tcBorders>
              <w:top w:val="single" w:sz="4" w:space="0" w:color="auto"/>
              <w:bottom w:val="single" w:sz="4" w:space="0" w:color="auto"/>
            </w:tcBorders>
            <w:shd w:val="clear" w:color="auto" w:fill="auto"/>
            <w:vAlign w:val="center"/>
          </w:tcPr>
          <w:p w14:paraId="5707EAF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0.789</w:t>
            </w:r>
          </w:p>
        </w:tc>
      </w:tr>
      <w:tr w:rsidR="00C24116" w:rsidRPr="008B4A2A" w14:paraId="2B1B7ED2" w14:textId="77777777" w:rsidTr="00221631">
        <w:trPr>
          <w:jc w:val="center"/>
        </w:trPr>
        <w:tc>
          <w:tcPr>
            <w:tcW w:w="1090" w:type="pct"/>
            <w:tcBorders>
              <w:top w:val="single" w:sz="4" w:space="0" w:color="auto"/>
            </w:tcBorders>
            <w:shd w:val="clear" w:color="auto" w:fill="auto"/>
            <w:vAlign w:val="center"/>
            <w:hideMark/>
          </w:tcPr>
          <w:p w14:paraId="356BA46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Thyroid problems</w:t>
            </w:r>
          </w:p>
        </w:tc>
        <w:tc>
          <w:tcPr>
            <w:tcW w:w="395" w:type="pct"/>
            <w:tcBorders>
              <w:top w:val="single" w:sz="4" w:space="0" w:color="auto"/>
            </w:tcBorders>
            <w:shd w:val="clear" w:color="auto" w:fill="auto"/>
            <w:vAlign w:val="center"/>
          </w:tcPr>
          <w:p w14:paraId="7D8EF89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0.799</w:t>
            </w:r>
          </w:p>
        </w:tc>
        <w:tc>
          <w:tcPr>
            <w:tcW w:w="598" w:type="pct"/>
            <w:tcBorders>
              <w:top w:val="single" w:sz="4" w:space="0" w:color="auto"/>
            </w:tcBorders>
            <w:shd w:val="clear" w:color="auto" w:fill="auto"/>
            <w:vAlign w:val="center"/>
          </w:tcPr>
          <w:p w14:paraId="70E42F71"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0.266-2.399</w:t>
            </w:r>
          </w:p>
        </w:tc>
        <w:tc>
          <w:tcPr>
            <w:tcW w:w="310" w:type="pct"/>
            <w:tcBorders>
              <w:top w:val="single" w:sz="4" w:space="0" w:color="auto"/>
            </w:tcBorders>
            <w:shd w:val="clear" w:color="auto" w:fill="auto"/>
            <w:vAlign w:val="center"/>
          </w:tcPr>
          <w:p w14:paraId="7CFCF9D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0.689</w:t>
            </w:r>
          </w:p>
        </w:tc>
        <w:tc>
          <w:tcPr>
            <w:tcW w:w="396" w:type="pct"/>
            <w:tcBorders>
              <w:top w:val="single" w:sz="4" w:space="0" w:color="auto"/>
            </w:tcBorders>
            <w:shd w:val="clear" w:color="auto" w:fill="auto"/>
            <w:vAlign w:val="center"/>
          </w:tcPr>
          <w:p w14:paraId="100A57D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1.003</w:t>
            </w:r>
          </w:p>
        </w:tc>
        <w:tc>
          <w:tcPr>
            <w:tcW w:w="596" w:type="pct"/>
            <w:tcBorders>
              <w:top w:val="single" w:sz="4" w:space="0" w:color="auto"/>
            </w:tcBorders>
            <w:shd w:val="clear" w:color="auto" w:fill="auto"/>
            <w:vAlign w:val="center"/>
          </w:tcPr>
          <w:p w14:paraId="77D8DB1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0.320-3.143</w:t>
            </w:r>
          </w:p>
        </w:tc>
        <w:tc>
          <w:tcPr>
            <w:tcW w:w="310" w:type="pct"/>
            <w:tcBorders>
              <w:top w:val="single" w:sz="4" w:space="0" w:color="auto"/>
            </w:tcBorders>
            <w:shd w:val="clear" w:color="auto" w:fill="auto"/>
            <w:vAlign w:val="center"/>
          </w:tcPr>
          <w:p w14:paraId="555A41EC"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0.996</w:t>
            </w:r>
          </w:p>
        </w:tc>
        <w:tc>
          <w:tcPr>
            <w:tcW w:w="396" w:type="pct"/>
            <w:tcBorders>
              <w:top w:val="single" w:sz="4" w:space="0" w:color="auto"/>
            </w:tcBorders>
            <w:shd w:val="clear" w:color="auto" w:fill="auto"/>
            <w:vAlign w:val="center"/>
          </w:tcPr>
          <w:p w14:paraId="029FCDA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0.981</w:t>
            </w:r>
          </w:p>
        </w:tc>
        <w:tc>
          <w:tcPr>
            <w:tcW w:w="596" w:type="pct"/>
            <w:tcBorders>
              <w:top w:val="single" w:sz="4" w:space="0" w:color="auto"/>
            </w:tcBorders>
            <w:shd w:val="clear" w:color="auto" w:fill="auto"/>
            <w:vAlign w:val="center"/>
          </w:tcPr>
          <w:p w14:paraId="47A268F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0.314-3.069</w:t>
            </w:r>
          </w:p>
        </w:tc>
        <w:tc>
          <w:tcPr>
            <w:tcW w:w="313" w:type="pct"/>
            <w:tcBorders>
              <w:top w:val="single" w:sz="4" w:space="0" w:color="auto"/>
            </w:tcBorders>
            <w:shd w:val="clear" w:color="auto" w:fill="auto"/>
            <w:vAlign w:val="center"/>
          </w:tcPr>
          <w:p w14:paraId="3CA1ED5B"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0.981</w:t>
            </w:r>
          </w:p>
        </w:tc>
      </w:tr>
      <w:tr w:rsidR="00C24116" w:rsidRPr="008B4A2A" w14:paraId="3098199E" w14:textId="77777777" w:rsidTr="00221631">
        <w:trPr>
          <w:jc w:val="center"/>
        </w:trPr>
        <w:tc>
          <w:tcPr>
            <w:tcW w:w="1090" w:type="pct"/>
            <w:shd w:val="clear" w:color="auto" w:fill="auto"/>
            <w:vAlign w:val="center"/>
          </w:tcPr>
          <w:p w14:paraId="58DD120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Diabetes</w:t>
            </w:r>
          </w:p>
        </w:tc>
        <w:tc>
          <w:tcPr>
            <w:tcW w:w="395" w:type="pct"/>
            <w:shd w:val="clear" w:color="auto" w:fill="auto"/>
            <w:vAlign w:val="center"/>
          </w:tcPr>
          <w:p w14:paraId="340AA62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1.042</w:t>
            </w:r>
          </w:p>
        </w:tc>
        <w:tc>
          <w:tcPr>
            <w:tcW w:w="598" w:type="pct"/>
            <w:shd w:val="clear" w:color="auto" w:fill="auto"/>
            <w:vAlign w:val="center"/>
          </w:tcPr>
          <w:p w14:paraId="17945AA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0.465-2.335</w:t>
            </w:r>
          </w:p>
        </w:tc>
        <w:tc>
          <w:tcPr>
            <w:tcW w:w="310" w:type="pct"/>
            <w:shd w:val="clear" w:color="auto" w:fill="auto"/>
            <w:vAlign w:val="center"/>
          </w:tcPr>
          <w:p w14:paraId="31661BD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0.920</w:t>
            </w:r>
          </w:p>
        </w:tc>
        <w:tc>
          <w:tcPr>
            <w:tcW w:w="396" w:type="pct"/>
            <w:shd w:val="clear" w:color="auto" w:fill="auto"/>
            <w:vAlign w:val="center"/>
          </w:tcPr>
          <w:p w14:paraId="354623C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0.712</w:t>
            </w:r>
          </w:p>
        </w:tc>
        <w:tc>
          <w:tcPr>
            <w:tcW w:w="596" w:type="pct"/>
            <w:shd w:val="clear" w:color="auto" w:fill="auto"/>
            <w:vAlign w:val="center"/>
          </w:tcPr>
          <w:p w14:paraId="5ED65C2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0.279-1.813</w:t>
            </w:r>
          </w:p>
        </w:tc>
        <w:tc>
          <w:tcPr>
            <w:tcW w:w="310" w:type="pct"/>
            <w:shd w:val="clear" w:color="auto" w:fill="auto"/>
            <w:vAlign w:val="center"/>
          </w:tcPr>
          <w:p w14:paraId="609966F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0.476</w:t>
            </w:r>
          </w:p>
        </w:tc>
        <w:tc>
          <w:tcPr>
            <w:tcW w:w="396" w:type="pct"/>
            <w:shd w:val="clear" w:color="auto" w:fill="auto"/>
            <w:vAlign w:val="center"/>
          </w:tcPr>
          <w:p w14:paraId="780FA05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0.711</w:t>
            </w:r>
          </w:p>
        </w:tc>
        <w:tc>
          <w:tcPr>
            <w:tcW w:w="596" w:type="pct"/>
            <w:shd w:val="clear" w:color="auto" w:fill="auto"/>
            <w:vAlign w:val="center"/>
          </w:tcPr>
          <w:p w14:paraId="0A87138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0.278-1.814</w:t>
            </w:r>
          </w:p>
        </w:tc>
        <w:tc>
          <w:tcPr>
            <w:tcW w:w="313" w:type="pct"/>
            <w:shd w:val="clear" w:color="auto" w:fill="auto"/>
            <w:vAlign w:val="center"/>
          </w:tcPr>
          <w:p w14:paraId="7B06026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0.475</w:t>
            </w:r>
          </w:p>
        </w:tc>
      </w:tr>
      <w:tr w:rsidR="00C24116" w:rsidRPr="008B4A2A" w14:paraId="17063E7B" w14:textId="77777777" w:rsidTr="00221631">
        <w:trPr>
          <w:jc w:val="center"/>
        </w:trPr>
        <w:tc>
          <w:tcPr>
            <w:tcW w:w="1090" w:type="pct"/>
            <w:tcBorders>
              <w:bottom w:val="single" w:sz="4" w:space="0" w:color="auto"/>
            </w:tcBorders>
            <w:shd w:val="clear" w:color="auto" w:fill="auto"/>
            <w:vAlign w:val="center"/>
          </w:tcPr>
          <w:p w14:paraId="561B8C5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High cholesterol</w:t>
            </w:r>
          </w:p>
        </w:tc>
        <w:tc>
          <w:tcPr>
            <w:tcW w:w="395" w:type="pct"/>
            <w:tcBorders>
              <w:bottom w:val="single" w:sz="4" w:space="0" w:color="auto"/>
            </w:tcBorders>
            <w:shd w:val="clear" w:color="auto" w:fill="auto"/>
            <w:vAlign w:val="center"/>
          </w:tcPr>
          <w:p w14:paraId="79E43D3F"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1.081</w:t>
            </w:r>
          </w:p>
        </w:tc>
        <w:tc>
          <w:tcPr>
            <w:tcW w:w="598" w:type="pct"/>
            <w:tcBorders>
              <w:bottom w:val="single" w:sz="4" w:space="0" w:color="auto"/>
            </w:tcBorders>
            <w:shd w:val="clear" w:color="auto" w:fill="auto"/>
            <w:vAlign w:val="center"/>
          </w:tcPr>
          <w:p w14:paraId="440E90F3"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0.579-2.018</w:t>
            </w:r>
          </w:p>
        </w:tc>
        <w:tc>
          <w:tcPr>
            <w:tcW w:w="310" w:type="pct"/>
            <w:tcBorders>
              <w:bottom w:val="single" w:sz="4" w:space="0" w:color="auto"/>
            </w:tcBorders>
            <w:shd w:val="clear" w:color="auto" w:fill="auto"/>
            <w:vAlign w:val="center"/>
          </w:tcPr>
          <w:p w14:paraId="7DDB85E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0.806</w:t>
            </w:r>
          </w:p>
        </w:tc>
        <w:tc>
          <w:tcPr>
            <w:tcW w:w="396" w:type="pct"/>
            <w:tcBorders>
              <w:bottom w:val="single" w:sz="4" w:space="0" w:color="auto"/>
            </w:tcBorders>
            <w:shd w:val="clear" w:color="auto" w:fill="auto"/>
            <w:vAlign w:val="center"/>
          </w:tcPr>
          <w:p w14:paraId="69ABED2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0.946</w:t>
            </w:r>
          </w:p>
        </w:tc>
        <w:tc>
          <w:tcPr>
            <w:tcW w:w="596" w:type="pct"/>
            <w:tcBorders>
              <w:bottom w:val="single" w:sz="4" w:space="0" w:color="auto"/>
            </w:tcBorders>
            <w:shd w:val="clear" w:color="auto" w:fill="auto"/>
            <w:vAlign w:val="center"/>
          </w:tcPr>
          <w:p w14:paraId="03B5673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0.464-1.930</w:t>
            </w:r>
          </w:p>
        </w:tc>
        <w:tc>
          <w:tcPr>
            <w:tcW w:w="310" w:type="pct"/>
            <w:tcBorders>
              <w:bottom w:val="single" w:sz="4" w:space="0" w:color="auto"/>
            </w:tcBorders>
            <w:shd w:val="clear" w:color="auto" w:fill="auto"/>
            <w:vAlign w:val="center"/>
          </w:tcPr>
          <w:p w14:paraId="614509A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0.878</w:t>
            </w:r>
          </w:p>
        </w:tc>
        <w:tc>
          <w:tcPr>
            <w:tcW w:w="396" w:type="pct"/>
            <w:tcBorders>
              <w:bottom w:val="single" w:sz="4" w:space="0" w:color="auto"/>
            </w:tcBorders>
            <w:shd w:val="clear" w:color="auto" w:fill="auto"/>
            <w:vAlign w:val="center"/>
          </w:tcPr>
          <w:p w14:paraId="30907515"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0.946</w:t>
            </w:r>
          </w:p>
        </w:tc>
        <w:tc>
          <w:tcPr>
            <w:tcW w:w="596" w:type="pct"/>
            <w:tcBorders>
              <w:bottom w:val="single" w:sz="4" w:space="0" w:color="auto"/>
            </w:tcBorders>
            <w:shd w:val="clear" w:color="auto" w:fill="auto"/>
            <w:vAlign w:val="center"/>
          </w:tcPr>
          <w:p w14:paraId="30E8748E"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0.462-1.936</w:t>
            </w:r>
          </w:p>
        </w:tc>
        <w:tc>
          <w:tcPr>
            <w:tcW w:w="313" w:type="pct"/>
            <w:tcBorders>
              <w:bottom w:val="single" w:sz="4" w:space="0" w:color="auto"/>
            </w:tcBorders>
            <w:shd w:val="clear" w:color="auto" w:fill="auto"/>
            <w:vAlign w:val="center"/>
          </w:tcPr>
          <w:p w14:paraId="60CC41D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0.879</w:t>
            </w:r>
          </w:p>
        </w:tc>
      </w:tr>
      <w:tr w:rsidR="00C24116" w:rsidRPr="008B4A2A" w14:paraId="6A38A333" w14:textId="77777777" w:rsidTr="00221631">
        <w:trPr>
          <w:jc w:val="center"/>
        </w:trPr>
        <w:tc>
          <w:tcPr>
            <w:tcW w:w="1090" w:type="pct"/>
            <w:tcBorders>
              <w:top w:val="single" w:sz="4" w:space="0" w:color="auto"/>
              <w:bottom w:val="single" w:sz="4" w:space="0" w:color="auto"/>
            </w:tcBorders>
            <w:shd w:val="clear" w:color="auto" w:fill="auto"/>
            <w:vAlign w:val="center"/>
            <w:hideMark/>
          </w:tcPr>
          <w:p w14:paraId="6597ADB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Permanent injuries (accident)</w:t>
            </w:r>
          </w:p>
        </w:tc>
        <w:tc>
          <w:tcPr>
            <w:tcW w:w="395" w:type="pct"/>
            <w:tcBorders>
              <w:top w:val="single" w:sz="4" w:space="0" w:color="auto"/>
              <w:bottom w:val="single" w:sz="4" w:space="0" w:color="auto"/>
            </w:tcBorders>
            <w:shd w:val="clear" w:color="auto" w:fill="auto"/>
            <w:vAlign w:val="center"/>
          </w:tcPr>
          <w:p w14:paraId="06EFB500"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1.199</w:t>
            </w:r>
          </w:p>
        </w:tc>
        <w:tc>
          <w:tcPr>
            <w:tcW w:w="598" w:type="pct"/>
            <w:tcBorders>
              <w:top w:val="single" w:sz="4" w:space="0" w:color="auto"/>
              <w:bottom w:val="single" w:sz="4" w:space="0" w:color="auto"/>
            </w:tcBorders>
            <w:shd w:val="clear" w:color="auto" w:fill="auto"/>
            <w:vAlign w:val="center"/>
          </w:tcPr>
          <w:p w14:paraId="34FF75FA"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0.556-2.584</w:t>
            </w:r>
          </w:p>
        </w:tc>
        <w:tc>
          <w:tcPr>
            <w:tcW w:w="310" w:type="pct"/>
            <w:tcBorders>
              <w:top w:val="single" w:sz="4" w:space="0" w:color="auto"/>
              <w:bottom w:val="single" w:sz="4" w:space="0" w:color="auto"/>
            </w:tcBorders>
            <w:shd w:val="clear" w:color="auto" w:fill="auto"/>
            <w:vAlign w:val="center"/>
          </w:tcPr>
          <w:p w14:paraId="475DBB68"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0.643</w:t>
            </w:r>
          </w:p>
        </w:tc>
        <w:tc>
          <w:tcPr>
            <w:tcW w:w="396" w:type="pct"/>
            <w:tcBorders>
              <w:top w:val="single" w:sz="4" w:space="0" w:color="auto"/>
              <w:bottom w:val="single" w:sz="4" w:space="0" w:color="auto"/>
            </w:tcBorders>
            <w:shd w:val="clear" w:color="auto" w:fill="auto"/>
            <w:vAlign w:val="center"/>
          </w:tcPr>
          <w:p w14:paraId="71EB587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1.026</w:t>
            </w:r>
          </w:p>
        </w:tc>
        <w:tc>
          <w:tcPr>
            <w:tcW w:w="596" w:type="pct"/>
            <w:tcBorders>
              <w:top w:val="single" w:sz="4" w:space="0" w:color="auto"/>
              <w:bottom w:val="single" w:sz="4" w:space="0" w:color="auto"/>
            </w:tcBorders>
            <w:shd w:val="clear" w:color="auto" w:fill="auto"/>
            <w:vAlign w:val="center"/>
          </w:tcPr>
          <w:p w14:paraId="6CAE1609"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0.455-2.315</w:t>
            </w:r>
          </w:p>
        </w:tc>
        <w:tc>
          <w:tcPr>
            <w:tcW w:w="310" w:type="pct"/>
            <w:tcBorders>
              <w:top w:val="single" w:sz="4" w:space="0" w:color="auto"/>
              <w:bottom w:val="single" w:sz="4" w:space="0" w:color="auto"/>
            </w:tcBorders>
            <w:shd w:val="clear" w:color="auto" w:fill="auto"/>
            <w:vAlign w:val="center"/>
          </w:tcPr>
          <w:p w14:paraId="6D904FAD"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0.950</w:t>
            </w:r>
          </w:p>
        </w:tc>
        <w:tc>
          <w:tcPr>
            <w:tcW w:w="396" w:type="pct"/>
            <w:tcBorders>
              <w:top w:val="single" w:sz="4" w:space="0" w:color="auto"/>
              <w:bottom w:val="single" w:sz="4" w:space="0" w:color="auto"/>
            </w:tcBorders>
            <w:shd w:val="clear" w:color="auto" w:fill="auto"/>
            <w:vAlign w:val="center"/>
          </w:tcPr>
          <w:p w14:paraId="544D9C27"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1.033</w:t>
            </w:r>
          </w:p>
        </w:tc>
        <w:tc>
          <w:tcPr>
            <w:tcW w:w="596" w:type="pct"/>
            <w:tcBorders>
              <w:top w:val="single" w:sz="4" w:space="0" w:color="auto"/>
              <w:bottom w:val="single" w:sz="4" w:space="0" w:color="auto"/>
            </w:tcBorders>
            <w:shd w:val="clear" w:color="auto" w:fill="auto"/>
            <w:vAlign w:val="center"/>
          </w:tcPr>
          <w:p w14:paraId="406C6B32"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0.452-2.364</w:t>
            </w:r>
          </w:p>
        </w:tc>
        <w:tc>
          <w:tcPr>
            <w:tcW w:w="313" w:type="pct"/>
            <w:tcBorders>
              <w:top w:val="single" w:sz="4" w:space="0" w:color="auto"/>
              <w:bottom w:val="single" w:sz="4" w:space="0" w:color="auto"/>
            </w:tcBorders>
            <w:shd w:val="clear" w:color="auto" w:fill="auto"/>
            <w:vAlign w:val="center"/>
          </w:tcPr>
          <w:p w14:paraId="1A592DA4" w14:textId="77777777" w:rsidR="00C24116" w:rsidRPr="008B4A2A" w:rsidRDefault="00C24116" w:rsidP="00221631">
            <w:pPr>
              <w:autoSpaceDE w:val="0"/>
              <w:autoSpaceDN w:val="0"/>
              <w:adjustRightInd w:val="0"/>
              <w:snapToGrid w:val="0"/>
              <w:spacing w:line="240" w:lineRule="auto"/>
              <w:jc w:val="center"/>
              <w:rPr>
                <w:sz w:val="18"/>
                <w:lang w:val="en-GB"/>
              </w:rPr>
            </w:pPr>
            <w:r w:rsidRPr="008B4A2A">
              <w:rPr>
                <w:sz w:val="18"/>
                <w:lang w:val="en-GB"/>
              </w:rPr>
              <w:t>0.938</w:t>
            </w:r>
          </w:p>
        </w:tc>
      </w:tr>
    </w:tbl>
    <w:p w14:paraId="44627464" w14:textId="77777777" w:rsidR="00C24116" w:rsidRPr="008B4A2A" w:rsidRDefault="00C24116" w:rsidP="00C24116">
      <w:pPr>
        <w:pStyle w:val="MDPI43tablefooter"/>
        <w:ind w:left="425" w:right="425"/>
        <w:jc w:val="both"/>
        <w:rPr>
          <w:i/>
          <w:lang w:val="en-GB"/>
        </w:rPr>
      </w:pPr>
      <w:r w:rsidRPr="008B4A2A">
        <w:rPr>
          <w:lang w:val="en-GB"/>
        </w:rPr>
        <w:t xml:space="preserve">HD: heart disease. CBP: chronic back pain. OR: odd ratio. CI: confidence interval. </w:t>
      </w:r>
      <w:r w:rsidRPr="008B4A2A">
        <w:rPr>
          <w:i/>
          <w:lang w:val="en-GB"/>
        </w:rPr>
        <w:t xml:space="preserve">* p &lt; 0.05. </w:t>
      </w:r>
      <w:r w:rsidRPr="008B4A2A">
        <w:rPr>
          <w:lang w:val="en-GB"/>
        </w:rPr>
        <w:t xml:space="preserve">Reference category: no disease. </w:t>
      </w:r>
      <w:r w:rsidRPr="008B4A2A">
        <w:rPr>
          <w:i/>
          <w:lang w:val="en-GB"/>
        </w:rPr>
        <w:t xml:space="preserve"> </w:t>
      </w:r>
      <w:r w:rsidRPr="008B4A2A">
        <w:rPr>
          <w:vertAlign w:val="superscript"/>
          <w:lang w:val="en-GB"/>
        </w:rPr>
        <w:t xml:space="preserve">1 </w:t>
      </w:r>
      <w:r w:rsidRPr="008B4A2A">
        <w:rPr>
          <w:lang w:val="en-GB"/>
        </w:rPr>
        <w:t>Models not adjusted.</w:t>
      </w:r>
      <w:r w:rsidRPr="008B4A2A">
        <w:rPr>
          <w:i/>
          <w:lang w:val="en-GB"/>
        </w:rPr>
        <w:t xml:space="preserve"> </w:t>
      </w:r>
      <w:r w:rsidRPr="008B4A2A">
        <w:rPr>
          <w:vertAlign w:val="superscript"/>
          <w:lang w:val="en-GB"/>
        </w:rPr>
        <w:t>2</w:t>
      </w:r>
      <w:r w:rsidRPr="008B4A2A">
        <w:rPr>
          <w:lang w:val="en-GB"/>
        </w:rPr>
        <w:t xml:space="preserve"> Models adjusted for sex, age, BMI, education level, marital status, smoking and alcohol consumption. </w:t>
      </w:r>
      <w:r w:rsidRPr="008B4A2A">
        <w:rPr>
          <w:vertAlign w:val="superscript"/>
          <w:lang w:val="en-GB"/>
        </w:rPr>
        <w:t xml:space="preserve">3 </w:t>
      </w:r>
      <w:r w:rsidRPr="008B4A2A">
        <w:rPr>
          <w:lang w:val="en-GB"/>
        </w:rPr>
        <w:t>Models adjusted for sex, age, BMI, education level, marital status, smoking, alcohol consumption, medication intake and presence of comorbidities.</w:t>
      </w:r>
    </w:p>
    <w:p w14:paraId="4C5413F0" w14:textId="3FAF268A" w:rsidR="00A86E9F" w:rsidRPr="008B4A2A" w:rsidRDefault="00C24116" w:rsidP="00C24116">
      <w:pPr>
        <w:pStyle w:val="MDPI21heading1"/>
      </w:pPr>
      <w:r w:rsidRPr="008B4A2A">
        <w:t xml:space="preserve">4. </w:t>
      </w:r>
      <w:r w:rsidR="00A86E9F" w:rsidRPr="008B4A2A">
        <w:t>Discussion</w:t>
      </w:r>
    </w:p>
    <w:p w14:paraId="508DAAB0" w14:textId="5938E823" w:rsidR="00A0694C" w:rsidRPr="008B4A2A" w:rsidRDefault="00A0694C" w:rsidP="00C24116">
      <w:pPr>
        <w:pStyle w:val="MDPI31text"/>
      </w:pPr>
      <w:r w:rsidRPr="008B4A2A">
        <w:t xml:space="preserve">To </w:t>
      </w:r>
      <w:r w:rsidR="00E92985" w:rsidRPr="008B4A2A">
        <w:t xml:space="preserve">the </w:t>
      </w:r>
      <w:r w:rsidRPr="008B4A2A">
        <w:t>authors’ knowledge, this is the first study exploring the association between PA levels and the presence of 30 different comorbidities in Spanish people with ACO. The main results showed that chronic allergy is the most prevalent comorbidity and that those who do not engage in at least 600 MET·min/week of PA have higher risk of urinary incontinence and osteoporosis.</w:t>
      </w:r>
    </w:p>
    <w:p w14:paraId="4E9BE2BD" w14:textId="772E6B44" w:rsidR="00E92985" w:rsidRPr="008B4A2A" w:rsidRDefault="00A0694C" w:rsidP="00C24116">
      <w:pPr>
        <w:pStyle w:val="MDPI31text"/>
      </w:pPr>
      <w:r w:rsidRPr="008B4A2A">
        <w:t>This study revealed that the vast majority of Spanish people with ACO have comorbidities, with a 93.9% suffering from at least one comorbidity. This is higher than the prev</w:t>
      </w:r>
      <w:r w:rsidRPr="008B4A2A">
        <w:lastRenderedPageBreak/>
        <w:t xml:space="preserve">alence of comorbidities found in </w:t>
      </w:r>
      <w:r w:rsidR="00E92985" w:rsidRPr="008B4A2A">
        <w:t xml:space="preserve">the </w:t>
      </w:r>
      <w:r w:rsidRPr="008B4A2A">
        <w:t xml:space="preserve">Spanish population with asthma (87.3%) [31] but similar to the prevalence found in those with COPD (94.0%) [30]. Moreover, participants from this study have a mean of 5.3 comorbidities, which is higher than the average found in Spanish asthmatics (3.6) [31] but lower than </w:t>
      </w:r>
      <w:r w:rsidR="00E92985" w:rsidRPr="008B4A2A">
        <w:t>those with COPD</w:t>
      </w:r>
      <w:r w:rsidRPr="008B4A2A">
        <w:t>(6.0) [30].</w:t>
      </w:r>
    </w:p>
    <w:p w14:paraId="793A94D4" w14:textId="4AD606C4" w:rsidR="00A0694C" w:rsidRPr="008B4A2A" w:rsidRDefault="00A0694C" w:rsidP="00C24116">
      <w:pPr>
        <w:pStyle w:val="MDPI31text"/>
      </w:pPr>
      <w:r w:rsidRPr="008B4A2A">
        <w:t xml:space="preserve">Previously, a study among British people with diagnosis of both asthma and COPD found that the most common comorbid conditions were diabetes (50.4%), cardiovascular disease (29.9%), hypertension (26.8%), eczema (18.9%), and rhinitis (18.1%) [17]. </w:t>
      </w:r>
      <w:r w:rsidR="00E92985" w:rsidRPr="008B4A2A">
        <w:t>Moreover</w:t>
      </w:r>
      <w:r w:rsidRPr="008B4A2A">
        <w:t>, van Boven et al. [20] found that hypertension (49%) was the most prevalent comorbidity among ACO patients from the MAJOrca Real-world Investigation in a COPD and Asthma</w:t>
      </w:r>
      <w:r w:rsidR="00E92985" w:rsidRPr="008B4A2A">
        <w:t>tic</w:t>
      </w:r>
      <w:r w:rsidRPr="008B4A2A">
        <w:t xml:space="preserve"> cohort (MAJORICA), followed by anxiety, diabetes, osteoporosis and allergic rhinitis. Hypertension was one of the most prevalent comorbidities in all </w:t>
      </w:r>
      <w:r w:rsidR="00E92985" w:rsidRPr="008B4A2A">
        <w:t xml:space="preserve">mentioned </w:t>
      </w:r>
      <w:r w:rsidRPr="008B4A2A">
        <w:t>studies, while the results in the other comorbidities were different among studies.</w:t>
      </w:r>
      <w:r w:rsidR="00132E5B" w:rsidRPr="008B4A2A">
        <w:t xml:space="preserve"> This slightly differs from the present results where the most prevalent comorbidity was chronic allergy (58.1%), followed by chronic lumbar pain (42.4%), chronic cervical pain (38.4%), hypertension (33.3%) and arthrosis (31.8%). </w:t>
      </w:r>
      <w:r w:rsidRPr="008B4A2A">
        <w:t xml:space="preserve">However, it should be taken into account that allergy was not considered as a single comorbidity in </w:t>
      </w:r>
      <w:r w:rsidR="00E92985" w:rsidRPr="008B4A2A">
        <w:t>previous</w:t>
      </w:r>
      <w:r w:rsidRPr="008B4A2A">
        <w:t xml:space="preserve"> investigations</w:t>
      </w:r>
      <w:r w:rsidR="00E92985" w:rsidRPr="008B4A2A">
        <w:t xml:space="preserve"> </w:t>
      </w:r>
      <w:r w:rsidRPr="008B4A2A">
        <w:t xml:space="preserve">and </w:t>
      </w:r>
      <w:r w:rsidR="00E92985" w:rsidRPr="008B4A2A">
        <w:t xml:space="preserve">these investigations </w:t>
      </w:r>
      <w:r w:rsidRPr="008B4A2A">
        <w:t>did not include other allergy conditions</w:t>
      </w:r>
      <w:r w:rsidR="00E92985" w:rsidRPr="008B4A2A">
        <w:t xml:space="preserve"> relating to food</w:t>
      </w:r>
      <w:r w:rsidRPr="008B4A2A">
        <w:t>, conjunctivitis,</w:t>
      </w:r>
      <w:r w:rsidR="00E92985" w:rsidRPr="008B4A2A">
        <w:t xml:space="preserve"> or</w:t>
      </w:r>
      <w:r w:rsidRPr="008B4A2A">
        <w:t xml:space="preserve"> dermatitis. Moreover, chronic back pain was not analyzed in the British and MAJORICA study.</w:t>
      </w:r>
    </w:p>
    <w:p w14:paraId="0A39ACDC" w14:textId="28806C50" w:rsidR="00034EB1" w:rsidRPr="008B4A2A" w:rsidRDefault="00E92985" w:rsidP="00C24116">
      <w:pPr>
        <w:pStyle w:val="MDPI31text"/>
      </w:pPr>
      <w:r w:rsidRPr="008B4A2A">
        <w:t>When considering age</w:t>
      </w:r>
      <w:r w:rsidR="00034EB1" w:rsidRPr="008B4A2A">
        <w:t>, a previous study revealed</w:t>
      </w:r>
      <w:r w:rsidR="00224E0B" w:rsidRPr="008B4A2A">
        <w:t xml:space="preserve"> a prevalence of ACO of 1.6% in </w:t>
      </w:r>
      <w:r w:rsidRPr="008B4A2A">
        <w:t xml:space="preserve">those </w:t>
      </w:r>
      <w:r w:rsidR="00224E0B" w:rsidRPr="008B4A2A">
        <w:t xml:space="preserve">aged </w:t>
      </w:r>
      <w:r w:rsidRPr="008B4A2A">
        <w:t>between</w:t>
      </w:r>
      <w:r w:rsidR="00224E0B" w:rsidRPr="008B4A2A">
        <w:t xml:space="preserve"> 20 to 44 year</w:t>
      </w:r>
      <w:r w:rsidRPr="008B4A2A">
        <w:t xml:space="preserve">s, 2.1% in those aged between </w:t>
      </w:r>
      <w:r w:rsidR="00224E0B" w:rsidRPr="008B4A2A">
        <w:t>45</w:t>
      </w:r>
      <w:r w:rsidRPr="008B4A2A">
        <w:t xml:space="preserve"> to </w:t>
      </w:r>
      <w:r w:rsidR="00224E0B" w:rsidRPr="008B4A2A">
        <w:t>64 years</w:t>
      </w:r>
      <w:r w:rsidR="002C2D70" w:rsidRPr="008B4A2A">
        <w:t>,</w:t>
      </w:r>
      <w:r w:rsidR="00224E0B" w:rsidRPr="008B4A2A">
        <w:t xml:space="preserve"> and </w:t>
      </w:r>
      <w:r w:rsidRPr="008B4A2A">
        <w:t>4.5%</w:t>
      </w:r>
      <w:r w:rsidR="00034EB1" w:rsidRPr="008B4A2A">
        <w:t xml:space="preserve"> in </w:t>
      </w:r>
      <w:r w:rsidRPr="008B4A2A">
        <w:t xml:space="preserve">the </w:t>
      </w:r>
      <w:r w:rsidR="00034EB1" w:rsidRPr="008B4A2A">
        <w:t>60</w:t>
      </w:r>
      <w:r w:rsidRPr="008B4A2A">
        <w:t xml:space="preserve"> to </w:t>
      </w:r>
      <w:r w:rsidR="00034EB1" w:rsidRPr="008B4A2A">
        <w:t>84 age group</w:t>
      </w:r>
      <w:r w:rsidR="00171E0F" w:rsidRPr="008B4A2A">
        <w:t xml:space="preserve"> [</w:t>
      </w:r>
      <w:r w:rsidR="00961161" w:rsidRPr="008B4A2A">
        <w:t>52</w:t>
      </w:r>
      <w:r w:rsidR="00171E0F" w:rsidRPr="008B4A2A">
        <w:t>]</w:t>
      </w:r>
      <w:r w:rsidR="00034EB1" w:rsidRPr="008B4A2A">
        <w:t>.</w:t>
      </w:r>
      <w:r w:rsidR="002C2D70" w:rsidRPr="008B4A2A">
        <w:t xml:space="preserve"> Similarly, the present study revealed a higher number of ACO participants among those aged 50 and over</w:t>
      </w:r>
      <w:r w:rsidR="000B654D" w:rsidRPr="008B4A2A">
        <w:t xml:space="preserve"> (57.6%)</w:t>
      </w:r>
      <w:r w:rsidR="008B1B4D" w:rsidRPr="008B4A2A">
        <w:t xml:space="preserve"> in comparison to those younger (</w:t>
      </w:r>
      <w:r w:rsidR="00F30A12" w:rsidRPr="008B4A2A">
        <w:t>42.4</w:t>
      </w:r>
      <w:r w:rsidR="008B1B4D" w:rsidRPr="008B4A2A">
        <w:t xml:space="preserve"> %)</w:t>
      </w:r>
    </w:p>
    <w:p w14:paraId="576C87A5" w14:textId="06631CC7" w:rsidR="00A0694C" w:rsidRPr="008B4A2A" w:rsidRDefault="008C252E" w:rsidP="00C24116">
      <w:pPr>
        <w:pStyle w:val="MDPI31text"/>
      </w:pPr>
      <w:r w:rsidRPr="008B4A2A">
        <w:t>In relation to PA, a recent study has determined that Spanish people with ACO engaged in an average of 2038.1 MET·min/week, achieving the recommendations of at least 600 MET·min/week established by the Centers for Disease Control and Prevention [</w:t>
      </w:r>
      <w:r w:rsidR="00787882" w:rsidRPr="008B4A2A">
        <w:t>53</w:t>
      </w:r>
      <w:r w:rsidRPr="008B4A2A">
        <w:t>] and the World Health Organization [</w:t>
      </w:r>
      <w:r w:rsidR="00787882" w:rsidRPr="008B4A2A">
        <w:t>54</w:t>
      </w:r>
      <w:r w:rsidRPr="008B4A2A">
        <w:t xml:space="preserve">]. However, this amount of PA was lower than the </w:t>
      </w:r>
      <w:r w:rsidR="00122283" w:rsidRPr="008B4A2A">
        <w:t>2514 MET·min/week</w:t>
      </w:r>
      <w:r w:rsidRPr="008B4A2A">
        <w:t xml:space="preserve"> found in general population aged 18-65 years from 12 different countries</w:t>
      </w:r>
      <w:r w:rsidR="00787882" w:rsidRPr="008B4A2A">
        <w:t xml:space="preserve"> [43</w:t>
      </w:r>
      <w:r w:rsidR="00122283" w:rsidRPr="008B4A2A">
        <w:t>]. Regarding</w:t>
      </w:r>
      <w:r w:rsidR="004D1115" w:rsidRPr="008B4A2A">
        <w:t xml:space="preserve"> the</w:t>
      </w:r>
      <w:r w:rsidR="00122283" w:rsidRPr="008B4A2A">
        <w:t xml:space="preserve"> association between PA levels and the presence of comorbidities among people with ACO, previous investigations</w:t>
      </w:r>
      <w:r w:rsidR="00E92985" w:rsidRPr="008B4A2A">
        <w:t xml:space="preserve"> are not available</w:t>
      </w:r>
      <w:r w:rsidR="00122283" w:rsidRPr="008B4A2A">
        <w:t xml:space="preserve">. </w:t>
      </w:r>
      <w:r w:rsidR="00A0694C" w:rsidRPr="008B4A2A">
        <w:t>Nevertheless, to contextualize the impact of PA on ACO comorbidities, it may be useful to compare it with the impact of PA on other health states. Multivariable logistic regression analyses of the present study suggest that engaging in less than 600 MET·min/week was significantly associated with a 249.9% increased odds for urinary incontinence and 205.6% for osteoporosis. No significant associations were found in the remaining 28 comorbidities when models were adjusted, but when models were not adjusted, cataracts and chronic lumbar pain showed increased odds. In comparison with a similar study carried out in Spanish people with COPD</w:t>
      </w:r>
      <w:r w:rsidR="00DD0CD1" w:rsidRPr="008B4A2A">
        <w:t xml:space="preserve"> aged 15-69 years</w:t>
      </w:r>
      <w:r w:rsidR="00A0694C" w:rsidRPr="008B4A2A">
        <w:t xml:space="preserve"> [30], increased odds for urinary incontinence in those who did not achieve PA recommendations were found (OR</w:t>
      </w:r>
      <w:r w:rsidR="0069081C" w:rsidRPr="008B4A2A">
        <w:t xml:space="preserve"> </w:t>
      </w:r>
      <w:r w:rsidR="00A0694C" w:rsidRPr="008B4A2A">
        <w:t>=</w:t>
      </w:r>
      <w:r w:rsidR="0069081C" w:rsidRPr="008B4A2A">
        <w:t xml:space="preserve"> </w:t>
      </w:r>
      <w:r w:rsidR="00A0694C" w:rsidRPr="008B4A2A">
        <w:t>2.115 CI95% =</w:t>
      </w:r>
      <w:r w:rsidR="0069081C" w:rsidRPr="008B4A2A">
        <w:t xml:space="preserve"> </w:t>
      </w:r>
      <w:r w:rsidR="00A0694C" w:rsidRPr="008B4A2A">
        <w:t>1.213-3.689), but with a lower probability than found in the present study (OR</w:t>
      </w:r>
      <w:r w:rsidR="0069081C" w:rsidRPr="008B4A2A">
        <w:t xml:space="preserve"> </w:t>
      </w:r>
      <w:r w:rsidR="00A0694C" w:rsidRPr="008B4A2A">
        <w:t>=</w:t>
      </w:r>
      <w:r w:rsidR="0069081C" w:rsidRPr="008B4A2A">
        <w:t xml:space="preserve"> </w:t>
      </w:r>
      <w:r w:rsidR="00A0694C" w:rsidRPr="008B4A2A">
        <w:t>3.499 CI95%</w:t>
      </w:r>
      <w:r w:rsidR="0069081C" w:rsidRPr="008B4A2A">
        <w:t xml:space="preserve"> </w:t>
      </w:r>
      <w:r w:rsidR="00A0694C" w:rsidRPr="008B4A2A">
        <w:t>=</w:t>
      </w:r>
      <w:r w:rsidR="0069081C" w:rsidRPr="008B4A2A">
        <w:t xml:space="preserve"> </w:t>
      </w:r>
      <w:r w:rsidR="00A0694C" w:rsidRPr="008B4A2A">
        <w:t>1.369-8.944). On the contrary, COPD patients showed significant associations with chronic constipation, cataracts, chronic anxiety and chronic lumbar pain. Considering another study among Spanish asthmatics</w:t>
      </w:r>
      <w:r w:rsidR="00DD0CD1" w:rsidRPr="008B4A2A">
        <w:t xml:space="preserve"> aged 15-69 years</w:t>
      </w:r>
      <w:r w:rsidR="00A0694C" w:rsidRPr="008B4A2A">
        <w:t xml:space="preserve"> [31], significant associations between reduced PA and urinary incontinence, osteoporosis and chronic anxiety were found. The associations between PA and urinary incontinence and osteoporosis concur with our results but with lower odds (osteoporosis: OR</w:t>
      </w:r>
      <w:r w:rsidR="0069081C" w:rsidRPr="008B4A2A">
        <w:t xml:space="preserve"> </w:t>
      </w:r>
      <w:r w:rsidR="00A0694C" w:rsidRPr="008B4A2A">
        <w:t>=</w:t>
      </w:r>
      <w:r w:rsidR="0069081C" w:rsidRPr="008B4A2A">
        <w:t xml:space="preserve"> </w:t>
      </w:r>
      <w:r w:rsidR="00A0694C" w:rsidRPr="008B4A2A">
        <w:t>1.90 CI95%</w:t>
      </w:r>
      <w:r w:rsidR="0069081C" w:rsidRPr="008B4A2A">
        <w:t xml:space="preserve"> </w:t>
      </w:r>
      <w:r w:rsidR="00A0694C" w:rsidRPr="008B4A2A">
        <w:t>=</w:t>
      </w:r>
      <w:r w:rsidR="0069081C" w:rsidRPr="008B4A2A">
        <w:t xml:space="preserve"> </w:t>
      </w:r>
      <w:r w:rsidR="00A0694C" w:rsidRPr="008B4A2A">
        <w:t>1.00-3.61; urinary incontinence: OR</w:t>
      </w:r>
      <w:r w:rsidR="0069081C" w:rsidRPr="008B4A2A">
        <w:t xml:space="preserve"> </w:t>
      </w:r>
      <w:r w:rsidR="00A0694C" w:rsidRPr="008B4A2A">
        <w:t>=</w:t>
      </w:r>
      <w:r w:rsidR="0069081C" w:rsidRPr="008B4A2A">
        <w:t xml:space="preserve"> </w:t>
      </w:r>
      <w:r w:rsidR="00A0694C" w:rsidRPr="008B4A2A">
        <w:t>3.10 CI95%</w:t>
      </w:r>
      <w:r w:rsidR="0069081C" w:rsidRPr="008B4A2A">
        <w:t xml:space="preserve"> </w:t>
      </w:r>
      <w:r w:rsidR="00A0694C" w:rsidRPr="008B4A2A">
        <w:t>=</w:t>
      </w:r>
      <w:r w:rsidR="0069081C" w:rsidRPr="008B4A2A">
        <w:t xml:space="preserve"> </w:t>
      </w:r>
      <w:r w:rsidR="00A0694C" w:rsidRPr="008B4A2A">
        <w:t>1.62-5.94). However, chronic anxiety results differ from the present study. In relation to osteoporosis, Oh et al. [5</w:t>
      </w:r>
      <w:r w:rsidR="00787882" w:rsidRPr="008B4A2A">
        <w:t>5</w:t>
      </w:r>
      <w:r w:rsidR="00A0694C" w:rsidRPr="008B4A2A">
        <w:t xml:space="preserve">] demonstrated that it was more prevalent in ACO patients than in asthmatics. This may be due to the fact that ACO patients have showed high levels of inflammatory markers such as neutrophil gelatinase-associated lipocalin </w:t>
      </w:r>
      <w:r w:rsidR="00A0694C" w:rsidRPr="008B4A2A">
        <w:lastRenderedPageBreak/>
        <w:t>(NGAL) [5</w:t>
      </w:r>
      <w:r w:rsidR="00787882" w:rsidRPr="008B4A2A">
        <w:t>6</w:t>
      </w:r>
      <w:r w:rsidR="00A0694C" w:rsidRPr="008B4A2A">
        <w:t>] and interleukin-6 (IL-6) [5</w:t>
      </w:r>
      <w:r w:rsidR="00787882" w:rsidRPr="008B4A2A">
        <w:t>7</w:t>
      </w:r>
      <w:r w:rsidR="00A0694C" w:rsidRPr="008B4A2A">
        <w:t>], which are related with osteoporosis progression. However, Oh et al.</w:t>
      </w:r>
      <w:r w:rsidR="004A74BC" w:rsidRPr="008B4A2A">
        <w:t xml:space="preserve"> </w:t>
      </w:r>
      <w:r w:rsidR="00A0694C" w:rsidRPr="008B4A2A">
        <w:t>[5</w:t>
      </w:r>
      <w:r w:rsidR="00787882" w:rsidRPr="008B4A2A">
        <w:t>5</w:t>
      </w:r>
      <w:r w:rsidR="00A0694C" w:rsidRPr="008B4A2A">
        <w:t>] did not consider PA levels in their study</w:t>
      </w:r>
      <w:r w:rsidR="00DD0CD1" w:rsidRPr="008B4A2A">
        <w:t xml:space="preserve"> and the mean age of the participants were higher (63.3 years) than the present study</w:t>
      </w:r>
      <w:r w:rsidR="00A0694C" w:rsidRPr="008B4A2A">
        <w:t>. Therefore, future investigations are needed to clarify why the risk of urinary incontinence and osteoporosis are higher in ACO than in COPD or asthma alone when considering PA levels; and why other comorbidities are only significant in COPD (chronic constipation, cataracts, chronic anxiety and lumbar pain) or in asthmatics (chronic anxiety). A possible explanation could be that the number of participants of the present study (</w:t>
      </w:r>
      <w:r w:rsidR="00A0694C" w:rsidRPr="008B4A2A">
        <w:rPr>
          <w:i/>
          <w:iCs/>
        </w:rPr>
        <w:t>n</w:t>
      </w:r>
      <w:r w:rsidR="0069081C" w:rsidRPr="008B4A2A">
        <w:t xml:space="preserve"> </w:t>
      </w:r>
      <w:r w:rsidR="00A0694C" w:rsidRPr="008B4A2A">
        <w:t>=</w:t>
      </w:r>
      <w:r w:rsidR="0069081C" w:rsidRPr="008B4A2A">
        <w:t xml:space="preserve"> </w:t>
      </w:r>
      <w:r w:rsidR="00A0694C" w:rsidRPr="008B4A2A">
        <w:t>198) was lower than the number of participants with COPD (</w:t>
      </w:r>
      <w:r w:rsidR="00A0694C" w:rsidRPr="008B4A2A">
        <w:rPr>
          <w:i/>
          <w:iCs/>
        </w:rPr>
        <w:t>n</w:t>
      </w:r>
      <w:r w:rsidR="0069081C" w:rsidRPr="008B4A2A">
        <w:t xml:space="preserve"> </w:t>
      </w:r>
      <w:r w:rsidR="00A0694C" w:rsidRPr="008B4A2A">
        <w:t>=</w:t>
      </w:r>
      <w:r w:rsidR="0069081C" w:rsidRPr="008B4A2A">
        <w:t xml:space="preserve"> </w:t>
      </w:r>
      <w:r w:rsidR="00A0694C" w:rsidRPr="008B4A2A">
        <w:t>601) or asthma (</w:t>
      </w:r>
      <w:r w:rsidR="00A0694C" w:rsidRPr="008B4A2A">
        <w:rPr>
          <w:i/>
          <w:iCs/>
        </w:rPr>
        <w:t>n</w:t>
      </w:r>
      <w:r w:rsidR="0069081C" w:rsidRPr="008B4A2A">
        <w:t xml:space="preserve"> </w:t>
      </w:r>
      <w:r w:rsidR="00A0694C" w:rsidRPr="008B4A2A">
        <w:t>=</w:t>
      </w:r>
      <w:r w:rsidR="0069081C" w:rsidRPr="008B4A2A">
        <w:t xml:space="preserve"> </w:t>
      </w:r>
      <w:r w:rsidR="00A0694C" w:rsidRPr="008B4A2A">
        <w:t>1014) in previous studies. Nevertheless, with the current available literature, it is difficult to be sure why these differences appear. Thus, randomized control trials are needed to clarify this.</w:t>
      </w:r>
    </w:p>
    <w:p w14:paraId="799C9DE1" w14:textId="7A31BB3D" w:rsidR="00A0694C" w:rsidRPr="008B4A2A" w:rsidRDefault="00A0694C" w:rsidP="00C24116">
      <w:pPr>
        <w:pStyle w:val="MDPI31text"/>
      </w:pPr>
      <w:r w:rsidRPr="008B4A2A">
        <w:t>When we compared the risk of comorbidities according to PA with other studies in healthy populations, ACO patients with reduced levels of PA revealed a higher risk of several comorbidities. A longitudinal study in older women showed that performing 6.2 MET·h/week or less was associated with a 4% increased risk of urinary incontinence (OR = 1.04 CI 95% = 0.92–1.18) [5</w:t>
      </w:r>
      <w:r w:rsidR="00787882" w:rsidRPr="008B4A2A">
        <w:t>8</w:t>
      </w:r>
      <w:r w:rsidRPr="008B4A2A">
        <w:t>]. In relation to osteoporosis, Shetty et al. [5</w:t>
      </w:r>
      <w:r w:rsidR="00787882" w:rsidRPr="008B4A2A">
        <w:t>9</w:t>
      </w:r>
      <w:r w:rsidRPr="008B4A2A">
        <w:t>] reported a 40% lower risk of osteoporosis among active males</w:t>
      </w:r>
      <w:r w:rsidR="006B6F09" w:rsidRPr="008B4A2A">
        <w:t xml:space="preserve"> aged above 50</w:t>
      </w:r>
      <w:r w:rsidRPr="008B4A2A">
        <w:t xml:space="preserve"> and Shenoy et al. [</w:t>
      </w:r>
      <w:r w:rsidR="00787882" w:rsidRPr="008B4A2A">
        <w:t>60</w:t>
      </w:r>
      <w:r w:rsidRPr="008B4A2A">
        <w:t>] found a 32% reduced osteoporosis risk with each extra 10 METs of PA</w:t>
      </w:r>
      <w:r w:rsidR="006B6F09" w:rsidRPr="008B4A2A">
        <w:t xml:space="preserve"> in Indian women aged 41-60 years</w:t>
      </w:r>
      <w:r w:rsidR="00171E0F" w:rsidRPr="008B4A2A">
        <w:t>.</w:t>
      </w:r>
      <w:r w:rsidR="009D7336" w:rsidRPr="008B4A2A">
        <w:t xml:space="preserve"> Similarly,</w:t>
      </w:r>
      <w:r w:rsidR="00171E0F" w:rsidRPr="008B4A2A">
        <w:t xml:space="preserve"> the present study found a higher risk of osteoporosis in those who don’t achieve PA recommendations, in the whole sample and in only those aged 50 or over. </w:t>
      </w:r>
      <w:r w:rsidRPr="008B4A2A">
        <w:t>Regarding cataracts, a recent study, has shown that performing fewer than 600 MET·min/week of PA was associated with 32.4% increased odds of cataracts [</w:t>
      </w:r>
      <w:r w:rsidR="00787882" w:rsidRPr="008B4A2A">
        <w:t>61</w:t>
      </w:r>
      <w:r w:rsidRPr="008B4A2A">
        <w:t>]. This concurs with our results, but the odds were higher in the present study (134.8%). However, cataracts odds of the present study were only significant when models were not adjusted. Similarly, a meta-analysis found that, when cohort studies were considered, people who practiced a medium level of PA had a 10% lower risk of CBP lumbar (</w:t>
      </w:r>
      <w:r w:rsidRPr="008B4A2A">
        <w:rPr>
          <w:i/>
          <w:iCs/>
        </w:rPr>
        <w:t>p</w:t>
      </w:r>
      <w:r w:rsidRPr="008B4A2A">
        <w:t xml:space="preserve"> = 0.0009). Our results revealed increased odds too (102.8%), but they were only significant with unadjusted models.</w:t>
      </w:r>
    </w:p>
    <w:p w14:paraId="0861B1E2" w14:textId="5CFA22AF" w:rsidR="00A86E9F" w:rsidRPr="008B4A2A" w:rsidRDefault="00A0694C" w:rsidP="0069081C">
      <w:pPr>
        <w:pStyle w:val="MDPI31text"/>
      </w:pPr>
      <w:r w:rsidRPr="008B4A2A">
        <w:t>The main strengths of this investigation were the use of data from a large representative survey of Spanish population aged between 15 and 69 years old, and the use of a validated, reliable and internationally recognized questionnaire to assess PA. Nevertheless, some limitations should be considered. Although the IPAQ is a reference instrument to measure PA level in youth and adult population (15</w:t>
      </w:r>
      <w:r w:rsidR="0069081C" w:rsidRPr="008B4A2A">
        <w:t>–</w:t>
      </w:r>
      <w:r w:rsidRPr="008B4A2A">
        <w:t xml:space="preserve">69 years old), it is self-reported, so participants could under or overestimate their PA level. Diagnosis of asthma, COPD and comorbidities were self-reported, thus potentially introducing bias. Severity of ACO and exacerbation history were not measured in the survey, so models could not be adjusted for them. </w:t>
      </w:r>
      <w:r w:rsidR="00E16322" w:rsidRPr="008B4A2A">
        <w:t xml:space="preserve">Other sociodemographic variables like employment were not included as covariates either. </w:t>
      </w:r>
      <w:r w:rsidRPr="008B4A2A">
        <w:t>Furthermore, the cross-sectional design did not allow to establish the direction of the associations. Consequently, future longitudinal studies are required to clarify the direction.</w:t>
      </w:r>
    </w:p>
    <w:p w14:paraId="26F1E95E" w14:textId="71652712" w:rsidR="00A86E9F" w:rsidRPr="008B4A2A" w:rsidRDefault="00C24116" w:rsidP="00C24116">
      <w:pPr>
        <w:pStyle w:val="MDPI21heading1"/>
      </w:pPr>
      <w:r w:rsidRPr="008B4A2A">
        <w:t xml:space="preserve">5. </w:t>
      </w:r>
      <w:r w:rsidR="00A86E9F" w:rsidRPr="008B4A2A">
        <w:t>Conclusions</w:t>
      </w:r>
    </w:p>
    <w:p w14:paraId="299292D1" w14:textId="6523505D" w:rsidR="00A0694C" w:rsidRPr="008B4A2A" w:rsidRDefault="009D7336" w:rsidP="00C24116">
      <w:pPr>
        <w:pStyle w:val="MDPI31text"/>
      </w:pPr>
      <w:r w:rsidRPr="008B4A2A">
        <w:t>In conclusion</w:t>
      </w:r>
      <w:r w:rsidR="00A0694C" w:rsidRPr="008B4A2A">
        <w:t xml:space="preserve">, </w:t>
      </w:r>
      <w:r w:rsidRPr="008B4A2A">
        <w:t xml:space="preserve">data from the present study suggest that </w:t>
      </w:r>
      <w:r w:rsidR="00A0694C" w:rsidRPr="008B4A2A">
        <w:t>comorbidities are common among Spanish people with ACO, with a prevalence</w:t>
      </w:r>
      <w:r w:rsidRPr="008B4A2A">
        <w:t xml:space="preserve"> of</w:t>
      </w:r>
      <w:r w:rsidR="00A0694C" w:rsidRPr="008B4A2A">
        <w:t xml:space="preserve"> 93.9%. Considering the thirty different studied comorbidities, chronic allergy was the most prevalent, followed by chronic lumbar pain, chronic cervical pain and hypertension. Analyzing associations between PA and comorbidities when models were </w:t>
      </w:r>
      <w:r w:rsidR="00E16322" w:rsidRPr="008B4A2A">
        <w:t xml:space="preserve">fully </w:t>
      </w:r>
      <w:r w:rsidR="00A0694C" w:rsidRPr="008B4A2A">
        <w:t>adjusted, a reduced level of PA (less than 600 MET·min/week) was significantly associated with higher odds of urinary incontinence and osteoporosis, suggesting that higher levels of PA could reduce the risk o</w:t>
      </w:r>
      <w:r w:rsidR="00E16322" w:rsidRPr="008B4A2A">
        <w:t>f both conditions</w:t>
      </w:r>
      <w:r w:rsidR="00C24116" w:rsidRPr="008B4A2A">
        <w:t xml:space="preserve"> </w:t>
      </w:r>
      <w:r w:rsidR="00A0694C" w:rsidRPr="008B4A2A">
        <w:t xml:space="preserve">in people with ACO. </w:t>
      </w:r>
      <w:r w:rsidR="00E16322" w:rsidRPr="008B4A2A">
        <w:t xml:space="preserve">Moreover, </w:t>
      </w:r>
      <w:r w:rsidR="005C1132" w:rsidRPr="008B4A2A">
        <w:t xml:space="preserve">with unadjusted models, </w:t>
      </w:r>
      <w:r w:rsidR="00E16322" w:rsidRPr="008B4A2A">
        <w:t>cataracts and chronic lumbar pain revealed a significant association. Regarding the other studie</w:t>
      </w:r>
      <w:r w:rsidR="00097BF6" w:rsidRPr="008B4A2A">
        <w:t>d</w:t>
      </w:r>
      <w:r w:rsidR="00E16322" w:rsidRPr="008B4A2A">
        <w:t xml:space="preserve"> comorbidities, no </w:t>
      </w:r>
      <w:r w:rsidR="00E16322" w:rsidRPr="008B4A2A">
        <w:lastRenderedPageBreak/>
        <w:t xml:space="preserve">significant </w:t>
      </w:r>
      <w:r w:rsidR="00C17F38" w:rsidRPr="008B4A2A">
        <w:t>associations</w:t>
      </w:r>
      <w:r w:rsidR="00E16322" w:rsidRPr="008B4A2A">
        <w:t xml:space="preserve"> were found. </w:t>
      </w:r>
      <w:r w:rsidR="00A0694C" w:rsidRPr="008B4A2A">
        <w:t>Therefore, comorbidities</w:t>
      </w:r>
      <w:r w:rsidR="00E16322" w:rsidRPr="008B4A2A">
        <w:t>, specifically urinary incontinence and osteoporosis,</w:t>
      </w:r>
      <w:r w:rsidR="00A0694C" w:rsidRPr="008B4A2A">
        <w:t xml:space="preserve"> and PA levels should be considered in the prevention and treatment of people with ACO, not only because of the health benefits, but also because PA can contribute to a more sustainable, equitable and prosperous world [</w:t>
      </w:r>
      <w:r w:rsidR="00787882" w:rsidRPr="008B4A2A">
        <w:t>62</w:t>
      </w:r>
      <w:r w:rsidR="00A0694C" w:rsidRPr="008B4A2A">
        <w:t>].</w:t>
      </w:r>
    </w:p>
    <w:p w14:paraId="77172354" w14:textId="1BD26957" w:rsidR="00A86E9F" w:rsidRPr="008B4A2A" w:rsidRDefault="00C24116" w:rsidP="0040766B">
      <w:pPr>
        <w:pStyle w:val="MDPI62BackMatter"/>
        <w:spacing w:before="240"/>
      </w:pPr>
      <w:r w:rsidRPr="008B4A2A">
        <w:rPr>
          <w:b/>
        </w:rPr>
        <w:t>Author Contribution</w:t>
      </w:r>
      <w:r w:rsidR="00A86E9F" w:rsidRPr="008B4A2A">
        <w:rPr>
          <w:b/>
        </w:rPr>
        <w:t xml:space="preserve">s: </w:t>
      </w:r>
      <w:r w:rsidR="00C54EEF" w:rsidRPr="008B4A2A">
        <w:t>Supervision, L</w:t>
      </w:r>
      <w:r w:rsidR="0040766B" w:rsidRPr="008B4A2A">
        <w:t>.</w:t>
      </w:r>
      <w:r w:rsidR="00C54EEF" w:rsidRPr="008B4A2A">
        <w:t>S</w:t>
      </w:r>
      <w:r w:rsidR="0040766B" w:rsidRPr="008B4A2A">
        <w:t>.</w:t>
      </w:r>
      <w:r w:rsidR="00C54EEF" w:rsidRPr="008B4A2A">
        <w:t>, A</w:t>
      </w:r>
      <w:r w:rsidR="0040766B" w:rsidRPr="008B4A2A">
        <w:t>.</w:t>
      </w:r>
      <w:r w:rsidR="00C54EEF" w:rsidRPr="008B4A2A">
        <w:t>D</w:t>
      </w:r>
      <w:r w:rsidR="0040766B" w:rsidRPr="008B4A2A">
        <w:t>.</w:t>
      </w:r>
      <w:r w:rsidR="00C54EEF" w:rsidRPr="008B4A2A">
        <w:t>S</w:t>
      </w:r>
      <w:r w:rsidR="0040766B" w:rsidRPr="008B4A2A">
        <w:t>.</w:t>
      </w:r>
      <w:r w:rsidR="00C54EEF" w:rsidRPr="008B4A2A">
        <w:t xml:space="preserve"> and G</w:t>
      </w:r>
      <w:r w:rsidR="0040766B" w:rsidRPr="008B4A2A">
        <w:t>.</w:t>
      </w:r>
      <w:r w:rsidR="00C54EEF" w:rsidRPr="008B4A2A">
        <w:t>F</w:t>
      </w:r>
      <w:r w:rsidR="0040766B" w:rsidRPr="008B4A2A">
        <w:t>.</w:t>
      </w:r>
      <w:r w:rsidR="00C54EEF" w:rsidRPr="008B4A2A">
        <w:t>L</w:t>
      </w:r>
      <w:r w:rsidR="0040766B" w:rsidRPr="008B4A2A">
        <w:t>.</w:t>
      </w:r>
      <w:r w:rsidR="00C54EEF" w:rsidRPr="008B4A2A">
        <w:t>S</w:t>
      </w:r>
      <w:r w:rsidR="0040766B" w:rsidRPr="008B4A2A">
        <w:t>.</w:t>
      </w:r>
      <w:r w:rsidR="00C54EEF" w:rsidRPr="008B4A2A">
        <w:t>; Writing</w:t>
      </w:r>
      <w:r w:rsidRPr="008B4A2A">
        <w:t>—</w:t>
      </w:r>
      <w:r w:rsidR="00C54EEF" w:rsidRPr="008B4A2A">
        <w:t>original draft, S</w:t>
      </w:r>
      <w:r w:rsidR="0040766B" w:rsidRPr="008B4A2A">
        <w:t>.</w:t>
      </w:r>
      <w:r w:rsidR="00C54EEF" w:rsidRPr="008B4A2A">
        <w:t>S</w:t>
      </w:r>
      <w:r w:rsidR="0040766B" w:rsidRPr="008B4A2A">
        <w:t>.</w:t>
      </w:r>
      <w:r w:rsidR="00C54EEF" w:rsidRPr="008B4A2A">
        <w:t>C</w:t>
      </w:r>
      <w:r w:rsidR="0040766B" w:rsidRPr="008B4A2A">
        <w:t>.</w:t>
      </w:r>
      <w:r w:rsidR="00C54EEF" w:rsidRPr="008B4A2A">
        <w:t>; Writing</w:t>
      </w:r>
      <w:r w:rsidRPr="008B4A2A">
        <w:t>—</w:t>
      </w:r>
      <w:r w:rsidR="00C54EEF" w:rsidRPr="008B4A2A">
        <w:t>review &amp; editing, S</w:t>
      </w:r>
      <w:r w:rsidR="0040766B" w:rsidRPr="008B4A2A">
        <w:t>.</w:t>
      </w:r>
      <w:r w:rsidR="00C54EEF" w:rsidRPr="008B4A2A">
        <w:t>S</w:t>
      </w:r>
      <w:r w:rsidR="0040766B" w:rsidRPr="008B4A2A">
        <w:t>.</w:t>
      </w:r>
      <w:r w:rsidR="00C54EEF" w:rsidRPr="008B4A2A">
        <w:t>C</w:t>
      </w:r>
      <w:r w:rsidR="0040766B" w:rsidRPr="008B4A2A">
        <w:t>.</w:t>
      </w:r>
      <w:r w:rsidR="00C54EEF" w:rsidRPr="008B4A2A">
        <w:t>, L</w:t>
      </w:r>
      <w:r w:rsidR="0040766B" w:rsidRPr="008B4A2A">
        <w:t>.</w:t>
      </w:r>
      <w:r w:rsidR="00C54EEF" w:rsidRPr="008B4A2A">
        <w:t>S</w:t>
      </w:r>
      <w:r w:rsidR="0040766B" w:rsidRPr="008B4A2A">
        <w:t>.</w:t>
      </w:r>
      <w:r w:rsidR="00C54EEF" w:rsidRPr="008B4A2A">
        <w:t>, A</w:t>
      </w:r>
      <w:r w:rsidR="0040766B" w:rsidRPr="008B4A2A">
        <w:t>.</w:t>
      </w:r>
      <w:r w:rsidR="00C54EEF" w:rsidRPr="008B4A2A">
        <w:t>D</w:t>
      </w:r>
      <w:r w:rsidR="0040766B" w:rsidRPr="008B4A2A">
        <w:t>.</w:t>
      </w:r>
      <w:r w:rsidR="00C54EEF" w:rsidRPr="008B4A2A">
        <w:t>S</w:t>
      </w:r>
      <w:r w:rsidR="0040766B" w:rsidRPr="008B4A2A">
        <w:t>.</w:t>
      </w:r>
      <w:r w:rsidR="00C54EEF" w:rsidRPr="008B4A2A">
        <w:t xml:space="preserve"> and G</w:t>
      </w:r>
      <w:r w:rsidR="0040766B" w:rsidRPr="008B4A2A">
        <w:t>.</w:t>
      </w:r>
      <w:r w:rsidR="00C54EEF" w:rsidRPr="008B4A2A">
        <w:t>F</w:t>
      </w:r>
      <w:r w:rsidR="0040766B" w:rsidRPr="008B4A2A">
        <w:t>.</w:t>
      </w:r>
      <w:r w:rsidR="00C54EEF" w:rsidRPr="008B4A2A">
        <w:t>L</w:t>
      </w:r>
      <w:r w:rsidR="0040766B" w:rsidRPr="008B4A2A">
        <w:t>.</w:t>
      </w:r>
      <w:r w:rsidR="00C54EEF" w:rsidRPr="008B4A2A">
        <w:t xml:space="preserve">S. </w:t>
      </w:r>
      <w:r w:rsidR="00A0694C" w:rsidRPr="008B4A2A">
        <w:t>All authors have read and agreed to the published version of the manuscript.</w:t>
      </w:r>
    </w:p>
    <w:p w14:paraId="0D996543" w14:textId="77777777" w:rsidR="00C24116" w:rsidRPr="008B4A2A" w:rsidRDefault="00A86E9F" w:rsidP="00C24116">
      <w:pPr>
        <w:pStyle w:val="MDPI62BackMatter"/>
      </w:pPr>
      <w:r w:rsidRPr="008B4A2A">
        <w:rPr>
          <w:b/>
        </w:rPr>
        <w:t xml:space="preserve">Funding: </w:t>
      </w:r>
      <w:r w:rsidR="00A0694C" w:rsidRPr="008B4A2A">
        <w:t>This research was funded by the Seneca Foundation-Agency for Science and Technology of the Region of Murcia, Spain (20773/FPI/18).</w:t>
      </w:r>
    </w:p>
    <w:p w14:paraId="4DB351B0" w14:textId="3B6271EE" w:rsidR="00A86E9F" w:rsidRPr="008B4A2A" w:rsidRDefault="00C24116" w:rsidP="00C24116">
      <w:pPr>
        <w:pStyle w:val="MDPI62BackMatter"/>
      </w:pPr>
      <w:r w:rsidRPr="008B4A2A">
        <w:rPr>
          <w:b/>
        </w:rPr>
        <w:t>Data Availability Statement:</w:t>
      </w:r>
      <w:r w:rsidRPr="008B4A2A">
        <w:t xml:space="preserve"> </w:t>
      </w:r>
    </w:p>
    <w:p w14:paraId="7351B6A9" w14:textId="77777777" w:rsidR="00A86E9F" w:rsidRPr="008B4A2A" w:rsidRDefault="00A86E9F" w:rsidP="00C24116">
      <w:pPr>
        <w:pStyle w:val="MDPI62BackMatter"/>
      </w:pPr>
      <w:r w:rsidRPr="008B4A2A">
        <w:rPr>
          <w:b/>
        </w:rPr>
        <w:t>Conflicts of Interest:</w:t>
      </w:r>
      <w:r w:rsidR="00A0694C" w:rsidRPr="008B4A2A">
        <w:rPr>
          <w:b/>
        </w:rPr>
        <w:t xml:space="preserve"> </w:t>
      </w:r>
      <w:r w:rsidRPr="008B4A2A">
        <w:t>The authors declare no conflict of interest.</w:t>
      </w:r>
      <w:r w:rsidR="00A0694C" w:rsidRPr="008B4A2A">
        <w:t xml:space="preserve"> </w:t>
      </w:r>
      <w:r w:rsidRPr="008B4A2A">
        <w:t xml:space="preserve">The funders had no role in the design of the study; in the collection, analyses, or interpretation of data; in the writing of the manuscript, or in the </w:t>
      </w:r>
      <w:r w:rsidR="00A0694C" w:rsidRPr="008B4A2A">
        <w:t>decision to publish the results</w:t>
      </w:r>
      <w:r w:rsidRPr="008B4A2A">
        <w:t>.</w:t>
      </w:r>
    </w:p>
    <w:p w14:paraId="20D9568D" w14:textId="77777777" w:rsidR="00A86E9F" w:rsidRPr="008B4A2A" w:rsidRDefault="00A86E9F" w:rsidP="00735766">
      <w:pPr>
        <w:pStyle w:val="MDPI21heading1"/>
        <w:ind w:left="0"/>
      </w:pPr>
      <w:r w:rsidRPr="008B4A2A">
        <w:t>References</w:t>
      </w:r>
    </w:p>
    <w:p w14:paraId="4CDA1B17" w14:textId="16CEE371"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Forum of International Respiratory Societies. </w:t>
      </w:r>
      <w:r w:rsidRPr="008B4A2A">
        <w:rPr>
          <w:i/>
          <w:iCs/>
          <w:noProof/>
          <w:szCs w:val="24"/>
        </w:rPr>
        <w:t>The Global Impact of Respiratory Disease- Second Edition</w:t>
      </w:r>
      <w:r w:rsidRPr="008B4A2A">
        <w:rPr>
          <w:noProof/>
          <w:szCs w:val="24"/>
        </w:rPr>
        <w:t>; Sheffield, European Respiratory Society, 2017.</w:t>
      </w:r>
    </w:p>
    <w:p w14:paraId="664E2036"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Global Initiative for Asthma (GINA). </w:t>
      </w:r>
      <w:r w:rsidRPr="008B4A2A">
        <w:rPr>
          <w:i/>
          <w:iCs/>
          <w:noProof/>
          <w:szCs w:val="24"/>
        </w:rPr>
        <w:t>Global strategy for asthma management and prevention updated 2020</w:t>
      </w:r>
      <w:r w:rsidRPr="008B4A2A">
        <w:rPr>
          <w:noProof/>
          <w:szCs w:val="24"/>
        </w:rPr>
        <w:t xml:space="preserve">; 2020. Available online: </w:t>
      </w:r>
      <w:hyperlink r:id="rId8" w:history="1">
        <w:r w:rsidRPr="008B4A2A">
          <w:rPr>
            <w:rStyle w:val="Hyperlink"/>
            <w:noProof/>
            <w:szCs w:val="24"/>
          </w:rPr>
          <w:t>www.ginasthma.org</w:t>
        </w:r>
      </w:hyperlink>
      <w:r w:rsidRPr="008B4A2A">
        <w:rPr>
          <w:noProof/>
          <w:szCs w:val="24"/>
        </w:rPr>
        <w:t xml:space="preserve"> (accessed on 15 May 2021).</w:t>
      </w:r>
    </w:p>
    <w:p w14:paraId="5E36B62B"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Global Initiative for Chronic Obstructive Lung Disease. Global strategy for the diagnosis, management, and prevention of chronic obstructive pulmonary disease (2021 report). Available online: </w:t>
      </w:r>
      <w:hyperlink r:id="rId9" w:history="1">
        <w:r w:rsidRPr="008B4A2A">
          <w:rPr>
            <w:rStyle w:val="Hyperlink"/>
            <w:noProof/>
            <w:szCs w:val="24"/>
          </w:rPr>
          <w:t>https://goldcopd.org</w:t>
        </w:r>
      </w:hyperlink>
      <w:r w:rsidRPr="008B4A2A">
        <w:rPr>
          <w:noProof/>
          <w:szCs w:val="24"/>
        </w:rPr>
        <w:t xml:space="preserve"> (accessed on 15 May 2021).</w:t>
      </w:r>
    </w:p>
    <w:p w14:paraId="73F787CE"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Institute for Health Metrics and Evaluation. Global Burden of Disease Results Tool. Available online: </w:t>
      </w:r>
      <w:hyperlink r:id="rId10" w:history="1">
        <w:r w:rsidRPr="008B4A2A">
          <w:rPr>
            <w:rStyle w:val="Hyperlink"/>
            <w:noProof/>
            <w:szCs w:val="24"/>
          </w:rPr>
          <w:t>http://ghdx.healthdata.org/gbd-results-tool</w:t>
        </w:r>
      </w:hyperlink>
      <w:r w:rsidRPr="008B4A2A">
        <w:rPr>
          <w:noProof/>
          <w:szCs w:val="24"/>
        </w:rPr>
        <w:t xml:space="preserve"> (accessed on 19 April 2021).</w:t>
      </w:r>
    </w:p>
    <w:p w14:paraId="7A21D129"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s-ES"/>
        </w:rPr>
      </w:pPr>
      <w:r w:rsidRPr="008B4A2A">
        <w:rPr>
          <w:noProof/>
          <w:szCs w:val="24"/>
          <w:lang w:val="es-ES"/>
        </w:rPr>
        <w:t xml:space="preserve">Gómez Sáenz, J. T.; Quintano Jiménez, J. A.; Hidalgo Requena, A.; González Béjar, M.; Gérez Callejas, M. J.; Zangróniz Uruñuela, M. R.; Moreno Vilaseca, A.; Hernández García, R. Enfermedad Pulmonar Obstructiva Crónica: Morbimortalidad e Impacto Sanitario. </w:t>
      </w:r>
      <w:r w:rsidRPr="008B4A2A">
        <w:rPr>
          <w:i/>
          <w:iCs/>
          <w:noProof/>
          <w:szCs w:val="24"/>
          <w:lang w:val="es-ES"/>
        </w:rPr>
        <w:t>Semergen</w:t>
      </w:r>
      <w:r w:rsidRPr="008B4A2A">
        <w:rPr>
          <w:noProof/>
          <w:szCs w:val="24"/>
          <w:lang w:val="es-ES"/>
        </w:rPr>
        <w:t xml:space="preserve"> </w:t>
      </w:r>
      <w:r w:rsidRPr="008B4A2A">
        <w:rPr>
          <w:b/>
          <w:bCs/>
          <w:noProof/>
          <w:szCs w:val="24"/>
          <w:lang w:val="es-ES"/>
        </w:rPr>
        <w:t>2014</w:t>
      </w:r>
      <w:r w:rsidRPr="008B4A2A">
        <w:rPr>
          <w:noProof/>
          <w:szCs w:val="24"/>
          <w:lang w:val="es-ES"/>
        </w:rPr>
        <w:t xml:space="preserve">, </w:t>
      </w:r>
      <w:r w:rsidRPr="008B4A2A">
        <w:rPr>
          <w:i/>
          <w:iCs/>
          <w:noProof/>
          <w:szCs w:val="24"/>
          <w:lang w:val="es-ES"/>
        </w:rPr>
        <w:t>40</w:t>
      </w:r>
      <w:r w:rsidRPr="008B4A2A">
        <w:rPr>
          <w:noProof/>
          <w:szCs w:val="24"/>
          <w:lang w:val="es-ES"/>
        </w:rPr>
        <w:t xml:space="preserve"> (4), 198–204. doi: 10.1016/j.semerg.2013.12.009.</w:t>
      </w:r>
    </w:p>
    <w:p w14:paraId="7E61FE50"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s-ES"/>
        </w:rPr>
      </w:pPr>
      <w:r w:rsidRPr="008B4A2A">
        <w:rPr>
          <w:noProof/>
          <w:szCs w:val="24"/>
          <w:lang w:val="es-ES"/>
        </w:rPr>
        <w:t>Puig-Junoy, J.; Pascual-Argenté, N. C</w:t>
      </w:r>
      <w:r w:rsidRPr="008B4A2A">
        <w:rPr>
          <w:iCs/>
          <w:noProof/>
          <w:szCs w:val="24"/>
          <w:lang w:val="es-ES"/>
        </w:rPr>
        <w:t xml:space="preserve">ostes socioeconómicos del asma en la unión europea, estados unidos y canadá: revisión sistemática. </w:t>
      </w:r>
      <w:r w:rsidRPr="008B4A2A">
        <w:rPr>
          <w:i/>
          <w:iCs/>
          <w:noProof/>
          <w:szCs w:val="24"/>
          <w:lang w:val="es-ES"/>
        </w:rPr>
        <w:t>Rev. Esp. Salud Publica</w:t>
      </w:r>
      <w:r w:rsidRPr="008B4A2A">
        <w:rPr>
          <w:b/>
          <w:noProof/>
          <w:szCs w:val="24"/>
          <w:lang w:val="es-ES"/>
        </w:rPr>
        <w:t xml:space="preserve"> 2017</w:t>
      </w:r>
      <w:r w:rsidRPr="008B4A2A">
        <w:rPr>
          <w:noProof/>
          <w:szCs w:val="24"/>
          <w:lang w:val="es-ES"/>
        </w:rPr>
        <w:t>; Vol. 91.</w:t>
      </w:r>
    </w:p>
    <w:p w14:paraId="10663CF9"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n-GB"/>
        </w:rPr>
      </w:pPr>
      <w:r w:rsidRPr="008B4A2A">
        <w:rPr>
          <w:noProof/>
          <w:szCs w:val="24"/>
          <w:lang w:val="en-GB"/>
        </w:rPr>
        <w:t xml:space="preserve">Alshabanat, A.; Zafari, Z.; Albanyan, O.; Dairi, M.; FitzGerald, J. M. Asthma and COPD Overlap Syndrome (ACOS): A Systematic Review and Meta Analysis. </w:t>
      </w:r>
      <w:r w:rsidRPr="008B4A2A">
        <w:rPr>
          <w:i/>
          <w:iCs/>
          <w:noProof/>
          <w:szCs w:val="24"/>
          <w:lang w:val="en-GB"/>
        </w:rPr>
        <w:t>PLoS One</w:t>
      </w:r>
      <w:r w:rsidRPr="008B4A2A">
        <w:rPr>
          <w:noProof/>
          <w:szCs w:val="24"/>
          <w:lang w:val="en-GB"/>
        </w:rPr>
        <w:t xml:space="preserve"> </w:t>
      </w:r>
      <w:r w:rsidRPr="008B4A2A">
        <w:rPr>
          <w:b/>
          <w:bCs/>
          <w:noProof/>
          <w:szCs w:val="24"/>
          <w:lang w:val="en-GB"/>
        </w:rPr>
        <w:t>2015</w:t>
      </w:r>
      <w:r w:rsidRPr="008B4A2A">
        <w:rPr>
          <w:noProof/>
          <w:szCs w:val="24"/>
          <w:lang w:val="en-GB"/>
        </w:rPr>
        <w:t xml:space="preserve">, </w:t>
      </w:r>
      <w:r w:rsidRPr="008B4A2A">
        <w:rPr>
          <w:i/>
          <w:iCs/>
          <w:noProof/>
          <w:szCs w:val="24"/>
          <w:lang w:val="en-GB"/>
        </w:rPr>
        <w:t>10</w:t>
      </w:r>
      <w:r w:rsidRPr="008B4A2A">
        <w:rPr>
          <w:noProof/>
          <w:szCs w:val="24"/>
          <w:lang w:val="en-GB"/>
        </w:rPr>
        <w:t xml:space="preserve"> (9), e0136065. doi:10.1371/journal.pone.0136065.</w:t>
      </w:r>
    </w:p>
    <w:p w14:paraId="3D3DE450"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n-GB"/>
        </w:rPr>
      </w:pPr>
      <w:r w:rsidRPr="008B4A2A">
        <w:rPr>
          <w:noProof/>
          <w:szCs w:val="24"/>
          <w:lang w:val="en-GB"/>
        </w:rPr>
        <w:t xml:space="preserve">Tommola, M.; Ilmarinen, P.; Tuomisto, L. E.; Lehtimäki, L.; Haanpää, J.; Niemelä, O.; Kankaanranta, H. Differences between Asthma - COPD Overlap Syndrome and Adult-Onset Asthma. </w:t>
      </w:r>
      <w:r w:rsidRPr="008B4A2A">
        <w:rPr>
          <w:i/>
          <w:iCs/>
          <w:noProof/>
          <w:szCs w:val="24"/>
          <w:lang w:val="es-ES"/>
        </w:rPr>
        <w:t xml:space="preserve">Eur. Respir. </w:t>
      </w:r>
      <w:r w:rsidRPr="008B4A2A">
        <w:rPr>
          <w:i/>
          <w:iCs/>
          <w:noProof/>
          <w:szCs w:val="24"/>
          <w:lang w:val="en-GB"/>
        </w:rPr>
        <w:t>J.</w:t>
      </w:r>
      <w:r w:rsidRPr="008B4A2A">
        <w:rPr>
          <w:noProof/>
          <w:szCs w:val="24"/>
          <w:lang w:val="en-GB"/>
        </w:rPr>
        <w:t xml:space="preserve"> </w:t>
      </w:r>
      <w:r w:rsidRPr="008B4A2A">
        <w:rPr>
          <w:b/>
          <w:bCs/>
          <w:noProof/>
          <w:szCs w:val="24"/>
          <w:lang w:val="en-GB"/>
        </w:rPr>
        <w:t>2017</w:t>
      </w:r>
      <w:r w:rsidRPr="008B4A2A">
        <w:rPr>
          <w:noProof/>
          <w:szCs w:val="24"/>
          <w:lang w:val="en-GB"/>
        </w:rPr>
        <w:t xml:space="preserve">, </w:t>
      </w:r>
      <w:r w:rsidRPr="008B4A2A">
        <w:rPr>
          <w:i/>
          <w:iCs/>
          <w:noProof/>
          <w:szCs w:val="24"/>
          <w:lang w:val="en-GB"/>
        </w:rPr>
        <w:t>49</w:t>
      </w:r>
      <w:r w:rsidRPr="008B4A2A">
        <w:rPr>
          <w:noProof/>
          <w:szCs w:val="24"/>
          <w:lang w:val="en-GB"/>
        </w:rPr>
        <w:t xml:space="preserve"> (5), 1602383. doi: 10.1183/13993003.02383-2016.</w:t>
      </w:r>
    </w:p>
    <w:p w14:paraId="0A6CB253"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lang w:val="en-GB"/>
        </w:rPr>
        <w:t xml:space="preserve">Uchida, A.; Sakaue, K.; Inoue, H. Epidemiology of Asthma-Chronic Obstructive Pulmonary Disease Overlap (ACO). </w:t>
      </w:r>
      <w:r w:rsidRPr="008B4A2A">
        <w:rPr>
          <w:i/>
          <w:iCs/>
          <w:noProof/>
          <w:szCs w:val="24"/>
          <w:lang w:val="en-GB"/>
        </w:rPr>
        <w:t>Allergol Int</w:t>
      </w:r>
      <w:r w:rsidRPr="008B4A2A">
        <w:rPr>
          <w:noProof/>
          <w:szCs w:val="24"/>
        </w:rPr>
        <w:t xml:space="preserve">. </w:t>
      </w:r>
      <w:r w:rsidRPr="008B4A2A">
        <w:rPr>
          <w:b/>
          <w:noProof/>
          <w:szCs w:val="24"/>
        </w:rPr>
        <w:t>2018</w:t>
      </w:r>
      <w:r w:rsidRPr="008B4A2A">
        <w:rPr>
          <w:noProof/>
          <w:szCs w:val="24"/>
        </w:rPr>
        <w:t>, 67(2), 165–171. doi: 10.1016/j.alit.2018.02.002.</w:t>
      </w:r>
    </w:p>
    <w:p w14:paraId="0701C4CA" w14:textId="19F82FDC" w:rsidR="00735766" w:rsidRPr="008B4A2A" w:rsidRDefault="00735766" w:rsidP="00735766">
      <w:pPr>
        <w:pStyle w:val="MDPI71References"/>
        <w:widowControl w:val="0"/>
        <w:numPr>
          <w:ilvl w:val="0"/>
          <w:numId w:val="3"/>
        </w:numPr>
        <w:autoSpaceDE w:val="0"/>
        <w:autoSpaceDN w:val="0"/>
        <w:spacing w:line="240" w:lineRule="auto"/>
        <w:rPr>
          <w:noProof/>
          <w:szCs w:val="24"/>
          <w:lang w:val="pt-PT"/>
        </w:rPr>
      </w:pPr>
      <w:r w:rsidRPr="008B4A2A">
        <w:rPr>
          <w:noProof/>
          <w:szCs w:val="24"/>
        </w:rPr>
        <w:t xml:space="preserve">Hosseini, M.; Almasi-Hashiani, A.; Sepidarkish, M.; Maroufizadeh, S. Global Prevalence of Asthma-COPD Overlap (ACO) in the General Population: A Systematic Review and Meta-Analysis. </w:t>
      </w:r>
      <w:r w:rsidRPr="008B4A2A">
        <w:rPr>
          <w:i/>
          <w:noProof/>
          <w:szCs w:val="24"/>
          <w:lang w:val="pt-PT"/>
        </w:rPr>
        <w:t xml:space="preserve">Respir Res. </w:t>
      </w:r>
      <w:r w:rsidRPr="008B4A2A">
        <w:rPr>
          <w:b/>
          <w:noProof/>
          <w:szCs w:val="24"/>
          <w:lang w:val="pt-PT"/>
        </w:rPr>
        <w:t>2019</w:t>
      </w:r>
      <w:r w:rsidRPr="008B4A2A">
        <w:rPr>
          <w:noProof/>
          <w:szCs w:val="24"/>
          <w:lang w:val="pt-PT"/>
        </w:rPr>
        <w:t xml:space="preserve">, </w:t>
      </w:r>
      <w:r w:rsidRPr="008B4A2A">
        <w:rPr>
          <w:i/>
          <w:noProof/>
          <w:szCs w:val="24"/>
          <w:lang w:val="pt-PT"/>
        </w:rPr>
        <w:t>20</w:t>
      </w:r>
      <w:r w:rsidRPr="008B4A2A">
        <w:rPr>
          <w:noProof/>
          <w:szCs w:val="24"/>
          <w:lang w:val="pt-PT"/>
        </w:rPr>
        <w:t xml:space="preserve"> (1), 229</w:t>
      </w:r>
      <w:r w:rsidR="00C24116" w:rsidRPr="008B4A2A">
        <w:rPr>
          <w:noProof/>
          <w:szCs w:val="24"/>
          <w:lang w:val="pt-PT"/>
        </w:rPr>
        <w:t xml:space="preserve"> </w:t>
      </w:r>
      <w:r w:rsidRPr="008B4A2A">
        <w:rPr>
          <w:noProof/>
          <w:szCs w:val="24"/>
          <w:lang w:val="pt-PT"/>
        </w:rPr>
        <w:t>doi: 10.1186/s12931-019-1198-4.</w:t>
      </w:r>
    </w:p>
    <w:p w14:paraId="69E73A6B"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lang w:val="en-GB"/>
        </w:rPr>
        <w:t xml:space="preserve">Menezes, A. M. B.; De Oca, M. M.; Pérez-Padilla, R.; Nadeau, G.; Wehrmeister, F. C.; Lopez-Varela, M. V.; Muiño, A.; Jardim, J. </w:t>
      </w:r>
      <w:r w:rsidRPr="008B4A2A">
        <w:rPr>
          <w:noProof/>
          <w:szCs w:val="24"/>
        </w:rPr>
        <w:t>R. B.; Valdivia, G.; Tálamo, C. Increased Risk of Exacerbation and Hospitalization in Subjects with an Overlap Phenotype</w:t>
      </w:r>
      <w:r w:rsidRPr="008B4A2A">
        <w:rPr>
          <w:rFonts w:ascii="Times New Roman" w:hAnsi="Times New Roman"/>
          <w:noProof/>
          <w:szCs w:val="24"/>
        </w:rPr>
        <w:t> </w:t>
      </w:r>
      <w:r w:rsidRPr="008B4A2A">
        <w:rPr>
          <w:noProof/>
          <w:szCs w:val="24"/>
        </w:rPr>
        <w:t xml:space="preserve">: COPD-Asthma. </w:t>
      </w:r>
      <w:r w:rsidRPr="008B4A2A">
        <w:rPr>
          <w:i/>
          <w:iCs/>
          <w:noProof/>
          <w:szCs w:val="24"/>
        </w:rPr>
        <w:t>Chest</w:t>
      </w:r>
      <w:r w:rsidRPr="008B4A2A">
        <w:rPr>
          <w:noProof/>
          <w:szCs w:val="24"/>
        </w:rPr>
        <w:t xml:space="preserve"> </w:t>
      </w:r>
      <w:r w:rsidRPr="008B4A2A">
        <w:rPr>
          <w:b/>
          <w:bCs/>
          <w:noProof/>
          <w:szCs w:val="24"/>
        </w:rPr>
        <w:t>2014</w:t>
      </w:r>
      <w:r w:rsidRPr="008B4A2A">
        <w:rPr>
          <w:noProof/>
          <w:szCs w:val="24"/>
        </w:rPr>
        <w:t xml:space="preserve">, </w:t>
      </w:r>
      <w:r w:rsidRPr="008B4A2A">
        <w:rPr>
          <w:i/>
          <w:iCs/>
          <w:noProof/>
          <w:szCs w:val="24"/>
        </w:rPr>
        <w:t>145</w:t>
      </w:r>
      <w:r w:rsidRPr="008B4A2A">
        <w:rPr>
          <w:noProof/>
          <w:szCs w:val="24"/>
        </w:rPr>
        <w:t xml:space="preserve"> (2), 297–304. doi: 10.1378/chest.13-0622.</w:t>
      </w:r>
    </w:p>
    <w:p w14:paraId="66B90E2F"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Hardin, M.; Cho, M.; McDonald, M. L.; Beaty, T.; Ramsdell, J.; Bhatt, S.; Van Beek, E. J. R.; Make, B. J.; Crapo, J. D.; Silverman, E. K.; et al. The Clinical and Genetic Features of COPD-Asthma Overlap Syndrome. </w:t>
      </w:r>
      <w:r w:rsidRPr="008B4A2A">
        <w:rPr>
          <w:i/>
          <w:iCs/>
          <w:noProof/>
          <w:szCs w:val="24"/>
        </w:rPr>
        <w:t>Eur. Respir. J.</w:t>
      </w:r>
      <w:r w:rsidRPr="008B4A2A">
        <w:rPr>
          <w:noProof/>
          <w:szCs w:val="24"/>
        </w:rPr>
        <w:t xml:space="preserve"> </w:t>
      </w:r>
      <w:r w:rsidRPr="008B4A2A">
        <w:rPr>
          <w:b/>
          <w:bCs/>
          <w:noProof/>
          <w:szCs w:val="24"/>
        </w:rPr>
        <w:t>2014</w:t>
      </w:r>
      <w:r w:rsidRPr="008B4A2A">
        <w:rPr>
          <w:noProof/>
          <w:szCs w:val="24"/>
        </w:rPr>
        <w:t xml:space="preserve">, </w:t>
      </w:r>
      <w:r w:rsidRPr="008B4A2A">
        <w:rPr>
          <w:i/>
          <w:iCs/>
          <w:noProof/>
          <w:szCs w:val="24"/>
        </w:rPr>
        <w:t>44</w:t>
      </w:r>
      <w:r w:rsidRPr="008B4A2A">
        <w:rPr>
          <w:noProof/>
          <w:szCs w:val="24"/>
        </w:rPr>
        <w:t xml:space="preserve"> (2), 341–350. doi: 10.1183/09031936.00216013.</w:t>
      </w:r>
    </w:p>
    <w:p w14:paraId="64620FD1"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s-ES"/>
        </w:rPr>
      </w:pPr>
      <w:r w:rsidRPr="008B4A2A">
        <w:rPr>
          <w:noProof/>
          <w:szCs w:val="24"/>
        </w:rPr>
        <w:t xml:space="preserve">Andersén, H.; Lampela, P.; Nevanlinna, A.; Säynäjäkangas, O.; Keistinen, T. High Hospital Burden in Overlap Syndrome of Asthma and COPD. </w:t>
      </w:r>
      <w:r w:rsidRPr="008B4A2A">
        <w:rPr>
          <w:i/>
          <w:iCs/>
          <w:noProof/>
          <w:szCs w:val="24"/>
        </w:rPr>
        <w:t xml:space="preserve">Clin. Respir. </w:t>
      </w:r>
      <w:r w:rsidRPr="008B4A2A">
        <w:rPr>
          <w:i/>
          <w:iCs/>
          <w:noProof/>
          <w:szCs w:val="24"/>
          <w:lang w:val="es-ES"/>
        </w:rPr>
        <w:t>J.</w:t>
      </w:r>
      <w:r w:rsidRPr="008B4A2A">
        <w:rPr>
          <w:noProof/>
          <w:szCs w:val="24"/>
          <w:lang w:val="es-ES"/>
        </w:rPr>
        <w:t xml:space="preserve"> </w:t>
      </w:r>
      <w:r w:rsidRPr="008B4A2A">
        <w:rPr>
          <w:b/>
          <w:bCs/>
          <w:noProof/>
          <w:szCs w:val="24"/>
          <w:lang w:val="es-ES"/>
        </w:rPr>
        <w:t>2013</w:t>
      </w:r>
      <w:r w:rsidRPr="008B4A2A">
        <w:rPr>
          <w:noProof/>
          <w:szCs w:val="24"/>
          <w:lang w:val="es-ES"/>
        </w:rPr>
        <w:t xml:space="preserve">, </w:t>
      </w:r>
      <w:r w:rsidRPr="008B4A2A">
        <w:rPr>
          <w:i/>
          <w:iCs/>
          <w:noProof/>
          <w:szCs w:val="24"/>
          <w:lang w:val="es-ES"/>
        </w:rPr>
        <w:t>7</w:t>
      </w:r>
      <w:r w:rsidRPr="008B4A2A">
        <w:rPr>
          <w:noProof/>
          <w:szCs w:val="24"/>
          <w:lang w:val="es-ES"/>
        </w:rPr>
        <w:t xml:space="preserve"> (4), 342–346. doi: 10.1111/crj.12013.</w:t>
      </w:r>
    </w:p>
    <w:p w14:paraId="2105B09A"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lang w:val="es-ES"/>
        </w:rPr>
        <w:t xml:space="preserve">Miravitlles, M.; Soriano, J. B.; Ancochea, J.; Muñoz, L.; Duran-Tauleria, E.; Sánchez, G.; Sobradillo, V.; García-Río, F. Characterisation of the Overlap COPD-Asthma Phenotype. </w:t>
      </w:r>
      <w:r w:rsidRPr="008B4A2A">
        <w:rPr>
          <w:noProof/>
          <w:szCs w:val="24"/>
        </w:rPr>
        <w:t xml:space="preserve">Focus on Physical Activity and Health Status. </w:t>
      </w:r>
      <w:r w:rsidRPr="008B4A2A">
        <w:rPr>
          <w:i/>
          <w:iCs/>
          <w:noProof/>
          <w:szCs w:val="24"/>
        </w:rPr>
        <w:t>Respir. Med.</w:t>
      </w:r>
      <w:r w:rsidRPr="008B4A2A">
        <w:rPr>
          <w:noProof/>
          <w:szCs w:val="24"/>
        </w:rPr>
        <w:t xml:space="preserve"> </w:t>
      </w:r>
      <w:r w:rsidRPr="008B4A2A">
        <w:rPr>
          <w:b/>
          <w:bCs/>
          <w:noProof/>
          <w:szCs w:val="24"/>
        </w:rPr>
        <w:t>2013</w:t>
      </w:r>
      <w:r w:rsidRPr="008B4A2A">
        <w:rPr>
          <w:noProof/>
          <w:szCs w:val="24"/>
        </w:rPr>
        <w:t xml:space="preserve">, </w:t>
      </w:r>
      <w:r w:rsidRPr="008B4A2A">
        <w:rPr>
          <w:i/>
          <w:iCs/>
          <w:noProof/>
          <w:szCs w:val="24"/>
        </w:rPr>
        <w:t>107</w:t>
      </w:r>
      <w:r w:rsidRPr="008B4A2A">
        <w:rPr>
          <w:noProof/>
          <w:szCs w:val="24"/>
        </w:rPr>
        <w:t xml:space="preserve"> (7), 1053–1060. doi: 10.1016/j.rmed.2013.03.007.</w:t>
      </w:r>
    </w:p>
    <w:p w14:paraId="7254B818"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Kauppi, P.; Kupiainen, H.; Lindqvist, A.; Tammilehto, L.; Kilpeläinen, M.; Kinnula, V. L.; Haahtela, T.; Laitinen, T. Overlap Syndrome of Asthma and COPD Predicts Low Quality of Life. </w:t>
      </w:r>
      <w:r w:rsidRPr="008B4A2A">
        <w:rPr>
          <w:i/>
          <w:iCs/>
          <w:noProof/>
          <w:szCs w:val="24"/>
        </w:rPr>
        <w:t>J. Asthma</w:t>
      </w:r>
      <w:r w:rsidRPr="008B4A2A">
        <w:rPr>
          <w:noProof/>
          <w:szCs w:val="24"/>
        </w:rPr>
        <w:t xml:space="preserve"> </w:t>
      </w:r>
      <w:r w:rsidRPr="008B4A2A">
        <w:rPr>
          <w:b/>
          <w:bCs/>
          <w:noProof/>
          <w:szCs w:val="24"/>
        </w:rPr>
        <w:t>2011</w:t>
      </w:r>
      <w:r w:rsidRPr="008B4A2A">
        <w:rPr>
          <w:noProof/>
          <w:szCs w:val="24"/>
        </w:rPr>
        <w:t xml:space="preserve">, </w:t>
      </w:r>
      <w:r w:rsidRPr="008B4A2A">
        <w:rPr>
          <w:i/>
          <w:iCs/>
          <w:noProof/>
          <w:szCs w:val="24"/>
        </w:rPr>
        <w:t>48</w:t>
      </w:r>
      <w:r w:rsidRPr="008B4A2A">
        <w:rPr>
          <w:noProof/>
          <w:szCs w:val="24"/>
        </w:rPr>
        <w:t xml:space="preserve"> (3), 279–285. doi: 10.3109/02770903.2011.555576.</w:t>
      </w:r>
    </w:p>
    <w:p w14:paraId="37275ABE"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Kendzerska, T.; Sadatsafavi, M.; Aaron, S. D.; To, T. M.; Lougheed, M. D.; FitzGerald, J. M.; Gershon, A. S. Concurrent Physician-Diagnosed Asthma and Chronic Obstructive Pulmonary Disease: A Population Study of Prevalence, Incidence and Mortality. </w:t>
      </w:r>
      <w:r w:rsidRPr="008B4A2A">
        <w:rPr>
          <w:i/>
          <w:iCs/>
          <w:noProof/>
          <w:szCs w:val="24"/>
        </w:rPr>
        <w:t>PLoS One</w:t>
      </w:r>
      <w:r w:rsidRPr="008B4A2A">
        <w:rPr>
          <w:noProof/>
          <w:szCs w:val="24"/>
        </w:rPr>
        <w:t xml:space="preserve"> </w:t>
      </w:r>
      <w:r w:rsidRPr="008B4A2A">
        <w:rPr>
          <w:b/>
          <w:bCs/>
          <w:noProof/>
          <w:szCs w:val="24"/>
        </w:rPr>
        <w:t>2017</w:t>
      </w:r>
      <w:r w:rsidRPr="008B4A2A">
        <w:rPr>
          <w:noProof/>
          <w:szCs w:val="24"/>
        </w:rPr>
        <w:t xml:space="preserve">, </w:t>
      </w:r>
      <w:r w:rsidRPr="008B4A2A">
        <w:rPr>
          <w:i/>
          <w:iCs/>
          <w:noProof/>
          <w:szCs w:val="24"/>
        </w:rPr>
        <w:t>12</w:t>
      </w:r>
      <w:r w:rsidRPr="008B4A2A">
        <w:rPr>
          <w:noProof/>
          <w:szCs w:val="24"/>
        </w:rPr>
        <w:t xml:space="preserve"> (3), e0173830. doi: 10.1371/journal.pone.0173830.</w:t>
      </w:r>
    </w:p>
    <w:p w14:paraId="7BD105C2"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lastRenderedPageBreak/>
        <w:t xml:space="preserve">Krishnan, J. A.; Nibber, A.; Chisholm, A.; Price, D.; Bateman, E. D.; Bjermer, L.; Van Boven, J. F. M.; Brusselle, G.; Costello, R. W.; Dandurand, R. J.; et al. Prevalence and Characteristics of Asthma-Chronic Obstructive Pulmonary Disease Overlap in Routine Primary Care Practices. </w:t>
      </w:r>
      <w:r w:rsidRPr="008B4A2A">
        <w:rPr>
          <w:i/>
          <w:iCs/>
          <w:noProof/>
          <w:szCs w:val="24"/>
        </w:rPr>
        <w:t>Ann. Am. Thorac. Soc.</w:t>
      </w:r>
      <w:r w:rsidRPr="008B4A2A">
        <w:rPr>
          <w:noProof/>
          <w:szCs w:val="24"/>
        </w:rPr>
        <w:t xml:space="preserve"> </w:t>
      </w:r>
      <w:r w:rsidRPr="008B4A2A">
        <w:rPr>
          <w:b/>
          <w:bCs/>
          <w:noProof/>
          <w:szCs w:val="24"/>
        </w:rPr>
        <w:t>2019</w:t>
      </w:r>
      <w:r w:rsidRPr="008B4A2A">
        <w:rPr>
          <w:noProof/>
          <w:szCs w:val="24"/>
        </w:rPr>
        <w:t xml:space="preserve">, </w:t>
      </w:r>
      <w:r w:rsidRPr="008B4A2A">
        <w:rPr>
          <w:i/>
          <w:iCs/>
          <w:noProof/>
          <w:szCs w:val="24"/>
        </w:rPr>
        <w:t>16</w:t>
      </w:r>
      <w:r w:rsidRPr="008B4A2A">
        <w:rPr>
          <w:noProof/>
          <w:szCs w:val="24"/>
        </w:rPr>
        <w:t xml:space="preserve"> (9), 1143–1150. doi: 10.1513/AnnalsATS.201809-607OC.</w:t>
      </w:r>
    </w:p>
    <w:p w14:paraId="1CD6E268"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Barrecheguren, M.; Pinto, L.; Mostafavi-Pour-Manshadi, S. M. Y.; Tan, W. C.; Li, P. Z.; Aaron, S. D.; Benedetti, A.; Chapman, K. R.; Walker, B.; Fitzgerald, J. M.; et al. Identification and Definition of Asthma–COPD Overlap: The CanCOLD Study. </w:t>
      </w:r>
      <w:r w:rsidRPr="008B4A2A">
        <w:rPr>
          <w:i/>
          <w:iCs/>
          <w:noProof/>
          <w:szCs w:val="24"/>
        </w:rPr>
        <w:t>Respirology</w:t>
      </w:r>
      <w:r w:rsidRPr="008B4A2A">
        <w:rPr>
          <w:noProof/>
          <w:szCs w:val="24"/>
        </w:rPr>
        <w:t xml:space="preserve"> </w:t>
      </w:r>
      <w:r w:rsidRPr="008B4A2A">
        <w:rPr>
          <w:b/>
          <w:bCs/>
          <w:noProof/>
          <w:szCs w:val="24"/>
        </w:rPr>
        <w:t>2020</w:t>
      </w:r>
      <w:r w:rsidRPr="008B4A2A">
        <w:rPr>
          <w:noProof/>
          <w:szCs w:val="24"/>
        </w:rPr>
        <w:t xml:space="preserve">, </w:t>
      </w:r>
      <w:r w:rsidRPr="008B4A2A">
        <w:rPr>
          <w:i/>
          <w:iCs/>
          <w:noProof/>
          <w:szCs w:val="24"/>
        </w:rPr>
        <w:t>25</w:t>
      </w:r>
      <w:r w:rsidRPr="008B4A2A">
        <w:rPr>
          <w:noProof/>
          <w:szCs w:val="24"/>
        </w:rPr>
        <w:t xml:space="preserve"> (8), 836–849. doi: 10.1111/resp.13780.</w:t>
      </w:r>
    </w:p>
    <w:p w14:paraId="7AB87E3A"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Rubio, M. C.; Casamor, R.; Miravitlles, M. Identification and Distribution of COPD Phenotypes in Clinical Practice According to Spanish COPD Guidelines: The FENEPOC Study. </w:t>
      </w:r>
      <w:r w:rsidRPr="008B4A2A">
        <w:rPr>
          <w:i/>
          <w:iCs/>
          <w:noProof/>
          <w:szCs w:val="24"/>
        </w:rPr>
        <w:t>Int. J. COPD</w:t>
      </w:r>
      <w:r w:rsidRPr="008B4A2A">
        <w:rPr>
          <w:noProof/>
          <w:szCs w:val="24"/>
        </w:rPr>
        <w:t xml:space="preserve"> </w:t>
      </w:r>
      <w:r w:rsidRPr="008B4A2A">
        <w:rPr>
          <w:b/>
          <w:bCs/>
          <w:noProof/>
          <w:szCs w:val="24"/>
        </w:rPr>
        <w:t>2017</w:t>
      </w:r>
      <w:r w:rsidRPr="008B4A2A">
        <w:rPr>
          <w:noProof/>
          <w:szCs w:val="24"/>
        </w:rPr>
        <w:t xml:space="preserve">, </w:t>
      </w:r>
      <w:r w:rsidRPr="008B4A2A">
        <w:rPr>
          <w:i/>
          <w:iCs/>
          <w:noProof/>
          <w:szCs w:val="24"/>
        </w:rPr>
        <w:t>12</w:t>
      </w:r>
      <w:r w:rsidRPr="008B4A2A">
        <w:rPr>
          <w:noProof/>
          <w:szCs w:val="24"/>
        </w:rPr>
        <w:t>, 2373–2383. doi: 10.2147/COPD.S137872.</w:t>
      </w:r>
    </w:p>
    <w:p w14:paraId="12CF7E18"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van Boven, J. F. M.; Román-Rodríguez, M.; Palmer, J. F.; Toledo-Pons, N.; Cosío, B. G.; Soriano, J. B. Comorbidome, Pattern, and Impact of Asthma-COPD Overlap Syndrome in Real Life. </w:t>
      </w:r>
      <w:r w:rsidRPr="008B4A2A">
        <w:rPr>
          <w:i/>
          <w:iCs/>
          <w:noProof/>
          <w:szCs w:val="24"/>
        </w:rPr>
        <w:t>Chest</w:t>
      </w:r>
      <w:r w:rsidRPr="008B4A2A">
        <w:rPr>
          <w:noProof/>
          <w:szCs w:val="24"/>
        </w:rPr>
        <w:t xml:space="preserve"> </w:t>
      </w:r>
      <w:r w:rsidRPr="008B4A2A">
        <w:rPr>
          <w:b/>
          <w:bCs/>
          <w:noProof/>
          <w:szCs w:val="24"/>
        </w:rPr>
        <w:t>2016</w:t>
      </w:r>
      <w:r w:rsidRPr="008B4A2A">
        <w:rPr>
          <w:noProof/>
          <w:szCs w:val="24"/>
        </w:rPr>
        <w:t xml:space="preserve">, </w:t>
      </w:r>
      <w:r w:rsidRPr="008B4A2A">
        <w:rPr>
          <w:i/>
          <w:iCs/>
          <w:noProof/>
          <w:szCs w:val="24"/>
        </w:rPr>
        <w:t>149</w:t>
      </w:r>
      <w:r w:rsidRPr="008B4A2A">
        <w:rPr>
          <w:noProof/>
          <w:szCs w:val="24"/>
        </w:rPr>
        <w:t xml:space="preserve"> (4), 1011–1020. doi: 10.1016/j.chest.2015.12.002.</w:t>
      </w:r>
    </w:p>
    <w:p w14:paraId="3D251E7C"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Haskell, W. L.; Lee, I.-M.; Pate, R. R.; Powell, K. E.; Blair, S. N.; Franklin, B. A.; Macera, C.A.; Heath G.W.; Thompson, P.D.; Bauman, A. Physical Activity and Public Health: Updated Recommendation for Adults From the American College of Sports Medicine and the American Heart Association. </w:t>
      </w:r>
      <w:r w:rsidRPr="008B4A2A">
        <w:rPr>
          <w:i/>
          <w:iCs/>
          <w:noProof/>
          <w:szCs w:val="24"/>
        </w:rPr>
        <w:t>Circulation</w:t>
      </w:r>
      <w:r w:rsidRPr="008B4A2A">
        <w:rPr>
          <w:noProof/>
          <w:szCs w:val="24"/>
        </w:rPr>
        <w:t xml:space="preserve"> </w:t>
      </w:r>
      <w:r w:rsidRPr="008B4A2A">
        <w:rPr>
          <w:b/>
          <w:bCs/>
          <w:noProof/>
          <w:szCs w:val="24"/>
        </w:rPr>
        <w:t>2007</w:t>
      </w:r>
      <w:r w:rsidRPr="008B4A2A">
        <w:rPr>
          <w:noProof/>
          <w:szCs w:val="24"/>
        </w:rPr>
        <w:t xml:space="preserve">, </w:t>
      </w:r>
      <w:r w:rsidRPr="008B4A2A">
        <w:rPr>
          <w:i/>
          <w:iCs/>
          <w:noProof/>
          <w:szCs w:val="24"/>
        </w:rPr>
        <w:t>116</w:t>
      </w:r>
      <w:r w:rsidRPr="008B4A2A">
        <w:rPr>
          <w:noProof/>
          <w:szCs w:val="24"/>
        </w:rPr>
        <w:t xml:space="preserve"> (9), 1081–1093. doi: 10.1161/CIRCULATIONAHA.107.185649.</w:t>
      </w:r>
    </w:p>
    <w:p w14:paraId="540F44A0"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Warburton, D. E. R.; Nicol, C. W.; Bredin, S. S. D. Health Benefits of Physical Activity: The Evidence. </w:t>
      </w:r>
      <w:r w:rsidRPr="008B4A2A">
        <w:rPr>
          <w:i/>
          <w:iCs/>
          <w:noProof/>
          <w:szCs w:val="24"/>
        </w:rPr>
        <w:t>CMAJ</w:t>
      </w:r>
      <w:r w:rsidRPr="008B4A2A">
        <w:rPr>
          <w:noProof/>
          <w:szCs w:val="24"/>
        </w:rPr>
        <w:t xml:space="preserve"> </w:t>
      </w:r>
      <w:r w:rsidRPr="008B4A2A">
        <w:rPr>
          <w:b/>
          <w:bCs/>
          <w:noProof/>
          <w:szCs w:val="24"/>
        </w:rPr>
        <w:t>2006</w:t>
      </w:r>
      <w:r w:rsidRPr="008B4A2A">
        <w:rPr>
          <w:noProof/>
          <w:szCs w:val="24"/>
        </w:rPr>
        <w:t xml:space="preserve">, </w:t>
      </w:r>
      <w:r w:rsidRPr="008B4A2A">
        <w:rPr>
          <w:i/>
          <w:iCs/>
          <w:noProof/>
          <w:szCs w:val="24"/>
        </w:rPr>
        <w:t>174</w:t>
      </w:r>
      <w:r w:rsidRPr="008B4A2A">
        <w:rPr>
          <w:noProof/>
          <w:szCs w:val="24"/>
        </w:rPr>
        <w:t xml:space="preserve"> (6), 801–809. doi: 10.1503/cmaj.051351.</w:t>
      </w:r>
    </w:p>
    <w:p w14:paraId="68C89633"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Marques, A.; Peralta, M.; Sarmento, H.; Martins, J.; Gonzalez-Valeiro, M. Associations between Vigorous Physical Activity and Chronic Diseases in Older Adults: A Study in 13 European Countries. </w:t>
      </w:r>
      <w:r w:rsidRPr="008B4A2A">
        <w:rPr>
          <w:i/>
          <w:iCs/>
          <w:noProof/>
          <w:szCs w:val="24"/>
        </w:rPr>
        <w:t>Eur. J. Public Health</w:t>
      </w:r>
      <w:r w:rsidRPr="008B4A2A">
        <w:rPr>
          <w:noProof/>
          <w:szCs w:val="24"/>
        </w:rPr>
        <w:t xml:space="preserve"> </w:t>
      </w:r>
      <w:r w:rsidRPr="008B4A2A">
        <w:rPr>
          <w:b/>
          <w:bCs/>
          <w:noProof/>
          <w:szCs w:val="24"/>
        </w:rPr>
        <w:t>2018</w:t>
      </w:r>
      <w:r w:rsidRPr="008B4A2A">
        <w:rPr>
          <w:noProof/>
          <w:szCs w:val="24"/>
        </w:rPr>
        <w:t xml:space="preserve">, </w:t>
      </w:r>
      <w:r w:rsidRPr="008B4A2A">
        <w:rPr>
          <w:i/>
          <w:iCs/>
          <w:noProof/>
          <w:szCs w:val="24"/>
        </w:rPr>
        <w:t>28</w:t>
      </w:r>
      <w:r w:rsidRPr="008B4A2A">
        <w:rPr>
          <w:noProof/>
          <w:szCs w:val="24"/>
        </w:rPr>
        <w:t xml:space="preserve"> (5), 950–955. doi:10.1093/eurpub/cky086.</w:t>
      </w:r>
    </w:p>
    <w:p w14:paraId="723707D4" w14:textId="6150BB2D"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Barker, J.; Byrne, K.S.; Doherty, A.; Foster, C.; Rahimi, K.; Ramakrishnan, R.; Woodward, M.; Dwyer, T. Physical Activity of UK Adults with Chronic Disease: Cross-Sectional Analysis of Accelerometer-Measured Physical Activity in 96 706 UK Biobank Participants. </w:t>
      </w:r>
      <w:r w:rsidRPr="008B4A2A">
        <w:rPr>
          <w:i/>
          <w:iCs/>
          <w:noProof/>
          <w:szCs w:val="24"/>
        </w:rPr>
        <w:t>Int. J. Epidemiol.</w:t>
      </w:r>
      <w:r w:rsidRPr="008B4A2A">
        <w:rPr>
          <w:noProof/>
          <w:szCs w:val="24"/>
        </w:rPr>
        <w:t xml:space="preserve"> </w:t>
      </w:r>
      <w:r w:rsidRPr="008B4A2A">
        <w:rPr>
          <w:b/>
          <w:bCs/>
          <w:noProof/>
          <w:szCs w:val="24"/>
        </w:rPr>
        <w:t>2019</w:t>
      </w:r>
      <w:r w:rsidRPr="008B4A2A">
        <w:rPr>
          <w:noProof/>
          <w:szCs w:val="24"/>
        </w:rPr>
        <w:t xml:space="preserve">, </w:t>
      </w:r>
      <w:r w:rsidRPr="008B4A2A">
        <w:rPr>
          <w:i/>
          <w:iCs/>
          <w:noProof/>
          <w:szCs w:val="24"/>
        </w:rPr>
        <w:t>48</w:t>
      </w:r>
      <w:r w:rsidRPr="008B4A2A">
        <w:rPr>
          <w:noProof/>
          <w:szCs w:val="24"/>
        </w:rPr>
        <w:t xml:space="preserve"> (4), 1167–1174. doi: 10.1093/ije/dyy294.</w:t>
      </w:r>
    </w:p>
    <w:p w14:paraId="44344009"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n-GB"/>
        </w:rPr>
      </w:pPr>
      <w:r w:rsidRPr="008B4A2A">
        <w:rPr>
          <w:noProof/>
          <w:szCs w:val="24"/>
        </w:rPr>
        <w:t xml:space="preserve">Kim, S. Y.; Jeon, S. W.; Lee, M. Y.; Shin, D. W.; Lim, W. J.; Shin, Y. C.; Oh, K. S. The Association between Physical Activity and Anxiety Symptoms for General Adult Populations: An Analysis of the Dose-Response Relationship. </w:t>
      </w:r>
      <w:r w:rsidRPr="008B4A2A">
        <w:rPr>
          <w:i/>
          <w:iCs/>
          <w:noProof/>
          <w:szCs w:val="24"/>
          <w:lang w:val="en-GB"/>
        </w:rPr>
        <w:t>Psychiatry Investig.</w:t>
      </w:r>
      <w:r w:rsidRPr="008B4A2A">
        <w:rPr>
          <w:noProof/>
          <w:szCs w:val="24"/>
          <w:lang w:val="en-GB"/>
        </w:rPr>
        <w:t xml:space="preserve"> </w:t>
      </w:r>
      <w:r w:rsidRPr="008B4A2A">
        <w:rPr>
          <w:b/>
          <w:bCs/>
          <w:noProof/>
          <w:szCs w:val="24"/>
          <w:lang w:val="en-GB"/>
        </w:rPr>
        <w:t>2020</w:t>
      </w:r>
      <w:r w:rsidRPr="008B4A2A">
        <w:rPr>
          <w:noProof/>
          <w:szCs w:val="24"/>
          <w:lang w:val="en-GB"/>
        </w:rPr>
        <w:t xml:space="preserve">, </w:t>
      </w:r>
      <w:r w:rsidRPr="008B4A2A">
        <w:rPr>
          <w:i/>
          <w:iCs/>
          <w:noProof/>
          <w:szCs w:val="24"/>
          <w:lang w:val="en-GB"/>
        </w:rPr>
        <w:t>17</w:t>
      </w:r>
      <w:r w:rsidRPr="008B4A2A">
        <w:rPr>
          <w:noProof/>
          <w:szCs w:val="24"/>
          <w:lang w:val="en-GB"/>
        </w:rPr>
        <w:t xml:space="preserve"> (1), 29–36. doi: 10.30773/pi.2019.0078.</w:t>
      </w:r>
    </w:p>
    <w:p w14:paraId="23896207"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n-GB"/>
        </w:rPr>
      </w:pPr>
      <w:r w:rsidRPr="008B4A2A">
        <w:rPr>
          <w:noProof/>
          <w:szCs w:val="24"/>
          <w:lang w:val="es-ES"/>
        </w:rPr>
        <w:t xml:space="preserve">Sobradillo, V.; Miravitlles, M.; Jiménez, C. A.; Gabriel, R.; Viejo, J. L.; Masa, J. F.; Fernández-Fau, L.; Villasante, C. Estudio IBERPOC En España: Prevalencia de Síntomas Respiratorios Habituales y de Limitación Crónica Al Flujo Aéreo. </w:t>
      </w:r>
      <w:r w:rsidRPr="008B4A2A">
        <w:rPr>
          <w:i/>
          <w:iCs/>
          <w:noProof/>
          <w:szCs w:val="24"/>
          <w:lang w:val="es-ES"/>
        </w:rPr>
        <w:t>Arch. Bronconeumol.</w:t>
      </w:r>
      <w:r w:rsidRPr="008B4A2A">
        <w:rPr>
          <w:noProof/>
          <w:szCs w:val="24"/>
          <w:lang w:val="es-ES"/>
        </w:rPr>
        <w:t xml:space="preserve"> </w:t>
      </w:r>
      <w:r w:rsidRPr="008B4A2A">
        <w:rPr>
          <w:b/>
          <w:bCs/>
          <w:noProof/>
          <w:szCs w:val="24"/>
          <w:lang w:val="en-GB"/>
        </w:rPr>
        <w:t>2015</w:t>
      </w:r>
      <w:r w:rsidRPr="008B4A2A">
        <w:rPr>
          <w:noProof/>
          <w:szCs w:val="24"/>
          <w:lang w:val="en-GB"/>
        </w:rPr>
        <w:t xml:space="preserve">, </w:t>
      </w:r>
      <w:r w:rsidRPr="008B4A2A">
        <w:rPr>
          <w:i/>
          <w:iCs/>
          <w:noProof/>
          <w:szCs w:val="24"/>
          <w:lang w:val="en-GB"/>
        </w:rPr>
        <w:t>35</w:t>
      </w:r>
      <w:r w:rsidRPr="008B4A2A">
        <w:rPr>
          <w:noProof/>
          <w:szCs w:val="24"/>
          <w:lang w:val="en-GB"/>
        </w:rPr>
        <w:t xml:space="preserve"> (4), 159–166. doi: 10.1016/s0300-2896(15)30272-6.</w:t>
      </w:r>
    </w:p>
    <w:p w14:paraId="68826854"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lang w:val="en-GB"/>
        </w:rPr>
        <w:t xml:space="preserve">Dogra, S.; Kuk, J. L.; Baker, J.; Jamnik, V. Exercise Is Associated with Improved Asthma Control in Adults. </w:t>
      </w:r>
      <w:r w:rsidRPr="008B4A2A">
        <w:rPr>
          <w:i/>
          <w:iCs/>
          <w:noProof/>
          <w:szCs w:val="24"/>
          <w:lang w:val="en-GB"/>
        </w:rPr>
        <w:t>Eur. Respir. J.</w:t>
      </w:r>
      <w:r w:rsidRPr="008B4A2A">
        <w:rPr>
          <w:noProof/>
          <w:szCs w:val="24"/>
          <w:lang w:val="en-GB"/>
        </w:rPr>
        <w:t xml:space="preserve"> </w:t>
      </w:r>
      <w:r w:rsidRPr="008B4A2A">
        <w:rPr>
          <w:b/>
          <w:bCs/>
          <w:noProof/>
          <w:szCs w:val="24"/>
          <w:lang w:val="en-GB"/>
        </w:rPr>
        <w:t>20</w:t>
      </w:r>
      <w:r w:rsidRPr="008B4A2A">
        <w:rPr>
          <w:b/>
          <w:bCs/>
          <w:noProof/>
          <w:szCs w:val="24"/>
        </w:rPr>
        <w:t>11</w:t>
      </w:r>
      <w:r w:rsidRPr="008B4A2A">
        <w:rPr>
          <w:noProof/>
          <w:szCs w:val="24"/>
        </w:rPr>
        <w:t xml:space="preserve">, </w:t>
      </w:r>
      <w:r w:rsidRPr="008B4A2A">
        <w:rPr>
          <w:i/>
          <w:iCs/>
          <w:noProof/>
          <w:szCs w:val="24"/>
        </w:rPr>
        <w:t>37</w:t>
      </w:r>
      <w:r w:rsidRPr="008B4A2A">
        <w:rPr>
          <w:noProof/>
          <w:szCs w:val="24"/>
        </w:rPr>
        <w:t xml:space="preserve"> (2), 318–323. doi: 10.1183/09031936.00182209.</w:t>
      </w:r>
    </w:p>
    <w:p w14:paraId="6DE94AC9"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Cebollero, P.; Antón, M.; Hernández, M.; Hueto, J. Walking Program for Copd Patients: Clinical Impact After Two Years of Follow-Up. </w:t>
      </w:r>
      <w:r w:rsidRPr="008B4A2A">
        <w:rPr>
          <w:i/>
          <w:iCs/>
          <w:noProof/>
          <w:szCs w:val="24"/>
        </w:rPr>
        <w:t>Arch. Bronconeumol.</w:t>
      </w:r>
      <w:r w:rsidRPr="008B4A2A">
        <w:rPr>
          <w:noProof/>
          <w:szCs w:val="24"/>
        </w:rPr>
        <w:t xml:space="preserve"> </w:t>
      </w:r>
      <w:r w:rsidRPr="008B4A2A">
        <w:rPr>
          <w:b/>
          <w:bCs/>
          <w:noProof/>
          <w:szCs w:val="24"/>
        </w:rPr>
        <w:t>2018</w:t>
      </w:r>
      <w:r w:rsidRPr="008B4A2A">
        <w:rPr>
          <w:noProof/>
          <w:szCs w:val="24"/>
        </w:rPr>
        <w:t xml:space="preserve">, </w:t>
      </w:r>
      <w:r w:rsidRPr="008B4A2A">
        <w:rPr>
          <w:i/>
          <w:iCs/>
          <w:noProof/>
          <w:szCs w:val="24"/>
        </w:rPr>
        <w:t>54</w:t>
      </w:r>
      <w:r w:rsidRPr="008B4A2A">
        <w:rPr>
          <w:noProof/>
          <w:szCs w:val="24"/>
        </w:rPr>
        <w:t xml:space="preserve"> (8), 439–440. doi: 10.1016/j.arbres.2017.11.002.</w:t>
      </w:r>
    </w:p>
    <w:p w14:paraId="29E6ECEB"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Garcia-Aymerich, J.; Farrero, E.; Félez, M. A.; Izquierdo, J.; Marrades, R. M.; Antó, J. M. </w:t>
      </w:r>
      <w:r w:rsidRPr="008B4A2A">
        <w:rPr>
          <w:iCs/>
          <w:noProof/>
          <w:szCs w:val="24"/>
        </w:rPr>
        <w:t>Risk Factors of Readmission to Hospital for a COPD Exacerbation: A Prospective Study</w:t>
      </w:r>
      <w:r w:rsidRPr="008B4A2A">
        <w:rPr>
          <w:noProof/>
          <w:szCs w:val="24"/>
        </w:rPr>
        <w:t xml:space="preserve">. </w:t>
      </w:r>
      <w:r w:rsidRPr="008B4A2A">
        <w:rPr>
          <w:i/>
          <w:noProof/>
          <w:szCs w:val="24"/>
        </w:rPr>
        <w:t>Thorax.</w:t>
      </w:r>
      <w:r w:rsidRPr="008B4A2A">
        <w:rPr>
          <w:noProof/>
          <w:szCs w:val="24"/>
        </w:rPr>
        <w:t xml:space="preserve"> </w:t>
      </w:r>
      <w:r w:rsidRPr="008B4A2A">
        <w:rPr>
          <w:b/>
          <w:noProof/>
          <w:szCs w:val="24"/>
        </w:rPr>
        <w:t>2003</w:t>
      </w:r>
      <w:r w:rsidRPr="008B4A2A">
        <w:rPr>
          <w:noProof/>
          <w:szCs w:val="24"/>
        </w:rPr>
        <w:t>, 58(2), 100-105. doi: 10.1136/thorax.58.2.100.</w:t>
      </w:r>
    </w:p>
    <w:p w14:paraId="1B1BBC6E"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Sánchez-Castillo, S.; Smith, L.; Díaz-Suárez, A.; López-Sánchez, G. F. Associations between Physical Activity and Comorbidities in People with COPD Residing in Spain: A Cross-Sectional Analysis. </w:t>
      </w:r>
      <w:r w:rsidRPr="008B4A2A">
        <w:rPr>
          <w:i/>
          <w:iCs/>
          <w:noProof/>
          <w:szCs w:val="24"/>
        </w:rPr>
        <w:t>Int. J. Environ. Res. Public Health</w:t>
      </w:r>
      <w:r w:rsidRPr="008B4A2A">
        <w:rPr>
          <w:noProof/>
          <w:szCs w:val="24"/>
        </w:rPr>
        <w:t xml:space="preserve"> </w:t>
      </w:r>
      <w:r w:rsidRPr="008B4A2A">
        <w:rPr>
          <w:b/>
          <w:bCs/>
          <w:noProof/>
          <w:szCs w:val="24"/>
        </w:rPr>
        <w:t>2020</w:t>
      </w:r>
      <w:r w:rsidRPr="008B4A2A">
        <w:rPr>
          <w:noProof/>
          <w:szCs w:val="24"/>
        </w:rPr>
        <w:t xml:space="preserve">, </w:t>
      </w:r>
      <w:r w:rsidRPr="008B4A2A">
        <w:rPr>
          <w:i/>
          <w:iCs/>
          <w:noProof/>
          <w:szCs w:val="24"/>
        </w:rPr>
        <w:t>17</w:t>
      </w:r>
      <w:r w:rsidRPr="008B4A2A">
        <w:rPr>
          <w:noProof/>
          <w:szCs w:val="24"/>
        </w:rPr>
        <w:t xml:space="preserve"> (2), 594. doi: 10.3390/ijerph17020594.</w:t>
      </w:r>
    </w:p>
    <w:p w14:paraId="12187F43"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Sánchez-Castillo, S.; Smith, L.; Díaz-Suárez, A.; López-Sánchez, G. F. Analysis of Physical Activity and Comorbidities in Spanish Asthmatics. </w:t>
      </w:r>
      <w:r w:rsidRPr="008B4A2A">
        <w:rPr>
          <w:i/>
          <w:iCs/>
          <w:noProof/>
          <w:szCs w:val="24"/>
        </w:rPr>
        <w:t>Sustain.</w:t>
      </w:r>
      <w:r w:rsidRPr="008B4A2A">
        <w:rPr>
          <w:noProof/>
          <w:szCs w:val="24"/>
        </w:rPr>
        <w:t xml:space="preserve"> </w:t>
      </w:r>
      <w:r w:rsidRPr="008B4A2A">
        <w:rPr>
          <w:b/>
          <w:bCs/>
          <w:noProof/>
          <w:szCs w:val="24"/>
        </w:rPr>
        <w:t>2020</w:t>
      </w:r>
      <w:r w:rsidRPr="008B4A2A">
        <w:rPr>
          <w:noProof/>
          <w:szCs w:val="24"/>
        </w:rPr>
        <w:t xml:space="preserve">, </w:t>
      </w:r>
      <w:r w:rsidRPr="008B4A2A">
        <w:rPr>
          <w:i/>
          <w:iCs/>
          <w:noProof/>
          <w:szCs w:val="24"/>
        </w:rPr>
        <w:t>12</w:t>
      </w:r>
      <w:r w:rsidRPr="008B4A2A">
        <w:rPr>
          <w:noProof/>
          <w:szCs w:val="24"/>
        </w:rPr>
        <w:t xml:space="preserve"> (13), 1–11. doi: 10.3390/su12135256.</w:t>
      </w:r>
    </w:p>
    <w:p w14:paraId="50D6E2C3"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STROBE Group. STROBE Statement: checklist of items that should be included in reports of cross-sectional studies. Available online: </w:t>
      </w:r>
      <w:hyperlink r:id="rId11" w:history="1">
        <w:r w:rsidRPr="008B4A2A">
          <w:rPr>
            <w:rStyle w:val="Hyperlink"/>
            <w:noProof/>
            <w:szCs w:val="24"/>
          </w:rPr>
          <w:t>https://www.strobe-statement.org/</w:t>
        </w:r>
      </w:hyperlink>
      <w:r w:rsidRPr="008B4A2A">
        <w:rPr>
          <w:noProof/>
          <w:szCs w:val="24"/>
        </w:rPr>
        <w:t xml:space="preserve"> (accessed on 28 April 2021).</w:t>
      </w:r>
    </w:p>
    <w:p w14:paraId="5EC6403C"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s-ES"/>
        </w:rPr>
      </w:pPr>
      <w:r w:rsidRPr="008B4A2A">
        <w:rPr>
          <w:noProof/>
          <w:szCs w:val="24"/>
          <w:lang w:val="es-ES"/>
        </w:rPr>
        <w:t xml:space="preserve">Instituto Nacional de Estadística. Encuesta nacional de salud. Resultados. Available online: </w:t>
      </w:r>
      <w:hyperlink r:id="rId12" w:history="1">
        <w:r w:rsidRPr="008B4A2A">
          <w:rPr>
            <w:rStyle w:val="Hyperlink"/>
            <w:noProof/>
            <w:szCs w:val="24"/>
            <w:lang w:val="es-ES"/>
          </w:rPr>
          <w:t>https://www.ine.es</w:t>
        </w:r>
      </w:hyperlink>
      <w:r w:rsidRPr="008B4A2A">
        <w:rPr>
          <w:noProof/>
          <w:szCs w:val="24"/>
          <w:lang w:val="es-ES"/>
        </w:rPr>
        <w:t xml:space="preserve"> (accessed on 2 Feb 2021).</w:t>
      </w:r>
    </w:p>
    <w:p w14:paraId="769B1F20"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lang w:val="es-ES"/>
        </w:rPr>
        <w:t xml:space="preserve">Ministerio de Sanidad Servicios Sociales e Igualdad; Instituto Nacional de Estadística. Encuesta Nacional de Salud 2017 Metodología. </w:t>
      </w:r>
      <w:r w:rsidRPr="008B4A2A">
        <w:rPr>
          <w:b/>
          <w:bCs/>
          <w:noProof/>
          <w:szCs w:val="24"/>
        </w:rPr>
        <w:t>2017</w:t>
      </w:r>
      <w:r w:rsidRPr="008B4A2A">
        <w:rPr>
          <w:noProof/>
          <w:szCs w:val="24"/>
        </w:rPr>
        <w:t>.</w:t>
      </w:r>
    </w:p>
    <w:p w14:paraId="38060CF4"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IPAQ Group. Guidelines for Data Processing and Analysis of the International Physical Activity Questionnaire (IPAQ). </w:t>
      </w:r>
      <w:r w:rsidRPr="008B4A2A">
        <w:rPr>
          <w:b/>
          <w:noProof/>
          <w:szCs w:val="24"/>
        </w:rPr>
        <w:t>2005.</w:t>
      </w:r>
    </w:p>
    <w:p w14:paraId="5B2BD012"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Martin, L. M.; Leff, M.; Calonge, N.; Garrett, C.; Nelson, D. E. Validation of Self-Reported Chronic Conditions and Health Services in a Managed Care Population. </w:t>
      </w:r>
      <w:r w:rsidRPr="008B4A2A">
        <w:rPr>
          <w:i/>
          <w:iCs/>
          <w:noProof/>
          <w:szCs w:val="24"/>
        </w:rPr>
        <w:t>Am. J. Prev. Med.</w:t>
      </w:r>
      <w:r w:rsidRPr="008B4A2A">
        <w:rPr>
          <w:noProof/>
          <w:szCs w:val="24"/>
        </w:rPr>
        <w:t xml:space="preserve"> </w:t>
      </w:r>
      <w:r w:rsidRPr="008B4A2A">
        <w:rPr>
          <w:b/>
          <w:bCs/>
          <w:noProof/>
          <w:szCs w:val="24"/>
        </w:rPr>
        <w:t>2000</w:t>
      </w:r>
      <w:r w:rsidRPr="008B4A2A">
        <w:rPr>
          <w:noProof/>
          <w:szCs w:val="24"/>
        </w:rPr>
        <w:t xml:space="preserve">, </w:t>
      </w:r>
      <w:r w:rsidRPr="008B4A2A">
        <w:rPr>
          <w:i/>
          <w:iCs/>
          <w:noProof/>
          <w:szCs w:val="24"/>
        </w:rPr>
        <w:t>18</w:t>
      </w:r>
      <w:r w:rsidRPr="008B4A2A">
        <w:rPr>
          <w:noProof/>
          <w:szCs w:val="24"/>
        </w:rPr>
        <w:t xml:space="preserve"> (3), 215–218. doi: 10.1016/S0749-3797(99)00158-0.</w:t>
      </w:r>
    </w:p>
    <w:p w14:paraId="3ADA1DCD"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Toren, K.; Brisman, J.; Jarvholm, B. Asthma and Asthma-like Symptoms in Adults Assessed by Questionnaires: A Literature Review. </w:t>
      </w:r>
      <w:r w:rsidRPr="008B4A2A">
        <w:rPr>
          <w:i/>
          <w:iCs/>
          <w:noProof/>
          <w:szCs w:val="24"/>
        </w:rPr>
        <w:t>Chest</w:t>
      </w:r>
      <w:r w:rsidRPr="008B4A2A">
        <w:rPr>
          <w:noProof/>
          <w:szCs w:val="24"/>
        </w:rPr>
        <w:t xml:space="preserve"> </w:t>
      </w:r>
      <w:r w:rsidRPr="008B4A2A">
        <w:rPr>
          <w:b/>
          <w:bCs/>
          <w:noProof/>
          <w:szCs w:val="24"/>
        </w:rPr>
        <w:t>1993</w:t>
      </w:r>
      <w:r w:rsidRPr="008B4A2A">
        <w:rPr>
          <w:noProof/>
          <w:szCs w:val="24"/>
        </w:rPr>
        <w:t xml:space="preserve">, </w:t>
      </w:r>
      <w:r w:rsidRPr="008B4A2A">
        <w:rPr>
          <w:i/>
          <w:iCs/>
          <w:noProof/>
          <w:szCs w:val="24"/>
        </w:rPr>
        <w:t>104</w:t>
      </w:r>
      <w:r w:rsidRPr="008B4A2A">
        <w:rPr>
          <w:noProof/>
          <w:szCs w:val="24"/>
        </w:rPr>
        <w:t xml:space="preserve"> (2), 600–608. doi: 10.1378/chest.104.2.600.</w:t>
      </w:r>
    </w:p>
    <w:p w14:paraId="5CB62474"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Barr, R. G. Validation of Self-Reported Chronic Obstructive Pulmonary Disease in a Cohort Study of Nurses. </w:t>
      </w:r>
      <w:r w:rsidRPr="008B4A2A">
        <w:rPr>
          <w:i/>
          <w:iCs/>
          <w:noProof/>
          <w:szCs w:val="24"/>
        </w:rPr>
        <w:t>Am. J. Epidemiol.</w:t>
      </w:r>
      <w:r w:rsidRPr="008B4A2A">
        <w:rPr>
          <w:noProof/>
          <w:szCs w:val="24"/>
        </w:rPr>
        <w:t xml:space="preserve"> </w:t>
      </w:r>
      <w:r w:rsidRPr="008B4A2A">
        <w:rPr>
          <w:b/>
          <w:bCs/>
          <w:noProof/>
          <w:szCs w:val="24"/>
        </w:rPr>
        <w:t>2002</w:t>
      </w:r>
      <w:r w:rsidRPr="008B4A2A">
        <w:rPr>
          <w:noProof/>
          <w:szCs w:val="24"/>
        </w:rPr>
        <w:t xml:space="preserve">, </w:t>
      </w:r>
      <w:r w:rsidRPr="008B4A2A">
        <w:rPr>
          <w:i/>
          <w:iCs/>
          <w:noProof/>
          <w:szCs w:val="24"/>
        </w:rPr>
        <w:t>155</w:t>
      </w:r>
      <w:r w:rsidRPr="008B4A2A">
        <w:rPr>
          <w:noProof/>
          <w:szCs w:val="24"/>
        </w:rPr>
        <w:t xml:space="preserve"> (10), 965–971. doi: 10.1093/aje/155.10.965.</w:t>
      </w:r>
    </w:p>
    <w:p w14:paraId="52A14DF5"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Sánchez-Castillo, S.; Smith, L.; Díaz-Suárez, A.; López-Sánchez, G. F. Physical Activity Behaviour in People with COPD Residing in Spain: A Cross-Sectional Analysis. </w:t>
      </w:r>
      <w:r w:rsidRPr="008B4A2A">
        <w:rPr>
          <w:i/>
          <w:iCs/>
          <w:noProof/>
          <w:szCs w:val="24"/>
        </w:rPr>
        <w:t>Lung</w:t>
      </w:r>
      <w:r w:rsidRPr="008B4A2A">
        <w:rPr>
          <w:noProof/>
          <w:szCs w:val="24"/>
        </w:rPr>
        <w:t xml:space="preserve"> </w:t>
      </w:r>
      <w:r w:rsidRPr="008B4A2A">
        <w:rPr>
          <w:b/>
          <w:bCs/>
          <w:noProof/>
          <w:szCs w:val="24"/>
        </w:rPr>
        <w:t>2019</w:t>
      </w:r>
      <w:r w:rsidRPr="008B4A2A">
        <w:rPr>
          <w:noProof/>
          <w:szCs w:val="24"/>
        </w:rPr>
        <w:t xml:space="preserve">, </w:t>
      </w:r>
      <w:r w:rsidRPr="008B4A2A">
        <w:rPr>
          <w:i/>
          <w:iCs/>
          <w:noProof/>
          <w:szCs w:val="24"/>
        </w:rPr>
        <w:t>197</w:t>
      </w:r>
      <w:r w:rsidRPr="008B4A2A">
        <w:rPr>
          <w:noProof/>
          <w:szCs w:val="24"/>
        </w:rPr>
        <w:t xml:space="preserve"> (6), 769–775. doi: 10.1007/s00408-019-00287-4.</w:t>
      </w:r>
    </w:p>
    <w:p w14:paraId="1138855A"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Sánchez-Castillo, S.; Smith, L.; Díaz-Suárez, A. D.; López-Sánchez, G. F. Levels of Physical Activity in Spanish Asthmatics: A </w:t>
      </w:r>
      <w:r w:rsidRPr="008B4A2A">
        <w:rPr>
          <w:noProof/>
          <w:szCs w:val="24"/>
        </w:rPr>
        <w:lastRenderedPageBreak/>
        <w:t xml:space="preserve">Cross-Sectional Study. </w:t>
      </w:r>
      <w:r w:rsidRPr="008B4A2A">
        <w:rPr>
          <w:i/>
          <w:iCs/>
          <w:noProof/>
          <w:szCs w:val="24"/>
        </w:rPr>
        <w:t>Med.</w:t>
      </w:r>
      <w:r w:rsidRPr="008B4A2A">
        <w:rPr>
          <w:noProof/>
          <w:szCs w:val="24"/>
        </w:rPr>
        <w:t xml:space="preserve"> </w:t>
      </w:r>
      <w:r w:rsidRPr="008B4A2A">
        <w:rPr>
          <w:b/>
          <w:bCs/>
          <w:noProof/>
          <w:szCs w:val="24"/>
        </w:rPr>
        <w:t>2020</w:t>
      </w:r>
      <w:r w:rsidRPr="008B4A2A">
        <w:rPr>
          <w:noProof/>
          <w:szCs w:val="24"/>
        </w:rPr>
        <w:t xml:space="preserve">, </w:t>
      </w:r>
      <w:r w:rsidRPr="008B4A2A">
        <w:rPr>
          <w:i/>
          <w:iCs/>
          <w:noProof/>
          <w:szCs w:val="24"/>
        </w:rPr>
        <w:t>56</w:t>
      </w:r>
      <w:r w:rsidRPr="008B4A2A">
        <w:rPr>
          <w:noProof/>
          <w:szCs w:val="24"/>
        </w:rPr>
        <w:t xml:space="preserve"> (12), 1–11. doi: 10.3390/medicina56120643.</w:t>
      </w:r>
    </w:p>
    <w:p w14:paraId="40607CE7" w14:textId="77777777" w:rsidR="00735766" w:rsidRPr="008B4A2A" w:rsidRDefault="00735766" w:rsidP="00735766">
      <w:pPr>
        <w:pStyle w:val="MDPI71References"/>
        <w:widowControl w:val="0"/>
        <w:numPr>
          <w:ilvl w:val="0"/>
          <w:numId w:val="3"/>
        </w:numPr>
        <w:autoSpaceDE w:val="0"/>
        <w:autoSpaceDN w:val="0"/>
        <w:spacing w:line="240" w:lineRule="auto"/>
        <w:rPr>
          <w:noProof/>
          <w:szCs w:val="24"/>
          <w:lang w:val="en-GB"/>
        </w:rPr>
      </w:pPr>
      <w:r w:rsidRPr="008B4A2A">
        <w:rPr>
          <w:noProof/>
          <w:szCs w:val="24"/>
        </w:rPr>
        <w:t xml:space="preserve">Jacob, L.; López-Sánchez, G. F.; Oh, H.; Shin, J. Il; Grabovac, I.; Soysal, P.; Ilie, P. C.; Veronese, N.; Koyanagi, A.; Smith, L. Association of Multimorbidity with Higher Levels of Urinary Incontinence: A Cross-Sectional Study of 23 089 Individuals Aged ≥15 Years Residing in Spain. </w:t>
      </w:r>
      <w:r w:rsidRPr="008B4A2A">
        <w:rPr>
          <w:i/>
          <w:iCs/>
          <w:noProof/>
          <w:szCs w:val="24"/>
          <w:lang w:val="pt-PT"/>
        </w:rPr>
        <w:t>Br. J. Gen. Pract.</w:t>
      </w:r>
      <w:r w:rsidRPr="008B4A2A">
        <w:rPr>
          <w:noProof/>
          <w:szCs w:val="24"/>
          <w:lang w:val="pt-PT"/>
        </w:rPr>
        <w:t xml:space="preserve"> </w:t>
      </w:r>
      <w:r w:rsidRPr="008B4A2A">
        <w:rPr>
          <w:b/>
          <w:bCs/>
          <w:noProof/>
          <w:szCs w:val="24"/>
          <w:lang w:val="en-GB"/>
        </w:rPr>
        <w:t>2021</w:t>
      </w:r>
      <w:r w:rsidRPr="008B4A2A">
        <w:rPr>
          <w:noProof/>
          <w:szCs w:val="24"/>
          <w:lang w:val="en-GB"/>
        </w:rPr>
        <w:t xml:space="preserve">, </w:t>
      </w:r>
      <w:r w:rsidRPr="008B4A2A">
        <w:rPr>
          <w:i/>
          <w:iCs/>
          <w:noProof/>
          <w:szCs w:val="24"/>
          <w:lang w:val="en-GB"/>
        </w:rPr>
        <w:t>71</w:t>
      </w:r>
      <w:r w:rsidRPr="008B4A2A">
        <w:rPr>
          <w:noProof/>
          <w:szCs w:val="24"/>
          <w:lang w:val="en-GB"/>
        </w:rPr>
        <w:t xml:space="preserve"> (702), E71–E77. doi: 10.3399/bjgp20X713921.</w:t>
      </w:r>
    </w:p>
    <w:p w14:paraId="50A46E07"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IPAQ Group. International Physical Activity Questionnaire. Available online: https://sites.google.com/site/theipaq/ (accessed on 11 Jan 2021).</w:t>
      </w:r>
    </w:p>
    <w:p w14:paraId="4F1DE0A7"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Craig, C. L.; Marshall, A. L.; Sjöström, M.; Bauman, A. E.; Booth, M. L.; Ainsworth, B. E.; Pratt, M.; Ekelund, U.; Yngve, A.; Sallis, J.F. et al. International Physical Activity Questionnaire: 12-Country Reliability and Validity. </w:t>
      </w:r>
      <w:r w:rsidRPr="008B4A2A">
        <w:rPr>
          <w:i/>
          <w:iCs/>
          <w:noProof/>
          <w:szCs w:val="24"/>
        </w:rPr>
        <w:t>Med. Sci. Sport. Exerc</w:t>
      </w:r>
      <w:r w:rsidRPr="008B4A2A">
        <w:rPr>
          <w:noProof/>
          <w:szCs w:val="24"/>
        </w:rPr>
        <w:t xml:space="preserve"> </w:t>
      </w:r>
      <w:r w:rsidRPr="008B4A2A">
        <w:rPr>
          <w:b/>
          <w:bCs/>
          <w:noProof/>
          <w:szCs w:val="24"/>
        </w:rPr>
        <w:t>2003</w:t>
      </w:r>
      <w:r w:rsidRPr="008B4A2A">
        <w:rPr>
          <w:noProof/>
          <w:szCs w:val="24"/>
        </w:rPr>
        <w:t xml:space="preserve">, </w:t>
      </w:r>
      <w:r w:rsidRPr="008B4A2A">
        <w:rPr>
          <w:i/>
          <w:iCs/>
          <w:noProof/>
          <w:szCs w:val="24"/>
        </w:rPr>
        <w:t>35</w:t>
      </w:r>
      <w:r w:rsidRPr="008B4A2A">
        <w:rPr>
          <w:noProof/>
          <w:szCs w:val="24"/>
        </w:rPr>
        <w:t xml:space="preserve"> (8), 1381–1395. doi: 10.1249/01.MSS.0000078924.61453.FB.</w:t>
      </w:r>
    </w:p>
    <w:p w14:paraId="484045E7"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Roman-Viñas, B.; Serra-Majem, L.; Hagströmer, M.; Ribas-Barba, L.; Sjöström, M.; Segura-Cardona, R. International Physical Activity Questionnaire: Reliability and Validity in a Spanish Population. </w:t>
      </w:r>
      <w:r w:rsidRPr="008B4A2A">
        <w:rPr>
          <w:i/>
          <w:iCs/>
          <w:noProof/>
          <w:szCs w:val="24"/>
        </w:rPr>
        <w:t>Eur. J. Sport Sci.</w:t>
      </w:r>
      <w:r w:rsidRPr="008B4A2A">
        <w:rPr>
          <w:noProof/>
          <w:szCs w:val="24"/>
        </w:rPr>
        <w:t xml:space="preserve"> </w:t>
      </w:r>
      <w:r w:rsidRPr="008B4A2A">
        <w:rPr>
          <w:b/>
          <w:bCs/>
          <w:noProof/>
          <w:szCs w:val="24"/>
        </w:rPr>
        <w:t>2010</w:t>
      </w:r>
      <w:r w:rsidRPr="008B4A2A">
        <w:rPr>
          <w:noProof/>
          <w:szCs w:val="24"/>
        </w:rPr>
        <w:t xml:space="preserve">, </w:t>
      </w:r>
      <w:r w:rsidRPr="008B4A2A">
        <w:rPr>
          <w:i/>
          <w:iCs/>
          <w:noProof/>
          <w:szCs w:val="24"/>
        </w:rPr>
        <w:t>10</w:t>
      </w:r>
      <w:r w:rsidRPr="008B4A2A">
        <w:rPr>
          <w:noProof/>
          <w:szCs w:val="24"/>
        </w:rPr>
        <w:t xml:space="preserve"> (5), 297–304. doi: 10.1080/17461390903426667.</w:t>
      </w:r>
    </w:p>
    <w:p w14:paraId="64C68396"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ICD-11 - Mortality and Morbidity Statistics. Available online: https://icd.who.int/browse11/ (accessed on 8 May 2021).</w:t>
      </w:r>
    </w:p>
    <w:p w14:paraId="2EB2F513"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Good, J.; Jagroop, D.; Dogra, S. Sociodemographic, Health-Related and Lifestyle Correlates of Physical Activity in Adults with Current Asthma. </w:t>
      </w:r>
      <w:r w:rsidRPr="008B4A2A">
        <w:rPr>
          <w:i/>
          <w:iCs/>
          <w:noProof/>
          <w:szCs w:val="24"/>
        </w:rPr>
        <w:t>J. Asthma</w:t>
      </w:r>
      <w:r w:rsidRPr="008B4A2A">
        <w:rPr>
          <w:noProof/>
          <w:szCs w:val="24"/>
        </w:rPr>
        <w:t xml:space="preserve"> </w:t>
      </w:r>
      <w:r w:rsidRPr="008B4A2A">
        <w:rPr>
          <w:b/>
          <w:bCs/>
          <w:noProof/>
          <w:szCs w:val="24"/>
        </w:rPr>
        <w:t>2017</w:t>
      </w:r>
      <w:r w:rsidRPr="008B4A2A">
        <w:rPr>
          <w:noProof/>
          <w:szCs w:val="24"/>
        </w:rPr>
        <w:t xml:space="preserve">, </w:t>
      </w:r>
      <w:r w:rsidRPr="008B4A2A">
        <w:rPr>
          <w:i/>
          <w:iCs/>
          <w:noProof/>
          <w:szCs w:val="24"/>
        </w:rPr>
        <w:t>54</w:t>
      </w:r>
      <w:r w:rsidRPr="008B4A2A">
        <w:rPr>
          <w:noProof/>
          <w:szCs w:val="24"/>
        </w:rPr>
        <w:t xml:space="preserve"> (1), 69–76. doi: 10.1080/02770903.2016.1194432.</w:t>
      </w:r>
    </w:p>
    <w:p w14:paraId="22709CBE"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Malambo, P.; Kengne, A. P.; Lambert, E. V.; De Villiers, A.; Puoane, T. Prevalence and Socio-Demographic Correlates of Physical Activity Levels among South African Adults in Cape Town and Mount Frere Communities in 2008-2009. </w:t>
      </w:r>
      <w:r w:rsidRPr="008B4A2A">
        <w:rPr>
          <w:i/>
          <w:iCs/>
          <w:noProof/>
          <w:szCs w:val="24"/>
        </w:rPr>
        <w:t>Arch. Public Heal.</w:t>
      </w:r>
      <w:r w:rsidRPr="008B4A2A">
        <w:rPr>
          <w:noProof/>
          <w:szCs w:val="24"/>
        </w:rPr>
        <w:t xml:space="preserve"> </w:t>
      </w:r>
      <w:r w:rsidRPr="008B4A2A">
        <w:rPr>
          <w:b/>
          <w:bCs/>
          <w:noProof/>
          <w:szCs w:val="24"/>
        </w:rPr>
        <w:t>2016</w:t>
      </w:r>
      <w:r w:rsidRPr="008B4A2A">
        <w:rPr>
          <w:noProof/>
          <w:szCs w:val="24"/>
        </w:rPr>
        <w:t xml:space="preserve">, </w:t>
      </w:r>
      <w:r w:rsidRPr="008B4A2A">
        <w:rPr>
          <w:i/>
          <w:iCs/>
          <w:noProof/>
          <w:szCs w:val="24"/>
        </w:rPr>
        <w:t>74</w:t>
      </w:r>
      <w:r w:rsidRPr="008B4A2A">
        <w:rPr>
          <w:noProof/>
          <w:szCs w:val="24"/>
        </w:rPr>
        <w:t>(54). doi: 10.1186/s13690-016-0167-3.</w:t>
      </w:r>
    </w:p>
    <w:p w14:paraId="5539D966"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Salvo, D.; Torres, C.; Villa, U.; Rivera, J. A.; Sarmiento, O. L.; Reis, R. S.; Pratt, M. Accelerometer-Based Physical Activity Levels among Mexican Adults and Their Relation with Sociodemographic Characteristics and BMI: A Cross-Sectional Study. </w:t>
      </w:r>
      <w:r w:rsidRPr="008B4A2A">
        <w:rPr>
          <w:i/>
          <w:iCs/>
          <w:noProof/>
          <w:szCs w:val="24"/>
        </w:rPr>
        <w:t>Int. J. Behav. Nutr. Phys. Act.</w:t>
      </w:r>
      <w:r w:rsidRPr="008B4A2A">
        <w:rPr>
          <w:noProof/>
          <w:szCs w:val="24"/>
        </w:rPr>
        <w:t xml:space="preserve"> </w:t>
      </w:r>
      <w:r w:rsidRPr="008B4A2A">
        <w:rPr>
          <w:b/>
          <w:bCs/>
          <w:noProof/>
          <w:szCs w:val="24"/>
        </w:rPr>
        <w:t>2015</w:t>
      </w:r>
      <w:r w:rsidRPr="008B4A2A">
        <w:rPr>
          <w:noProof/>
          <w:szCs w:val="24"/>
        </w:rPr>
        <w:t xml:space="preserve">, </w:t>
      </w:r>
      <w:r w:rsidRPr="008B4A2A">
        <w:rPr>
          <w:i/>
          <w:iCs/>
          <w:noProof/>
          <w:szCs w:val="24"/>
        </w:rPr>
        <w:t>12</w:t>
      </w:r>
      <w:r w:rsidRPr="008B4A2A">
        <w:rPr>
          <w:noProof/>
          <w:szCs w:val="24"/>
        </w:rPr>
        <w:t xml:space="preserve"> (1). doi: 10.1186/s12966-015-0243-z</w:t>
      </w:r>
    </w:p>
    <w:p w14:paraId="2755F69F"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iCs/>
          <w:noProof/>
          <w:szCs w:val="24"/>
        </w:rPr>
        <w:t xml:space="preserve">World Health Organization Regional Office for Europe. </w:t>
      </w:r>
      <w:r w:rsidRPr="008B4A2A">
        <w:rPr>
          <w:i/>
          <w:iCs/>
          <w:noProof/>
          <w:szCs w:val="24"/>
        </w:rPr>
        <w:t>Alcohol Consumption and Sustainable Development. Factsheet-Sustainable Development Goals: Health Targets</w:t>
      </w:r>
      <w:r w:rsidRPr="008B4A2A">
        <w:rPr>
          <w:noProof/>
          <w:szCs w:val="24"/>
        </w:rPr>
        <w:t xml:space="preserve">. 2020. Available online: </w:t>
      </w:r>
      <w:hyperlink r:id="rId13" w:history="1">
        <w:r w:rsidRPr="008B4A2A">
          <w:rPr>
            <w:rStyle w:val="Hyperlink"/>
            <w:noProof/>
            <w:szCs w:val="24"/>
          </w:rPr>
          <w:t>https://www.euro.who.int/en/SDG_factsheets</w:t>
        </w:r>
      </w:hyperlink>
      <w:r w:rsidRPr="008B4A2A">
        <w:rPr>
          <w:noProof/>
          <w:szCs w:val="24"/>
        </w:rPr>
        <w:t xml:space="preserve"> (accessed on 30 May 2021)</w:t>
      </w:r>
    </w:p>
    <w:p w14:paraId="27E30010"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World Health Organization Regional Office for the Eastern Mediterranean. Tobacco and sustainable development. Available online:</w:t>
      </w:r>
      <w:r w:rsidRPr="008B4A2A">
        <w:t xml:space="preserve"> </w:t>
      </w:r>
      <w:hyperlink r:id="rId14" w:history="1">
        <w:r w:rsidRPr="008B4A2A">
          <w:rPr>
            <w:rStyle w:val="Hyperlink"/>
            <w:noProof/>
            <w:szCs w:val="24"/>
          </w:rPr>
          <w:t>http://www.emro.who.int/tfi-campaigns/2017/tobacco-and-sustainable-development.html</w:t>
        </w:r>
      </w:hyperlink>
      <w:r w:rsidRPr="008B4A2A">
        <w:rPr>
          <w:noProof/>
          <w:szCs w:val="24"/>
        </w:rPr>
        <w:t xml:space="preserve"> (accessed on 30 May 2021).</w:t>
      </w:r>
    </w:p>
    <w:p w14:paraId="4A863888" w14:textId="01A8B0CC" w:rsidR="00735766" w:rsidRPr="008B4A2A" w:rsidRDefault="00735766" w:rsidP="00735766">
      <w:pPr>
        <w:pStyle w:val="MDPI71References"/>
        <w:widowControl w:val="0"/>
        <w:numPr>
          <w:ilvl w:val="0"/>
          <w:numId w:val="3"/>
        </w:numPr>
        <w:autoSpaceDE w:val="0"/>
        <w:autoSpaceDN w:val="0"/>
        <w:spacing w:line="240" w:lineRule="auto"/>
        <w:rPr>
          <w:noProof/>
          <w:szCs w:val="24"/>
          <w:lang w:val="en-GB"/>
        </w:rPr>
      </w:pPr>
      <w:r w:rsidRPr="008B4A2A">
        <w:rPr>
          <w:noProof/>
          <w:szCs w:val="24"/>
          <w:lang w:val="es-ES"/>
        </w:rPr>
        <w:t xml:space="preserve">Instituto Nacional de Estadística. </w:t>
      </w:r>
      <w:r w:rsidRPr="008B4A2A">
        <w:rPr>
          <w:i/>
          <w:iCs/>
          <w:noProof/>
          <w:szCs w:val="24"/>
          <w:lang w:val="es-ES"/>
        </w:rPr>
        <w:t>Clasificación Nacional de Educación 2014 (CNED-2014)</w:t>
      </w:r>
      <w:r w:rsidRPr="008B4A2A">
        <w:rPr>
          <w:noProof/>
          <w:szCs w:val="24"/>
          <w:lang w:val="es-ES"/>
        </w:rPr>
        <w:t xml:space="preserve">. </w:t>
      </w:r>
      <w:r w:rsidRPr="008B4A2A">
        <w:rPr>
          <w:noProof/>
          <w:szCs w:val="24"/>
          <w:lang w:val="en-GB"/>
        </w:rPr>
        <w:t xml:space="preserve">Available online: </w:t>
      </w:r>
      <w:hyperlink r:id="rId15" w:history="1">
        <w:r w:rsidRPr="008B4A2A">
          <w:rPr>
            <w:rStyle w:val="Hyperlink"/>
            <w:noProof/>
            <w:szCs w:val="24"/>
            <w:lang w:val="en-GB"/>
          </w:rPr>
          <w:t>https://www.ine.es/daco/daco42/clasificaciones/cned14/CNED2014_capitulo0.pdf</w:t>
        </w:r>
      </w:hyperlink>
      <w:r w:rsidRPr="008B4A2A">
        <w:rPr>
          <w:noProof/>
          <w:szCs w:val="24"/>
          <w:lang w:val="en-GB"/>
        </w:rPr>
        <w:t xml:space="preserve"> (accessed on 2 May 2021)</w:t>
      </w:r>
    </w:p>
    <w:p w14:paraId="42AED301" w14:textId="77777777" w:rsidR="00C24116" w:rsidRPr="008B4A2A" w:rsidRDefault="00961161" w:rsidP="00787882">
      <w:pPr>
        <w:pStyle w:val="MDPI71References"/>
        <w:widowControl w:val="0"/>
        <w:numPr>
          <w:ilvl w:val="0"/>
          <w:numId w:val="3"/>
        </w:numPr>
        <w:autoSpaceDE w:val="0"/>
        <w:autoSpaceDN w:val="0"/>
        <w:spacing w:line="240" w:lineRule="auto"/>
        <w:rPr>
          <w:noProof/>
          <w:szCs w:val="24"/>
          <w:lang w:val="en-GB"/>
        </w:rPr>
      </w:pPr>
      <w:r w:rsidRPr="008B4A2A">
        <w:rPr>
          <w:noProof/>
          <w:szCs w:val="24"/>
          <w:lang w:val="en-GB"/>
        </w:rPr>
        <w:t xml:space="preserve">de Marco, R.; Pesce, G.; Marcon, A.; Accordini, S.; Antonicelli, L.; Bugiani, M.; Casali, L; Ferrari, M; Nicolini, G.; Panico, M.G. et al. The coexistence of asthma and chronic obstructive pulmonary disease (COPD): Prevalence and risk factors in young, middle-aged and elderly people from the general population. </w:t>
      </w:r>
      <w:r w:rsidR="00787882" w:rsidRPr="008B4A2A">
        <w:rPr>
          <w:i/>
          <w:noProof/>
          <w:szCs w:val="24"/>
          <w:lang w:val="en-GB"/>
        </w:rPr>
        <w:t>Plos One.</w:t>
      </w:r>
      <w:r w:rsidR="00787882" w:rsidRPr="008B4A2A">
        <w:rPr>
          <w:noProof/>
          <w:szCs w:val="24"/>
          <w:lang w:val="en-GB"/>
        </w:rPr>
        <w:t xml:space="preserve"> </w:t>
      </w:r>
      <w:r w:rsidR="00787882" w:rsidRPr="008B4A2A">
        <w:rPr>
          <w:b/>
          <w:noProof/>
          <w:szCs w:val="24"/>
          <w:lang w:val="en-GB"/>
        </w:rPr>
        <w:t>2013</w:t>
      </w:r>
      <w:r w:rsidR="00787882" w:rsidRPr="008B4A2A">
        <w:rPr>
          <w:noProof/>
          <w:szCs w:val="24"/>
          <w:lang w:val="en-GB"/>
        </w:rPr>
        <w:t xml:space="preserve">, </w:t>
      </w:r>
      <w:r w:rsidR="00787882" w:rsidRPr="008B4A2A">
        <w:rPr>
          <w:i/>
          <w:noProof/>
          <w:szCs w:val="24"/>
          <w:lang w:val="en-GB"/>
        </w:rPr>
        <w:t>8</w:t>
      </w:r>
      <w:r w:rsidR="00787882" w:rsidRPr="008B4A2A">
        <w:rPr>
          <w:noProof/>
          <w:szCs w:val="24"/>
          <w:lang w:val="en-GB"/>
        </w:rPr>
        <w:t>(5), e62985. doi: 10.1371/journal.pone.0062985.</w:t>
      </w:r>
    </w:p>
    <w:p w14:paraId="3F932D6B" w14:textId="71298649" w:rsidR="00961161" w:rsidRPr="008B4A2A" w:rsidRDefault="00787882" w:rsidP="00787882">
      <w:pPr>
        <w:pStyle w:val="MDPI71References"/>
        <w:widowControl w:val="0"/>
        <w:numPr>
          <w:ilvl w:val="0"/>
          <w:numId w:val="3"/>
        </w:numPr>
        <w:autoSpaceDE w:val="0"/>
        <w:autoSpaceDN w:val="0"/>
        <w:spacing w:line="240" w:lineRule="auto"/>
        <w:rPr>
          <w:noProof/>
          <w:szCs w:val="24"/>
          <w:lang w:val="en-GB"/>
        </w:rPr>
      </w:pPr>
      <w:r w:rsidRPr="008B4A2A">
        <w:rPr>
          <w:noProof/>
          <w:szCs w:val="24"/>
          <w:lang w:val="en-GB"/>
        </w:rPr>
        <w:t>U.S. Department of Health and Human Services. Physical activity guidelines for Americans. 2nd ed. Washington (DC): U.S. Department of Health and Human Services; 2018</w:t>
      </w:r>
    </w:p>
    <w:p w14:paraId="7F0E5356" w14:textId="021616EA" w:rsidR="00787882" w:rsidRPr="008B4A2A" w:rsidRDefault="00787882" w:rsidP="00787882">
      <w:pPr>
        <w:pStyle w:val="MDPI71References"/>
        <w:widowControl w:val="0"/>
        <w:numPr>
          <w:ilvl w:val="0"/>
          <w:numId w:val="3"/>
        </w:numPr>
        <w:autoSpaceDE w:val="0"/>
        <w:autoSpaceDN w:val="0"/>
        <w:spacing w:line="240" w:lineRule="auto"/>
        <w:rPr>
          <w:noProof/>
          <w:szCs w:val="24"/>
          <w:lang w:val="en-GB"/>
        </w:rPr>
      </w:pPr>
      <w:r w:rsidRPr="008B4A2A">
        <w:rPr>
          <w:noProof/>
          <w:szCs w:val="24"/>
          <w:lang w:val="en-GB"/>
        </w:rPr>
        <w:t xml:space="preserve">Bull, F.C.; Al-Ansari, S.S.; Biddle, S.; Borodulin, K.; Buman, M.P.; Cardon, G.; Carty, C.; Chaput, J.P.; Chastin, S.; Chou, R. et al. World Health Organization 2020 guidelines on physical activity and sedentary behaviour. </w:t>
      </w:r>
      <w:r w:rsidRPr="008B4A2A">
        <w:rPr>
          <w:i/>
          <w:noProof/>
          <w:szCs w:val="24"/>
          <w:lang w:val="en-GB"/>
        </w:rPr>
        <w:t>Br J Sports Med.</w:t>
      </w:r>
      <w:r w:rsidRPr="008B4A2A">
        <w:rPr>
          <w:noProof/>
          <w:szCs w:val="24"/>
          <w:lang w:val="en-GB"/>
        </w:rPr>
        <w:t xml:space="preserve"> </w:t>
      </w:r>
      <w:r w:rsidRPr="008B4A2A">
        <w:rPr>
          <w:b/>
          <w:noProof/>
          <w:szCs w:val="24"/>
          <w:lang w:val="en-GB"/>
        </w:rPr>
        <w:t>2020;</w:t>
      </w:r>
      <w:r w:rsidRPr="008B4A2A">
        <w:rPr>
          <w:noProof/>
          <w:szCs w:val="24"/>
          <w:lang w:val="en-GB"/>
        </w:rPr>
        <w:t>54(24), 1451–1462. doi:10.1136/ bjsports-2020-102955.</w:t>
      </w:r>
    </w:p>
    <w:p w14:paraId="1A33A7A1"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Oh, J. Y.; Lee, Y. S.; Min, K. H.; Lee, S. Y.; Shim, J. J.; Kang, K. H.; Hur, G. Y. Osteoporosis in Patients with Asthma–Chronic Obstructive Pulmonary Disease Overlap Syndrome. </w:t>
      </w:r>
      <w:r w:rsidRPr="008B4A2A">
        <w:rPr>
          <w:i/>
          <w:iCs/>
          <w:noProof/>
          <w:szCs w:val="24"/>
        </w:rPr>
        <w:t>Tuberc. Respir. Dis. (Seoul).</w:t>
      </w:r>
      <w:r w:rsidRPr="008B4A2A">
        <w:rPr>
          <w:noProof/>
          <w:szCs w:val="24"/>
        </w:rPr>
        <w:t xml:space="preserve"> </w:t>
      </w:r>
      <w:r w:rsidRPr="008B4A2A">
        <w:rPr>
          <w:b/>
          <w:bCs/>
          <w:noProof/>
          <w:szCs w:val="24"/>
        </w:rPr>
        <w:t>2018</w:t>
      </w:r>
      <w:r w:rsidRPr="008B4A2A">
        <w:rPr>
          <w:noProof/>
          <w:szCs w:val="24"/>
        </w:rPr>
        <w:t xml:space="preserve">, </w:t>
      </w:r>
      <w:r w:rsidRPr="008B4A2A">
        <w:rPr>
          <w:i/>
          <w:iCs/>
          <w:noProof/>
          <w:szCs w:val="24"/>
        </w:rPr>
        <w:t>81</w:t>
      </w:r>
      <w:r w:rsidRPr="008B4A2A">
        <w:rPr>
          <w:noProof/>
          <w:szCs w:val="24"/>
        </w:rPr>
        <w:t xml:space="preserve"> (1), 73–79. doi: 10.4046/trd.2017.0066.</w:t>
      </w:r>
    </w:p>
    <w:p w14:paraId="4AB28662"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Iwamoto, H.; Gao, J.; Koskela, J.; Kinnula, V.; Kobayashi, H.; Laitinen, T.; Mazur, W.; Mazur, W.; Respir, E. Differences in Plasma and Sputum Biomarkers between COPD and COPD-Asthma Overlap. </w:t>
      </w:r>
      <w:r w:rsidRPr="008B4A2A">
        <w:rPr>
          <w:i/>
          <w:iCs/>
          <w:noProof/>
          <w:szCs w:val="24"/>
        </w:rPr>
        <w:t>J</w:t>
      </w:r>
      <w:r w:rsidRPr="008B4A2A">
        <w:rPr>
          <w:noProof/>
          <w:szCs w:val="24"/>
        </w:rPr>
        <w:t xml:space="preserve"> </w:t>
      </w:r>
      <w:r w:rsidRPr="008B4A2A">
        <w:rPr>
          <w:b/>
          <w:bCs/>
          <w:noProof/>
          <w:szCs w:val="24"/>
        </w:rPr>
        <w:t>2014</w:t>
      </w:r>
      <w:r w:rsidRPr="008B4A2A">
        <w:rPr>
          <w:noProof/>
          <w:szCs w:val="24"/>
        </w:rPr>
        <w:t xml:space="preserve">, </w:t>
      </w:r>
      <w:r w:rsidRPr="008B4A2A">
        <w:rPr>
          <w:i/>
          <w:iCs/>
          <w:noProof/>
          <w:szCs w:val="24"/>
        </w:rPr>
        <w:t>43</w:t>
      </w:r>
      <w:r w:rsidRPr="008B4A2A">
        <w:rPr>
          <w:noProof/>
          <w:szCs w:val="24"/>
        </w:rPr>
        <w:t>, 421–429. doi: 10.1183/09031936.00024313.</w:t>
      </w:r>
    </w:p>
    <w:p w14:paraId="3DDA2E99"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Fu, J. J.; McDonald, V. M.; Gibson, P. G.; Simpson, J. L. Systemic Inflammation in Older Adults with Asthma-COPD Overlap Syndrome. </w:t>
      </w:r>
      <w:r w:rsidRPr="008B4A2A">
        <w:rPr>
          <w:i/>
          <w:iCs/>
          <w:noProof/>
          <w:szCs w:val="24"/>
        </w:rPr>
        <w:t>Allergy, Asthma Immunol. Res.</w:t>
      </w:r>
      <w:r w:rsidRPr="008B4A2A">
        <w:rPr>
          <w:noProof/>
          <w:szCs w:val="24"/>
        </w:rPr>
        <w:t xml:space="preserve"> </w:t>
      </w:r>
      <w:r w:rsidRPr="008B4A2A">
        <w:rPr>
          <w:b/>
          <w:bCs/>
          <w:noProof/>
          <w:szCs w:val="24"/>
        </w:rPr>
        <w:t>2014</w:t>
      </w:r>
      <w:r w:rsidRPr="008B4A2A">
        <w:rPr>
          <w:noProof/>
          <w:szCs w:val="24"/>
        </w:rPr>
        <w:t xml:space="preserve">, </w:t>
      </w:r>
      <w:r w:rsidRPr="008B4A2A">
        <w:rPr>
          <w:i/>
          <w:iCs/>
          <w:noProof/>
          <w:szCs w:val="24"/>
        </w:rPr>
        <w:t>6</w:t>
      </w:r>
      <w:r w:rsidRPr="008B4A2A">
        <w:rPr>
          <w:noProof/>
          <w:szCs w:val="24"/>
        </w:rPr>
        <w:t xml:space="preserve"> (4), 316–324. doi: 10.4168/aair.2014.6.4.316.</w:t>
      </w:r>
    </w:p>
    <w:p w14:paraId="763A8AFB"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Danforth, K. N.; Shah, A. D.; Townsend, M. K.; Lifford, K. L.; Curhan, G. C.; Resnick, N. M.; Grodstein, F. Physical Activity and Urinary Incontinence among Healthy, Older Women. </w:t>
      </w:r>
      <w:r w:rsidRPr="008B4A2A">
        <w:rPr>
          <w:i/>
          <w:iCs/>
          <w:noProof/>
          <w:szCs w:val="24"/>
        </w:rPr>
        <w:t>Obstet. Gynecol.</w:t>
      </w:r>
      <w:r w:rsidRPr="008B4A2A">
        <w:rPr>
          <w:noProof/>
          <w:szCs w:val="24"/>
        </w:rPr>
        <w:t xml:space="preserve"> </w:t>
      </w:r>
      <w:r w:rsidRPr="008B4A2A">
        <w:rPr>
          <w:b/>
          <w:bCs/>
          <w:noProof/>
          <w:szCs w:val="24"/>
        </w:rPr>
        <w:t>2007</w:t>
      </w:r>
      <w:r w:rsidRPr="008B4A2A">
        <w:rPr>
          <w:noProof/>
          <w:szCs w:val="24"/>
        </w:rPr>
        <w:t xml:space="preserve">, </w:t>
      </w:r>
      <w:r w:rsidRPr="008B4A2A">
        <w:rPr>
          <w:i/>
          <w:iCs/>
          <w:noProof/>
          <w:szCs w:val="24"/>
        </w:rPr>
        <w:t>109</w:t>
      </w:r>
      <w:r w:rsidRPr="008B4A2A">
        <w:rPr>
          <w:noProof/>
          <w:szCs w:val="24"/>
        </w:rPr>
        <w:t xml:space="preserve"> (3), 721–727. doi: 10.1097/01.AOG.0000255973.92450.24.</w:t>
      </w:r>
    </w:p>
    <w:p w14:paraId="3EF2B280"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Shetty, S.; Kapoor, N.; Naik, D.; Asha, H. S.; Prabu, S.; Thomas, N.; Seshadri, M. S.; Paul, T. V. Osteoporosis in Healthy South Indian Males and the Influence of Life Style Factors and Vitamin D Status on Bone Mineral Density. </w:t>
      </w:r>
      <w:r w:rsidRPr="008B4A2A">
        <w:rPr>
          <w:i/>
          <w:iCs/>
          <w:noProof/>
          <w:szCs w:val="24"/>
        </w:rPr>
        <w:t>J. Osteoporos.</w:t>
      </w:r>
      <w:r w:rsidRPr="008B4A2A">
        <w:rPr>
          <w:noProof/>
          <w:szCs w:val="24"/>
        </w:rPr>
        <w:t xml:space="preserve"> </w:t>
      </w:r>
      <w:r w:rsidRPr="008B4A2A">
        <w:rPr>
          <w:b/>
          <w:bCs/>
          <w:noProof/>
          <w:szCs w:val="24"/>
        </w:rPr>
        <w:t>2014</w:t>
      </w:r>
      <w:r w:rsidRPr="008B4A2A">
        <w:rPr>
          <w:noProof/>
          <w:szCs w:val="24"/>
        </w:rPr>
        <w:t xml:space="preserve">, </w:t>
      </w:r>
      <w:r w:rsidRPr="008B4A2A">
        <w:rPr>
          <w:i/>
          <w:iCs/>
          <w:noProof/>
          <w:szCs w:val="24"/>
        </w:rPr>
        <w:t>2014</w:t>
      </w:r>
      <w:r w:rsidRPr="008B4A2A">
        <w:rPr>
          <w:noProof/>
          <w:szCs w:val="24"/>
        </w:rPr>
        <w:t>. doi: 10.1155/2014/723238.</w:t>
      </w:r>
    </w:p>
    <w:p w14:paraId="7FB6A0F4"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Shenoy, S.; Chawla, J. K.; Gupta, S.; Sandhu, J. S. Prevalence of Low Bone Health Using Quantitative Ultrasound in Indian Women Aged 41–60 Years: Its Association with Nutrition and Other Related Risk Factors. </w:t>
      </w:r>
      <w:r w:rsidRPr="008B4A2A">
        <w:rPr>
          <w:i/>
          <w:iCs/>
          <w:noProof/>
          <w:szCs w:val="24"/>
        </w:rPr>
        <w:t>J. Women Aging</w:t>
      </w:r>
      <w:r w:rsidRPr="008B4A2A">
        <w:rPr>
          <w:noProof/>
          <w:szCs w:val="24"/>
        </w:rPr>
        <w:t xml:space="preserve"> </w:t>
      </w:r>
      <w:r w:rsidRPr="008B4A2A">
        <w:rPr>
          <w:b/>
          <w:bCs/>
          <w:noProof/>
          <w:szCs w:val="24"/>
        </w:rPr>
        <w:t>2017</w:t>
      </w:r>
      <w:r w:rsidRPr="008B4A2A">
        <w:rPr>
          <w:noProof/>
          <w:szCs w:val="24"/>
        </w:rPr>
        <w:t xml:space="preserve">, </w:t>
      </w:r>
      <w:r w:rsidRPr="008B4A2A">
        <w:rPr>
          <w:i/>
          <w:iCs/>
          <w:noProof/>
          <w:szCs w:val="24"/>
        </w:rPr>
        <w:t>29</w:t>
      </w:r>
      <w:r w:rsidRPr="008B4A2A">
        <w:rPr>
          <w:noProof/>
          <w:szCs w:val="24"/>
        </w:rPr>
        <w:t xml:space="preserve"> (4), 334–347. doi: 10.1080/08952841.2016.1188620.</w:t>
      </w:r>
    </w:p>
    <w:p w14:paraId="1C49A349" w14:textId="77777777" w:rsidR="00735766" w:rsidRPr="008B4A2A" w:rsidRDefault="00735766" w:rsidP="00735766">
      <w:pPr>
        <w:pStyle w:val="MDPI71References"/>
        <w:widowControl w:val="0"/>
        <w:numPr>
          <w:ilvl w:val="0"/>
          <w:numId w:val="3"/>
        </w:numPr>
        <w:autoSpaceDE w:val="0"/>
        <w:autoSpaceDN w:val="0"/>
        <w:spacing w:line="240" w:lineRule="auto"/>
        <w:rPr>
          <w:noProof/>
          <w:szCs w:val="24"/>
        </w:rPr>
      </w:pPr>
      <w:r w:rsidRPr="008B4A2A">
        <w:rPr>
          <w:noProof/>
          <w:szCs w:val="24"/>
        </w:rPr>
        <w:t xml:space="preserve">López-sánchez, G. F.; Pardhan, S.; Trott, M.; Sánchez-Castillo, S.; Jackson, S. E.; Tully, M.; Gorely, T.; López-bueno, R.; Veronese, N.; Skalska, M.; et al. The Association Between Physical Activity and Cataracts Among 17 , 777 People Aged 15 – 69 Years Residing in Spain. </w:t>
      </w:r>
      <w:r w:rsidRPr="008B4A2A">
        <w:rPr>
          <w:i/>
          <w:iCs/>
          <w:noProof/>
          <w:szCs w:val="24"/>
        </w:rPr>
        <w:t>Ophthalmic Epidemiol.</w:t>
      </w:r>
      <w:r w:rsidRPr="008B4A2A">
        <w:rPr>
          <w:noProof/>
          <w:szCs w:val="24"/>
        </w:rPr>
        <w:t xml:space="preserve"> </w:t>
      </w:r>
      <w:r w:rsidRPr="008B4A2A">
        <w:rPr>
          <w:b/>
          <w:bCs/>
          <w:noProof/>
          <w:szCs w:val="24"/>
        </w:rPr>
        <w:t>2020</w:t>
      </w:r>
      <w:r w:rsidRPr="008B4A2A">
        <w:rPr>
          <w:noProof/>
          <w:szCs w:val="24"/>
        </w:rPr>
        <w:t xml:space="preserve">, </w:t>
      </w:r>
      <w:r w:rsidRPr="008B4A2A">
        <w:rPr>
          <w:i/>
          <w:iCs/>
          <w:noProof/>
          <w:szCs w:val="24"/>
        </w:rPr>
        <w:t>27</w:t>
      </w:r>
      <w:r w:rsidRPr="008B4A2A">
        <w:rPr>
          <w:noProof/>
          <w:szCs w:val="24"/>
        </w:rPr>
        <w:t xml:space="preserve"> (4), 272–277. doi: 10.1080/09286586.2020.1730911.</w:t>
      </w:r>
    </w:p>
    <w:p w14:paraId="5009D7B3" w14:textId="61118FA9" w:rsidR="00735766" w:rsidRPr="005762EF" w:rsidRDefault="00735766" w:rsidP="00735766">
      <w:pPr>
        <w:pStyle w:val="MDPI71References"/>
        <w:widowControl w:val="0"/>
        <w:numPr>
          <w:ilvl w:val="0"/>
          <w:numId w:val="3"/>
        </w:numPr>
        <w:autoSpaceDE w:val="0"/>
        <w:autoSpaceDN w:val="0"/>
        <w:spacing w:line="240" w:lineRule="auto"/>
        <w:rPr>
          <w:noProof/>
        </w:rPr>
      </w:pPr>
      <w:r w:rsidRPr="008B4A2A">
        <w:rPr>
          <w:noProof/>
          <w:szCs w:val="24"/>
        </w:rPr>
        <w:t xml:space="preserve">International Society for Physical Activity and Health (ISPAH). The Bangkok Declaration on Physical Activity for Global Health </w:t>
      </w:r>
      <w:r w:rsidRPr="008B4A2A">
        <w:rPr>
          <w:noProof/>
          <w:szCs w:val="24"/>
        </w:rPr>
        <w:lastRenderedPageBreak/>
        <w:t xml:space="preserve">and Sustainable Development. </w:t>
      </w:r>
      <w:r w:rsidRPr="008B4A2A">
        <w:rPr>
          <w:i/>
          <w:iCs/>
          <w:noProof/>
          <w:szCs w:val="24"/>
        </w:rPr>
        <w:t>Br. J. Sports Med.</w:t>
      </w:r>
      <w:r w:rsidRPr="008B4A2A">
        <w:rPr>
          <w:noProof/>
          <w:szCs w:val="24"/>
        </w:rPr>
        <w:t xml:space="preserve"> </w:t>
      </w:r>
      <w:r w:rsidRPr="008B4A2A">
        <w:rPr>
          <w:b/>
          <w:bCs/>
          <w:noProof/>
          <w:szCs w:val="24"/>
        </w:rPr>
        <w:t>2017</w:t>
      </w:r>
      <w:r w:rsidRPr="008B4A2A">
        <w:rPr>
          <w:noProof/>
          <w:szCs w:val="24"/>
        </w:rPr>
        <w:t xml:space="preserve">, </w:t>
      </w:r>
      <w:r w:rsidRPr="008B4A2A">
        <w:rPr>
          <w:i/>
          <w:iCs/>
          <w:noProof/>
          <w:szCs w:val="24"/>
        </w:rPr>
        <w:t>51</w:t>
      </w:r>
      <w:r w:rsidRPr="008B4A2A">
        <w:rPr>
          <w:noProof/>
          <w:szCs w:val="24"/>
        </w:rPr>
        <w:t xml:space="preserve"> (19)</w:t>
      </w:r>
      <w:r w:rsidRPr="00F01CBD">
        <w:rPr>
          <w:noProof/>
          <w:szCs w:val="24"/>
        </w:rPr>
        <w:t>, 1389–1391. doi:10.1136/bjsports-2017-098063</w:t>
      </w:r>
      <w:r>
        <w:rPr>
          <w:noProof/>
          <w:szCs w:val="24"/>
        </w:rPr>
        <w:t>.</w:t>
      </w:r>
    </w:p>
    <w:sectPr w:rsidR="00735766" w:rsidRPr="005762EF" w:rsidSect="00C24116">
      <w:headerReference w:type="even" r:id="rId16"/>
      <w:headerReference w:type="default" r:id="rId17"/>
      <w:headerReference w:type="first" r:id="rId18"/>
      <w:footerReference w:type="first" r:id="rId19"/>
      <w:pgSz w:w="11906" w:h="16838" w:code="9"/>
      <w:pgMar w:top="1077" w:right="720" w:bottom="1417" w:left="720" w:header="1020" w:footer="340" w:gutter="0"/>
      <w:cols w:space="425"/>
      <w:titlePg/>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7D1F5" w14:textId="77777777" w:rsidR="00E26334" w:rsidRDefault="00E26334">
      <w:pPr>
        <w:spacing w:line="240" w:lineRule="auto"/>
      </w:pPr>
      <w:r>
        <w:separator/>
      </w:r>
    </w:p>
  </w:endnote>
  <w:endnote w:type="continuationSeparator" w:id="0">
    <w:p w14:paraId="65C900A8" w14:textId="77777777" w:rsidR="00E26334" w:rsidRDefault="00E26334">
      <w:pPr>
        <w:spacing w:line="240" w:lineRule="auto"/>
      </w:pPr>
      <w:r>
        <w:continuationSeparator/>
      </w:r>
    </w:p>
  </w:endnote>
  <w:endnote w:type="continuationNotice" w:id="1">
    <w:p w14:paraId="6EF530B0" w14:textId="77777777" w:rsidR="00E26334" w:rsidRDefault="00E263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Arial Unicode MS"/>
    <w:charset w:val="86"/>
    <w:family w:val="auto"/>
    <w:pitch w:val="variable"/>
    <w:sig w:usb0="00000000"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EF7FA" w14:textId="77777777" w:rsidR="00221631" w:rsidRDefault="00221631" w:rsidP="004F0E02">
    <w:pPr>
      <w:pStyle w:val="MDPIfooterfirstpage"/>
      <w:pBdr>
        <w:top w:val="single" w:sz="4" w:space="0" w:color="000000"/>
      </w:pBdr>
      <w:adjustRightInd w:val="0"/>
      <w:snapToGrid w:val="0"/>
      <w:spacing w:before="480" w:line="100" w:lineRule="exact"/>
      <w:rPr>
        <w:i/>
        <w:iCs/>
        <w:szCs w:val="16"/>
      </w:rPr>
    </w:pPr>
  </w:p>
  <w:p w14:paraId="0ADBFEED" w14:textId="77777777" w:rsidR="00221631" w:rsidRPr="008B308E" w:rsidRDefault="00221631" w:rsidP="00BA570C">
    <w:pPr>
      <w:pStyle w:val="MDPIfooterfirstpage"/>
      <w:tabs>
        <w:tab w:val="clear" w:pos="8845"/>
        <w:tab w:val="right" w:pos="10466"/>
      </w:tabs>
      <w:spacing w:line="240" w:lineRule="auto"/>
      <w:jc w:val="both"/>
      <w:rPr>
        <w:lang w:val="fr-CH"/>
      </w:rPr>
    </w:pPr>
    <w:r w:rsidRPr="00C30F79">
      <w:rPr>
        <w:i/>
        <w:iCs/>
        <w:szCs w:val="16"/>
      </w:rPr>
      <w:t>Sustainability</w:t>
    </w:r>
    <w:r w:rsidRPr="00C30F79">
      <w:rPr>
        <w:szCs w:val="16"/>
      </w:rPr>
      <w:t xml:space="preserve"> </w:t>
    </w:r>
    <w:r w:rsidRPr="003337EA">
      <w:rPr>
        <w:b/>
        <w:bCs/>
        <w:iCs/>
        <w:szCs w:val="16"/>
      </w:rPr>
      <w:t>2021</w:t>
    </w:r>
    <w:r w:rsidRPr="00632077">
      <w:rPr>
        <w:bCs/>
        <w:iCs/>
        <w:szCs w:val="16"/>
      </w:rPr>
      <w:t xml:space="preserve">, </w:t>
    </w:r>
    <w:r w:rsidRPr="003337EA">
      <w:rPr>
        <w:bCs/>
        <w:i/>
        <w:iCs/>
        <w:szCs w:val="16"/>
      </w:rPr>
      <w:t>13</w:t>
    </w:r>
    <w:r w:rsidRPr="00632077">
      <w:rPr>
        <w:bCs/>
        <w:iCs/>
        <w:szCs w:val="16"/>
      </w:rPr>
      <w:t xml:space="preserve">, </w:t>
    </w:r>
    <w:r>
      <w:rPr>
        <w:bCs/>
        <w:iCs/>
        <w:szCs w:val="16"/>
      </w:rPr>
      <w:t>x. https://doi.org/10.3390/xxxxx</w:t>
    </w:r>
    <w:r w:rsidRPr="008B308E">
      <w:rPr>
        <w:lang w:val="fr-CH"/>
      </w:rPr>
      <w:tab/>
      <w:t>www.mdpi.com/journal/</w:t>
    </w:r>
    <w:r w:rsidRPr="003915ED">
      <w:t>sustainability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E2E34" w14:textId="77777777" w:rsidR="00E26334" w:rsidRDefault="00E26334">
      <w:pPr>
        <w:spacing w:line="240" w:lineRule="auto"/>
      </w:pPr>
      <w:r>
        <w:separator/>
      </w:r>
    </w:p>
  </w:footnote>
  <w:footnote w:type="continuationSeparator" w:id="0">
    <w:p w14:paraId="5AEF9F46" w14:textId="77777777" w:rsidR="00E26334" w:rsidRDefault="00E26334">
      <w:pPr>
        <w:spacing w:line="240" w:lineRule="auto"/>
      </w:pPr>
      <w:r>
        <w:continuationSeparator/>
      </w:r>
    </w:p>
  </w:footnote>
  <w:footnote w:type="continuationNotice" w:id="1">
    <w:p w14:paraId="5C47151A" w14:textId="77777777" w:rsidR="00E26334" w:rsidRDefault="00E26334">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8D306" w14:textId="77777777" w:rsidR="00221631" w:rsidRDefault="00221631" w:rsidP="00C45F1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F97E7" w14:textId="3E780D9A" w:rsidR="00221631" w:rsidRDefault="00221631" w:rsidP="00BA570C">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8B4A2A">
      <w:rPr>
        <w:sz w:val="16"/>
      </w:rPr>
      <w:t>13</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8B4A2A">
      <w:rPr>
        <w:sz w:val="16"/>
      </w:rPr>
      <w:t>13</w:t>
    </w:r>
    <w:r>
      <w:rPr>
        <w:sz w:val="16"/>
      </w:rPr>
      <w:fldChar w:fldCharType="end"/>
    </w:r>
  </w:p>
  <w:p w14:paraId="62236FFA" w14:textId="77777777" w:rsidR="00221631" w:rsidRPr="0050778E" w:rsidRDefault="00221631" w:rsidP="004F0E02">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221631" w:rsidRPr="00BA570C" w14:paraId="7681B7DB" w14:textId="77777777" w:rsidTr="00BA570C">
      <w:trPr>
        <w:trHeight w:val="686"/>
      </w:trPr>
      <w:tc>
        <w:tcPr>
          <w:tcW w:w="3679" w:type="dxa"/>
          <w:shd w:val="clear" w:color="auto" w:fill="auto"/>
          <w:vAlign w:val="center"/>
        </w:tcPr>
        <w:p w14:paraId="7FAD128D" w14:textId="77777777" w:rsidR="00221631" w:rsidRPr="00401235" w:rsidRDefault="00221631" w:rsidP="00BA570C">
          <w:pPr>
            <w:pStyle w:val="Header"/>
            <w:pBdr>
              <w:bottom w:val="none" w:sz="0" w:space="0" w:color="auto"/>
            </w:pBdr>
            <w:jc w:val="left"/>
            <w:rPr>
              <w:rFonts w:eastAsia="DengXian"/>
              <w:b/>
              <w:bCs/>
            </w:rPr>
          </w:pPr>
          <w:r w:rsidRPr="00401235">
            <w:rPr>
              <w:rFonts w:eastAsia="DengXian"/>
              <w:b/>
              <w:bCs/>
              <w:lang w:val="en-GB" w:eastAsia="en-GB"/>
            </w:rPr>
            <w:drawing>
              <wp:inline distT="0" distB="0" distL="0" distR="0" wp14:anchorId="4D333B6E" wp14:editId="417BCDF1">
                <wp:extent cx="1683385" cy="429260"/>
                <wp:effectExtent l="0" t="0" r="0" b="0"/>
                <wp:docPr id="1" name="Picture 5" descr="C:\Users\home\AppData\Local\Temp\HZ$D.082.3379\sustainabilit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AppData\Local\Temp\HZ$D.082.3379\sustainability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385" cy="429260"/>
                        </a:xfrm>
                        <a:prstGeom prst="rect">
                          <a:avLst/>
                        </a:prstGeom>
                        <a:noFill/>
                        <a:ln>
                          <a:noFill/>
                        </a:ln>
                      </pic:spPr>
                    </pic:pic>
                  </a:graphicData>
                </a:graphic>
              </wp:inline>
            </w:drawing>
          </w:r>
        </w:p>
      </w:tc>
      <w:tc>
        <w:tcPr>
          <w:tcW w:w="4535" w:type="dxa"/>
          <w:shd w:val="clear" w:color="auto" w:fill="auto"/>
          <w:vAlign w:val="center"/>
        </w:tcPr>
        <w:p w14:paraId="2DAD9878" w14:textId="77777777" w:rsidR="00221631" w:rsidRPr="00401235" w:rsidRDefault="00221631" w:rsidP="00BA570C">
          <w:pPr>
            <w:pStyle w:val="Header"/>
            <w:pBdr>
              <w:bottom w:val="none" w:sz="0" w:space="0" w:color="auto"/>
            </w:pBdr>
            <w:rPr>
              <w:rFonts w:eastAsia="DengXian"/>
              <w:b/>
              <w:bCs/>
            </w:rPr>
          </w:pPr>
        </w:p>
      </w:tc>
      <w:tc>
        <w:tcPr>
          <w:tcW w:w="2273" w:type="dxa"/>
          <w:shd w:val="clear" w:color="auto" w:fill="auto"/>
          <w:vAlign w:val="center"/>
        </w:tcPr>
        <w:p w14:paraId="77BF0723" w14:textId="77777777" w:rsidR="00221631" w:rsidRPr="00401235" w:rsidRDefault="00221631" w:rsidP="00BA570C">
          <w:pPr>
            <w:pStyle w:val="Header"/>
            <w:pBdr>
              <w:bottom w:val="none" w:sz="0" w:space="0" w:color="auto"/>
            </w:pBdr>
            <w:jc w:val="right"/>
            <w:rPr>
              <w:rFonts w:eastAsia="DengXian"/>
              <w:b/>
              <w:bCs/>
            </w:rPr>
          </w:pPr>
          <w:r w:rsidRPr="00401235">
            <w:rPr>
              <w:rFonts w:eastAsia="DengXian"/>
              <w:b/>
              <w:bCs/>
              <w:lang w:val="en-GB" w:eastAsia="en-GB"/>
            </w:rPr>
            <w:drawing>
              <wp:inline distT="0" distB="0" distL="0" distR="0" wp14:anchorId="45986E5E" wp14:editId="03CEE17F">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69774D5C" w14:textId="77777777" w:rsidR="00221631" w:rsidRPr="00281E5B" w:rsidRDefault="00221631" w:rsidP="004A74BC">
    <w:pPr>
      <w:pBdr>
        <w:bottom w:val="single" w:sz="4" w:space="2"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42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1"/>
  </w:num>
  <w:num w:numId="8">
    <w:abstractNumId w:val="7"/>
  </w:num>
  <w:num w:numId="9">
    <w:abstractNumId w:val="1"/>
  </w:num>
  <w:num w:numId="10">
    <w:abstractNumId w:val="7"/>
  </w:num>
  <w:num w:numId="11">
    <w:abstractNumId w:val="1"/>
  </w:num>
  <w:num w:numId="12">
    <w:abstractNumId w:val="8"/>
  </w:num>
  <w:num w:numId="13">
    <w:abstractNumId w:val="7"/>
  </w:num>
  <w:num w:numId="14">
    <w:abstractNumId w:val="1"/>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2C0"/>
    <w:rsid w:val="000066CB"/>
    <w:rsid w:val="000142CA"/>
    <w:rsid w:val="00020CE2"/>
    <w:rsid w:val="00034EB1"/>
    <w:rsid w:val="00037AE6"/>
    <w:rsid w:val="00051876"/>
    <w:rsid w:val="00064772"/>
    <w:rsid w:val="00071218"/>
    <w:rsid w:val="00080EFC"/>
    <w:rsid w:val="000855EA"/>
    <w:rsid w:val="000925CA"/>
    <w:rsid w:val="00093E7F"/>
    <w:rsid w:val="00097BF6"/>
    <w:rsid w:val="000B654D"/>
    <w:rsid w:val="000E4ACE"/>
    <w:rsid w:val="00104D24"/>
    <w:rsid w:val="00122283"/>
    <w:rsid w:val="00127746"/>
    <w:rsid w:val="001321B8"/>
    <w:rsid w:val="00132E5B"/>
    <w:rsid w:val="0013793B"/>
    <w:rsid w:val="00143029"/>
    <w:rsid w:val="0014459E"/>
    <w:rsid w:val="00171E0F"/>
    <w:rsid w:val="00185980"/>
    <w:rsid w:val="00190AF1"/>
    <w:rsid w:val="001A1BB3"/>
    <w:rsid w:val="001A27B2"/>
    <w:rsid w:val="001A32C0"/>
    <w:rsid w:val="001A57BF"/>
    <w:rsid w:val="001B38D4"/>
    <w:rsid w:val="001D057B"/>
    <w:rsid w:val="001E2AEB"/>
    <w:rsid w:val="001F036E"/>
    <w:rsid w:val="00204327"/>
    <w:rsid w:val="00221631"/>
    <w:rsid w:val="002244C2"/>
    <w:rsid w:val="00224E0B"/>
    <w:rsid w:val="0022638C"/>
    <w:rsid w:val="002266AA"/>
    <w:rsid w:val="002316BB"/>
    <w:rsid w:val="00253CA3"/>
    <w:rsid w:val="00256E65"/>
    <w:rsid w:val="00281E5B"/>
    <w:rsid w:val="0029420B"/>
    <w:rsid w:val="002C2D70"/>
    <w:rsid w:val="002D39EA"/>
    <w:rsid w:val="002D650D"/>
    <w:rsid w:val="002E57DB"/>
    <w:rsid w:val="002E5B86"/>
    <w:rsid w:val="002F1BFE"/>
    <w:rsid w:val="002F3577"/>
    <w:rsid w:val="002F39A7"/>
    <w:rsid w:val="00316C89"/>
    <w:rsid w:val="0031791D"/>
    <w:rsid w:val="00326141"/>
    <w:rsid w:val="00330A75"/>
    <w:rsid w:val="003337EA"/>
    <w:rsid w:val="00334D22"/>
    <w:rsid w:val="00336BCA"/>
    <w:rsid w:val="00337833"/>
    <w:rsid w:val="00354A5A"/>
    <w:rsid w:val="00373BE5"/>
    <w:rsid w:val="00374041"/>
    <w:rsid w:val="0038074A"/>
    <w:rsid w:val="003D1D40"/>
    <w:rsid w:val="003D60EE"/>
    <w:rsid w:val="003E7640"/>
    <w:rsid w:val="003F4EFE"/>
    <w:rsid w:val="003F6C3A"/>
    <w:rsid w:val="00401235"/>
    <w:rsid w:val="00401D30"/>
    <w:rsid w:val="0040766B"/>
    <w:rsid w:val="00425371"/>
    <w:rsid w:val="00431D81"/>
    <w:rsid w:val="0048108F"/>
    <w:rsid w:val="004A74BC"/>
    <w:rsid w:val="004B0B17"/>
    <w:rsid w:val="004B4287"/>
    <w:rsid w:val="004C3F57"/>
    <w:rsid w:val="004C46B1"/>
    <w:rsid w:val="004D1115"/>
    <w:rsid w:val="004E0F98"/>
    <w:rsid w:val="004E21A1"/>
    <w:rsid w:val="004F0E02"/>
    <w:rsid w:val="005028E5"/>
    <w:rsid w:val="00502EEE"/>
    <w:rsid w:val="00511E44"/>
    <w:rsid w:val="00512077"/>
    <w:rsid w:val="005327C9"/>
    <w:rsid w:val="00540EC7"/>
    <w:rsid w:val="005660F6"/>
    <w:rsid w:val="005A59BC"/>
    <w:rsid w:val="005C1132"/>
    <w:rsid w:val="005D13A9"/>
    <w:rsid w:val="005E0240"/>
    <w:rsid w:val="005E14E8"/>
    <w:rsid w:val="00604EDE"/>
    <w:rsid w:val="00607F24"/>
    <w:rsid w:val="006204BC"/>
    <w:rsid w:val="00620A01"/>
    <w:rsid w:val="00625272"/>
    <w:rsid w:val="00632077"/>
    <w:rsid w:val="006429BB"/>
    <w:rsid w:val="00663102"/>
    <w:rsid w:val="0069081C"/>
    <w:rsid w:val="00692393"/>
    <w:rsid w:val="006A7FF4"/>
    <w:rsid w:val="006B6F09"/>
    <w:rsid w:val="006E142A"/>
    <w:rsid w:val="0072204A"/>
    <w:rsid w:val="00735766"/>
    <w:rsid w:val="00740B6F"/>
    <w:rsid w:val="00752BCF"/>
    <w:rsid w:val="0075794E"/>
    <w:rsid w:val="007628E6"/>
    <w:rsid w:val="00765B9B"/>
    <w:rsid w:val="0076686D"/>
    <w:rsid w:val="007674BF"/>
    <w:rsid w:val="00770948"/>
    <w:rsid w:val="0077402B"/>
    <w:rsid w:val="00787882"/>
    <w:rsid w:val="00793ADD"/>
    <w:rsid w:val="007A108C"/>
    <w:rsid w:val="007A283C"/>
    <w:rsid w:val="007D2775"/>
    <w:rsid w:val="007D3B33"/>
    <w:rsid w:val="007E1AD0"/>
    <w:rsid w:val="007E5740"/>
    <w:rsid w:val="00822B3D"/>
    <w:rsid w:val="00832857"/>
    <w:rsid w:val="00840934"/>
    <w:rsid w:val="00841933"/>
    <w:rsid w:val="008523BB"/>
    <w:rsid w:val="008838CF"/>
    <w:rsid w:val="008B1B4D"/>
    <w:rsid w:val="008B4A2A"/>
    <w:rsid w:val="008B5125"/>
    <w:rsid w:val="008C252E"/>
    <w:rsid w:val="008E7051"/>
    <w:rsid w:val="008F446B"/>
    <w:rsid w:val="009262E5"/>
    <w:rsid w:val="00933E2C"/>
    <w:rsid w:val="00956613"/>
    <w:rsid w:val="00961161"/>
    <w:rsid w:val="00964A28"/>
    <w:rsid w:val="00983B0D"/>
    <w:rsid w:val="00993A21"/>
    <w:rsid w:val="009D0DA8"/>
    <w:rsid w:val="009D5560"/>
    <w:rsid w:val="009D7336"/>
    <w:rsid w:val="009E7E90"/>
    <w:rsid w:val="009F70E6"/>
    <w:rsid w:val="00A04FD6"/>
    <w:rsid w:val="00A0694C"/>
    <w:rsid w:val="00A0751C"/>
    <w:rsid w:val="00A36565"/>
    <w:rsid w:val="00A65307"/>
    <w:rsid w:val="00A70B08"/>
    <w:rsid w:val="00A86E9F"/>
    <w:rsid w:val="00AA684A"/>
    <w:rsid w:val="00AC214E"/>
    <w:rsid w:val="00AD7D98"/>
    <w:rsid w:val="00AE1135"/>
    <w:rsid w:val="00AF0644"/>
    <w:rsid w:val="00AF3946"/>
    <w:rsid w:val="00AF5A91"/>
    <w:rsid w:val="00B00AFB"/>
    <w:rsid w:val="00B05489"/>
    <w:rsid w:val="00B142DB"/>
    <w:rsid w:val="00B21347"/>
    <w:rsid w:val="00B24E6E"/>
    <w:rsid w:val="00B4734C"/>
    <w:rsid w:val="00B604F6"/>
    <w:rsid w:val="00B84F5A"/>
    <w:rsid w:val="00BA570C"/>
    <w:rsid w:val="00BB5981"/>
    <w:rsid w:val="00BC2B40"/>
    <w:rsid w:val="00BD2405"/>
    <w:rsid w:val="00BD5735"/>
    <w:rsid w:val="00BE0791"/>
    <w:rsid w:val="00BF06B6"/>
    <w:rsid w:val="00C02A07"/>
    <w:rsid w:val="00C036E8"/>
    <w:rsid w:val="00C17F38"/>
    <w:rsid w:val="00C24116"/>
    <w:rsid w:val="00C43255"/>
    <w:rsid w:val="00C45F1E"/>
    <w:rsid w:val="00C54EEF"/>
    <w:rsid w:val="00C8316E"/>
    <w:rsid w:val="00C90EAB"/>
    <w:rsid w:val="00C90F92"/>
    <w:rsid w:val="00C94321"/>
    <w:rsid w:val="00C9601A"/>
    <w:rsid w:val="00C97D0B"/>
    <w:rsid w:val="00CA6896"/>
    <w:rsid w:val="00CD2EA6"/>
    <w:rsid w:val="00CD3203"/>
    <w:rsid w:val="00CE7302"/>
    <w:rsid w:val="00D011BB"/>
    <w:rsid w:val="00D07230"/>
    <w:rsid w:val="00D223A8"/>
    <w:rsid w:val="00D2684C"/>
    <w:rsid w:val="00D32E9B"/>
    <w:rsid w:val="00D51C07"/>
    <w:rsid w:val="00D5686C"/>
    <w:rsid w:val="00D92691"/>
    <w:rsid w:val="00D94F8A"/>
    <w:rsid w:val="00DB04E8"/>
    <w:rsid w:val="00DC0952"/>
    <w:rsid w:val="00DC426C"/>
    <w:rsid w:val="00DC5535"/>
    <w:rsid w:val="00DD0CD1"/>
    <w:rsid w:val="00DE1C1B"/>
    <w:rsid w:val="00E034CE"/>
    <w:rsid w:val="00E11356"/>
    <w:rsid w:val="00E16322"/>
    <w:rsid w:val="00E22508"/>
    <w:rsid w:val="00E25B67"/>
    <w:rsid w:val="00E26334"/>
    <w:rsid w:val="00E30E54"/>
    <w:rsid w:val="00E4780F"/>
    <w:rsid w:val="00E70428"/>
    <w:rsid w:val="00E92985"/>
    <w:rsid w:val="00E943BD"/>
    <w:rsid w:val="00E94AAD"/>
    <w:rsid w:val="00EA77BB"/>
    <w:rsid w:val="00EB24EA"/>
    <w:rsid w:val="00ED4660"/>
    <w:rsid w:val="00EE423C"/>
    <w:rsid w:val="00EE5E96"/>
    <w:rsid w:val="00EF0BDC"/>
    <w:rsid w:val="00EF44DA"/>
    <w:rsid w:val="00EF7C2A"/>
    <w:rsid w:val="00F25D88"/>
    <w:rsid w:val="00F30A12"/>
    <w:rsid w:val="00F528DD"/>
    <w:rsid w:val="00F57906"/>
    <w:rsid w:val="00F658F9"/>
    <w:rsid w:val="00F82B16"/>
    <w:rsid w:val="00FA0692"/>
    <w:rsid w:val="00FE6213"/>
    <w:rsid w:val="00FF00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99560"/>
  <w15:chartTrackingRefBased/>
  <w15:docId w15:val="{6A3723A3-F58E-414A-9A23-5410EDA4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E9F"/>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A86E9F"/>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A86E9F"/>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A86E9F"/>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A86E9F"/>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A86E9F"/>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A86E9F"/>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A86E9F"/>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A86E9F"/>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CD320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A86E9F"/>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86E9F"/>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A86E9F"/>
    <w:rPr>
      <w:rFonts w:ascii="Palatino Linotype" w:hAnsi="Palatino Linotype"/>
      <w:noProof/>
      <w:color w:val="000000"/>
      <w:szCs w:val="18"/>
    </w:rPr>
  </w:style>
  <w:style w:type="paragraph" w:customStyle="1" w:styleId="MDPIheaderjournallogo">
    <w:name w:val="MDPI_header_journal_logo"/>
    <w:qFormat/>
    <w:rsid w:val="00A86E9F"/>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A86E9F"/>
    <w:pPr>
      <w:ind w:firstLine="0"/>
    </w:pPr>
  </w:style>
  <w:style w:type="paragraph" w:customStyle="1" w:styleId="MDPI31text">
    <w:name w:val="MDPI_3.1_text"/>
    <w:qFormat/>
    <w:rsid w:val="003D1D4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A86E9F"/>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A86E9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A86E9F"/>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A86E9F"/>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A86E9F"/>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A86E9F"/>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A86E9F"/>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A86E9F"/>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5E14E8"/>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A86E9F"/>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A86E9F"/>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A86E9F"/>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footerfirstpage">
    <w:name w:val="MDPI_footer_firstpage"/>
    <w:qFormat/>
    <w:rsid w:val="00A86E9F"/>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A86E9F"/>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A86E9F"/>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A86E9F"/>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D13A9"/>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A86E9F"/>
    <w:rPr>
      <w:rFonts w:cs="Tahoma"/>
      <w:szCs w:val="18"/>
    </w:rPr>
  </w:style>
  <w:style w:type="character" w:customStyle="1" w:styleId="BalloonTextChar">
    <w:name w:val="Balloon Text Char"/>
    <w:link w:val="BalloonText"/>
    <w:uiPriority w:val="99"/>
    <w:rsid w:val="00A86E9F"/>
    <w:rPr>
      <w:rFonts w:ascii="Palatino Linotype" w:hAnsi="Palatino Linotype" w:cs="Tahoma"/>
      <w:noProof/>
      <w:color w:val="000000"/>
      <w:szCs w:val="18"/>
    </w:rPr>
  </w:style>
  <w:style w:type="character" w:styleId="LineNumber">
    <w:name w:val="line number"/>
    <w:uiPriority w:val="99"/>
    <w:rsid w:val="00AF0644"/>
    <w:rPr>
      <w:rFonts w:ascii="Palatino Linotype" w:hAnsi="Palatino Linotype"/>
      <w:sz w:val="16"/>
    </w:rPr>
  </w:style>
  <w:style w:type="table" w:customStyle="1" w:styleId="MDPI41threelinetable">
    <w:name w:val="MDPI_4.1_three_line_table"/>
    <w:basedOn w:val="TableNormal"/>
    <w:uiPriority w:val="99"/>
    <w:rsid w:val="00A86E9F"/>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A86E9F"/>
    <w:rPr>
      <w:color w:val="0000FF"/>
      <w:u w:val="single"/>
    </w:rPr>
  </w:style>
  <w:style w:type="character" w:customStyle="1" w:styleId="UnresolvedMention1">
    <w:name w:val="Unresolved Mention1"/>
    <w:uiPriority w:val="99"/>
    <w:semiHidden/>
    <w:unhideWhenUsed/>
    <w:rsid w:val="004C46B1"/>
    <w:rPr>
      <w:color w:val="605E5C"/>
      <w:shd w:val="clear" w:color="auto" w:fill="E1DFDD"/>
    </w:rPr>
  </w:style>
  <w:style w:type="paragraph" w:styleId="Footer">
    <w:name w:val="footer"/>
    <w:basedOn w:val="Normal"/>
    <w:link w:val="FooterChar"/>
    <w:uiPriority w:val="99"/>
    <w:rsid w:val="00A86E9F"/>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A86E9F"/>
    <w:rPr>
      <w:rFonts w:ascii="Palatino Linotype" w:hAnsi="Palatino Linotype"/>
      <w:noProof/>
      <w:color w:val="000000"/>
      <w:szCs w:val="18"/>
    </w:rPr>
  </w:style>
  <w:style w:type="table" w:styleId="PlainTable4">
    <w:name w:val="Plain Table 4"/>
    <w:basedOn w:val="TableNormal"/>
    <w:uiPriority w:val="44"/>
    <w:rsid w:val="006320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A86E9F"/>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A86E9F"/>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A86E9F"/>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A86E9F"/>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A86E9F"/>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A86E9F"/>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A86E9F"/>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A86E9F"/>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A86E9F"/>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A86E9F"/>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A86E9F"/>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A86E9F"/>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A86E9F"/>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A86E9F"/>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A86E9F"/>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A86E9F"/>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A86E9F"/>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A86E9F"/>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A86E9F"/>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A86E9F"/>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A86E9F"/>
  </w:style>
  <w:style w:type="paragraph" w:styleId="Bibliography">
    <w:name w:val="Bibliography"/>
    <w:basedOn w:val="Normal"/>
    <w:next w:val="Normal"/>
    <w:uiPriority w:val="37"/>
    <w:semiHidden/>
    <w:unhideWhenUsed/>
    <w:rsid w:val="00A86E9F"/>
  </w:style>
  <w:style w:type="paragraph" w:styleId="BodyText">
    <w:name w:val="Body Text"/>
    <w:link w:val="BodyTextChar"/>
    <w:rsid w:val="00A86E9F"/>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A86E9F"/>
    <w:rPr>
      <w:rFonts w:ascii="Palatino Linotype" w:hAnsi="Palatino Linotype"/>
      <w:color w:val="000000"/>
      <w:sz w:val="24"/>
      <w:lang w:eastAsia="de-DE"/>
    </w:rPr>
  </w:style>
  <w:style w:type="character" w:styleId="CommentReference">
    <w:name w:val="annotation reference"/>
    <w:rsid w:val="00A86E9F"/>
    <w:rPr>
      <w:sz w:val="21"/>
      <w:szCs w:val="21"/>
    </w:rPr>
  </w:style>
  <w:style w:type="paragraph" w:styleId="CommentText">
    <w:name w:val="annotation text"/>
    <w:basedOn w:val="Normal"/>
    <w:link w:val="CommentTextChar"/>
    <w:rsid w:val="00A86E9F"/>
  </w:style>
  <w:style w:type="character" w:customStyle="1" w:styleId="CommentTextChar">
    <w:name w:val="Comment Text Char"/>
    <w:link w:val="CommentText"/>
    <w:rsid w:val="00A86E9F"/>
    <w:rPr>
      <w:rFonts w:ascii="Palatino Linotype" w:hAnsi="Palatino Linotype"/>
      <w:noProof/>
      <w:color w:val="000000"/>
    </w:rPr>
  </w:style>
  <w:style w:type="paragraph" w:styleId="CommentSubject">
    <w:name w:val="annotation subject"/>
    <w:basedOn w:val="CommentText"/>
    <w:next w:val="CommentText"/>
    <w:link w:val="CommentSubjectChar"/>
    <w:rsid w:val="00A86E9F"/>
    <w:rPr>
      <w:b/>
      <w:bCs/>
    </w:rPr>
  </w:style>
  <w:style w:type="character" w:customStyle="1" w:styleId="CommentSubjectChar">
    <w:name w:val="Comment Subject Char"/>
    <w:link w:val="CommentSubject"/>
    <w:rsid w:val="00A86E9F"/>
    <w:rPr>
      <w:rFonts w:ascii="Palatino Linotype" w:hAnsi="Palatino Linotype"/>
      <w:b/>
      <w:bCs/>
      <w:noProof/>
      <w:color w:val="000000"/>
    </w:rPr>
  </w:style>
  <w:style w:type="character" w:styleId="EndnoteReference">
    <w:name w:val="endnote reference"/>
    <w:rsid w:val="00A86E9F"/>
    <w:rPr>
      <w:vertAlign w:val="superscript"/>
    </w:rPr>
  </w:style>
  <w:style w:type="paragraph" w:styleId="EndnoteText">
    <w:name w:val="endnote text"/>
    <w:basedOn w:val="Normal"/>
    <w:link w:val="EndnoteTextChar"/>
    <w:semiHidden/>
    <w:unhideWhenUsed/>
    <w:rsid w:val="00A86E9F"/>
    <w:pPr>
      <w:spacing w:line="240" w:lineRule="auto"/>
    </w:pPr>
  </w:style>
  <w:style w:type="character" w:customStyle="1" w:styleId="EndnoteTextChar">
    <w:name w:val="Endnote Text Char"/>
    <w:link w:val="EndnoteText"/>
    <w:semiHidden/>
    <w:rsid w:val="00A86E9F"/>
    <w:rPr>
      <w:rFonts w:ascii="Palatino Linotype" w:hAnsi="Palatino Linotype"/>
      <w:noProof/>
      <w:color w:val="000000"/>
    </w:rPr>
  </w:style>
  <w:style w:type="character" w:styleId="FollowedHyperlink">
    <w:name w:val="FollowedHyperlink"/>
    <w:rsid w:val="00A86E9F"/>
    <w:rPr>
      <w:color w:val="954F72"/>
      <w:u w:val="single"/>
    </w:rPr>
  </w:style>
  <w:style w:type="paragraph" w:styleId="FootnoteText">
    <w:name w:val="footnote text"/>
    <w:basedOn w:val="Normal"/>
    <w:link w:val="FootnoteTextChar"/>
    <w:semiHidden/>
    <w:unhideWhenUsed/>
    <w:rsid w:val="00A86E9F"/>
    <w:pPr>
      <w:spacing w:line="240" w:lineRule="auto"/>
    </w:pPr>
  </w:style>
  <w:style w:type="character" w:customStyle="1" w:styleId="FootnoteTextChar">
    <w:name w:val="Footnote Text Char"/>
    <w:link w:val="FootnoteText"/>
    <w:semiHidden/>
    <w:rsid w:val="00A86E9F"/>
    <w:rPr>
      <w:rFonts w:ascii="Palatino Linotype" w:hAnsi="Palatino Linotype"/>
      <w:noProof/>
      <w:color w:val="000000"/>
    </w:rPr>
  </w:style>
  <w:style w:type="paragraph" w:styleId="NormalWeb">
    <w:name w:val="Normal (Web)"/>
    <w:basedOn w:val="Normal"/>
    <w:uiPriority w:val="99"/>
    <w:rsid w:val="00A86E9F"/>
    <w:rPr>
      <w:szCs w:val="24"/>
    </w:rPr>
  </w:style>
  <w:style w:type="paragraph" w:customStyle="1" w:styleId="MsoFootnoteText0">
    <w:name w:val="MsoFootnoteText"/>
    <w:basedOn w:val="NormalWeb"/>
    <w:qFormat/>
    <w:rsid w:val="00A86E9F"/>
    <w:rPr>
      <w:rFonts w:ascii="Times New Roman" w:hAnsi="Times New Roman"/>
    </w:rPr>
  </w:style>
  <w:style w:type="character" w:styleId="PageNumber">
    <w:name w:val="page number"/>
    <w:rsid w:val="00A86E9F"/>
  </w:style>
  <w:style w:type="character" w:styleId="PlaceholderText">
    <w:name w:val="Placeholder Text"/>
    <w:uiPriority w:val="99"/>
    <w:semiHidden/>
    <w:rsid w:val="00A86E9F"/>
    <w:rPr>
      <w:color w:val="808080"/>
    </w:rPr>
  </w:style>
  <w:style w:type="paragraph" w:customStyle="1" w:styleId="MDPI71FootNotes">
    <w:name w:val="MDPI_7.1_FootNotes"/>
    <w:qFormat/>
    <w:rsid w:val="006A7FF4"/>
    <w:pPr>
      <w:numPr>
        <w:numId w:val="16"/>
      </w:numPr>
      <w:adjustRightInd w:val="0"/>
      <w:snapToGrid w:val="0"/>
      <w:spacing w:line="228" w:lineRule="auto"/>
      <w:jc w:val="both"/>
    </w:pPr>
    <w:rPr>
      <w:rFonts w:ascii="Palatino Linotype" w:eastAsiaTheme="minorEastAsia" w:hAnsi="Palatino Linotype"/>
      <w:noProof/>
      <w:color w:val="000000"/>
      <w:sz w:val="18"/>
    </w:rPr>
  </w:style>
  <w:style w:type="paragraph" w:styleId="Revision">
    <w:name w:val="Revision"/>
    <w:hidden/>
    <w:uiPriority w:val="99"/>
    <w:semiHidden/>
    <w:rsid w:val="00E92985"/>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61529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nasthma.org" TargetMode="External"/><Relationship Id="rId13" Type="http://schemas.openxmlformats.org/officeDocument/2006/relationships/hyperlink" Target="https://www.euro.who.int/en/SDG_factsheets"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ine.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robe-statement.org/" TargetMode="External"/><Relationship Id="rId5" Type="http://schemas.openxmlformats.org/officeDocument/2006/relationships/footnotes" Target="footnotes.xml"/><Relationship Id="rId15" Type="http://schemas.openxmlformats.org/officeDocument/2006/relationships/hyperlink" Target="https://www.ine.es/daco/daco42/clasificaciones/cned14/CNED2014_capitulo0.pdf" TargetMode="External"/><Relationship Id="rId10" Type="http://schemas.openxmlformats.org/officeDocument/2006/relationships/hyperlink" Target="http://ghdx.healthdata.org/gbd-results-too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oldcopd.org" TargetMode="External"/><Relationship Id="rId14" Type="http://schemas.openxmlformats.org/officeDocument/2006/relationships/hyperlink" Target="http://www.emro.who.int/tfi-campaigns/2017/tobacco-and-sustainable-development.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eila\Downloads\sustainability-template%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sustainability-template (2)</Template>
  <TotalTime>0</TotalTime>
  <Pages>13</Pages>
  <Words>7560</Words>
  <Characters>43096</Characters>
  <Application>Microsoft Office Word</Application>
  <DocSecurity>0</DocSecurity>
  <Lines>359</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Type of the Paper (Article</vt:lpstr>
      <vt:lpstr>Type of the Paper (Article</vt:lpstr>
    </vt:vector>
  </TitlesOfParts>
  <Company/>
  <LinksUpToDate>false</LinksUpToDate>
  <CharactersWithSpaces>50555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Sheila Sánchez Castillo</dc:creator>
  <cp:keywords/>
  <dc:description/>
  <cp:lastModifiedBy>L.Smith</cp:lastModifiedBy>
  <cp:revision>2</cp:revision>
  <cp:lastPrinted>2021-06-08T01:59:00Z</cp:lastPrinted>
  <dcterms:created xsi:type="dcterms:W3CDTF">2021-07-03T10:51:00Z</dcterms:created>
  <dcterms:modified xsi:type="dcterms:W3CDTF">2021-07-03T10:51:00Z</dcterms:modified>
</cp:coreProperties>
</file>