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8F64B" w14:textId="370E0D5E" w:rsidR="00582EA6" w:rsidRPr="00F941E3" w:rsidRDefault="00582EA6" w:rsidP="006702BC">
      <w:pPr>
        <w:pStyle w:val="Title"/>
        <w:rPr>
          <w:b w:val="0"/>
          <w:lang w:val="en-US"/>
        </w:rPr>
      </w:pPr>
      <w:r w:rsidRPr="00F941E3">
        <w:rPr>
          <w:lang w:val="en-US"/>
        </w:rPr>
        <w:t>Prevalence</w:t>
      </w:r>
      <w:r w:rsidR="00D4470D" w:rsidRPr="00F941E3">
        <w:rPr>
          <w:lang w:val="en-US"/>
        </w:rPr>
        <w:t xml:space="preserve"> of and factors </w:t>
      </w:r>
      <w:r w:rsidR="00455143" w:rsidRPr="00F941E3">
        <w:rPr>
          <w:lang w:val="en-US"/>
        </w:rPr>
        <w:t xml:space="preserve">associated with </w:t>
      </w:r>
      <w:r w:rsidR="00222BCA" w:rsidRPr="00F941E3">
        <w:rPr>
          <w:lang w:val="en-US"/>
        </w:rPr>
        <w:t xml:space="preserve">long-term </w:t>
      </w:r>
      <w:r w:rsidR="00074050" w:rsidRPr="00F941E3">
        <w:rPr>
          <w:lang w:val="en-US"/>
        </w:rPr>
        <w:t xml:space="preserve">COVID-19 </w:t>
      </w:r>
      <w:r w:rsidR="009A5C32" w:rsidRPr="00F941E3">
        <w:rPr>
          <w:lang w:val="en-US"/>
        </w:rPr>
        <w:t xml:space="preserve">sick leave </w:t>
      </w:r>
      <w:r w:rsidR="00074050" w:rsidRPr="00F941E3">
        <w:rPr>
          <w:lang w:val="en-US"/>
        </w:rPr>
        <w:t xml:space="preserve">in </w:t>
      </w:r>
      <w:r w:rsidR="0094190F" w:rsidRPr="00F941E3">
        <w:rPr>
          <w:lang w:val="en-US"/>
        </w:rPr>
        <w:t xml:space="preserve">working-age </w:t>
      </w:r>
      <w:r w:rsidR="00074050" w:rsidRPr="00F941E3">
        <w:rPr>
          <w:lang w:val="en-US"/>
        </w:rPr>
        <w:t>p</w:t>
      </w:r>
      <w:r w:rsidR="005F5274" w:rsidRPr="00F941E3">
        <w:rPr>
          <w:lang w:val="en-US"/>
        </w:rPr>
        <w:t>atients followed in general practices in Germany</w:t>
      </w:r>
    </w:p>
    <w:p w14:paraId="650D7EAD" w14:textId="77777777" w:rsidR="005F5274" w:rsidRPr="00F941E3" w:rsidRDefault="005F5274" w:rsidP="00D4470D">
      <w:pPr>
        <w:spacing w:line="480" w:lineRule="auto"/>
        <w:rPr>
          <w:rFonts w:ascii="Arial" w:hAnsi="Arial" w:cs="Arial"/>
          <w:color w:val="000000" w:themeColor="text1"/>
          <w:sz w:val="24"/>
          <w:szCs w:val="24"/>
          <w:lang w:val="en-US"/>
        </w:rPr>
      </w:pPr>
    </w:p>
    <w:p w14:paraId="51C18E1C" w14:textId="3123A2D8" w:rsidR="00666E07" w:rsidRPr="00F941E3" w:rsidRDefault="00666E07" w:rsidP="00D4470D">
      <w:pPr>
        <w:spacing w:line="480" w:lineRule="auto"/>
        <w:rPr>
          <w:rFonts w:ascii="Arial" w:hAnsi="Arial" w:cs="Arial"/>
          <w:color w:val="000000" w:themeColor="text1"/>
          <w:sz w:val="24"/>
          <w:szCs w:val="24"/>
          <w:lang w:val="en-US"/>
        </w:rPr>
      </w:pPr>
      <w:r w:rsidRPr="00F941E3">
        <w:rPr>
          <w:rFonts w:ascii="Arial" w:hAnsi="Arial" w:cs="Arial"/>
          <w:b/>
          <w:bCs/>
          <w:color w:val="000000" w:themeColor="text1"/>
          <w:sz w:val="24"/>
          <w:szCs w:val="24"/>
          <w:lang w:val="en-US"/>
        </w:rPr>
        <w:t xml:space="preserve">Running title: </w:t>
      </w:r>
      <w:r w:rsidR="00222BCA" w:rsidRPr="00F941E3">
        <w:rPr>
          <w:rFonts w:ascii="Arial" w:hAnsi="Arial" w:cs="Arial"/>
          <w:color w:val="000000" w:themeColor="text1"/>
          <w:sz w:val="24"/>
          <w:szCs w:val="24"/>
          <w:lang w:val="en-US"/>
        </w:rPr>
        <w:t xml:space="preserve">Long-term </w:t>
      </w:r>
      <w:r w:rsidRPr="00F941E3">
        <w:rPr>
          <w:rFonts w:ascii="Arial" w:hAnsi="Arial" w:cs="Arial"/>
          <w:color w:val="000000" w:themeColor="text1"/>
          <w:sz w:val="24"/>
          <w:szCs w:val="24"/>
          <w:lang w:val="en-US"/>
        </w:rPr>
        <w:t>COVID-19</w:t>
      </w:r>
      <w:r w:rsidR="009A5C32" w:rsidRPr="00F941E3">
        <w:rPr>
          <w:rFonts w:ascii="Arial" w:hAnsi="Arial" w:cs="Arial"/>
          <w:color w:val="000000" w:themeColor="text1"/>
          <w:sz w:val="24"/>
          <w:szCs w:val="24"/>
          <w:lang w:val="en-US"/>
        </w:rPr>
        <w:t xml:space="preserve"> sick leave</w:t>
      </w:r>
    </w:p>
    <w:p w14:paraId="0975AB28" w14:textId="77777777" w:rsidR="00666E07" w:rsidRPr="00F941E3" w:rsidRDefault="00666E07" w:rsidP="00D4470D">
      <w:pPr>
        <w:spacing w:line="480" w:lineRule="auto"/>
        <w:rPr>
          <w:rFonts w:ascii="Arial" w:hAnsi="Arial" w:cs="Arial"/>
          <w:color w:val="000000" w:themeColor="text1"/>
          <w:sz w:val="24"/>
          <w:szCs w:val="24"/>
          <w:lang w:val="en-US"/>
        </w:rPr>
      </w:pPr>
    </w:p>
    <w:p w14:paraId="1C0BFC26" w14:textId="39EFAC64" w:rsidR="00D10033" w:rsidRPr="00F941E3" w:rsidRDefault="00D10033" w:rsidP="00D10033">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Louis Jacob, MD-PhD (ORCID: 0000-0003-1071-</w:t>
      </w:r>
      <w:proofErr w:type="gramStart"/>
      <w:r w:rsidRPr="00F941E3">
        <w:rPr>
          <w:rFonts w:ascii="Arial" w:hAnsi="Arial" w:cs="Arial"/>
          <w:color w:val="000000" w:themeColor="text1"/>
          <w:sz w:val="24"/>
          <w:szCs w:val="24"/>
          <w:lang w:val="en-US"/>
        </w:rPr>
        <w:t>1239)</w:t>
      </w:r>
      <w:proofErr w:type="spellStart"/>
      <w:r w:rsidRPr="00F941E3">
        <w:rPr>
          <w:rFonts w:ascii="Arial" w:hAnsi="Arial" w:cs="Arial"/>
          <w:color w:val="000000" w:themeColor="text1"/>
          <w:sz w:val="24"/>
          <w:szCs w:val="24"/>
          <w:vertAlign w:val="superscript"/>
          <w:lang w:val="en-US"/>
        </w:rPr>
        <w:t>a</w:t>
      </w:r>
      <w:proofErr w:type="gramEnd"/>
      <w:r w:rsidRPr="00F941E3">
        <w:rPr>
          <w:rFonts w:ascii="Arial" w:hAnsi="Arial" w:cs="Arial"/>
          <w:color w:val="000000" w:themeColor="text1"/>
          <w:sz w:val="24"/>
          <w:szCs w:val="24"/>
          <w:vertAlign w:val="superscript"/>
          <w:lang w:val="en-US"/>
        </w:rPr>
        <w:t>,b,c</w:t>
      </w:r>
      <w:proofErr w:type="spellEnd"/>
      <w:r w:rsidRPr="00F941E3">
        <w:rPr>
          <w:rFonts w:ascii="Arial" w:hAnsi="Arial" w:cs="Arial"/>
          <w:color w:val="000000" w:themeColor="text1"/>
          <w:sz w:val="24"/>
          <w:szCs w:val="24"/>
          <w:lang w:val="en-US"/>
        </w:rPr>
        <w:t xml:space="preserve">; Ai </w:t>
      </w:r>
      <w:proofErr w:type="spellStart"/>
      <w:r w:rsidRPr="00F941E3">
        <w:rPr>
          <w:rFonts w:ascii="Arial" w:hAnsi="Arial" w:cs="Arial"/>
          <w:color w:val="000000" w:themeColor="text1"/>
          <w:sz w:val="24"/>
          <w:szCs w:val="24"/>
          <w:lang w:val="en-US"/>
        </w:rPr>
        <w:t>Koyanagi</w:t>
      </w:r>
      <w:proofErr w:type="spellEnd"/>
      <w:r w:rsidRPr="00F941E3">
        <w:rPr>
          <w:rFonts w:ascii="Arial" w:hAnsi="Arial" w:cs="Arial"/>
          <w:color w:val="000000" w:themeColor="text1"/>
          <w:sz w:val="24"/>
          <w:szCs w:val="24"/>
          <w:lang w:val="en-US"/>
        </w:rPr>
        <w:t>, MD-Ph</w:t>
      </w:r>
      <w:r w:rsidR="00D92A86" w:rsidRPr="00F941E3">
        <w:rPr>
          <w:rFonts w:ascii="Arial" w:hAnsi="Arial" w:cs="Arial"/>
          <w:color w:val="000000" w:themeColor="text1"/>
          <w:sz w:val="24"/>
          <w:szCs w:val="24"/>
          <w:lang w:val="en-US"/>
        </w:rPr>
        <w:t>D (ORCID:</w:t>
      </w:r>
      <w:r w:rsidR="00A74512" w:rsidRPr="00F941E3">
        <w:rPr>
          <w:rFonts w:ascii="Arial" w:hAnsi="Arial" w:cs="Arial"/>
          <w:color w:val="000000" w:themeColor="text1"/>
          <w:sz w:val="24"/>
          <w:szCs w:val="24"/>
          <w:lang w:val="en-US"/>
        </w:rPr>
        <w:t xml:space="preserve"> </w:t>
      </w:r>
      <w:r w:rsidR="00C4133B" w:rsidRPr="00F941E3">
        <w:rPr>
          <w:rFonts w:ascii="Arial" w:hAnsi="Arial" w:cs="Arial"/>
          <w:color w:val="000000" w:themeColor="text1"/>
          <w:sz w:val="24"/>
          <w:szCs w:val="24"/>
          <w:lang w:val="en-US"/>
        </w:rPr>
        <w:t>0000-0002-9565-5004</w:t>
      </w:r>
      <w:r w:rsidR="00A74512" w:rsidRPr="00F941E3">
        <w:rPr>
          <w:rFonts w:ascii="Arial" w:hAnsi="Arial" w:cs="Arial"/>
          <w:color w:val="000000" w:themeColor="text1"/>
          <w:sz w:val="24"/>
          <w:szCs w:val="24"/>
          <w:lang w:val="en-US"/>
        </w:rPr>
        <w:t>)</w:t>
      </w:r>
      <w:r w:rsidR="00A74512" w:rsidRPr="00F941E3">
        <w:rPr>
          <w:rFonts w:ascii="Arial" w:hAnsi="Arial" w:cs="Arial"/>
          <w:color w:val="000000" w:themeColor="text1"/>
          <w:sz w:val="24"/>
          <w:szCs w:val="24"/>
          <w:vertAlign w:val="superscript"/>
          <w:lang w:val="en-US"/>
        </w:rPr>
        <w:t>d</w:t>
      </w:r>
      <w:r w:rsidRPr="00F941E3">
        <w:rPr>
          <w:rFonts w:ascii="Arial" w:hAnsi="Arial" w:cs="Arial"/>
          <w:color w:val="000000" w:themeColor="text1"/>
          <w:sz w:val="24"/>
          <w:szCs w:val="24"/>
          <w:lang w:val="en-US"/>
        </w:rPr>
        <w:t>; Lee Smith, Ph</w:t>
      </w:r>
      <w:r w:rsidR="00161481" w:rsidRPr="00F941E3">
        <w:rPr>
          <w:rFonts w:ascii="Arial" w:hAnsi="Arial" w:cs="Arial"/>
          <w:color w:val="000000" w:themeColor="text1"/>
          <w:sz w:val="24"/>
          <w:szCs w:val="24"/>
          <w:lang w:val="en-US"/>
        </w:rPr>
        <w:t>D</w:t>
      </w:r>
      <w:r w:rsidR="00FB5FB7" w:rsidRPr="00F941E3">
        <w:rPr>
          <w:rFonts w:ascii="Arial" w:hAnsi="Arial" w:cs="Arial"/>
          <w:color w:val="000000" w:themeColor="text1"/>
          <w:sz w:val="24"/>
          <w:szCs w:val="24"/>
          <w:lang w:val="en-US"/>
        </w:rPr>
        <w:t xml:space="preserve"> (ORCID:</w:t>
      </w:r>
      <w:r w:rsidR="00A652AB" w:rsidRPr="00F941E3">
        <w:rPr>
          <w:rFonts w:ascii="Arial" w:hAnsi="Arial" w:cs="Arial"/>
          <w:color w:val="000000" w:themeColor="text1"/>
          <w:sz w:val="24"/>
          <w:szCs w:val="24"/>
          <w:lang w:val="en-US"/>
        </w:rPr>
        <w:t xml:space="preserve"> 0000-0002-5340-9833</w:t>
      </w:r>
      <w:r w:rsidR="00FB5FB7" w:rsidRPr="00F941E3">
        <w:rPr>
          <w:rFonts w:ascii="Arial" w:hAnsi="Arial" w:cs="Arial"/>
          <w:color w:val="000000" w:themeColor="text1"/>
          <w:sz w:val="24"/>
          <w:szCs w:val="24"/>
          <w:lang w:val="en-US"/>
        </w:rPr>
        <w:t>)</w:t>
      </w:r>
      <w:r w:rsidR="00FB5FB7" w:rsidRPr="00F941E3">
        <w:rPr>
          <w:rFonts w:ascii="Arial" w:hAnsi="Arial" w:cs="Arial"/>
          <w:color w:val="000000" w:themeColor="text1"/>
          <w:sz w:val="24"/>
          <w:szCs w:val="24"/>
          <w:vertAlign w:val="superscript"/>
          <w:lang w:val="en-US"/>
        </w:rPr>
        <w:t>e</w:t>
      </w:r>
      <w:r w:rsidR="00FB5FB7" w:rsidRPr="00F941E3">
        <w:rPr>
          <w:rFonts w:ascii="Arial" w:hAnsi="Arial" w:cs="Arial"/>
          <w:color w:val="000000" w:themeColor="text1"/>
          <w:sz w:val="24"/>
          <w:szCs w:val="24"/>
          <w:lang w:val="en-US"/>
        </w:rPr>
        <w:t xml:space="preserve">; </w:t>
      </w:r>
      <w:r w:rsidRPr="00F941E3">
        <w:rPr>
          <w:rFonts w:ascii="Arial" w:hAnsi="Arial" w:cs="Arial"/>
          <w:color w:val="000000" w:themeColor="text1"/>
          <w:sz w:val="24"/>
          <w:szCs w:val="24"/>
          <w:lang w:val="en-US"/>
        </w:rPr>
        <w:t xml:space="preserve">Christian </w:t>
      </w:r>
      <w:proofErr w:type="spellStart"/>
      <w:r w:rsidRPr="00F941E3">
        <w:rPr>
          <w:rFonts w:ascii="Arial" w:hAnsi="Arial" w:cs="Arial"/>
          <w:color w:val="000000" w:themeColor="text1"/>
          <w:sz w:val="24"/>
          <w:szCs w:val="24"/>
          <w:lang w:val="en-US"/>
        </w:rPr>
        <w:t>Tanislav</w:t>
      </w:r>
      <w:proofErr w:type="spellEnd"/>
      <w:r w:rsidRPr="00F941E3">
        <w:rPr>
          <w:rFonts w:ascii="Arial" w:hAnsi="Arial" w:cs="Arial"/>
          <w:color w:val="000000" w:themeColor="text1"/>
          <w:sz w:val="24"/>
          <w:szCs w:val="24"/>
          <w:lang w:val="en-US"/>
        </w:rPr>
        <w:t>, MD-</w:t>
      </w:r>
      <w:proofErr w:type="spellStart"/>
      <w:r w:rsidRPr="00F941E3">
        <w:rPr>
          <w:rFonts w:ascii="Arial" w:hAnsi="Arial" w:cs="Arial"/>
          <w:color w:val="000000" w:themeColor="text1"/>
          <w:sz w:val="24"/>
          <w:szCs w:val="24"/>
          <w:lang w:val="en-US"/>
        </w:rPr>
        <w:t>PhD</w:t>
      </w:r>
      <w:r w:rsidRPr="00F941E3">
        <w:rPr>
          <w:rFonts w:ascii="Arial" w:hAnsi="Arial" w:cs="Arial"/>
          <w:color w:val="000000" w:themeColor="text1"/>
          <w:sz w:val="24"/>
          <w:szCs w:val="24"/>
          <w:vertAlign w:val="superscript"/>
          <w:lang w:val="en-US"/>
        </w:rPr>
        <w:t>f</w:t>
      </w:r>
      <w:proofErr w:type="spellEnd"/>
      <w:r w:rsidRPr="00F941E3">
        <w:rPr>
          <w:rFonts w:ascii="Arial" w:hAnsi="Arial" w:cs="Arial"/>
          <w:color w:val="000000" w:themeColor="text1"/>
          <w:sz w:val="24"/>
          <w:szCs w:val="24"/>
          <w:lang w:val="en-US"/>
        </w:rPr>
        <w:t>; Marcel Konrad, Ph</w:t>
      </w:r>
      <w:r w:rsidR="002A4903" w:rsidRPr="00F941E3">
        <w:rPr>
          <w:rFonts w:ascii="Arial" w:hAnsi="Arial" w:cs="Arial"/>
          <w:color w:val="000000" w:themeColor="text1"/>
          <w:sz w:val="24"/>
          <w:szCs w:val="24"/>
          <w:lang w:val="en-US"/>
        </w:rPr>
        <w:t>D (ORCID: 0000-0001-6798-5092)</w:t>
      </w:r>
      <w:r w:rsidR="00275BC5" w:rsidRPr="00F941E3">
        <w:rPr>
          <w:rFonts w:ascii="Arial" w:hAnsi="Arial" w:cs="Arial"/>
          <w:color w:val="000000" w:themeColor="text1"/>
          <w:sz w:val="24"/>
          <w:szCs w:val="24"/>
          <w:vertAlign w:val="superscript"/>
          <w:lang w:val="en-US"/>
        </w:rPr>
        <w:t>g</w:t>
      </w:r>
      <w:r w:rsidR="00275BC5" w:rsidRPr="00F941E3">
        <w:rPr>
          <w:rFonts w:ascii="Arial" w:hAnsi="Arial" w:cs="Arial"/>
          <w:color w:val="000000" w:themeColor="text1"/>
          <w:sz w:val="24"/>
          <w:szCs w:val="24"/>
          <w:lang w:val="en-US"/>
        </w:rPr>
        <w:t>;</w:t>
      </w:r>
      <w:r w:rsidRPr="00F941E3">
        <w:rPr>
          <w:rFonts w:ascii="Arial" w:hAnsi="Arial" w:cs="Arial"/>
          <w:color w:val="000000" w:themeColor="text1"/>
          <w:sz w:val="24"/>
          <w:szCs w:val="24"/>
          <w:lang w:val="en-US"/>
        </w:rPr>
        <w:t xml:space="preserve"> </w:t>
      </w:r>
      <w:bookmarkStart w:id="0" w:name="_Hlk75791971"/>
      <w:r w:rsidR="00F941E3">
        <w:rPr>
          <w:rFonts w:ascii="Arial" w:hAnsi="Arial" w:cs="Arial"/>
          <w:color w:val="000000" w:themeColor="text1"/>
          <w:sz w:val="24"/>
          <w:szCs w:val="24"/>
          <w:lang w:val="en-US"/>
        </w:rPr>
        <w:t>Susanne van der Beck</w:t>
      </w:r>
      <w:r w:rsidR="00F941E3" w:rsidRPr="00F941E3">
        <w:rPr>
          <w:rFonts w:ascii="Arial" w:hAnsi="Arial" w:cs="Arial"/>
          <w:color w:val="000000" w:themeColor="text1"/>
          <w:sz w:val="24"/>
          <w:szCs w:val="24"/>
          <w:vertAlign w:val="superscript"/>
          <w:lang w:val="en-US"/>
        </w:rPr>
        <w:t xml:space="preserve"> h</w:t>
      </w:r>
      <w:r w:rsidR="00F941E3">
        <w:rPr>
          <w:rFonts w:ascii="Arial" w:hAnsi="Arial" w:cs="Arial"/>
          <w:color w:val="000000" w:themeColor="text1"/>
          <w:sz w:val="24"/>
          <w:szCs w:val="24"/>
          <w:lang w:val="en-US"/>
        </w:rPr>
        <w:t xml:space="preserve">, </w:t>
      </w:r>
      <w:bookmarkEnd w:id="0"/>
      <w:r w:rsidRPr="00F941E3">
        <w:rPr>
          <w:rFonts w:ascii="Arial" w:hAnsi="Arial" w:cs="Arial"/>
          <w:color w:val="000000" w:themeColor="text1"/>
          <w:sz w:val="24"/>
          <w:szCs w:val="24"/>
          <w:lang w:val="en-US"/>
        </w:rPr>
        <w:t xml:space="preserve">Karel </w:t>
      </w:r>
      <w:proofErr w:type="spellStart"/>
      <w:r w:rsidRPr="00F941E3">
        <w:rPr>
          <w:rFonts w:ascii="Arial" w:hAnsi="Arial" w:cs="Arial"/>
          <w:color w:val="000000" w:themeColor="text1"/>
          <w:sz w:val="24"/>
          <w:szCs w:val="24"/>
          <w:lang w:val="en-US"/>
        </w:rPr>
        <w:t>Kostev</w:t>
      </w:r>
      <w:proofErr w:type="spellEnd"/>
      <w:r w:rsidRPr="00F941E3">
        <w:rPr>
          <w:rFonts w:ascii="Arial" w:hAnsi="Arial" w:cs="Arial"/>
          <w:color w:val="000000" w:themeColor="text1"/>
          <w:sz w:val="24"/>
          <w:szCs w:val="24"/>
          <w:lang w:val="en-US"/>
        </w:rPr>
        <w:t>, PhD (ORCID: 0000-0002-2124-7227)</w:t>
      </w:r>
      <w:r w:rsidRPr="00F941E3">
        <w:rPr>
          <w:rFonts w:ascii="Arial" w:hAnsi="Arial" w:cs="Arial"/>
          <w:color w:val="000000" w:themeColor="text1"/>
          <w:sz w:val="24"/>
          <w:szCs w:val="24"/>
          <w:vertAlign w:val="superscript"/>
          <w:lang w:val="en-US"/>
        </w:rPr>
        <w:t>h</w:t>
      </w:r>
    </w:p>
    <w:p w14:paraId="12D4F601" w14:textId="77777777" w:rsidR="00D10033" w:rsidRPr="00F941E3" w:rsidRDefault="00D10033" w:rsidP="00D10033">
      <w:pPr>
        <w:spacing w:line="480" w:lineRule="auto"/>
        <w:jc w:val="both"/>
        <w:rPr>
          <w:rFonts w:ascii="Arial" w:hAnsi="Arial" w:cs="Arial"/>
          <w:color w:val="000000" w:themeColor="text1"/>
          <w:sz w:val="24"/>
          <w:szCs w:val="24"/>
          <w:lang w:val="en-US"/>
        </w:rPr>
      </w:pPr>
    </w:p>
    <w:p w14:paraId="0EEE40AF" w14:textId="77777777" w:rsidR="00D10033" w:rsidRPr="00F941E3" w:rsidRDefault="00D10033" w:rsidP="00D10033">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vertAlign w:val="superscript"/>
          <w:lang w:val="en-US"/>
        </w:rPr>
        <w:t>a</w:t>
      </w:r>
      <w:r w:rsidRPr="00F941E3">
        <w:rPr>
          <w:rFonts w:ascii="Arial" w:hAnsi="Arial" w:cs="Arial"/>
          <w:color w:val="000000" w:themeColor="text1"/>
          <w:sz w:val="24"/>
          <w:szCs w:val="24"/>
          <w:lang w:val="en-US"/>
        </w:rPr>
        <w:t xml:space="preserve"> Research and Development Unit, Parc </w:t>
      </w:r>
      <w:proofErr w:type="spellStart"/>
      <w:r w:rsidRPr="00F941E3">
        <w:rPr>
          <w:rFonts w:ascii="Arial" w:hAnsi="Arial" w:cs="Arial"/>
          <w:color w:val="000000" w:themeColor="text1"/>
          <w:sz w:val="24"/>
          <w:szCs w:val="24"/>
          <w:lang w:val="en-US"/>
        </w:rPr>
        <w:t>Sanitari</w:t>
      </w:r>
      <w:proofErr w:type="spellEnd"/>
      <w:r w:rsidRPr="00F941E3">
        <w:rPr>
          <w:rFonts w:ascii="Arial" w:hAnsi="Arial" w:cs="Arial"/>
          <w:color w:val="000000" w:themeColor="text1"/>
          <w:sz w:val="24"/>
          <w:szCs w:val="24"/>
          <w:lang w:val="en-US"/>
        </w:rPr>
        <w:t xml:space="preserve"> Sant Joan de </w:t>
      </w:r>
      <w:proofErr w:type="spellStart"/>
      <w:r w:rsidRPr="00F941E3">
        <w:rPr>
          <w:rFonts w:ascii="Arial" w:hAnsi="Arial" w:cs="Arial"/>
          <w:color w:val="000000" w:themeColor="text1"/>
          <w:sz w:val="24"/>
          <w:szCs w:val="24"/>
          <w:lang w:val="en-US"/>
        </w:rPr>
        <w:t>Déu</w:t>
      </w:r>
      <w:proofErr w:type="spellEnd"/>
      <w:r w:rsidRPr="00F941E3">
        <w:rPr>
          <w:rFonts w:ascii="Arial" w:hAnsi="Arial" w:cs="Arial"/>
          <w:color w:val="000000" w:themeColor="text1"/>
          <w:sz w:val="24"/>
          <w:szCs w:val="24"/>
          <w:lang w:val="en-US"/>
        </w:rPr>
        <w:t xml:space="preserve">, CIBERSAM, Dr. Antoni Pujadas, 42, Sant </w:t>
      </w:r>
      <w:proofErr w:type="spellStart"/>
      <w:r w:rsidRPr="00F941E3">
        <w:rPr>
          <w:rFonts w:ascii="Arial" w:hAnsi="Arial" w:cs="Arial"/>
          <w:color w:val="000000" w:themeColor="text1"/>
          <w:sz w:val="24"/>
          <w:szCs w:val="24"/>
          <w:lang w:val="en-US"/>
        </w:rPr>
        <w:t>Boi</w:t>
      </w:r>
      <w:proofErr w:type="spellEnd"/>
      <w:r w:rsidRPr="00F941E3">
        <w:rPr>
          <w:rFonts w:ascii="Arial" w:hAnsi="Arial" w:cs="Arial"/>
          <w:color w:val="000000" w:themeColor="text1"/>
          <w:sz w:val="24"/>
          <w:szCs w:val="24"/>
          <w:lang w:val="en-US"/>
        </w:rPr>
        <w:t xml:space="preserve"> de </w:t>
      </w:r>
      <w:proofErr w:type="spellStart"/>
      <w:r w:rsidRPr="00F941E3">
        <w:rPr>
          <w:rFonts w:ascii="Arial" w:hAnsi="Arial" w:cs="Arial"/>
          <w:color w:val="000000" w:themeColor="text1"/>
          <w:sz w:val="24"/>
          <w:szCs w:val="24"/>
          <w:lang w:val="en-US"/>
        </w:rPr>
        <w:t>Llobregat</w:t>
      </w:r>
      <w:proofErr w:type="spellEnd"/>
      <w:r w:rsidRPr="00F941E3">
        <w:rPr>
          <w:rFonts w:ascii="Arial" w:hAnsi="Arial" w:cs="Arial"/>
          <w:color w:val="000000" w:themeColor="text1"/>
          <w:sz w:val="24"/>
          <w:szCs w:val="24"/>
          <w:lang w:val="en-US"/>
        </w:rPr>
        <w:t>, Barcelona 08830, Spain</w:t>
      </w:r>
    </w:p>
    <w:p w14:paraId="65343584" w14:textId="77777777" w:rsidR="00D10033" w:rsidRPr="00F941E3" w:rsidRDefault="00D10033" w:rsidP="00D10033">
      <w:pPr>
        <w:spacing w:line="480" w:lineRule="auto"/>
        <w:jc w:val="both"/>
        <w:rPr>
          <w:rFonts w:ascii="Arial" w:hAnsi="Arial" w:cs="Arial"/>
          <w:color w:val="000000" w:themeColor="text1"/>
          <w:sz w:val="24"/>
          <w:szCs w:val="24"/>
          <w:lang w:val="es-ES"/>
        </w:rPr>
      </w:pPr>
      <w:r w:rsidRPr="00F941E3">
        <w:rPr>
          <w:rFonts w:ascii="Arial" w:hAnsi="Arial" w:cs="Arial"/>
          <w:color w:val="000000" w:themeColor="text1"/>
          <w:sz w:val="24"/>
          <w:szCs w:val="24"/>
          <w:vertAlign w:val="superscript"/>
          <w:lang w:val="es-ES"/>
        </w:rPr>
        <w:t>b</w:t>
      </w:r>
      <w:r w:rsidRPr="00F941E3">
        <w:rPr>
          <w:rFonts w:ascii="Arial" w:hAnsi="Arial" w:cs="Arial"/>
          <w:color w:val="000000" w:themeColor="text1"/>
          <w:sz w:val="24"/>
          <w:szCs w:val="24"/>
          <w:lang w:val="es-ES"/>
        </w:rPr>
        <w:t xml:space="preserve"> Centro de Investigación Biomédica en Red de Salud Mental (CIBERSAM), Madrid, </w:t>
      </w:r>
      <w:proofErr w:type="spellStart"/>
      <w:r w:rsidRPr="00F941E3">
        <w:rPr>
          <w:rFonts w:ascii="Arial" w:hAnsi="Arial" w:cs="Arial"/>
          <w:color w:val="000000" w:themeColor="text1"/>
          <w:sz w:val="24"/>
          <w:szCs w:val="24"/>
          <w:lang w:val="es-ES"/>
        </w:rPr>
        <w:t>Spain</w:t>
      </w:r>
      <w:proofErr w:type="spellEnd"/>
    </w:p>
    <w:p w14:paraId="1EF5EEC8" w14:textId="77777777" w:rsidR="00D10033" w:rsidRPr="00F941E3" w:rsidRDefault="00D10033" w:rsidP="00D10033">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vertAlign w:val="superscript"/>
          <w:lang w:val="en-US"/>
        </w:rPr>
        <w:t>c</w:t>
      </w:r>
      <w:r w:rsidRPr="00F941E3">
        <w:rPr>
          <w:rFonts w:ascii="Arial" w:hAnsi="Arial" w:cs="Arial"/>
          <w:color w:val="000000" w:themeColor="text1"/>
          <w:sz w:val="24"/>
          <w:szCs w:val="24"/>
          <w:lang w:val="en-US"/>
        </w:rPr>
        <w:t xml:space="preserve"> Faculty of Medicine, University of Versailles Saint-Quentin-</w:t>
      </w:r>
      <w:proofErr w:type="spellStart"/>
      <w:r w:rsidRPr="00F941E3">
        <w:rPr>
          <w:rFonts w:ascii="Arial" w:hAnsi="Arial" w:cs="Arial"/>
          <w:color w:val="000000" w:themeColor="text1"/>
          <w:sz w:val="24"/>
          <w:szCs w:val="24"/>
          <w:lang w:val="en-US"/>
        </w:rPr>
        <w:t>en</w:t>
      </w:r>
      <w:proofErr w:type="spellEnd"/>
      <w:r w:rsidRPr="00F941E3">
        <w:rPr>
          <w:rFonts w:ascii="Arial" w:hAnsi="Arial" w:cs="Arial"/>
          <w:color w:val="000000" w:themeColor="text1"/>
          <w:sz w:val="24"/>
          <w:szCs w:val="24"/>
          <w:lang w:val="en-US"/>
        </w:rPr>
        <w:t xml:space="preserve">-Yvelines, </w:t>
      </w:r>
      <w:proofErr w:type="spellStart"/>
      <w:r w:rsidRPr="00F941E3">
        <w:rPr>
          <w:rFonts w:ascii="Arial" w:hAnsi="Arial" w:cs="Arial"/>
          <w:color w:val="000000" w:themeColor="text1"/>
          <w:sz w:val="24"/>
          <w:szCs w:val="24"/>
          <w:lang w:val="en-US"/>
        </w:rPr>
        <w:t>Montigny</w:t>
      </w:r>
      <w:proofErr w:type="spellEnd"/>
      <w:r w:rsidRPr="00F941E3">
        <w:rPr>
          <w:rFonts w:ascii="Arial" w:hAnsi="Arial" w:cs="Arial"/>
          <w:color w:val="000000" w:themeColor="text1"/>
          <w:sz w:val="24"/>
          <w:szCs w:val="24"/>
          <w:lang w:val="en-US"/>
        </w:rPr>
        <w:t>-le-Bretonneux 78180, France</w:t>
      </w:r>
    </w:p>
    <w:p w14:paraId="5BD642B9" w14:textId="77777777" w:rsidR="00D10033" w:rsidRPr="00F941E3" w:rsidRDefault="00D10033" w:rsidP="00D10033">
      <w:pPr>
        <w:spacing w:line="480" w:lineRule="auto"/>
        <w:jc w:val="both"/>
        <w:rPr>
          <w:rFonts w:ascii="Arial" w:hAnsi="Arial" w:cs="Arial"/>
          <w:bCs/>
          <w:color w:val="000000" w:themeColor="text1"/>
          <w:sz w:val="24"/>
          <w:szCs w:val="24"/>
          <w:lang w:val="en-US"/>
        </w:rPr>
      </w:pPr>
      <w:r w:rsidRPr="00F941E3">
        <w:rPr>
          <w:rFonts w:ascii="Arial" w:hAnsi="Arial" w:cs="Arial"/>
          <w:color w:val="000000" w:themeColor="text1"/>
          <w:sz w:val="24"/>
          <w:szCs w:val="24"/>
          <w:vertAlign w:val="superscript"/>
          <w:lang w:val="es-ES"/>
        </w:rPr>
        <w:t xml:space="preserve">d </w:t>
      </w:r>
      <w:proofErr w:type="spellStart"/>
      <w:r w:rsidRPr="00F941E3">
        <w:rPr>
          <w:rFonts w:ascii="Arial" w:hAnsi="Arial" w:cs="Arial"/>
          <w:bCs/>
          <w:color w:val="000000" w:themeColor="text1"/>
          <w:sz w:val="24"/>
          <w:szCs w:val="24"/>
          <w:lang w:val="es-ES"/>
        </w:rPr>
        <w:t>Institució</w:t>
      </w:r>
      <w:proofErr w:type="spellEnd"/>
      <w:r w:rsidRPr="00F941E3">
        <w:rPr>
          <w:rFonts w:ascii="Arial" w:hAnsi="Arial" w:cs="Arial"/>
          <w:bCs/>
          <w:color w:val="000000" w:themeColor="text1"/>
          <w:sz w:val="24"/>
          <w:szCs w:val="24"/>
          <w:lang w:val="es-ES"/>
        </w:rPr>
        <w:t xml:space="preserve"> </w:t>
      </w:r>
      <w:proofErr w:type="gramStart"/>
      <w:r w:rsidRPr="00F941E3">
        <w:rPr>
          <w:rFonts w:ascii="Arial" w:hAnsi="Arial" w:cs="Arial"/>
          <w:bCs/>
          <w:color w:val="000000" w:themeColor="text1"/>
          <w:sz w:val="24"/>
          <w:szCs w:val="24"/>
          <w:lang w:val="es-ES"/>
        </w:rPr>
        <w:t>Catalana</w:t>
      </w:r>
      <w:proofErr w:type="gramEnd"/>
      <w:r w:rsidRPr="00F941E3">
        <w:rPr>
          <w:rFonts w:ascii="Arial" w:hAnsi="Arial" w:cs="Arial"/>
          <w:bCs/>
          <w:color w:val="000000" w:themeColor="text1"/>
          <w:sz w:val="24"/>
          <w:szCs w:val="24"/>
          <w:lang w:val="es-ES"/>
        </w:rPr>
        <w:t xml:space="preserve"> de Recerca i </w:t>
      </w:r>
      <w:proofErr w:type="spellStart"/>
      <w:r w:rsidRPr="00F941E3">
        <w:rPr>
          <w:rFonts w:ascii="Arial" w:hAnsi="Arial" w:cs="Arial"/>
          <w:bCs/>
          <w:color w:val="000000" w:themeColor="text1"/>
          <w:sz w:val="24"/>
          <w:szCs w:val="24"/>
          <w:lang w:val="es-ES"/>
        </w:rPr>
        <w:t>Estudis</w:t>
      </w:r>
      <w:proofErr w:type="spellEnd"/>
      <w:r w:rsidRPr="00F941E3">
        <w:rPr>
          <w:rFonts w:ascii="Arial" w:hAnsi="Arial" w:cs="Arial"/>
          <w:bCs/>
          <w:color w:val="000000" w:themeColor="text1"/>
          <w:sz w:val="24"/>
          <w:szCs w:val="24"/>
          <w:lang w:val="es-ES"/>
        </w:rPr>
        <w:t xml:space="preserve"> </w:t>
      </w:r>
      <w:proofErr w:type="spellStart"/>
      <w:r w:rsidRPr="00F941E3">
        <w:rPr>
          <w:rFonts w:ascii="Arial" w:hAnsi="Arial" w:cs="Arial"/>
          <w:bCs/>
          <w:color w:val="000000" w:themeColor="text1"/>
          <w:sz w:val="24"/>
          <w:szCs w:val="24"/>
          <w:lang w:val="es-ES"/>
        </w:rPr>
        <w:t>Avançats</w:t>
      </w:r>
      <w:proofErr w:type="spellEnd"/>
      <w:r w:rsidRPr="00F941E3">
        <w:rPr>
          <w:rFonts w:ascii="Arial" w:hAnsi="Arial" w:cs="Arial"/>
          <w:bCs/>
          <w:color w:val="000000" w:themeColor="text1"/>
          <w:sz w:val="24"/>
          <w:szCs w:val="24"/>
          <w:lang w:val="es-ES"/>
        </w:rPr>
        <w:t xml:space="preserve"> (ICREA), Pg. </w:t>
      </w:r>
      <w:proofErr w:type="spellStart"/>
      <w:r w:rsidRPr="00F941E3">
        <w:rPr>
          <w:rFonts w:ascii="Arial" w:hAnsi="Arial" w:cs="Arial"/>
          <w:bCs/>
          <w:color w:val="000000" w:themeColor="text1"/>
          <w:sz w:val="24"/>
          <w:szCs w:val="24"/>
          <w:lang w:val="en-US"/>
        </w:rPr>
        <w:t>Lluis</w:t>
      </w:r>
      <w:proofErr w:type="spellEnd"/>
      <w:r w:rsidRPr="00F941E3">
        <w:rPr>
          <w:rFonts w:ascii="Arial" w:hAnsi="Arial" w:cs="Arial"/>
          <w:bCs/>
          <w:color w:val="000000" w:themeColor="text1"/>
          <w:sz w:val="24"/>
          <w:szCs w:val="24"/>
          <w:lang w:val="en-US"/>
        </w:rPr>
        <w:t xml:space="preserve"> </w:t>
      </w:r>
      <w:proofErr w:type="spellStart"/>
      <w:r w:rsidRPr="00F941E3">
        <w:rPr>
          <w:rFonts w:ascii="Arial" w:hAnsi="Arial" w:cs="Arial"/>
          <w:bCs/>
          <w:color w:val="000000" w:themeColor="text1"/>
          <w:sz w:val="24"/>
          <w:szCs w:val="24"/>
          <w:lang w:val="en-US"/>
        </w:rPr>
        <w:t>Companys</w:t>
      </w:r>
      <w:proofErr w:type="spellEnd"/>
      <w:r w:rsidRPr="00F941E3">
        <w:rPr>
          <w:rFonts w:ascii="Arial" w:hAnsi="Arial" w:cs="Arial"/>
          <w:bCs/>
          <w:color w:val="000000" w:themeColor="text1"/>
          <w:sz w:val="24"/>
          <w:szCs w:val="24"/>
          <w:lang w:val="en-US"/>
        </w:rPr>
        <w:t xml:space="preserve"> 23, 08010 Barcelona, Spain</w:t>
      </w:r>
    </w:p>
    <w:p w14:paraId="45CAABC4" w14:textId="77777777" w:rsidR="00D10033" w:rsidRPr="00F941E3" w:rsidRDefault="00D10033" w:rsidP="00D10033">
      <w:pPr>
        <w:spacing w:line="480" w:lineRule="auto"/>
        <w:jc w:val="both"/>
        <w:rPr>
          <w:rFonts w:ascii="Arial" w:hAnsi="Arial" w:cs="Arial"/>
          <w:bCs/>
          <w:color w:val="000000" w:themeColor="text1"/>
          <w:sz w:val="24"/>
          <w:szCs w:val="24"/>
          <w:lang w:val="en-US"/>
        </w:rPr>
      </w:pPr>
      <w:r w:rsidRPr="00F941E3">
        <w:rPr>
          <w:rFonts w:ascii="Arial" w:hAnsi="Arial" w:cs="Arial"/>
          <w:bCs/>
          <w:color w:val="000000" w:themeColor="text1"/>
          <w:sz w:val="24"/>
          <w:szCs w:val="24"/>
          <w:vertAlign w:val="superscript"/>
          <w:lang w:val="en-US"/>
        </w:rPr>
        <w:t>e</w:t>
      </w:r>
      <w:r w:rsidRPr="00F941E3">
        <w:rPr>
          <w:rFonts w:ascii="Arial" w:hAnsi="Arial" w:cs="Arial"/>
          <w:bCs/>
          <w:color w:val="000000" w:themeColor="text1"/>
          <w:sz w:val="24"/>
          <w:szCs w:val="24"/>
          <w:lang w:val="en-US"/>
        </w:rPr>
        <w:t xml:space="preserve"> The Cambridge Centre for Sport and Exercise Sciences, Anglia Ruskin University, Cambridge, UK</w:t>
      </w:r>
    </w:p>
    <w:p w14:paraId="0B2C6203" w14:textId="77777777" w:rsidR="00D10033" w:rsidRPr="00F941E3" w:rsidRDefault="00D10033" w:rsidP="00D10033">
      <w:pPr>
        <w:spacing w:line="480" w:lineRule="auto"/>
        <w:jc w:val="both"/>
        <w:rPr>
          <w:rFonts w:ascii="Arial" w:hAnsi="Arial" w:cs="Arial"/>
          <w:color w:val="000000" w:themeColor="text1"/>
          <w:sz w:val="24"/>
          <w:szCs w:val="24"/>
          <w:lang w:val="en-US"/>
        </w:rPr>
      </w:pPr>
      <w:r w:rsidRPr="00F941E3">
        <w:rPr>
          <w:rFonts w:ascii="Arial" w:hAnsi="Arial" w:cs="Arial"/>
          <w:bCs/>
          <w:color w:val="000000" w:themeColor="text1"/>
          <w:sz w:val="24"/>
          <w:szCs w:val="24"/>
          <w:vertAlign w:val="superscript"/>
          <w:lang w:val="en-US"/>
        </w:rPr>
        <w:t>f</w:t>
      </w:r>
      <w:r w:rsidRPr="00F941E3">
        <w:rPr>
          <w:rFonts w:ascii="Arial" w:hAnsi="Arial" w:cs="Arial"/>
          <w:color w:val="000000" w:themeColor="text1"/>
          <w:sz w:val="24"/>
          <w:szCs w:val="24"/>
          <w:lang w:val="en-US"/>
        </w:rPr>
        <w:t xml:space="preserve"> Department of Geriatrics and Neurology, </w:t>
      </w:r>
      <w:proofErr w:type="spellStart"/>
      <w:r w:rsidRPr="00F941E3">
        <w:rPr>
          <w:rFonts w:ascii="Arial" w:hAnsi="Arial" w:cs="Arial"/>
          <w:color w:val="000000" w:themeColor="text1"/>
          <w:sz w:val="24"/>
          <w:szCs w:val="24"/>
          <w:lang w:val="en-US"/>
        </w:rPr>
        <w:t>Diakonie</w:t>
      </w:r>
      <w:proofErr w:type="spellEnd"/>
      <w:r w:rsidRPr="00F941E3">
        <w:rPr>
          <w:rFonts w:ascii="Arial" w:hAnsi="Arial" w:cs="Arial"/>
          <w:color w:val="000000" w:themeColor="text1"/>
          <w:sz w:val="24"/>
          <w:szCs w:val="24"/>
          <w:lang w:val="en-US"/>
        </w:rPr>
        <w:t xml:space="preserve"> Hospital Jung Stilling Siegen, Germany</w:t>
      </w:r>
    </w:p>
    <w:p w14:paraId="40B8BE78" w14:textId="77777777" w:rsidR="00D10033" w:rsidRPr="00F941E3" w:rsidRDefault="00D10033" w:rsidP="00D10033">
      <w:pPr>
        <w:spacing w:line="480" w:lineRule="auto"/>
        <w:jc w:val="both"/>
        <w:rPr>
          <w:rFonts w:ascii="Arial" w:hAnsi="Arial" w:cs="Arial"/>
          <w:color w:val="000000" w:themeColor="text1"/>
          <w:sz w:val="24"/>
          <w:szCs w:val="24"/>
          <w:lang w:val="en-US"/>
        </w:rPr>
      </w:pPr>
      <w:r w:rsidRPr="00F941E3">
        <w:rPr>
          <w:rFonts w:ascii="Arial" w:hAnsi="Arial" w:cs="Arial"/>
          <w:bCs/>
          <w:color w:val="000000" w:themeColor="text1"/>
          <w:sz w:val="24"/>
          <w:szCs w:val="24"/>
          <w:vertAlign w:val="superscript"/>
          <w:lang w:val="en-US"/>
        </w:rPr>
        <w:t>g</w:t>
      </w:r>
      <w:r w:rsidRPr="00F941E3">
        <w:rPr>
          <w:rFonts w:ascii="Arial" w:hAnsi="Arial" w:cs="Arial"/>
          <w:color w:val="000000" w:themeColor="text1"/>
          <w:sz w:val="24"/>
          <w:szCs w:val="24"/>
          <w:lang w:val="en-US"/>
        </w:rPr>
        <w:t xml:space="preserve"> </w:t>
      </w:r>
      <w:r w:rsidRPr="00F941E3">
        <w:rPr>
          <w:rFonts w:ascii="Arial" w:eastAsia="Times New Roman" w:hAnsi="Arial" w:cs="Arial"/>
          <w:color w:val="000000" w:themeColor="text1"/>
          <w:sz w:val="24"/>
          <w:szCs w:val="24"/>
          <w:lang w:val="en-US" w:eastAsia="de-DE"/>
        </w:rPr>
        <w:t>Health &amp; Social, FOM University of Applied Sciences for Economics and Management, Frankfurt am Main, Germany</w:t>
      </w:r>
    </w:p>
    <w:p w14:paraId="0A6FCFF9" w14:textId="77777777" w:rsidR="00D10033" w:rsidRPr="00F941E3" w:rsidRDefault="00D10033" w:rsidP="00D10033">
      <w:pPr>
        <w:spacing w:line="480" w:lineRule="auto"/>
        <w:jc w:val="both"/>
        <w:rPr>
          <w:rFonts w:ascii="Arial" w:eastAsia="Times New Roman" w:hAnsi="Arial" w:cs="Arial"/>
          <w:color w:val="000000" w:themeColor="text1"/>
          <w:sz w:val="24"/>
          <w:szCs w:val="24"/>
          <w:lang w:val="en-US" w:eastAsia="de-DE"/>
        </w:rPr>
      </w:pPr>
      <w:r w:rsidRPr="00F941E3">
        <w:rPr>
          <w:rFonts w:ascii="Arial" w:eastAsia="Times New Roman" w:hAnsi="Arial" w:cs="Arial"/>
          <w:color w:val="000000" w:themeColor="text1"/>
          <w:sz w:val="24"/>
          <w:szCs w:val="24"/>
          <w:vertAlign w:val="superscript"/>
          <w:lang w:val="en-US" w:eastAsia="de-DE"/>
        </w:rPr>
        <w:t>h</w:t>
      </w:r>
      <w:r w:rsidRPr="00F941E3">
        <w:rPr>
          <w:rFonts w:ascii="Arial" w:eastAsia="Times New Roman" w:hAnsi="Arial" w:cs="Arial"/>
          <w:color w:val="000000" w:themeColor="text1"/>
          <w:sz w:val="24"/>
          <w:szCs w:val="24"/>
          <w:lang w:val="en-US" w:eastAsia="de-DE"/>
        </w:rPr>
        <w:t xml:space="preserve"> Epidemiology, IQVIA, Frankfurt, Germany</w:t>
      </w:r>
    </w:p>
    <w:p w14:paraId="7E8A36C8" w14:textId="77777777" w:rsidR="00D10033" w:rsidRPr="00F941E3" w:rsidRDefault="00D10033" w:rsidP="00D10033">
      <w:pPr>
        <w:spacing w:line="480" w:lineRule="auto"/>
        <w:jc w:val="both"/>
        <w:rPr>
          <w:rFonts w:ascii="Arial" w:hAnsi="Arial" w:cs="Arial"/>
          <w:color w:val="000000" w:themeColor="text1"/>
          <w:sz w:val="24"/>
          <w:szCs w:val="24"/>
          <w:lang w:val="en-US"/>
        </w:rPr>
      </w:pPr>
    </w:p>
    <w:p w14:paraId="2411FB86" w14:textId="77777777" w:rsidR="00012CBB" w:rsidRPr="00F941E3" w:rsidRDefault="00012CBB" w:rsidP="00BC4D0A">
      <w:pPr>
        <w:spacing w:line="480" w:lineRule="auto"/>
        <w:jc w:val="both"/>
        <w:rPr>
          <w:rFonts w:ascii="Arial" w:hAnsi="Arial" w:cs="Arial"/>
          <w:color w:val="000000" w:themeColor="text1"/>
          <w:sz w:val="24"/>
          <w:szCs w:val="24"/>
          <w:lang w:val="en-US"/>
        </w:rPr>
      </w:pPr>
    </w:p>
    <w:p w14:paraId="60EAF9ED" w14:textId="77777777" w:rsidR="00012CBB" w:rsidRPr="00F941E3" w:rsidRDefault="00012CBB" w:rsidP="00BC4D0A">
      <w:pPr>
        <w:spacing w:line="480" w:lineRule="auto"/>
        <w:jc w:val="both"/>
        <w:rPr>
          <w:rFonts w:ascii="Arial" w:eastAsia="Cambria" w:hAnsi="Arial" w:cs="Arial"/>
          <w:color w:val="000000" w:themeColor="text1"/>
          <w:sz w:val="24"/>
          <w:szCs w:val="24"/>
          <w:lang w:val="en-US"/>
        </w:rPr>
      </w:pPr>
      <w:r w:rsidRPr="00F941E3">
        <w:rPr>
          <w:rFonts w:ascii="Arial" w:hAnsi="Arial" w:cs="Arial"/>
          <w:b/>
          <w:iCs/>
          <w:color w:val="000000" w:themeColor="text1"/>
          <w:sz w:val="24"/>
          <w:szCs w:val="24"/>
          <w:lang w:val="en-US"/>
        </w:rPr>
        <w:t>Correspondence</w:t>
      </w:r>
      <w:r w:rsidRPr="00F941E3">
        <w:rPr>
          <w:rFonts w:ascii="Arial" w:hAnsi="Arial" w:cs="Arial"/>
          <w:color w:val="000000" w:themeColor="text1"/>
          <w:sz w:val="24"/>
          <w:szCs w:val="24"/>
          <w:lang w:val="en-US"/>
        </w:rPr>
        <w:t>:</w:t>
      </w:r>
    </w:p>
    <w:p w14:paraId="3182E66B" w14:textId="77777777" w:rsidR="00012CBB" w:rsidRPr="00F941E3" w:rsidRDefault="00012CBB" w:rsidP="00BC4D0A">
      <w:pPr>
        <w:spacing w:line="480" w:lineRule="auto"/>
        <w:jc w:val="both"/>
        <w:rPr>
          <w:rFonts w:ascii="Arial" w:hAnsi="Arial" w:cs="Arial"/>
          <w:bCs/>
          <w:noProof/>
          <w:color w:val="000000" w:themeColor="text1"/>
          <w:sz w:val="24"/>
          <w:szCs w:val="24"/>
          <w:lang w:val="de-DE"/>
        </w:rPr>
      </w:pPr>
      <w:r w:rsidRPr="00F941E3">
        <w:rPr>
          <w:rFonts w:ascii="Arial" w:hAnsi="Arial" w:cs="Arial"/>
          <w:bCs/>
          <w:noProof/>
          <w:color w:val="000000" w:themeColor="text1"/>
          <w:sz w:val="24"/>
          <w:szCs w:val="24"/>
          <w:lang w:val="de-DE"/>
        </w:rPr>
        <w:t>Prof. Dr. rer. med. Karel Kostev</w:t>
      </w:r>
    </w:p>
    <w:p w14:paraId="05CE713D" w14:textId="77777777" w:rsidR="00012CBB" w:rsidRPr="00F941E3" w:rsidRDefault="00012CBB" w:rsidP="00BC4D0A">
      <w:pPr>
        <w:spacing w:line="480" w:lineRule="auto"/>
        <w:jc w:val="both"/>
        <w:rPr>
          <w:rFonts w:ascii="Arial" w:hAnsi="Arial" w:cs="Arial"/>
          <w:noProof/>
          <w:color w:val="000000" w:themeColor="text1"/>
          <w:sz w:val="24"/>
          <w:szCs w:val="24"/>
          <w:lang w:val="de-DE"/>
        </w:rPr>
      </w:pPr>
      <w:r w:rsidRPr="00F941E3">
        <w:rPr>
          <w:rFonts w:ascii="Arial" w:hAnsi="Arial" w:cs="Arial"/>
          <w:noProof/>
          <w:color w:val="000000" w:themeColor="text1"/>
          <w:sz w:val="24"/>
          <w:szCs w:val="24"/>
          <w:lang w:val="de-DE"/>
        </w:rPr>
        <w:t xml:space="preserve">Epidemiology </w:t>
      </w:r>
      <w:r w:rsidRPr="00F941E3">
        <w:rPr>
          <w:rFonts w:ascii="Arial" w:hAnsi="Arial" w:cs="Arial"/>
          <w:bCs/>
          <w:noProof/>
          <w:color w:val="000000" w:themeColor="text1"/>
          <w:sz w:val="24"/>
          <w:szCs w:val="24"/>
          <w:lang w:val="de-DE"/>
        </w:rPr>
        <w:br/>
      </w:r>
      <w:r w:rsidRPr="00F941E3">
        <w:rPr>
          <w:rFonts w:ascii="Arial" w:hAnsi="Arial" w:cs="Arial"/>
          <w:noProof/>
          <w:color w:val="000000" w:themeColor="text1"/>
          <w:sz w:val="24"/>
          <w:szCs w:val="24"/>
          <w:lang w:val="de-DE"/>
        </w:rPr>
        <w:t>IQVIA</w:t>
      </w:r>
    </w:p>
    <w:p w14:paraId="5BDAE6E2" w14:textId="77777777" w:rsidR="00012CBB" w:rsidRPr="00F941E3" w:rsidRDefault="00012CBB" w:rsidP="00BC4D0A">
      <w:pPr>
        <w:spacing w:line="480" w:lineRule="auto"/>
        <w:jc w:val="both"/>
        <w:rPr>
          <w:rFonts w:ascii="Arial" w:hAnsi="Arial" w:cs="Arial"/>
          <w:noProof/>
          <w:color w:val="000000" w:themeColor="text1"/>
          <w:sz w:val="24"/>
          <w:szCs w:val="24"/>
          <w:lang w:val="de-DE"/>
        </w:rPr>
      </w:pPr>
      <w:r w:rsidRPr="00F941E3">
        <w:rPr>
          <w:rFonts w:ascii="Arial" w:hAnsi="Arial" w:cs="Arial"/>
          <w:noProof/>
          <w:color w:val="000000" w:themeColor="text1"/>
          <w:sz w:val="24"/>
          <w:szCs w:val="24"/>
          <w:lang w:val="de-DE"/>
        </w:rPr>
        <w:t>Unterschweinstiege 2-14</w:t>
      </w:r>
    </w:p>
    <w:p w14:paraId="77D84F01" w14:textId="77777777" w:rsidR="00012CBB" w:rsidRPr="00F941E3" w:rsidRDefault="00012CBB" w:rsidP="00BC4D0A">
      <w:pPr>
        <w:spacing w:line="480" w:lineRule="auto"/>
        <w:jc w:val="both"/>
        <w:rPr>
          <w:rFonts w:ascii="Arial" w:hAnsi="Arial" w:cs="Arial"/>
          <w:noProof/>
          <w:color w:val="000000" w:themeColor="text1"/>
          <w:sz w:val="24"/>
          <w:szCs w:val="24"/>
          <w:lang w:val="de-DE"/>
        </w:rPr>
      </w:pPr>
      <w:r w:rsidRPr="00F941E3">
        <w:rPr>
          <w:rFonts w:ascii="Arial" w:hAnsi="Arial" w:cs="Arial"/>
          <w:noProof/>
          <w:color w:val="000000" w:themeColor="text1"/>
          <w:sz w:val="24"/>
          <w:szCs w:val="24"/>
          <w:lang w:val="de-DE"/>
        </w:rPr>
        <w:t>60549 Frankfurt am Main</w:t>
      </w:r>
    </w:p>
    <w:p w14:paraId="405BD093" w14:textId="77777777" w:rsidR="00012CBB" w:rsidRPr="00F941E3" w:rsidRDefault="00012CBB" w:rsidP="00BC4D0A">
      <w:pPr>
        <w:spacing w:line="480" w:lineRule="auto"/>
        <w:jc w:val="both"/>
        <w:rPr>
          <w:rFonts w:ascii="Arial" w:hAnsi="Arial" w:cs="Arial"/>
          <w:noProof/>
          <w:color w:val="000000" w:themeColor="text1"/>
          <w:sz w:val="24"/>
          <w:szCs w:val="24"/>
          <w:lang w:val="en-US"/>
        </w:rPr>
      </w:pPr>
      <w:r w:rsidRPr="00F941E3">
        <w:rPr>
          <w:rFonts w:ascii="Arial" w:hAnsi="Arial" w:cs="Arial"/>
          <w:noProof/>
          <w:color w:val="000000" w:themeColor="text1"/>
          <w:sz w:val="24"/>
          <w:szCs w:val="24"/>
          <w:lang w:val="en-US"/>
        </w:rPr>
        <w:t>Germany</w:t>
      </w:r>
      <w:r w:rsidRPr="00F941E3">
        <w:rPr>
          <w:rFonts w:ascii="Arial" w:hAnsi="Arial" w:cs="Arial"/>
          <w:noProof/>
          <w:color w:val="000000" w:themeColor="text1"/>
          <w:sz w:val="24"/>
          <w:szCs w:val="24"/>
          <w:lang w:val="en-US"/>
        </w:rPr>
        <w:br/>
        <w:t>Tel.: +49-(0)69-66 04-4878</w:t>
      </w:r>
    </w:p>
    <w:p w14:paraId="1D5D70F2" w14:textId="77777777" w:rsidR="00012CBB" w:rsidRPr="00F941E3" w:rsidRDefault="00012CBB" w:rsidP="00BC4D0A">
      <w:pPr>
        <w:spacing w:line="480" w:lineRule="auto"/>
        <w:jc w:val="both"/>
        <w:rPr>
          <w:rFonts w:ascii="Arial" w:hAnsi="Arial" w:cs="Arial"/>
          <w:color w:val="000000" w:themeColor="text1"/>
          <w:sz w:val="24"/>
          <w:szCs w:val="24"/>
          <w:lang w:val="en-US"/>
        </w:rPr>
      </w:pPr>
      <w:r w:rsidRPr="00F941E3">
        <w:rPr>
          <w:rFonts w:ascii="Arial" w:hAnsi="Arial" w:cs="Arial"/>
          <w:noProof/>
          <w:color w:val="000000" w:themeColor="text1"/>
          <w:sz w:val="24"/>
          <w:szCs w:val="24"/>
          <w:lang w:val="en-US"/>
        </w:rPr>
        <w:t>karel.kostev@iqvia.com</w:t>
      </w:r>
    </w:p>
    <w:p w14:paraId="24C2A9B7" w14:textId="77777777" w:rsidR="00012CBB" w:rsidRPr="00F941E3" w:rsidRDefault="00012CBB" w:rsidP="00BC4D0A">
      <w:pPr>
        <w:spacing w:line="480" w:lineRule="auto"/>
        <w:jc w:val="both"/>
        <w:rPr>
          <w:rFonts w:ascii="Arial" w:hAnsi="Arial" w:cs="Arial"/>
          <w:b/>
          <w:bCs/>
          <w:color w:val="000000" w:themeColor="text1"/>
          <w:sz w:val="24"/>
          <w:szCs w:val="24"/>
          <w:lang w:val="en-US"/>
        </w:rPr>
      </w:pPr>
    </w:p>
    <w:p w14:paraId="5AF594FD" w14:textId="3E765B01" w:rsidR="00012CBB" w:rsidRPr="00F941E3" w:rsidRDefault="00012CBB" w:rsidP="00BC4D0A">
      <w:pPr>
        <w:spacing w:line="480" w:lineRule="auto"/>
        <w:jc w:val="both"/>
        <w:rPr>
          <w:rFonts w:ascii="Arial" w:hAnsi="Arial" w:cs="Arial"/>
          <w:color w:val="000000" w:themeColor="text1"/>
          <w:sz w:val="24"/>
          <w:szCs w:val="24"/>
          <w:lang w:val="en-US"/>
        </w:rPr>
      </w:pPr>
      <w:r w:rsidRPr="00F941E3">
        <w:rPr>
          <w:rFonts w:ascii="Arial" w:hAnsi="Arial" w:cs="Arial"/>
          <w:b/>
          <w:bCs/>
          <w:color w:val="000000" w:themeColor="text1"/>
          <w:sz w:val="24"/>
          <w:szCs w:val="24"/>
          <w:lang w:val="en-US"/>
        </w:rPr>
        <w:t xml:space="preserve">Number of characters in the title (spaces included): </w:t>
      </w:r>
      <w:r w:rsidR="00CB08B0" w:rsidRPr="00F941E3">
        <w:rPr>
          <w:rFonts w:ascii="Arial" w:hAnsi="Arial" w:cs="Arial"/>
          <w:color w:val="000000" w:themeColor="text1"/>
          <w:sz w:val="24"/>
          <w:szCs w:val="24"/>
          <w:lang w:val="en-US"/>
        </w:rPr>
        <w:t>1</w:t>
      </w:r>
      <w:r w:rsidR="006A2FFF" w:rsidRPr="00F941E3">
        <w:rPr>
          <w:rFonts w:ascii="Arial" w:hAnsi="Arial" w:cs="Arial"/>
          <w:color w:val="000000" w:themeColor="text1"/>
          <w:sz w:val="24"/>
          <w:szCs w:val="24"/>
          <w:lang w:val="en-US"/>
        </w:rPr>
        <w:t>3</w:t>
      </w:r>
      <w:r w:rsidR="001A502A" w:rsidRPr="00F941E3">
        <w:rPr>
          <w:rFonts w:ascii="Arial" w:hAnsi="Arial" w:cs="Arial"/>
          <w:color w:val="000000" w:themeColor="text1"/>
          <w:sz w:val="24"/>
          <w:szCs w:val="24"/>
          <w:lang w:val="en-US"/>
        </w:rPr>
        <w:t>6</w:t>
      </w:r>
    </w:p>
    <w:p w14:paraId="1A61A101" w14:textId="5795AB5F" w:rsidR="00012CBB" w:rsidRPr="00F941E3" w:rsidRDefault="00012CBB" w:rsidP="00BC4D0A">
      <w:pPr>
        <w:spacing w:line="480" w:lineRule="auto"/>
        <w:jc w:val="both"/>
        <w:rPr>
          <w:rFonts w:ascii="Arial" w:hAnsi="Arial" w:cs="Arial"/>
          <w:color w:val="000000" w:themeColor="text1"/>
          <w:sz w:val="24"/>
          <w:szCs w:val="24"/>
          <w:lang w:val="en-US"/>
        </w:rPr>
      </w:pPr>
      <w:r w:rsidRPr="00F941E3">
        <w:rPr>
          <w:rFonts w:ascii="Arial" w:hAnsi="Arial" w:cs="Arial"/>
          <w:b/>
          <w:bCs/>
          <w:color w:val="000000" w:themeColor="text1"/>
          <w:sz w:val="24"/>
          <w:szCs w:val="24"/>
          <w:lang w:val="en-US"/>
        </w:rPr>
        <w:t xml:space="preserve">Number of characters in the running title (spaces included): </w:t>
      </w:r>
      <w:r w:rsidR="00A05C9F" w:rsidRPr="00F941E3">
        <w:rPr>
          <w:rFonts w:ascii="Arial" w:hAnsi="Arial" w:cs="Arial"/>
          <w:color w:val="000000" w:themeColor="text1"/>
          <w:sz w:val="24"/>
          <w:szCs w:val="24"/>
          <w:lang w:val="en-US"/>
        </w:rPr>
        <w:t>2</w:t>
      </w:r>
      <w:r w:rsidR="00214A81" w:rsidRPr="00F941E3">
        <w:rPr>
          <w:rFonts w:ascii="Arial" w:hAnsi="Arial" w:cs="Arial"/>
          <w:color w:val="000000" w:themeColor="text1"/>
          <w:sz w:val="24"/>
          <w:szCs w:val="24"/>
          <w:lang w:val="en-US"/>
        </w:rPr>
        <w:t>9</w:t>
      </w:r>
    </w:p>
    <w:p w14:paraId="2E6A56D7" w14:textId="43657A76" w:rsidR="00012CBB" w:rsidRPr="00F941E3" w:rsidRDefault="00012CBB" w:rsidP="00BC4D0A">
      <w:pPr>
        <w:spacing w:line="480" w:lineRule="auto"/>
        <w:jc w:val="both"/>
        <w:rPr>
          <w:rFonts w:ascii="Arial" w:hAnsi="Arial" w:cs="Arial"/>
          <w:b/>
          <w:bCs/>
          <w:color w:val="000000" w:themeColor="text1"/>
          <w:sz w:val="24"/>
          <w:szCs w:val="24"/>
          <w:lang w:val="en-US"/>
        </w:rPr>
      </w:pPr>
      <w:r w:rsidRPr="00F941E3">
        <w:rPr>
          <w:rFonts w:ascii="Arial" w:hAnsi="Arial" w:cs="Arial"/>
          <w:b/>
          <w:bCs/>
          <w:color w:val="000000" w:themeColor="text1"/>
          <w:sz w:val="24"/>
          <w:szCs w:val="24"/>
          <w:lang w:val="en-US"/>
        </w:rPr>
        <w:t>Number of words in the abstract:</w:t>
      </w:r>
      <w:r w:rsidRPr="00F941E3">
        <w:rPr>
          <w:rFonts w:ascii="Arial" w:hAnsi="Arial" w:cs="Arial"/>
          <w:color w:val="000000" w:themeColor="text1"/>
          <w:sz w:val="24"/>
          <w:szCs w:val="24"/>
          <w:lang w:val="en-US"/>
        </w:rPr>
        <w:t xml:space="preserve"> </w:t>
      </w:r>
      <w:r w:rsidR="005378B3" w:rsidRPr="00F941E3">
        <w:rPr>
          <w:rFonts w:ascii="Arial" w:hAnsi="Arial" w:cs="Arial"/>
          <w:color w:val="000000" w:themeColor="text1"/>
          <w:sz w:val="24"/>
          <w:szCs w:val="24"/>
          <w:lang w:val="en-US"/>
        </w:rPr>
        <w:t>24</w:t>
      </w:r>
      <w:r w:rsidR="001E1096" w:rsidRPr="00F941E3">
        <w:rPr>
          <w:rFonts w:ascii="Arial" w:hAnsi="Arial" w:cs="Arial"/>
          <w:color w:val="000000" w:themeColor="text1"/>
          <w:sz w:val="24"/>
          <w:szCs w:val="24"/>
          <w:lang w:val="en-US"/>
        </w:rPr>
        <w:t>6</w:t>
      </w:r>
    </w:p>
    <w:p w14:paraId="409247C7" w14:textId="43C6C8D2" w:rsidR="00012CBB" w:rsidRPr="00F941E3" w:rsidRDefault="00012CBB" w:rsidP="00BC4D0A">
      <w:pPr>
        <w:spacing w:line="480" w:lineRule="auto"/>
        <w:jc w:val="both"/>
        <w:rPr>
          <w:rFonts w:ascii="Arial" w:hAnsi="Arial" w:cs="Arial"/>
          <w:color w:val="000000" w:themeColor="text1"/>
          <w:sz w:val="24"/>
          <w:szCs w:val="24"/>
          <w:lang w:val="en-US"/>
        </w:rPr>
      </w:pPr>
      <w:r w:rsidRPr="00F941E3">
        <w:rPr>
          <w:rFonts w:ascii="Arial" w:hAnsi="Arial" w:cs="Arial"/>
          <w:b/>
          <w:bCs/>
          <w:color w:val="000000" w:themeColor="text1"/>
          <w:sz w:val="24"/>
          <w:szCs w:val="24"/>
          <w:lang w:val="en-US"/>
        </w:rPr>
        <w:t xml:space="preserve">Number of words in the main body: </w:t>
      </w:r>
      <w:r w:rsidR="00F3691A" w:rsidRPr="00F941E3">
        <w:rPr>
          <w:rFonts w:ascii="Arial" w:hAnsi="Arial" w:cs="Arial"/>
          <w:color w:val="000000" w:themeColor="text1"/>
          <w:sz w:val="24"/>
          <w:szCs w:val="24"/>
          <w:lang w:val="en-US"/>
        </w:rPr>
        <w:t>2,</w:t>
      </w:r>
      <w:r w:rsidR="00893C1D" w:rsidRPr="00F941E3">
        <w:rPr>
          <w:rFonts w:ascii="Arial" w:hAnsi="Arial" w:cs="Arial"/>
          <w:color w:val="000000" w:themeColor="text1"/>
          <w:sz w:val="24"/>
          <w:szCs w:val="24"/>
          <w:lang w:val="en-US"/>
        </w:rPr>
        <w:t>260</w:t>
      </w:r>
    </w:p>
    <w:p w14:paraId="46D876AF" w14:textId="7527A35C" w:rsidR="00012CBB" w:rsidRPr="00F941E3" w:rsidRDefault="00012CBB" w:rsidP="00BC4D0A">
      <w:pPr>
        <w:spacing w:line="480" w:lineRule="auto"/>
        <w:jc w:val="both"/>
        <w:rPr>
          <w:rFonts w:ascii="Arial" w:hAnsi="Arial" w:cs="Arial"/>
          <w:color w:val="000000" w:themeColor="text1"/>
          <w:sz w:val="24"/>
          <w:szCs w:val="24"/>
          <w:lang w:val="en-US"/>
        </w:rPr>
      </w:pPr>
      <w:r w:rsidRPr="00F941E3">
        <w:rPr>
          <w:rFonts w:ascii="Arial" w:hAnsi="Arial" w:cs="Arial"/>
          <w:b/>
          <w:bCs/>
          <w:color w:val="000000" w:themeColor="text1"/>
          <w:sz w:val="24"/>
          <w:szCs w:val="24"/>
          <w:lang w:val="en-US"/>
        </w:rPr>
        <w:t xml:space="preserve">Number of references: </w:t>
      </w:r>
      <w:r w:rsidR="00A161E0" w:rsidRPr="00F941E3">
        <w:rPr>
          <w:rFonts w:ascii="Arial" w:hAnsi="Arial" w:cs="Arial"/>
          <w:color w:val="000000" w:themeColor="text1"/>
          <w:sz w:val="24"/>
          <w:szCs w:val="24"/>
          <w:lang w:val="en-US"/>
        </w:rPr>
        <w:t>31</w:t>
      </w:r>
    </w:p>
    <w:p w14:paraId="794DE5CC" w14:textId="5044E4BB" w:rsidR="00012CBB" w:rsidRPr="00F941E3" w:rsidRDefault="00012CBB" w:rsidP="00BC4D0A">
      <w:pPr>
        <w:spacing w:line="480" w:lineRule="auto"/>
        <w:jc w:val="both"/>
        <w:rPr>
          <w:rFonts w:ascii="Arial" w:hAnsi="Arial" w:cs="Arial"/>
          <w:color w:val="000000" w:themeColor="text1"/>
          <w:sz w:val="24"/>
          <w:szCs w:val="24"/>
          <w:lang w:val="en-US"/>
        </w:rPr>
      </w:pPr>
      <w:r w:rsidRPr="00F941E3">
        <w:rPr>
          <w:rFonts w:ascii="Arial" w:hAnsi="Arial" w:cs="Arial"/>
          <w:b/>
          <w:bCs/>
          <w:color w:val="000000" w:themeColor="text1"/>
          <w:sz w:val="24"/>
          <w:szCs w:val="24"/>
          <w:lang w:val="en-US"/>
        </w:rPr>
        <w:t xml:space="preserve">Number of tables: </w:t>
      </w:r>
      <w:r w:rsidR="005378B3" w:rsidRPr="00F941E3">
        <w:rPr>
          <w:rFonts w:ascii="Arial" w:hAnsi="Arial" w:cs="Arial"/>
          <w:color w:val="000000" w:themeColor="text1"/>
          <w:sz w:val="24"/>
          <w:szCs w:val="24"/>
          <w:lang w:val="en-US"/>
        </w:rPr>
        <w:t>2</w:t>
      </w:r>
    </w:p>
    <w:p w14:paraId="72FBC5F8" w14:textId="79A0E6CF" w:rsidR="00012CBB" w:rsidRPr="00F941E3" w:rsidRDefault="00012CBB" w:rsidP="00223B19">
      <w:pPr>
        <w:spacing w:line="480" w:lineRule="auto"/>
        <w:jc w:val="both"/>
        <w:rPr>
          <w:rFonts w:ascii="Arial" w:hAnsi="Arial" w:cs="Arial"/>
          <w:color w:val="000000" w:themeColor="text1"/>
          <w:sz w:val="24"/>
          <w:szCs w:val="24"/>
          <w:lang w:val="en-US"/>
        </w:rPr>
      </w:pPr>
      <w:r w:rsidRPr="00F941E3">
        <w:rPr>
          <w:rFonts w:ascii="Arial" w:hAnsi="Arial" w:cs="Arial"/>
          <w:b/>
          <w:bCs/>
          <w:color w:val="000000" w:themeColor="text1"/>
          <w:sz w:val="24"/>
          <w:szCs w:val="24"/>
          <w:lang w:val="en-US"/>
        </w:rPr>
        <w:t xml:space="preserve">Number of figures: </w:t>
      </w:r>
      <w:r w:rsidR="005378B3" w:rsidRPr="00F941E3">
        <w:rPr>
          <w:rFonts w:ascii="Arial" w:hAnsi="Arial" w:cs="Arial"/>
          <w:color w:val="000000" w:themeColor="text1"/>
          <w:sz w:val="24"/>
          <w:szCs w:val="24"/>
          <w:lang w:val="en-US"/>
        </w:rPr>
        <w:t>1</w:t>
      </w:r>
      <w:r w:rsidRPr="00F941E3">
        <w:rPr>
          <w:rFonts w:ascii="Arial" w:hAnsi="Arial" w:cs="Arial"/>
          <w:color w:val="000000" w:themeColor="text1"/>
          <w:sz w:val="24"/>
          <w:szCs w:val="24"/>
          <w:lang w:val="en-US"/>
        </w:rPr>
        <w:br w:type="page"/>
      </w:r>
    </w:p>
    <w:p w14:paraId="3FE69F46" w14:textId="77777777" w:rsidR="00012CBB" w:rsidRPr="00F941E3" w:rsidRDefault="00012CBB" w:rsidP="006702BC">
      <w:pPr>
        <w:pStyle w:val="Heading1"/>
        <w:rPr>
          <w:b w:val="0"/>
          <w:lang w:val="en-US"/>
        </w:rPr>
      </w:pPr>
      <w:r w:rsidRPr="00F941E3">
        <w:rPr>
          <w:lang w:val="en-US"/>
        </w:rPr>
        <w:lastRenderedPageBreak/>
        <w:t>Abstract</w:t>
      </w:r>
    </w:p>
    <w:p w14:paraId="0D7914BA" w14:textId="14DBC712" w:rsidR="00012CBB" w:rsidRPr="00F941E3" w:rsidRDefault="00012CBB" w:rsidP="00BC4D0A">
      <w:pPr>
        <w:spacing w:line="480" w:lineRule="auto"/>
        <w:jc w:val="both"/>
        <w:rPr>
          <w:rFonts w:ascii="Arial" w:hAnsi="Arial" w:cs="Arial"/>
          <w:color w:val="000000" w:themeColor="text1"/>
          <w:sz w:val="24"/>
          <w:szCs w:val="24"/>
          <w:lang w:val="en-US"/>
        </w:rPr>
      </w:pPr>
    </w:p>
    <w:p w14:paraId="2593F43E" w14:textId="091B4CC6" w:rsidR="009E30D1" w:rsidRPr="00F941E3" w:rsidRDefault="00F952E0" w:rsidP="000F0FAC">
      <w:pPr>
        <w:spacing w:line="480" w:lineRule="auto"/>
        <w:jc w:val="both"/>
        <w:rPr>
          <w:rFonts w:ascii="Arial" w:hAnsi="Arial" w:cs="Arial"/>
          <w:color w:val="000000" w:themeColor="text1"/>
          <w:sz w:val="24"/>
          <w:szCs w:val="24"/>
          <w:lang w:val="en-US"/>
        </w:rPr>
      </w:pPr>
      <w:bookmarkStart w:id="1" w:name="_Hlk75792441"/>
      <w:r w:rsidRPr="00F941E3">
        <w:rPr>
          <w:rFonts w:ascii="Arial" w:hAnsi="Arial" w:cs="Arial"/>
          <w:i/>
          <w:iCs/>
          <w:color w:val="000000" w:themeColor="text1"/>
          <w:sz w:val="24"/>
          <w:szCs w:val="24"/>
          <w:lang w:val="en-US"/>
        </w:rPr>
        <w:t>Objectives</w:t>
      </w:r>
      <w:r w:rsidR="009E30D1" w:rsidRPr="00F941E3">
        <w:rPr>
          <w:rFonts w:ascii="Arial" w:hAnsi="Arial" w:cs="Arial"/>
          <w:i/>
          <w:iCs/>
          <w:color w:val="000000" w:themeColor="text1"/>
          <w:sz w:val="24"/>
          <w:szCs w:val="24"/>
          <w:lang w:val="en-US"/>
        </w:rPr>
        <w:t>:</w:t>
      </w:r>
      <w:r w:rsidR="009E30D1" w:rsidRPr="00F941E3">
        <w:rPr>
          <w:rFonts w:ascii="Arial" w:hAnsi="Arial" w:cs="Arial"/>
          <w:color w:val="000000" w:themeColor="text1"/>
          <w:sz w:val="24"/>
          <w:szCs w:val="24"/>
          <w:lang w:val="en-US"/>
        </w:rPr>
        <w:t xml:space="preserve"> To investigate the prevalence of and the factors associated </w:t>
      </w:r>
      <w:r w:rsidR="001E3313" w:rsidRPr="00F941E3">
        <w:rPr>
          <w:rFonts w:ascii="Arial" w:hAnsi="Arial" w:cs="Arial"/>
          <w:color w:val="000000" w:themeColor="text1"/>
          <w:sz w:val="24"/>
          <w:szCs w:val="24"/>
          <w:lang w:val="en-US"/>
        </w:rPr>
        <w:t xml:space="preserve">with </w:t>
      </w:r>
      <w:r w:rsidR="009E30D1" w:rsidRPr="00F941E3">
        <w:rPr>
          <w:rFonts w:ascii="Arial" w:hAnsi="Arial" w:cs="Arial"/>
          <w:color w:val="000000" w:themeColor="text1"/>
          <w:sz w:val="24"/>
          <w:szCs w:val="24"/>
          <w:lang w:val="en-US"/>
        </w:rPr>
        <w:t>long</w:t>
      </w:r>
      <w:r w:rsidR="00222BCA" w:rsidRPr="00F941E3">
        <w:rPr>
          <w:rFonts w:ascii="Arial" w:hAnsi="Arial" w:cs="Arial"/>
          <w:color w:val="000000" w:themeColor="text1"/>
          <w:sz w:val="24"/>
          <w:szCs w:val="24"/>
          <w:lang w:val="en-US"/>
        </w:rPr>
        <w:t>-term</w:t>
      </w:r>
      <w:r w:rsidR="009E30D1" w:rsidRPr="00F941E3">
        <w:rPr>
          <w:rFonts w:ascii="Arial" w:hAnsi="Arial" w:cs="Arial"/>
          <w:color w:val="000000" w:themeColor="text1"/>
          <w:sz w:val="24"/>
          <w:szCs w:val="24"/>
          <w:lang w:val="en-US"/>
        </w:rPr>
        <w:t xml:space="preserve"> sick leave in working-age patients </w:t>
      </w:r>
      <w:r w:rsidR="00E06015" w:rsidRPr="00F941E3">
        <w:rPr>
          <w:rFonts w:ascii="Arial" w:hAnsi="Arial" w:cs="Arial"/>
          <w:color w:val="000000" w:themeColor="text1"/>
          <w:sz w:val="24"/>
          <w:szCs w:val="24"/>
          <w:lang w:val="en-US"/>
        </w:rPr>
        <w:t xml:space="preserve">diagnosed with coronavirus </w:t>
      </w:r>
      <w:r w:rsidR="00B32C47" w:rsidRPr="00F941E3">
        <w:rPr>
          <w:rFonts w:ascii="Arial" w:hAnsi="Arial" w:cs="Arial"/>
          <w:color w:val="000000" w:themeColor="text1"/>
          <w:sz w:val="24"/>
          <w:szCs w:val="24"/>
          <w:lang w:val="en-US"/>
        </w:rPr>
        <w:t xml:space="preserve">disease </w:t>
      </w:r>
      <w:r w:rsidR="00E06015" w:rsidRPr="00F941E3">
        <w:rPr>
          <w:rFonts w:ascii="Arial" w:hAnsi="Arial" w:cs="Arial"/>
          <w:color w:val="000000" w:themeColor="text1"/>
          <w:sz w:val="24"/>
          <w:szCs w:val="24"/>
          <w:lang w:val="en-US"/>
        </w:rPr>
        <w:t>(COVID-19)</w:t>
      </w:r>
      <w:r w:rsidR="009E30D1" w:rsidRPr="00F941E3">
        <w:rPr>
          <w:rFonts w:ascii="Arial" w:hAnsi="Arial" w:cs="Arial"/>
          <w:color w:val="000000" w:themeColor="text1"/>
          <w:sz w:val="24"/>
          <w:szCs w:val="24"/>
          <w:lang w:val="en-US"/>
        </w:rPr>
        <w:t xml:space="preserve"> in general practices in Germany. </w:t>
      </w:r>
    </w:p>
    <w:p w14:paraId="0420832A" w14:textId="3ED95353" w:rsidR="009A5EA9" w:rsidRPr="00F941E3" w:rsidRDefault="00063A26" w:rsidP="000F0FAC">
      <w:pPr>
        <w:spacing w:line="480" w:lineRule="auto"/>
        <w:jc w:val="both"/>
        <w:rPr>
          <w:rFonts w:ascii="Arial" w:hAnsi="Arial" w:cs="Arial"/>
          <w:color w:val="000000" w:themeColor="text1"/>
          <w:sz w:val="24"/>
          <w:szCs w:val="24"/>
          <w:lang w:val="en-US"/>
        </w:rPr>
      </w:pPr>
      <w:r w:rsidRPr="00F941E3">
        <w:rPr>
          <w:rFonts w:ascii="Arial" w:hAnsi="Arial" w:cs="Arial"/>
          <w:i/>
          <w:iCs/>
          <w:color w:val="000000" w:themeColor="text1"/>
          <w:sz w:val="24"/>
          <w:szCs w:val="24"/>
          <w:lang w:val="en-US"/>
        </w:rPr>
        <w:t xml:space="preserve">Methods: </w:t>
      </w:r>
      <w:r w:rsidR="00174447" w:rsidRPr="00F941E3">
        <w:rPr>
          <w:rFonts w:ascii="Arial" w:hAnsi="Arial" w:cs="Arial"/>
          <w:color w:val="000000" w:themeColor="text1"/>
          <w:sz w:val="24"/>
          <w:szCs w:val="24"/>
          <w:lang w:val="en-US"/>
        </w:rPr>
        <w:t>Patients</w:t>
      </w:r>
      <w:r w:rsidR="00300B19" w:rsidRPr="00F941E3">
        <w:rPr>
          <w:rFonts w:ascii="Arial" w:hAnsi="Arial" w:cs="Arial"/>
          <w:color w:val="000000" w:themeColor="text1"/>
          <w:sz w:val="24"/>
          <w:szCs w:val="24"/>
          <w:lang w:val="en-US"/>
        </w:rPr>
        <w:t xml:space="preserve"> aged 18-65 years </w:t>
      </w:r>
      <w:r w:rsidR="002E77CE" w:rsidRPr="00F941E3">
        <w:rPr>
          <w:rFonts w:ascii="Arial" w:hAnsi="Arial" w:cs="Arial"/>
          <w:color w:val="000000" w:themeColor="text1"/>
          <w:sz w:val="24"/>
          <w:szCs w:val="24"/>
          <w:lang w:val="en-US"/>
        </w:rPr>
        <w:t xml:space="preserve">who </w:t>
      </w:r>
      <w:r w:rsidR="00BE7EBB" w:rsidRPr="00F941E3">
        <w:rPr>
          <w:rFonts w:ascii="Arial" w:hAnsi="Arial" w:cs="Arial"/>
          <w:color w:val="000000" w:themeColor="text1"/>
          <w:sz w:val="24"/>
          <w:szCs w:val="24"/>
          <w:lang w:val="en-US"/>
        </w:rPr>
        <w:t>were</w:t>
      </w:r>
      <w:r w:rsidR="00174447" w:rsidRPr="00F941E3">
        <w:rPr>
          <w:rFonts w:ascii="Arial" w:hAnsi="Arial" w:cs="Arial"/>
          <w:color w:val="000000" w:themeColor="text1"/>
          <w:sz w:val="24"/>
          <w:szCs w:val="24"/>
          <w:lang w:val="en-US"/>
        </w:rPr>
        <w:t xml:space="preserve"> diagnosed with COVID-19 in one of 1,255 general practices in Germany between March 2020 and February 2021 were included in this study</w:t>
      </w:r>
      <w:r w:rsidR="009A5EA9" w:rsidRPr="00F941E3">
        <w:rPr>
          <w:rFonts w:ascii="Arial" w:hAnsi="Arial" w:cs="Arial"/>
          <w:color w:val="000000" w:themeColor="text1"/>
          <w:sz w:val="24"/>
          <w:szCs w:val="24"/>
          <w:lang w:val="en-US"/>
        </w:rPr>
        <w:t>. Long</w:t>
      </w:r>
      <w:r w:rsidR="00222BCA" w:rsidRPr="00F941E3">
        <w:rPr>
          <w:rFonts w:ascii="Arial" w:hAnsi="Arial" w:cs="Arial"/>
          <w:color w:val="000000" w:themeColor="text1"/>
          <w:sz w:val="24"/>
          <w:szCs w:val="24"/>
          <w:lang w:val="en-US"/>
        </w:rPr>
        <w:t xml:space="preserve">-term </w:t>
      </w:r>
      <w:r w:rsidR="009A5EA9" w:rsidRPr="00F941E3">
        <w:rPr>
          <w:rFonts w:ascii="Arial" w:hAnsi="Arial" w:cs="Arial"/>
          <w:color w:val="000000" w:themeColor="text1"/>
          <w:sz w:val="24"/>
          <w:szCs w:val="24"/>
          <w:lang w:val="en-US"/>
        </w:rPr>
        <w:t>sick leave was defined as sick leave of at least four weeks.</w:t>
      </w:r>
      <w:r w:rsidR="00D37951" w:rsidRPr="00F941E3">
        <w:rPr>
          <w:rFonts w:ascii="Arial" w:hAnsi="Arial" w:cs="Arial"/>
          <w:color w:val="000000" w:themeColor="text1"/>
          <w:sz w:val="24"/>
          <w:szCs w:val="24"/>
          <w:lang w:val="en-US"/>
        </w:rPr>
        <w:t xml:space="preserve"> </w:t>
      </w:r>
      <w:r w:rsidR="002E77CE" w:rsidRPr="00F941E3">
        <w:rPr>
          <w:rFonts w:ascii="Arial" w:hAnsi="Arial" w:cs="Arial"/>
          <w:color w:val="000000" w:themeColor="text1"/>
          <w:sz w:val="24"/>
          <w:szCs w:val="24"/>
          <w:lang w:val="en-US"/>
        </w:rPr>
        <w:t>The association between these independent variables and long</w:t>
      </w:r>
      <w:r w:rsidR="00A7515E" w:rsidRPr="00F941E3">
        <w:rPr>
          <w:rFonts w:ascii="Arial" w:hAnsi="Arial" w:cs="Arial"/>
          <w:color w:val="000000" w:themeColor="text1"/>
          <w:sz w:val="24"/>
          <w:szCs w:val="24"/>
          <w:lang w:val="en-US"/>
        </w:rPr>
        <w:t>-term</w:t>
      </w:r>
      <w:r w:rsidR="002E77CE" w:rsidRPr="00F941E3">
        <w:rPr>
          <w:rFonts w:ascii="Arial" w:hAnsi="Arial" w:cs="Arial"/>
          <w:color w:val="000000" w:themeColor="text1"/>
          <w:sz w:val="24"/>
          <w:szCs w:val="24"/>
          <w:lang w:val="en-US"/>
        </w:rPr>
        <w:t xml:space="preserve"> sick leave was studied using an adjusted logistic regression model.</w:t>
      </w:r>
    </w:p>
    <w:p w14:paraId="3C837166" w14:textId="161B9471" w:rsidR="002E77CE" w:rsidRPr="00F941E3" w:rsidRDefault="002E77CE" w:rsidP="000F0FAC">
      <w:pPr>
        <w:spacing w:line="480" w:lineRule="auto"/>
        <w:jc w:val="both"/>
        <w:rPr>
          <w:rFonts w:ascii="Arial" w:hAnsi="Arial" w:cs="Arial"/>
          <w:color w:val="000000" w:themeColor="text1"/>
          <w:sz w:val="24"/>
          <w:szCs w:val="24"/>
          <w:lang w:val="en-US"/>
        </w:rPr>
      </w:pPr>
      <w:r w:rsidRPr="00F941E3">
        <w:rPr>
          <w:rFonts w:ascii="Arial" w:hAnsi="Arial" w:cs="Arial"/>
          <w:i/>
          <w:iCs/>
          <w:color w:val="000000" w:themeColor="text1"/>
          <w:sz w:val="24"/>
          <w:szCs w:val="24"/>
          <w:lang w:val="en-US"/>
        </w:rPr>
        <w:t>Results:</w:t>
      </w:r>
      <w:r w:rsidRPr="00F941E3">
        <w:rPr>
          <w:rFonts w:ascii="Arial" w:hAnsi="Arial" w:cs="Arial"/>
          <w:color w:val="000000" w:themeColor="text1"/>
          <w:sz w:val="24"/>
          <w:szCs w:val="24"/>
          <w:lang w:val="en-US"/>
        </w:rPr>
        <w:t xml:space="preserve"> This study included 30,950 patients diagnosed with COVID-19 (51.7% women, mean [standard deviation] age 41.5 [13.0] years). </w:t>
      </w:r>
      <w:r w:rsidR="00D87F7A" w:rsidRPr="00F941E3">
        <w:rPr>
          <w:rFonts w:ascii="Arial" w:hAnsi="Arial" w:cs="Arial"/>
          <w:color w:val="000000" w:themeColor="text1"/>
          <w:sz w:val="24"/>
          <w:szCs w:val="24"/>
          <w:lang w:val="en-US"/>
        </w:rPr>
        <w:t>The prevalence of long</w:t>
      </w:r>
      <w:r w:rsidR="00A7515E" w:rsidRPr="00F941E3">
        <w:rPr>
          <w:rFonts w:ascii="Arial" w:hAnsi="Arial" w:cs="Arial"/>
          <w:color w:val="000000" w:themeColor="text1"/>
          <w:sz w:val="24"/>
          <w:szCs w:val="24"/>
          <w:lang w:val="en-US"/>
        </w:rPr>
        <w:t>-term</w:t>
      </w:r>
      <w:r w:rsidR="00D87F7A" w:rsidRPr="00F941E3">
        <w:rPr>
          <w:rFonts w:ascii="Arial" w:hAnsi="Arial" w:cs="Arial"/>
          <w:color w:val="000000" w:themeColor="text1"/>
          <w:sz w:val="24"/>
          <w:szCs w:val="24"/>
          <w:lang w:val="en-US"/>
        </w:rPr>
        <w:t xml:space="preserve"> sick leave was 5.8%. Female sex</w:t>
      </w:r>
      <w:r w:rsidR="00791B1E">
        <w:rPr>
          <w:rFonts w:ascii="Arial" w:hAnsi="Arial" w:cs="Arial"/>
          <w:color w:val="000000" w:themeColor="text1"/>
          <w:sz w:val="24"/>
          <w:szCs w:val="24"/>
          <w:lang w:val="en-US"/>
        </w:rPr>
        <w:t xml:space="preserve">, </w:t>
      </w:r>
      <w:r w:rsidR="00D87F7A" w:rsidRPr="00F941E3">
        <w:rPr>
          <w:rFonts w:ascii="Arial" w:hAnsi="Arial" w:cs="Arial"/>
          <w:color w:val="000000" w:themeColor="text1"/>
          <w:sz w:val="24"/>
          <w:szCs w:val="24"/>
          <w:lang w:val="en-US"/>
        </w:rPr>
        <w:t>older age</w:t>
      </w:r>
      <w:r w:rsidR="00D838B1" w:rsidRPr="00F941E3">
        <w:rPr>
          <w:rFonts w:ascii="Arial" w:hAnsi="Arial" w:cs="Arial"/>
          <w:color w:val="000000" w:themeColor="text1"/>
          <w:sz w:val="24"/>
          <w:szCs w:val="24"/>
          <w:lang w:val="en-US"/>
        </w:rPr>
        <w:t>,</w:t>
      </w:r>
      <w:r w:rsidR="00D87F7A" w:rsidRPr="00F941E3">
        <w:rPr>
          <w:rFonts w:ascii="Arial" w:hAnsi="Arial" w:cs="Arial"/>
          <w:color w:val="000000" w:themeColor="text1"/>
          <w:sz w:val="24"/>
          <w:szCs w:val="24"/>
          <w:lang w:val="en-US"/>
        </w:rPr>
        <w:t xml:space="preserve"> and several conditions </w:t>
      </w:r>
      <w:r w:rsidR="00D66B9A" w:rsidRPr="00F941E3">
        <w:rPr>
          <w:rFonts w:ascii="Arial" w:hAnsi="Arial" w:cs="Arial"/>
          <w:color w:val="000000" w:themeColor="text1"/>
          <w:sz w:val="24"/>
          <w:szCs w:val="24"/>
          <w:lang w:val="en-US"/>
        </w:rPr>
        <w:t>(</w:t>
      </w:r>
      <w:r w:rsidR="0062125C" w:rsidRPr="00F941E3">
        <w:rPr>
          <w:rFonts w:ascii="Arial" w:hAnsi="Arial" w:cs="Arial"/>
          <w:color w:val="000000" w:themeColor="text1"/>
          <w:sz w:val="24"/>
          <w:szCs w:val="24"/>
          <w:lang w:val="en-US"/>
        </w:rPr>
        <w:t xml:space="preserve">i.e., </w:t>
      </w:r>
      <w:r w:rsidR="00D66B9A" w:rsidRPr="00F941E3">
        <w:rPr>
          <w:rFonts w:ascii="Arial" w:hAnsi="Arial" w:cs="Arial"/>
          <w:color w:val="000000" w:themeColor="text1"/>
          <w:sz w:val="24"/>
          <w:szCs w:val="24"/>
          <w:lang w:val="en-US"/>
        </w:rPr>
        <w:t>noninfective enteritis and colitis</w:t>
      </w:r>
      <w:r w:rsidR="00791B1E">
        <w:rPr>
          <w:rFonts w:ascii="Arial" w:hAnsi="Arial" w:cs="Arial"/>
          <w:color w:val="000000" w:themeColor="text1"/>
          <w:sz w:val="24"/>
          <w:szCs w:val="24"/>
          <w:lang w:val="en-US"/>
        </w:rPr>
        <w:t xml:space="preserve">, </w:t>
      </w:r>
      <w:r w:rsidR="00D66B9A" w:rsidRPr="00F941E3">
        <w:rPr>
          <w:rFonts w:ascii="Arial" w:hAnsi="Arial" w:cs="Arial"/>
          <w:color w:val="000000" w:themeColor="text1"/>
          <w:sz w:val="24"/>
          <w:szCs w:val="24"/>
          <w:lang w:val="en-US"/>
        </w:rPr>
        <w:t>reaction to severe stress, and adjustment disorders</w:t>
      </w:r>
      <w:r w:rsidR="00791B1E">
        <w:rPr>
          <w:rFonts w:ascii="Arial" w:hAnsi="Arial" w:cs="Arial"/>
          <w:color w:val="000000" w:themeColor="text1"/>
          <w:sz w:val="24"/>
          <w:szCs w:val="24"/>
          <w:lang w:val="en-US"/>
        </w:rPr>
        <w:t xml:space="preserve">, </w:t>
      </w:r>
      <w:r w:rsidR="00D66B9A" w:rsidRPr="00F941E3">
        <w:rPr>
          <w:rFonts w:ascii="Arial" w:hAnsi="Arial" w:cs="Arial"/>
          <w:color w:val="000000" w:themeColor="text1"/>
          <w:sz w:val="24"/>
          <w:szCs w:val="24"/>
          <w:lang w:val="en-US"/>
        </w:rPr>
        <w:t>atopic dermatitis, mononeuropathies, reflux diseases, diabetes mellitus, and hypertension</w:t>
      </w:r>
      <w:r w:rsidR="00791B1E">
        <w:rPr>
          <w:rFonts w:ascii="Arial" w:hAnsi="Arial" w:cs="Arial"/>
          <w:color w:val="000000" w:themeColor="text1"/>
          <w:sz w:val="24"/>
          <w:szCs w:val="24"/>
          <w:lang w:val="en-US"/>
        </w:rPr>
        <w:t xml:space="preserve">) </w:t>
      </w:r>
      <w:r w:rsidR="00D87F7A" w:rsidRPr="00F941E3">
        <w:rPr>
          <w:rFonts w:ascii="Arial" w:hAnsi="Arial" w:cs="Arial"/>
          <w:color w:val="000000" w:themeColor="text1"/>
          <w:sz w:val="24"/>
          <w:szCs w:val="24"/>
          <w:lang w:val="en-US"/>
        </w:rPr>
        <w:t>were positively and significantly associated with long</w:t>
      </w:r>
      <w:r w:rsidR="00A7515E" w:rsidRPr="00F941E3">
        <w:rPr>
          <w:rFonts w:ascii="Arial" w:hAnsi="Arial" w:cs="Arial"/>
          <w:color w:val="000000" w:themeColor="text1"/>
          <w:sz w:val="24"/>
          <w:szCs w:val="24"/>
          <w:lang w:val="en-US"/>
        </w:rPr>
        <w:t>-term</w:t>
      </w:r>
      <w:r w:rsidR="00D87F7A" w:rsidRPr="00F941E3">
        <w:rPr>
          <w:rFonts w:ascii="Arial" w:hAnsi="Arial" w:cs="Arial"/>
          <w:color w:val="000000" w:themeColor="text1"/>
          <w:sz w:val="24"/>
          <w:szCs w:val="24"/>
          <w:lang w:val="en-US"/>
        </w:rPr>
        <w:t xml:space="preserve"> sick leave.</w:t>
      </w:r>
    </w:p>
    <w:p w14:paraId="5AEA533F" w14:textId="4DBF7C60" w:rsidR="00D87F7A" w:rsidRPr="00F941E3" w:rsidRDefault="00D87F7A" w:rsidP="000F0FAC">
      <w:pPr>
        <w:spacing w:line="480" w:lineRule="auto"/>
        <w:jc w:val="both"/>
        <w:rPr>
          <w:rFonts w:ascii="Arial" w:hAnsi="Arial" w:cs="Arial"/>
          <w:color w:val="000000" w:themeColor="text1"/>
          <w:sz w:val="24"/>
          <w:szCs w:val="24"/>
          <w:lang w:val="en-US"/>
        </w:rPr>
      </w:pPr>
      <w:r w:rsidRPr="00F941E3">
        <w:rPr>
          <w:rFonts w:ascii="Arial" w:hAnsi="Arial" w:cs="Arial"/>
          <w:i/>
          <w:iCs/>
          <w:color w:val="000000" w:themeColor="text1"/>
          <w:sz w:val="24"/>
          <w:szCs w:val="24"/>
          <w:lang w:val="en-US"/>
        </w:rPr>
        <w:t>Conclusion:</w:t>
      </w:r>
      <w:r w:rsidRPr="00F941E3">
        <w:rPr>
          <w:rFonts w:ascii="Arial" w:hAnsi="Arial" w:cs="Arial"/>
          <w:color w:val="000000" w:themeColor="text1"/>
          <w:sz w:val="24"/>
          <w:szCs w:val="24"/>
          <w:lang w:val="en-US"/>
        </w:rPr>
        <w:t xml:space="preserve"> Long</w:t>
      </w:r>
      <w:r w:rsidR="00A7515E" w:rsidRPr="00F941E3">
        <w:rPr>
          <w:rFonts w:ascii="Arial" w:hAnsi="Arial" w:cs="Arial"/>
          <w:color w:val="000000" w:themeColor="text1"/>
          <w:sz w:val="24"/>
          <w:szCs w:val="24"/>
          <w:lang w:val="en-US"/>
        </w:rPr>
        <w:t>-term</w:t>
      </w:r>
      <w:r w:rsidRPr="00F941E3">
        <w:rPr>
          <w:rFonts w:ascii="Arial" w:hAnsi="Arial" w:cs="Arial"/>
          <w:color w:val="000000" w:themeColor="text1"/>
          <w:sz w:val="24"/>
          <w:szCs w:val="24"/>
          <w:lang w:val="en-US"/>
        </w:rPr>
        <w:t xml:space="preserve"> sick leave was relatively rare in COVID-19 patients followed in general practices in Germany. These results should be confirmed or invalidated in other settings and countries.</w:t>
      </w:r>
    </w:p>
    <w:bookmarkEnd w:id="1"/>
    <w:p w14:paraId="6BC44138" w14:textId="6E54A3D1" w:rsidR="00063A26" w:rsidRPr="00F941E3" w:rsidRDefault="00063A26" w:rsidP="000F0FAC">
      <w:pPr>
        <w:spacing w:line="480" w:lineRule="auto"/>
        <w:jc w:val="both"/>
        <w:rPr>
          <w:rFonts w:ascii="Arial" w:hAnsi="Arial" w:cs="Arial"/>
          <w:color w:val="000000" w:themeColor="text1"/>
          <w:sz w:val="24"/>
          <w:szCs w:val="24"/>
          <w:lang w:val="en-US"/>
        </w:rPr>
      </w:pPr>
    </w:p>
    <w:p w14:paraId="4E70B31D" w14:textId="380DB33C" w:rsidR="0077034C" w:rsidRPr="00F941E3" w:rsidRDefault="0077034C" w:rsidP="00BC4D0A">
      <w:pPr>
        <w:spacing w:line="480" w:lineRule="auto"/>
        <w:jc w:val="both"/>
        <w:rPr>
          <w:rFonts w:ascii="Arial" w:hAnsi="Arial" w:cs="Arial"/>
          <w:color w:val="000000" w:themeColor="text1"/>
          <w:sz w:val="24"/>
          <w:szCs w:val="24"/>
          <w:lang w:val="en-US"/>
        </w:rPr>
      </w:pPr>
    </w:p>
    <w:p w14:paraId="791CE44E" w14:textId="6D097D37" w:rsidR="00513654" w:rsidRPr="00F941E3" w:rsidRDefault="00CB08B0" w:rsidP="00BC4D0A">
      <w:pPr>
        <w:spacing w:line="480" w:lineRule="auto"/>
        <w:jc w:val="both"/>
        <w:rPr>
          <w:rFonts w:ascii="Arial" w:hAnsi="Arial" w:cs="Arial"/>
          <w:color w:val="000000" w:themeColor="text1"/>
          <w:sz w:val="24"/>
          <w:szCs w:val="24"/>
          <w:lang w:val="en-US"/>
        </w:rPr>
      </w:pPr>
      <w:r w:rsidRPr="00F941E3">
        <w:rPr>
          <w:rFonts w:ascii="Arial" w:hAnsi="Arial" w:cs="Arial"/>
          <w:b/>
          <w:bCs/>
          <w:color w:val="000000" w:themeColor="text1"/>
          <w:sz w:val="24"/>
          <w:szCs w:val="24"/>
          <w:lang w:val="en-US"/>
        </w:rPr>
        <w:t xml:space="preserve">Keywords: </w:t>
      </w:r>
      <w:r w:rsidR="00360C0E" w:rsidRPr="00F941E3">
        <w:rPr>
          <w:rFonts w:ascii="Arial" w:hAnsi="Arial" w:cs="Arial"/>
          <w:color w:val="000000" w:themeColor="text1"/>
          <w:sz w:val="24"/>
          <w:szCs w:val="24"/>
          <w:lang w:val="en-US"/>
        </w:rPr>
        <w:t>long</w:t>
      </w:r>
      <w:r w:rsidR="00A7515E" w:rsidRPr="00F941E3">
        <w:rPr>
          <w:rFonts w:ascii="Arial" w:hAnsi="Arial" w:cs="Arial"/>
          <w:color w:val="000000" w:themeColor="text1"/>
          <w:sz w:val="24"/>
          <w:szCs w:val="24"/>
          <w:lang w:val="en-US"/>
        </w:rPr>
        <w:t>-term</w:t>
      </w:r>
      <w:r w:rsidR="00360C0E" w:rsidRPr="00F941E3">
        <w:rPr>
          <w:rFonts w:ascii="Arial" w:hAnsi="Arial" w:cs="Arial"/>
          <w:color w:val="000000" w:themeColor="text1"/>
          <w:sz w:val="24"/>
          <w:szCs w:val="24"/>
          <w:lang w:val="en-US"/>
        </w:rPr>
        <w:t xml:space="preserve"> sick leave</w:t>
      </w:r>
      <w:r w:rsidR="00745CF7" w:rsidRPr="00F941E3">
        <w:rPr>
          <w:rFonts w:ascii="Arial" w:hAnsi="Arial" w:cs="Arial"/>
          <w:color w:val="000000" w:themeColor="text1"/>
          <w:sz w:val="24"/>
          <w:szCs w:val="24"/>
          <w:lang w:val="en-US"/>
        </w:rPr>
        <w:t xml:space="preserve">; </w:t>
      </w:r>
      <w:r w:rsidRPr="00F941E3">
        <w:rPr>
          <w:rFonts w:ascii="Arial" w:hAnsi="Arial" w:cs="Arial"/>
          <w:color w:val="000000" w:themeColor="text1"/>
          <w:sz w:val="24"/>
          <w:szCs w:val="24"/>
          <w:lang w:val="en-US"/>
        </w:rPr>
        <w:t xml:space="preserve">COVID-19; coronavirus disease; </w:t>
      </w:r>
      <w:r w:rsidR="00410481" w:rsidRPr="00F941E3">
        <w:rPr>
          <w:rFonts w:ascii="Arial" w:hAnsi="Arial" w:cs="Arial"/>
          <w:color w:val="000000" w:themeColor="text1"/>
          <w:sz w:val="24"/>
          <w:szCs w:val="24"/>
          <w:lang w:val="en-US"/>
        </w:rPr>
        <w:t>general practices; Germany</w:t>
      </w:r>
    </w:p>
    <w:p w14:paraId="646F8223" w14:textId="77777777" w:rsidR="00513654" w:rsidRPr="00F941E3" w:rsidRDefault="00513654">
      <w:pPr>
        <w:rPr>
          <w:rFonts w:ascii="Arial" w:hAnsi="Arial" w:cs="Arial"/>
          <w:color w:val="000000" w:themeColor="text1"/>
          <w:sz w:val="24"/>
          <w:szCs w:val="24"/>
          <w:lang w:val="en-US"/>
        </w:rPr>
      </w:pPr>
      <w:r w:rsidRPr="00F941E3">
        <w:rPr>
          <w:rFonts w:ascii="Arial" w:hAnsi="Arial" w:cs="Arial"/>
          <w:color w:val="000000" w:themeColor="text1"/>
          <w:sz w:val="24"/>
          <w:szCs w:val="24"/>
          <w:lang w:val="en-US"/>
        </w:rPr>
        <w:br w:type="page"/>
      </w:r>
    </w:p>
    <w:p w14:paraId="24E07805" w14:textId="77777777" w:rsidR="00CB08B0" w:rsidRPr="00F941E3" w:rsidRDefault="00513654" w:rsidP="006702BC">
      <w:pPr>
        <w:pStyle w:val="Heading1"/>
        <w:rPr>
          <w:lang w:val="en-US"/>
        </w:rPr>
      </w:pPr>
      <w:r w:rsidRPr="00F941E3">
        <w:rPr>
          <w:lang w:val="en-US"/>
        </w:rPr>
        <w:lastRenderedPageBreak/>
        <w:t xml:space="preserve">Introduction </w:t>
      </w:r>
    </w:p>
    <w:p w14:paraId="52692298" w14:textId="77777777" w:rsidR="00513654" w:rsidRPr="00F941E3" w:rsidRDefault="00513654" w:rsidP="00BC4D0A">
      <w:pPr>
        <w:spacing w:line="480" w:lineRule="auto"/>
        <w:jc w:val="both"/>
        <w:rPr>
          <w:rFonts w:ascii="Arial" w:hAnsi="Arial" w:cs="Arial"/>
          <w:color w:val="000000" w:themeColor="text1"/>
          <w:sz w:val="24"/>
          <w:szCs w:val="24"/>
          <w:lang w:val="en-US"/>
        </w:rPr>
      </w:pPr>
    </w:p>
    <w:p w14:paraId="266105B3" w14:textId="051A7BCE" w:rsidR="00513654" w:rsidRPr="00F941E3" w:rsidRDefault="009658F1"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Coronavirus </w:t>
      </w:r>
      <w:r w:rsidR="00D04AF5" w:rsidRPr="00F941E3">
        <w:rPr>
          <w:rFonts w:ascii="Arial" w:hAnsi="Arial" w:cs="Arial"/>
          <w:color w:val="000000" w:themeColor="text1"/>
          <w:sz w:val="24"/>
          <w:szCs w:val="24"/>
          <w:lang w:val="en-US"/>
        </w:rPr>
        <w:t xml:space="preserve">disease </w:t>
      </w:r>
      <w:r w:rsidRPr="00F941E3">
        <w:rPr>
          <w:rFonts w:ascii="Arial" w:hAnsi="Arial" w:cs="Arial"/>
          <w:color w:val="000000" w:themeColor="text1"/>
          <w:sz w:val="24"/>
          <w:szCs w:val="24"/>
          <w:lang w:val="en-US"/>
        </w:rPr>
        <w:t xml:space="preserve">(COVID-19) is </w:t>
      </w:r>
      <w:r w:rsidR="00A952CC" w:rsidRPr="00F941E3">
        <w:rPr>
          <w:rFonts w:ascii="Arial" w:hAnsi="Arial" w:cs="Arial"/>
          <w:color w:val="000000" w:themeColor="text1"/>
          <w:sz w:val="24"/>
          <w:szCs w:val="24"/>
          <w:lang w:val="en-US"/>
        </w:rPr>
        <w:t xml:space="preserve">a respiratory infection </w:t>
      </w:r>
      <w:r w:rsidR="00B61214" w:rsidRPr="00F941E3">
        <w:rPr>
          <w:rFonts w:ascii="Arial" w:hAnsi="Arial" w:cs="Arial"/>
          <w:color w:val="000000" w:themeColor="text1"/>
          <w:sz w:val="24"/>
          <w:szCs w:val="24"/>
          <w:lang w:val="en-US"/>
        </w:rPr>
        <w:t>that</w:t>
      </w:r>
      <w:r w:rsidR="004A37CB" w:rsidRPr="00F941E3">
        <w:rPr>
          <w:rFonts w:ascii="Arial" w:hAnsi="Arial" w:cs="Arial"/>
          <w:color w:val="000000" w:themeColor="text1"/>
          <w:sz w:val="24"/>
          <w:szCs w:val="24"/>
          <w:lang w:val="en-US"/>
        </w:rPr>
        <w:t xml:space="preserve"> emerged </w:t>
      </w:r>
      <w:r w:rsidR="00CE5A32" w:rsidRPr="00F941E3">
        <w:rPr>
          <w:rFonts w:ascii="Arial" w:hAnsi="Arial" w:cs="Arial"/>
          <w:color w:val="000000" w:themeColor="text1"/>
          <w:sz w:val="24"/>
          <w:szCs w:val="24"/>
          <w:lang w:val="en-US"/>
        </w:rPr>
        <w:t>in China in December 2019</w:t>
      </w:r>
      <w:r w:rsidR="004F2E4F" w:rsidRPr="00F941E3">
        <w:rPr>
          <w:rFonts w:ascii="Arial" w:hAnsi="Arial" w:cs="Arial"/>
          <w:color w:val="000000" w:themeColor="text1"/>
          <w:sz w:val="24"/>
          <w:szCs w:val="24"/>
          <w:lang w:val="en-US"/>
        </w:rPr>
        <w:t xml:space="preserve"> </w:t>
      </w:r>
      <w:r w:rsidR="004F2E4F"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{"citationID":"t5Gx0MkA","properties":{"formattedCitation":"(Zu et al., 2020)","plainCitation":"(Zu et al., 2020)","noteIndex":0},"citationItems":[{"id":20791,"uris":["http://zotero.org/users/local/hhPVnw6l/items/MRNJ47EX"],"uri":["http://zotero.org/users/local/hhPVnw6l/items/MRNJ47EX"],"itemData":{"id":20791,"type":"article-journal","abstract":"In December 2019, an outbreak of severe acute respiratory syndrome coronavirus 2 infection occurred in Wuhan, Hubei Province, China, and spread across China and beyond. On February 12, 2020, the World Health Organization officially named the disease caused by the novel coronavirus as coronavirus disease 2019 (COVID-19). Because most patients infected with COVID-19 had pneumonia and characteristic CT imaging patterns, radiologic examinations have become vital in early diagnosis and the assessment of disease course. To date, CT findings have been recommended as major evidence for clinical diagnosis of COVID-19 in Hubei, China. This review focuses on the etiology, epidemiology, and clinical symptoms of COVID-19 while highlighting the role of chest CT in prevention and disease control.","container-title":"Radiology","DOI":"10.1148/radiol.2020200490","ISSN":"1527-1315","issue":"2","journalAbbreviation":"Radiology","language":"eng","note":"PMID: 32083985\nPMCID: PMC7233368","page":"E15-E25","source":"PubMed","title":"Coronavirus Disease 2019 (COVID-19): A Perspective from China","title-short":"Coronavirus Disease 2019 (COVID-19)","volume":"296","author":[{"family":"Zu","given":"Zi Yue"},{"family":"Jiang","given":"Meng Di"},{"family":"Xu","given":"Peng Peng"},{"family":"Chen","given":"Wen"},{"family":"Ni","given":"Qian Qian"},{"family":"Lu","given":"Guang Ming"},{"family":"Zhang","given":"Long Jiang"}],"issued":{"date-parts":[["2020",8]]}}}],"schema":"https://github.com/citation-style-language/schema/raw/master/csl-citation.json"} </w:instrText>
      </w:r>
      <w:r w:rsidR="004F2E4F"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(Zu et al., 2020)</w:t>
      </w:r>
      <w:r w:rsidR="004F2E4F" w:rsidRPr="00F941E3">
        <w:rPr>
          <w:rFonts w:ascii="Arial" w:hAnsi="Arial" w:cs="Arial"/>
          <w:color w:val="000000" w:themeColor="text1"/>
          <w:sz w:val="24"/>
          <w:szCs w:val="24"/>
          <w:lang w:val="en-US"/>
        </w:rPr>
        <w:fldChar w:fldCharType="end"/>
      </w:r>
      <w:r w:rsidR="00480537" w:rsidRPr="00F941E3">
        <w:rPr>
          <w:rFonts w:ascii="Arial" w:hAnsi="Arial" w:cs="Arial"/>
          <w:color w:val="000000" w:themeColor="text1"/>
          <w:sz w:val="24"/>
          <w:szCs w:val="24"/>
          <w:lang w:val="en-US"/>
        </w:rPr>
        <w:t xml:space="preserve">, and </w:t>
      </w:r>
      <w:r w:rsidR="00B61214" w:rsidRPr="00F941E3">
        <w:rPr>
          <w:rFonts w:ascii="Arial" w:hAnsi="Arial" w:cs="Arial"/>
          <w:color w:val="000000" w:themeColor="text1"/>
          <w:sz w:val="24"/>
          <w:szCs w:val="24"/>
          <w:lang w:val="en-US"/>
        </w:rPr>
        <w:t>was declared</w:t>
      </w:r>
      <w:r w:rsidR="00480537" w:rsidRPr="00F941E3">
        <w:rPr>
          <w:rFonts w:ascii="Arial" w:hAnsi="Arial" w:cs="Arial"/>
          <w:color w:val="000000" w:themeColor="text1"/>
          <w:sz w:val="24"/>
          <w:szCs w:val="24"/>
          <w:lang w:val="en-US"/>
        </w:rPr>
        <w:t xml:space="preserve"> </w:t>
      </w:r>
      <w:r w:rsidR="000156E0" w:rsidRPr="00F941E3">
        <w:rPr>
          <w:rFonts w:ascii="Arial" w:hAnsi="Arial" w:cs="Arial"/>
          <w:color w:val="000000" w:themeColor="text1"/>
          <w:sz w:val="24"/>
          <w:szCs w:val="24"/>
          <w:lang w:val="en-US"/>
        </w:rPr>
        <w:t>a gl</w:t>
      </w:r>
      <w:r w:rsidR="00E84BFC" w:rsidRPr="00F941E3">
        <w:rPr>
          <w:rFonts w:ascii="Arial" w:hAnsi="Arial" w:cs="Arial"/>
          <w:color w:val="000000" w:themeColor="text1"/>
          <w:sz w:val="24"/>
          <w:szCs w:val="24"/>
          <w:lang w:val="en-US"/>
        </w:rPr>
        <w:t>obal pandemic in March 2020</w:t>
      </w:r>
      <w:r w:rsidR="00142AE0" w:rsidRPr="00F941E3">
        <w:rPr>
          <w:rFonts w:ascii="Arial" w:hAnsi="Arial" w:cs="Arial"/>
          <w:color w:val="000000" w:themeColor="text1"/>
          <w:sz w:val="24"/>
          <w:szCs w:val="24"/>
          <w:lang w:val="en-US"/>
        </w:rPr>
        <w:t xml:space="preserve"> </w:t>
      </w:r>
      <w:r w:rsidR="00142AE0"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{"citationID":"N9yw3b1i","properties":{"formattedCitation":"(Cucinotta and Vanelli, 2020)","plainCitation":"(Cucinotta and Vanelli, 2020)","noteIndex":0},"citationItems":[{"id":20794,"uris":["http://zotero.org/users/local/hhPVnw6l/items/4DSBNADQ"],"uri":["http://zotero.org/users/local/hhPVnw6l/items/4DSBNADQ"],"itemData":{"id":20794,"type":"article-journal","abstract":"The World Health Organization (WHO) on March 11, 2020, has declared the novel coronavirus (COVID-19) outbreak a global pandemic (1). At a news briefing , WHO Director-General, Dr. Tedros Adhanom Ghebreyesus, noted that over the past 2 weeks, the number of cases outside China increased 13-fold and the number of countries with cases increased threefold. Further increases are expected. He said that the WHO is \"deeply concerned both by the alarming levels of spread and severity and by the alarming levels of inaction,\" and he called on countries to take action now to contain the virus. \"We should double down,\" he said. \"We should be more aggressive.\" [...].","container-title":"Acta Bio-Medica: Atenei Parmensis","DOI":"10.23750/abm.v91i1.9397","ISSN":"2531-6745","issue":"1","journalAbbreviation":"Acta Biomed","language":"eng","note":"PMID: 32191675\nPMCID: PMC7569573","page":"157-160","source":"PubMed","title":"WHO Declares COVID-19 a Pandemic","volume":"91","author":[{"family":"Cucinotta","given":"Domenico"},{"family":"Vanelli","given":"Maurizio"}],"issued":{"date-parts":[["2020",3,19]]}}}],"schema":"https://github.com/citation-style-language/schema/raw/master/csl-citation.json"} </w:instrText>
      </w:r>
      <w:r w:rsidR="00142AE0"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(Cucinotta and Vanelli, 2020)</w:t>
      </w:r>
      <w:r w:rsidR="00142AE0" w:rsidRPr="00F941E3">
        <w:rPr>
          <w:rFonts w:ascii="Arial" w:hAnsi="Arial" w:cs="Arial"/>
          <w:color w:val="000000" w:themeColor="text1"/>
          <w:sz w:val="24"/>
          <w:szCs w:val="24"/>
          <w:lang w:val="en-US"/>
        </w:rPr>
        <w:fldChar w:fldCharType="end"/>
      </w:r>
      <w:r w:rsidR="007E204B" w:rsidRPr="00F941E3">
        <w:rPr>
          <w:rFonts w:ascii="Arial" w:hAnsi="Arial" w:cs="Arial"/>
          <w:color w:val="000000" w:themeColor="text1"/>
          <w:sz w:val="24"/>
          <w:szCs w:val="24"/>
          <w:lang w:val="en-US"/>
        </w:rPr>
        <w:t>.</w:t>
      </w:r>
      <w:r w:rsidR="00B61214" w:rsidRPr="00F941E3">
        <w:rPr>
          <w:rFonts w:ascii="Arial" w:hAnsi="Arial" w:cs="Arial"/>
          <w:color w:val="000000" w:themeColor="text1"/>
          <w:sz w:val="24"/>
          <w:szCs w:val="24"/>
          <w:lang w:val="en-US"/>
        </w:rPr>
        <w:t xml:space="preserve"> Common </w:t>
      </w:r>
      <w:r w:rsidR="00401D47" w:rsidRPr="00F941E3">
        <w:rPr>
          <w:rFonts w:ascii="Arial" w:hAnsi="Arial" w:cs="Arial"/>
          <w:color w:val="000000" w:themeColor="text1"/>
          <w:sz w:val="24"/>
          <w:szCs w:val="24"/>
          <w:lang w:val="en-US"/>
        </w:rPr>
        <w:t xml:space="preserve">clinical manifestations </w:t>
      </w:r>
      <w:r w:rsidR="00B61214" w:rsidRPr="00F941E3">
        <w:rPr>
          <w:rFonts w:ascii="Arial" w:hAnsi="Arial" w:cs="Arial"/>
          <w:color w:val="000000" w:themeColor="text1"/>
          <w:sz w:val="24"/>
          <w:szCs w:val="24"/>
          <w:lang w:val="en-US"/>
        </w:rPr>
        <w:t xml:space="preserve">include </w:t>
      </w:r>
      <w:r w:rsidR="006B68FA" w:rsidRPr="00F941E3">
        <w:rPr>
          <w:rFonts w:ascii="Arial" w:hAnsi="Arial" w:cs="Arial"/>
          <w:color w:val="000000" w:themeColor="text1"/>
          <w:sz w:val="24"/>
          <w:szCs w:val="24"/>
          <w:lang w:val="en-US"/>
        </w:rPr>
        <w:t xml:space="preserve">fever, </w:t>
      </w:r>
      <w:r w:rsidR="00713FAD" w:rsidRPr="00F941E3">
        <w:rPr>
          <w:rFonts w:ascii="Arial" w:hAnsi="Arial" w:cs="Arial"/>
          <w:color w:val="000000" w:themeColor="text1"/>
          <w:sz w:val="24"/>
          <w:szCs w:val="24"/>
          <w:lang w:val="en-US"/>
        </w:rPr>
        <w:t xml:space="preserve">cough, dyspnea, </w:t>
      </w:r>
      <w:r w:rsidR="00F73FCA" w:rsidRPr="00F941E3">
        <w:rPr>
          <w:rFonts w:ascii="Arial" w:hAnsi="Arial" w:cs="Arial"/>
          <w:color w:val="000000" w:themeColor="text1"/>
          <w:sz w:val="24"/>
          <w:szCs w:val="24"/>
          <w:lang w:val="en-US"/>
        </w:rPr>
        <w:t>malaise, and fatigue</w:t>
      </w:r>
      <w:r w:rsidR="00B40DEA" w:rsidRPr="00F941E3">
        <w:rPr>
          <w:rFonts w:ascii="Arial" w:hAnsi="Arial" w:cs="Arial"/>
          <w:color w:val="000000" w:themeColor="text1"/>
          <w:sz w:val="24"/>
          <w:szCs w:val="24"/>
          <w:lang w:val="en-US"/>
        </w:rPr>
        <w:t xml:space="preserve"> </w:t>
      </w:r>
      <w:r w:rsidR="00B40DEA"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{"citationID":"uB4SRGMq","properties":{"formattedCitation":"(da Rosa Mesquita et al., 2020)","plainCitation":"(da Rosa Mesquita et al., 2020)","noteIndex":0},"citationItems":[{"id":20836,"uris":["http://zotero.org/users/local/hhPVnw6l/items/HJMF6HBY"],"uri":["http://zotero.org/users/local/hhPVnw6l/items/HJMF6HBY"],"itemData":{"id":20836,"type":"article-journal","abstract":"Clinical manifestations of COVID-19 are varied in the general population. This study aimed to systematize the literature regarding clinical manifestations of patients with confirmed COVID-19. A systematic review of the literature was conducted. A total of 8070 scientific productions were found in the databases. Among the studies, 184 met the initial inclusion criteria, with a total of 114,046 patients. After complete reading, 32 studies that did not report clinical manifestations were excluded. The 152 publications finally included a total of 41,409 individuals from at least 23 countries and 26 different clinical manifestations were reported. In percentage terms, 6 symptoms had a general prevalence greater than or equal to 25%, namely, fever (58.66%), cough (54.52%), dyspnea (30.82%), malaise (29.75%), fatigue (28.16%) and sputum/secretion (25.33%). Neurological symptoms (20.82%), dermatological manifestations (20.45%), anorexia (20.26%), myalgia (16.9%), sneezing (14.71%), sore throat (14.41%), rhinitis (14.29%), goosebumps (13.49%), headache (12.17%), chest pain (11.49%) and diarrhea (9.59%) were other common symptoms. Only one study reported dermatological manifestations. The least frequent sign/symptom was hemoptysis (1.65%). In studies with more than 100 patients, the 3 main symptoms were fever (57.93%), cough (54.21%), and dyspnea (30.64%). Dermatological manifestations do not appear among the main symptoms. The identification of all clinical manifestations of COVID-19 is essential for an early diagnosis and the adoption of preventive measures.","container-title":"Wiener Klinische Wochenschrift","DOI":"10.1007/s00508-020-01760-4","ISSN":"0043-5325","journalAbbreviation":"Wien Klin Wochenschr","note":"PMID: 33242148\nPMCID: PMC7689634","page":"1-6","source":"PubMed Central","title":"Clinical manifestations of COVID-19 in the general population: systematic review","title-short":"Clinical manifestations of COVID-19 in the general population","author":[{"family":"Rosa Mesquita","given":"Rodrigo","non-dropping-particle":"da"},{"family":"Francelino Silva Junior","given":"Luiz Carlos"},{"family":"Santos Santana","given":"Fernanda Mayara"},{"family":"Farias de Oliveira","given":"Tatiana"},{"family":"Campos Alcântara","given":"Rafaela"},{"family":"Monteiro Arnozo","given":"Gabriel"},{"family":"Rodrigues da Silva Filho","given":"Etvaldo"},{"family":"Galdino dos Santos","given":"Aisla Graciele"},{"family":"Oliveira da Cunha","given":"Euclides José"},{"family":"Salgueiro de Aquino","given":"Saulo Henrique"},{"family":"Freire de Souza","given":"Carlos Dornels"}],"issued":{"date-parts":[["2020",11,26]]}}}],"schema":"https://github.com/citation-style-language/schema/raw/master/csl-citation.json"} </w:instrText>
      </w:r>
      <w:r w:rsidR="00B40DEA"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(da Rosa Mesquita et al., 2020)</w:t>
      </w:r>
      <w:r w:rsidR="00B40DEA" w:rsidRPr="00F941E3">
        <w:rPr>
          <w:rFonts w:ascii="Arial" w:hAnsi="Arial" w:cs="Arial"/>
          <w:color w:val="000000" w:themeColor="text1"/>
          <w:sz w:val="24"/>
          <w:szCs w:val="24"/>
          <w:lang w:val="en-US"/>
        </w:rPr>
        <w:fldChar w:fldCharType="end"/>
      </w:r>
      <w:r w:rsidR="002C0533" w:rsidRPr="00F941E3">
        <w:rPr>
          <w:rFonts w:ascii="Arial" w:hAnsi="Arial" w:cs="Arial"/>
          <w:color w:val="000000" w:themeColor="text1"/>
          <w:sz w:val="24"/>
          <w:szCs w:val="24"/>
          <w:lang w:val="en-US"/>
        </w:rPr>
        <w:t xml:space="preserve">. </w:t>
      </w:r>
      <w:r w:rsidR="00B05CA8" w:rsidRPr="00F941E3">
        <w:rPr>
          <w:rFonts w:ascii="Arial" w:hAnsi="Arial" w:cs="Arial"/>
          <w:color w:val="000000" w:themeColor="text1"/>
          <w:sz w:val="24"/>
          <w:szCs w:val="24"/>
          <w:lang w:val="en-US"/>
        </w:rPr>
        <w:t xml:space="preserve">As of </w:t>
      </w:r>
      <w:r w:rsidR="00DD0CAC" w:rsidRPr="00F941E3">
        <w:rPr>
          <w:rFonts w:ascii="Arial" w:hAnsi="Arial" w:cs="Arial"/>
          <w:color w:val="000000" w:themeColor="text1"/>
          <w:sz w:val="24"/>
          <w:szCs w:val="24"/>
          <w:lang w:val="en-US"/>
        </w:rPr>
        <w:t>June</w:t>
      </w:r>
      <w:r w:rsidR="00B05CA8" w:rsidRPr="00F941E3">
        <w:rPr>
          <w:rFonts w:ascii="Arial" w:hAnsi="Arial" w:cs="Arial"/>
          <w:color w:val="000000" w:themeColor="text1"/>
          <w:sz w:val="24"/>
          <w:szCs w:val="24"/>
          <w:lang w:val="en-US"/>
        </w:rPr>
        <w:t xml:space="preserve"> </w:t>
      </w:r>
      <w:r w:rsidR="003F7B45" w:rsidRPr="00F941E3">
        <w:rPr>
          <w:rFonts w:ascii="Arial" w:hAnsi="Arial" w:cs="Arial"/>
          <w:color w:val="000000" w:themeColor="text1"/>
          <w:sz w:val="24"/>
          <w:szCs w:val="24"/>
          <w:lang w:val="en-US"/>
        </w:rPr>
        <w:t>24</w:t>
      </w:r>
      <w:r w:rsidR="00B05CA8" w:rsidRPr="00F941E3">
        <w:rPr>
          <w:rFonts w:ascii="Arial" w:hAnsi="Arial" w:cs="Arial"/>
          <w:color w:val="000000" w:themeColor="text1"/>
          <w:sz w:val="24"/>
          <w:szCs w:val="24"/>
          <w:lang w:val="en-US"/>
        </w:rPr>
        <w:t xml:space="preserve">, 2021, </w:t>
      </w:r>
      <w:r w:rsidR="00A07DCB" w:rsidRPr="00F941E3">
        <w:rPr>
          <w:rFonts w:ascii="Arial" w:hAnsi="Arial" w:cs="Arial"/>
          <w:color w:val="000000" w:themeColor="text1"/>
          <w:sz w:val="24"/>
          <w:szCs w:val="24"/>
          <w:lang w:val="en-US"/>
        </w:rPr>
        <w:t xml:space="preserve">more than </w:t>
      </w:r>
      <w:r w:rsidR="00795E92" w:rsidRPr="00F941E3">
        <w:rPr>
          <w:rFonts w:ascii="Arial" w:hAnsi="Arial" w:cs="Arial"/>
          <w:color w:val="000000" w:themeColor="text1"/>
          <w:sz w:val="24"/>
          <w:szCs w:val="24"/>
          <w:lang w:val="en-US"/>
        </w:rPr>
        <w:t>17</w:t>
      </w:r>
      <w:r w:rsidR="003F7B45" w:rsidRPr="00F941E3">
        <w:rPr>
          <w:rFonts w:ascii="Arial" w:hAnsi="Arial" w:cs="Arial"/>
          <w:color w:val="000000" w:themeColor="text1"/>
          <w:sz w:val="24"/>
          <w:szCs w:val="24"/>
          <w:lang w:val="en-US"/>
        </w:rPr>
        <w:t>9</w:t>
      </w:r>
      <w:r w:rsidR="00F038B5" w:rsidRPr="00F941E3">
        <w:rPr>
          <w:rFonts w:ascii="Arial" w:hAnsi="Arial" w:cs="Arial"/>
          <w:color w:val="000000" w:themeColor="text1"/>
          <w:sz w:val="24"/>
          <w:szCs w:val="24"/>
          <w:lang w:val="en-US"/>
        </w:rPr>
        <w:t xml:space="preserve"> million </w:t>
      </w:r>
      <w:r w:rsidR="00B10F90" w:rsidRPr="00F941E3">
        <w:rPr>
          <w:rFonts w:ascii="Arial" w:hAnsi="Arial" w:cs="Arial"/>
          <w:color w:val="000000" w:themeColor="text1"/>
          <w:sz w:val="24"/>
          <w:szCs w:val="24"/>
          <w:lang w:val="en-US"/>
        </w:rPr>
        <w:t xml:space="preserve">individuals </w:t>
      </w:r>
      <w:r w:rsidR="00B61214" w:rsidRPr="00F941E3">
        <w:rPr>
          <w:rFonts w:ascii="Arial" w:hAnsi="Arial" w:cs="Arial"/>
          <w:color w:val="000000" w:themeColor="text1"/>
          <w:sz w:val="24"/>
          <w:szCs w:val="24"/>
          <w:lang w:val="en-US"/>
        </w:rPr>
        <w:t xml:space="preserve">had </w:t>
      </w:r>
      <w:r w:rsidR="00F038B5" w:rsidRPr="00F941E3">
        <w:rPr>
          <w:rFonts w:ascii="Arial" w:hAnsi="Arial" w:cs="Arial"/>
          <w:color w:val="000000" w:themeColor="text1"/>
          <w:sz w:val="24"/>
          <w:szCs w:val="24"/>
          <w:lang w:val="en-US"/>
        </w:rPr>
        <w:t>contracted CO</w:t>
      </w:r>
      <w:r w:rsidR="00D11BBB" w:rsidRPr="00F941E3">
        <w:rPr>
          <w:rFonts w:ascii="Arial" w:hAnsi="Arial" w:cs="Arial"/>
          <w:color w:val="000000" w:themeColor="text1"/>
          <w:sz w:val="24"/>
          <w:szCs w:val="24"/>
          <w:lang w:val="en-US"/>
        </w:rPr>
        <w:t>VID</w:t>
      </w:r>
      <w:r w:rsidR="00B10F90" w:rsidRPr="00F941E3">
        <w:rPr>
          <w:rFonts w:ascii="Arial" w:hAnsi="Arial" w:cs="Arial"/>
          <w:color w:val="000000" w:themeColor="text1"/>
          <w:sz w:val="24"/>
          <w:szCs w:val="24"/>
          <w:lang w:val="en-US"/>
        </w:rPr>
        <w:t>-19</w:t>
      </w:r>
      <w:r w:rsidR="00B61214" w:rsidRPr="00F941E3">
        <w:rPr>
          <w:rFonts w:ascii="Arial" w:hAnsi="Arial" w:cs="Arial"/>
          <w:color w:val="000000" w:themeColor="text1"/>
          <w:sz w:val="24"/>
          <w:szCs w:val="24"/>
          <w:lang w:val="en-US"/>
        </w:rPr>
        <w:t xml:space="preserve"> and</w:t>
      </w:r>
      <w:r w:rsidR="00D11BBB" w:rsidRPr="00F941E3">
        <w:rPr>
          <w:rFonts w:ascii="Arial" w:hAnsi="Arial" w:cs="Arial"/>
          <w:color w:val="000000" w:themeColor="text1"/>
          <w:sz w:val="24"/>
          <w:szCs w:val="24"/>
          <w:lang w:val="en-US"/>
        </w:rPr>
        <w:t xml:space="preserve"> </w:t>
      </w:r>
      <w:r w:rsidR="00ED3328" w:rsidRPr="00F941E3">
        <w:rPr>
          <w:rFonts w:ascii="Arial" w:hAnsi="Arial" w:cs="Arial"/>
          <w:color w:val="000000" w:themeColor="text1"/>
          <w:sz w:val="24"/>
          <w:szCs w:val="24"/>
          <w:lang w:val="en-US"/>
        </w:rPr>
        <w:t>a</w:t>
      </w:r>
      <w:r w:rsidR="00A973C1" w:rsidRPr="00F941E3">
        <w:rPr>
          <w:rFonts w:ascii="Arial" w:hAnsi="Arial" w:cs="Arial"/>
          <w:color w:val="000000" w:themeColor="text1"/>
          <w:sz w:val="24"/>
          <w:szCs w:val="24"/>
          <w:lang w:val="en-US"/>
        </w:rPr>
        <w:t>pproximately</w:t>
      </w:r>
      <w:r w:rsidR="00ED3328" w:rsidRPr="00F941E3">
        <w:rPr>
          <w:rFonts w:ascii="Arial" w:hAnsi="Arial" w:cs="Arial"/>
          <w:color w:val="000000" w:themeColor="text1"/>
          <w:sz w:val="24"/>
          <w:szCs w:val="24"/>
          <w:lang w:val="en-US"/>
        </w:rPr>
        <w:t xml:space="preserve"> 3.</w:t>
      </w:r>
      <w:r w:rsidR="00173E53" w:rsidRPr="00F941E3">
        <w:rPr>
          <w:rFonts w:ascii="Arial" w:hAnsi="Arial" w:cs="Arial"/>
          <w:color w:val="000000" w:themeColor="text1"/>
          <w:sz w:val="24"/>
          <w:szCs w:val="24"/>
          <w:lang w:val="en-US"/>
        </w:rPr>
        <w:t>9</w:t>
      </w:r>
      <w:r w:rsidR="001B5CBA" w:rsidRPr="00F941E3">
        <w:rPr>
          <w:rFonts w:ascii="Arial" w:hAnsi="Arial" w:cs="Arial"/>
          <w:color w:val="000000" w:themeColor="text1"/>
          <w:sz w:val="24"/>
          <w:szCs w:val="24"/>
          <w:lang w:val="en-US"/>
        </w:rPr>
        <w:t xml:space="preserve"> million related deaths</w:t>
      </w:r>
      <w:r w:rsidR="00B61214" w:rsidRPr="00F941E3">
        <w:rPr>
          <w:rFonts w:ascii="Arial" w:hAnsi="Arial" w:cs="Arial"/>
          <w:color w:val="000000" w:themeColor="text1"/>
          <w:sz w:val="24"/>
          <w:szCs w:val="24"/>
          <w:lang w:val="en-US"/>
        </w:rPr>
        <w:t xml:space="preserve"> had been recorded</w:t>
      </w:r>
      <w:r w:rsidR="004C24C8" w:rsidRPr="00F941E3">
        <w:rPr>
          <w:rFonts w:ascii="Arial" w:hAnsi="Arial" w:cs="Arial"/>
          <w:color w:val="000000" w:themeColor="text1"/>
          <w:sz w:val="24"/>
          <w:szCs w:val="24"/>
          <w:lang w:val="en-US"/>
        </w:rPr>
        <w:t xml:space="preserve"> </w:t>
      </w:r>
      <w:r w:rsidR="004C24C8"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{"citationID":"ROl8UlKU","properties":{"formattedCitation":"(World Health Organization, 2021)","plainCitation":"(World Health Organization, 2021)","noteIndex":0},"citationItems":[{"id":20462,"uris":["http://zotero.org/users/local/hhPVnw6l/items/33ZV78YU"],"uri":["http://zotero.org/users/local/hhPVnw6l/items/33ZV78YU"],"itemData":{"id":20462,"type":"webpage","language":"English","title":"WHO Coronavirus (COVID-19) Dashboard","URL":"https://covid19.who.int/","author":[{"family":"World Health Organization","given":""}],"issued":{"date-parts":[["2021",5,24]]}}}],"schema":"https://github.com/citation-style-language/schema/raw/master/csl-citation.json"} </w:instrText>
      </w:r>
      <w:r w:rsidR="004C24C8"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(World Health Organization, 2021)</w:t>
      </w:r>
      <w:r w:rsidR="004C24C8" w:rsidRPr="00F941E3">
        <w:rPr>
          <w:rFonts w:ascii="Arial" w:hAnsi="Arial" w:cs="Arial"/>
          <w:color w:val="000000" w:themeColor="text1"/>
          <w:sz w:val="24"/>
          <w:szCs w:val="24"/>
          <w:lang w:val="en-US"/>
        </w:rPr>
        <w:fldChar w:fldCharType="end"/>
      </w:r>
      <w:r w:rsidR="00175E19" w:rsidRPr="00F941E3">
        <w:rPr>
          <w:rFonts w:ascii="Arial" w:hAnsi="Arial" w:cs="Arial"/>
          <w:color w:val="000000" w:themeColor="text1"/>
          <w:sz w:val="24"/>
          <w:szCs w:val="24"/>
          <w:lang w:val="en-US"/>
        </w:rPr>
        <w:t xml:space="preserve">. </w:t>
      </w:r>
      <w:r w:rsidR="00010E2D" w:rsidRPr="00F941E3">
        <w:rPr>
          <w:rFonts w:ascii="Arial" w:hAnsi="Arial" w:cs="Arial"/>
          <w:color w:val="000000" w:themeColor="text1"/>
          <w:sz w:val="24"/>
          <w:szCs w:val="24"/>
          <w:lang w:val="en-US"/>
        </w:rPr>
        <w:t>I</w:t>
      </w:r>
      <w:r w:rsidR="00936884" w:rsidRPr="00F941E3">
        <w:rPr>
          <w:rFonts w:ascii="Arial" w:hAnsi="Arial" w:cs="Arial"/>
          <w:color w:val="000000" w:themeColor="text1"/>
          <w:sz w:val="24"/>
          <w:szCs w:val="24"/>
          <w:lang w:val="en-US"/>
        </w:rPr>
        <w:t>n Germany, the number o</w:t>
      </w:r>
      <w:r w:rsidR="00CB7156" w:rsidRPr="00F941E3">
        <w:rPr>
          <w:rFonts w:ascii="Arial" w:hAnsi="Arial" w:cs="Arial"/>
          <w:color w:val="000000" w:themeColor="text1"/>
          <w:sz w:val="24"/>
          <w:szCs w:val="24"/>
          <w:lang w:val="en-US"/>
        </w:rPr>
        <w:t xml:space="preserve">f </w:t>
      </w:r>
      <w:r w:rsidR="00B61214" w:rsidRPr="00F941E3">
        <w:rPr>
          <w:rFonts w:ascii="Arial" w:hAnsi="Arial" w:cs="Arial"/>
          <w:color w:val="000000" w:themeColor="text1"/>
          <w:sz w:val="24"/>
          <w:szCs w:val="24"/>
          <w:lang w:val="en-US"/>
        </w:rPr>
        <w:t xml:space="preserve">confirmed </w:t>
      </w:r>
      <w:r w:rsidR="00CB7156" w:rsidRPr="00F941E3">
        <w:rPr>
          <w:rFonts w:ascii="Arial" w:hAnsi="Arial" w:cs="Arial"/>
          <w:color w:val="000000" w:themeColor="text1"/>
          <w:sz w:val="24"/>
          <w:szCs w:val="24"/>
          <w:lang w:val="en-US"/>
        </w:rPr>
        <w:t xml:space="preserve">cases and </w:t>
      </w:r>
      <w:r w:rsidR="00B0501F" w:rsidRPr="00F941E3">
        <w:rPr>
          <w:rFonts w:ascii="Arial" w:hAnsi="Arial" w:cs="Arial"/>
          <w:color w:val="000000" w:themeColor="text1"/>
          <w:sz w:val="24"/>
          <w:szCs w:val="24"/>
          <w:lang w:val="en-US"/>
        </w:rPr>
        <w:t>deaths is a</w:t>
      </w:r>
      <w:r w:rsidR="003F3A83" w:rsidRPr="00F941E3">
        <w:rPr>
          <w:rFonts w:ascii="Arial" w:hAnsi="Arial" w:cs="Arial"/>
          <w:color w:val="000000" w:themeColor="text1"/>
          <w:sz w:val="24"/>
          <w:szCs w:val="24"/>
          <w:lang w:val="en-US"/>
        </w:rPr>
        <w:t xml:space="preserve">round </w:t>
      </w:r>
      <w:r w:rsidR="00A25FD9" w:rsidRPr="00F941E3">
        <w:rPr>
          <w:rFonts w:ascii="Arial" w:hAnsi="Arial" w:cs="Arial"/>
          <w:color w:val="000000" w:themeColor="text1"/>
          <w:sz w:val="24"/>
          <w:szCs w:val="24"/>
          <w:lang w:val="en-US"/>
        </w:rPr>
        <w:t>3.</w:t>
      </w:r>
      <w:r w:rsidR="00795E92" w:rsidRPr="00F941E3">
        <w:rPr>
          <w:rFonts w:ascii="Arial" w:hAnsi="Arial" w:cs="Arial"/>
          <w:color w:val="000000" w:themeColor="text1"/>
          <w:sz w:val="24"/>
          <w:szCs w:val="24"/>
          <w:lang w:val="en-US"/>
        </w:rPr>
        <w:t>7</w:t>
      </w:r>
      <w:r w:rsidR="00A25FD9" w:rsidRPr="00F941E3">
        <w:rPr>
          <w:rFonts w:ascii="Arial" w:hAnsi="Arial" w:cs="Arial"/>
          <w:color w:val="000000" w:themeColor="text1"/>
          <w:sz w:val="24"/>
          <w:szCs w:val="24"/>
          <w:lang w:val="en-US"/>
        </w:rPr>
        <w:t xml:space="preserve"> million </w:t>
      </w:r>
      <w:r w:rsidR="003F3A83" w:rsidRPr="00F941E3">
        <w:rPr>
          <w:rFonts w:ascii="Arial" w:hAnsi="Arial" w:cs="Arial"/>
          <w:color w:val="000000" w:themeColor="text1"/>
          <w:sz w:val="24"/>
          <w:szCs w:val="24"/>
          <w:lang w:val="en-US"/>
        </w:rPr>
        <w:t xml:space="preserve">and </w:t>
      </w:r>
      <w:r w:rsidR="005613C5" w:rsidRPr="00F941E3">
        <w:rPr>
          <w:rFonts w:ascii="Arial" w:hAnsi="Arial" w:cs="Arial"/>
          <w:color w:val="000000" w:themeColor="text1"/>
          <w:sz w:val="24"/>
          <w:szCs w:val="24"/>
          <w:lang w:val="en-US"/>
        </w:rPr>
        <w:t>90,500</w:t>
      </w:r>
      <w:r w:rsidR="003F3A83" w:rsidRPr="00F941E3">
        <w:rPr>
          <w:rFonts w:ascii="Arial" w:hAnsi="Arial" w:cs="Arial"/>
          <w:color w:val="000000" w:themeColor="text1"/>
          <w:sz w:val="24"/>
          <w:szCs w:val="24"/>
          <w:lang w:val="en-US"/>
        </w:rPr>
        <w:t xml:space="preserve">, </w:t>
      </w:r>
      <w:r w:rsidR="00B10F90" w:rsidRPr="00F941E3">
        <w:rPr>
          <w:rFonts w:ascii="Arial" w:hAnsi="Arial" w:cs="Arial"/>
          <w:color w:val="000000" w:themeColor="text1"/>
          <w:sz w:val="24"/>
          <w:szCs w:val="24"/>
          <w:lang w:val="en-US"/>
        </w:rPr>
        <w:t>respectively</w:t>
      </w:r>
      <w:r w:rsidR="00F37700" w:rsidRPr="00F941E3">
        <w:rPr>
          <w:rFonts w:ascii="Arial" w:hAnsi="Arial" w:cs="Arial"/>
          <w:color w:val="000000" w:themeColor="text1"/>
          <w:sz w:val="24"/>
          <w:szCs w:val="24"/>
          <w:lang w:val="en-US"/>
        </w:rPr>
        <w:t xml:space="preserve"> </w:t>
      </w:r>
      <w:r w:rsidR="00F37700"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{"citationID":"SQlV5bpI","properties":{"formattedCitation":"(World Health Organization, 2021)","plainCitation":"(World Health Organization, 2021)","noteIndex":0},"citationItems":[{"id":20462,"uris":["http://zotero.org/users/local/hhPVnw6l/items/33ZV78YU"],"uri":["http://zotero.org/users/local/hhPVnw6l/items/33ZV78YU"],"itemData":{"id":20462,"type":"webpage","language":"English","title":"WHO Coronavirus (COVID-19) Dashboard","URL":"https://covid19.who.int/","author":[{"family":"World Health Organization","given":""}],"issued":{"date-parts":[["2021",5,24]]}}}],"schema":"https://github.com/citation-style-language/schema/raw/master/csl-citation.json"} </w:instrText>
      </w:r>
      <w:r w:rsidR="00F37700"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(World Health Organization, 2021)</w:t>
      </w:r>
      <w:r w:rsidR="00F37700" w:rsidRPr="00F941E3">
        <w:rPr>
          <w:rFonts w:ascii="Arial" w:hAnsi="Arial" w:cs="Arial"/>
          <w:color w:val="000000" w:themeColor="text1"/>
          <w:sz w:val="24"/>
          <w:szCs w:val="24"/>
          <w:lang w:val="en-US"/>
        </w:rPr>
        <w:fldChar w:fldCharType="end"/>
      </w:r>
      <w:r w:rsidR="00E54DA4" w:rsidRPr="00F941E3">
        <w:rPr>
          <w:rFonts w:ascii="Arial" w:hAnsi="Arial" w:cs="Arial"/>
          <w:color w:val="000000" w:themeColor="text1"/>
          <w:sz w:val="24"/>
          <w:szCs w:val="24"/>
          <w:lang w:val="en-US"/>
        </w:rPr>
        <w:t>.</w:t>
      </w:r>
      <w:r w:rsidR="00516BA2" w:rsidRPr="00F941E3">
        <w:rPr>
          <w:rFonts w:ascii="Arial" w:hAnsi="Arial" w:cs="Arial"/>
          <w:color w:val="000000" w:themeColor="text1"/>
          <w:sz w:val="24"/>
          <w:szCs w:val="24"/>
          <w:lang w:val="en-US"/>
        </w:rPr>
        <w:t xml:space="preserve"> </w:t>
      </w:r>
      <w:r w:rsidR="00DD3286" w:rsidRPr="00F941E3">
        <w:rPr>
          <w:rFonts w:ascii="Arial" w:hAnsi="Arial" w:cs="Arial"/>
          <w:color w:val="000000" w:themeColor="text1"/>
          <w:sz w:val="24"/>
          <w:szCs w:val="24"/>
          <w:lang w:val="en-US"/>
        </w:rPr>
        <w:t>Thus, future</w:t>
      </w:r>
      <w:r w:rsidR="00EC07D9" w:rsidRPr="00F941E3">
        <w:rPr>
          <w:rFonts w:ascii="Arial" w:hAnsi="Arial" w:cs="Arial"/>
          <w:color w:val="000000" w:themeColor="text1"/>
          <w:sz w:val="24"/>
          <w:szCs w:val="24"/>
          <w:lang w:val="en-US"/>
        </w:rPr>
        <w:t xml:space="preserve"> research should aim at the better characteri</w:t>
      </w:r>
      <w:r w:rsidR="00B35152" w:rsidRPr="00F941E3">
        <w:rPr>
          <w:rFonts w:ascii="Arial" w:hAnsi="Arial" w:cs="Arial"/>
          <w:color w:val="000000" w:themeColor="text1"/>
          <w:sz w:val="24"/>
          <w:szCs w:val="24"/>
          <w:lang w:val="en-US"/>
        </w:rPr>
        <w:t>zation of the epide</w:t>
      </w:r>
      <w:r w:rsidR="00D92C42" w:rsidRPr="00F941E3">
        <w:rPr>
          <w:rFonts w:ascii="Arial" w:hAnsi="Arial" w:cs="Arial"/>
          <w:color w:val="000000" w:themeColor="text1"/>
          <w:sz w:val="24"/>
          <w:szCs w:val="24"/>
          <w:lang w:val="en-US"/>
        </w:rPr>
        <w:t xml:space="preserve">miology </w:t>
      </w:r>
      <w:r w:rsidR="00BC636C" w:rsidRPr="00F941E3">
        <w:rPr>
          <w:rFonts w:ascii="Arial" w:hAnsi="Arial" w:cs="Arial"/>
          <w:color w:val="000000" w:themeColor="text1"/>
          <w:sz w:val="24"/>
          <w:szCs w:val="24"/>
          <w:lang w:val="en-US"/>
        </w:rPr>
        <w:t xml:space="preserve">and the consequences </w:t>
      </w:r>
      <w:r w:rsidR="00D92C42" w:rsidRPr="00F941E3">
        <w:rPr>
          <w:rFonts w:ascii="Arial" w:hAnsi="Arial" w:cs="Arial"/>
          <w:color w:val="000000" w:themeColor="text1"/>
          <w:sz w:val="24"/>
          <w:szCs w:val="24"/>
          <w:lang w:val="en-US"/>
        </w:rPr>
        <w:t>of COVID-19 in this country.</w:t>
      </w:r>
    </w:p>
    <w:p w14:paraId="73246DC1" w14:textId="77777777" w:rsidR="00D92C42" w:rsidRPr="00F941E3" w:rsidRDefault="00D92C42" w:rsidP="00BC4D0A">
      <w:pPr>
        <w:spacing w:line="480" w:lineRule="auto"/>
        <w:jc w:val="both"/>
        <w:rPr>
          <w:rFonts w:ascii="Arial" w:hAnsi="Arial" w:cs="Arial"/>
          <w:color w:val="000000" w:themeColor="text1"/>
          <w:sz w:val="24"/>
          <w:szCs w:val="24"/>
          <w:lang w:val="en-US"/>
        </w:rPr>
      </w:pPr>
    </w:p>
    <w:p w14:paraId="09A1B38B" w14:textId="659D5704" w:rsidR="00F80C34" w:rsidRPr="00F941E3" w:rsidRDefault="00AE60CF"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For a substantial proportion of </w:t>
      </w:r>
      <w:r w:rsidR="001D1EF5" w:rsidRPr="00F941E3">
        <w:rPr>
          <w:rFonts w:ascii="Arial" w:hAnsi="Arial" w:cs="Arial"/>
          <w:color w:val="000000" w:themeColor="text1"/>
          <w:sz w:val="24"/>
          <w:szCs w:val="24"/>
          <w:lang w:val="en-US"/>
        </w:rPr>
        <w:t xml:space="preserve">COVID-19 </w:t>
      </w:r>
      <w:r w:rsidRPr="00F941E3">
        <w:rPr>
          <w:rFonts w:ascii="Arial" w:hAnsi="Arial" w:cs="Arial"/>
          <w:color w:val="000000" w:themeColor="text1"/>
          <w:sz w:val="24"/>
          <w:szCs w:val="24"/>
          <w:lang w:val="en-US"/>
        </w:rPr>
        <w:t>patients, symptoms</w:t>
      </w:r>
      <w:r w:rsidR="00830B7A" w:rsidRPr="00F941E3">
        <w:rPr>
          <w:rFonts w:ascii="Arial" w:hAnsi="Arial" w:cs="Arial"/>
          <w:color w:val="000000" w:themeColor="text1"/>
          <w:sz w:val="24"/>
          <w:szCs w:val="24"/>
          <w:lang w:val="en-US"/>
        </w:rPr>
        <w:t xml:space="preserve"> may </w:t>
      </w:r>
      <w:r w:rsidR="00E37C9A" w:rsidRPr="00F941E3">
        <w:rPr>
          <w:rFonts w:ascii="Arial" w:hAnsi="Arial" w:cs="Arial"/>
          <w:color w:val="000000" w:themeColor="text1"/>
          <w:sz w:val="24"/>
          <w:szCs w:val="24"/>
          <w:lang w:val="en-US"/>
        </w:rPr>
        <w:t>last more than three weeks</w:t>
      </w:r>
      <w:r w:rsidR="004F3978" w:rsidRPr="00F941E3">
        <w:rPr>
          <w:rFonts w:ascii="Arial" w:hAnsi="Arial" w:cs="Arial"/>
          <w:color w:val="000000" w:themeColor="text1"/>
          <w:sz w:val="24"/>
          <w:szCs w:val="24"/>
          <w:lang w:val="en-US"/>
        </w:rPr>
        <w:t>. This persistence of</w:t>
      </w:r>
      <w:r w:rsidR="00D06971" w:rsidRPr="00F941E3">
        <w:rPr>
          <w:rFonts w:ascii="Arial" w:hAnsi="Arial" w:cs="Arial"/>
          <w:color w:val="000000" w:themeColor="text1"/>
          <w:sz w:val="24"/>
          <w:szCs w:val="24"/>
          <w:lang w:val="en-US"/>
        </w:rPr>
        <w:t xml:space="preserve"> symptoms </w:t>
      </w:r>
      <w:r w:rsidR="004F3978" w:rsidRPr="00F941E3">
        <w:rPr>
          <w:rFonts w:ascii="Arial" w:hAnsi="Arial" w:cs="Arial"/>
          <w:color w:val="000000" w:themeColor="text1"/>
          <w:sz w:val="24"/>
          <w:szCs w:val="24"/>
          <w:lang w:val="en-US"/>
        </w:rPr>
        <w:t>is referred to as</w:t>
      </w:r>
      <w:r w:rsidR="00C67C79" w:rsidRPr="00F941E3">
        <w:rPr>
          <w:rFonts w:ascii="Arial" w:hAnsi="Arial" w:cs="Arial"/>
          <w:color w:val="000000" w:themeColor="text1"/>
          <w:sz w:val="24"/>
          <w:szCs w:val="24"/>
          <w:lang w:val="en-US"/>
        </w:rPr>
        <w:t xml:space="preserve"> post</w:t>
      </w:r>
      <w:r w:rsidR="00850D60" w:rsidRPr="00F941E3">
        <w:rPr>
          <w:rFonts w:ascii="Arial" w:hAnsi="Arial" w:cs="Arial"/>
          <w:color w:val="000000" w:themeColor="text1"/>
          <w:sz w:val="24"/>
          <w:szCs w:val="24"/>
          <w:lang w:val="en-US"/>
        </w:rPr>
        <w:t>-</w:t>
      </w:r>
      <w:r w:rsidR="00C67C79" w:rsidRPr="00F941E3">
        <w:rPr>
          <w:rFonts w:ascii="Arial" w:hAnsi="Arial" w:cs="Arial"/>
          <w:color w:val="000000" w:themeColor="text1"/>
          <w:sz w:val="24"/>
          <w:szCs w:val="24"/>
          <w:lang w:val="en-US"/>
        </w:rPr>
        <w:t xml:space="preserve">COVID </w:t>
      </w:r>
      <w:r w:rsidR="00850D60" w:rsidRPr="00F941E3">
        <w:rPr>
          <w:rFonts w:ascii="Arial" w:hAnsi="Arial" w:cs="Arial"/>
          <w:color w:val="000000" w:themeColor="text1"/>
          <w:sz w:val="24"/>
          <w:szCs w:val="24"/>
          <w:lang w:val="en-US"/>
        </w:rPr>
        <w:t xml:space="preserve">syndrome. </w:t>
      </w:r>
      <w:r w:rsidR="00EC772C" w:rsidRPr="00F941E3">
        <w:rPr>
          <w:rFonts w:ascii="Arial" w:hAnsi="Arial" w:cs="Arial"/>
          <w:color w:val="000000" w:themeColor="text1"/>
          <w:sz w:val="24"/>
          <w:szCs w:val="24"/>
          <w:lang w:val="en-US"/>
        </w:rPr>
        <w:t xml:space="preserve">It is estimated that between 10% and 35% of </w:t>
      </w:r>
      <w:r w:rsidRPr="00F941E3">
        <w:rPr>
          <w:rFonts w:ascii="Arial" w:hAnsi="Arial" w:cs="Arial"/>
          <w:color w:val="000000" w:themeColor="text1"/>
          <w:sz w:val="24"/>
          <w:szCs w:val="24"/>
          <w:lang w:val="en-US"/>
        </w:rPr>
        <w:t>individuals</w:t>
      </w:r>
      <w:r w:rsidR="00EC772C" w:rsidRPr="00F941E3">
        <w:rPr>
          <w:rFonts w:ascii="Arial" w:hAnsi="Arial" w:cs="Arial"/>
          <w:color w:val="000000" w:themeColor="text1"/>
          <w:sz w:val="24"/>
          <w:szCs w:val="24"/>
          <w:lang w:val="en-US"/>
        </w:rPr>
        <w:t xml:space="preserve"> will develop </w:t>
      </w:r>
      <w:r w:rsidR="008807DA" w:rsidRPr="00F941E3">
        <w:rPr>
          <w:rFonts w:ascii="Arial" w:hAnsi="Arial" w:cs="Arial"/>
          <w:color w:val="000000" w:themeColor="text1"/>
          <w:sz w:val="24"/>
          <w:szCs w:val="24"/>
          <w:lang w:val="en-US"/>
        </w:rPr>
        <w:t xml:space="preserve">post-COVID syndrome, </w:t>
      </w:r>
      <w:r w:rsidR="00282A94" w:rsidRPr="00F941E3">
        <w:rPr>
          <w:rFonts w:ascii="Arial" w:hAnsi="Arial" w:cs="Arial"/>
          <w:color w:val="000000" w:themeColor="text1"/>
          <w:sz w:val="24"/>
          <w:szCs w:val="24"/>
          <w:lang w:val="en-US"/>
        </w:rPr>
        <w:t>with fatigue being the most frequent symptom</w:t>
      </w:r>
      <w:r w:rsidR="006A147D" w:rsidRPr="00F941E3">
        <w:rPr>
          <w:rFonts w:ascii="Arial" w:hAnsi="Arial" w:cs="Arial"/>
          <w:color w:val="000000" w:themeColor="text1"/>
          <w:sz w:val="24"/>
          <w:szCs w:val="24"/>
          <w:lang w:val="en-US"/>
        </w:rPr>
        <w:t xml:space="preserve"> </w:t>
      </w:r>
      <w:r w:rsidR="006A147D"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{"citationID":"WNoRHTdH","properties":{"formattedCitation":"(Pavli et al., 2021)","plainCitation":"(Pavli et al., 2021)","noteIndex":0},"citationItems":[{"id":20839,"uris":["http://zotero.org/users/local/hhPVnw6l/items/NCB5Q5LD"],"uri":["http://zotero.org/users/local/hhPVnw6l/items/NCB5Q5LD"],"itemData":{"id":20839,"type":"article-journal","abstract":"Post-COVID syndrome also known as long COVID refers to symptoms persisting for more than three weeks after the diagnosis of COVID-19. We reviewed the current evidence on post-COVID syndrome, focusing on its clinical manifestations and addressing the challenges for its management in primary healthcare. The incidence of post-COVID syndrome is estimated at 10-35%, while for hospitalized patients it may reach 85%. Fatigue is the most common symptom reported in 17.5-72% of post-COVID cases, followed by residual dyspnea with an incidence ranging from 10-40%. Mental problems, chest pain, and olfactory and gustatory dysfunction may affect up to 26%, 22% and 11% of patients, respectively. More than one third of patients with post-COVID syndrome have pre-existing comorbidities, hypertension and diabetes mellitus being the most common. Beyond the prolonged duration of symptoms, the scarce published data indicate that most patients with post-COVID syndrome have a good prognosis with no further complications or fatal outcomes reported. Given the clinical spectrum of patients with post-COVID syndrome, most of them will be managed by primary healthcare professionals, in conjunction with pre-existing or new co-morbidities, which, in turn, may increase the burden of COVID-19 on primary healthcare. In conclusion approximately 10% of patients with COVID-19 may have symptoms persisting beyond three weeks, fulfilling the criteria of post-COVID syndrome. Primary healthcare professionals have a key role in the management of patients with post-COVID syndrome. Research is needed to elucidate the pathogenesis, clinical spectrum, and prognosis of post-COVID syndrome.","container-title":"Archives of Medical Research","DOI":"10.1016/j.arcmed.2021.03.010","ISSN":"1873-5487","journalAbbreviation":"Arch Med Res","language":"eng","note":"PMID: 33962805\nPMCID: PMC8093949","source":"PubMed","title":"Post-COVID syndrome: Incidence, clinical spectrum, and challenges for primary healthcare professionals","title-short":"Post-COVID syndrome","author":[{"family":"Pavli","given":"Androula"},{"family":"Theodoridou","given":"Maria"},{"family":"Maltezou","given":"Helena C."}],"issued":{"date-parts":[["2021",5,4]]}}}],"schema":"https://github.com/citation-style-language/schema/raw/master/csl-citation.json"} </w:instrText>
      </w:r>
      <w:r w:rsidR="006A147D"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(Pavli et al., 2021)</w:t>
      </w:r>
      <w:r w:rsidR="006A147D" w:rsidRPr="00F941E3">
        <w:rPr>
          <w:rFonts w:ascii="Arial" w:hAnsi="Arial" w:cs="Arial"/>
          <w:color w:val="000000" w:themeColor="text1"/>
          <w:sz w:val="24"/>
          <w:szCs w:val="24"/>
          <w:lang w:val="en-US"/>
        </w:rPr>
        <w:fldChar w:fldCharType="end"/>
      </w:r>
      <w:r w:rsidR="00347808" w:rsidRPr="00F941E3">
        <w:rPr>
          <w:rFonts w:ascii="Arial" w:hAnsi="Arial" w:cs="Arial"/>
          <w:color w:val="000000" w:themeColor="text1"/>
          <w:sz w:val="24"/>
          <w:szCs w:val="24"/>
          <w:lang w:val="en-US"/>
        </w:rPr>
        <w:t xml:space="preserve">. </w:t>
      </w:r>
      <w:r w:rsidR="00EF238F" w:rsidRPr="00F941E3">
        <w:rPr>
          <w:rFonts w:ascii="Arial" w:hAnsi="Arial" w:cs="Arial"/>
          <w:color w:val="000000" w:themeColor="text1"/>
          <w:sz w:val="24"/>
          <w:szCs w:val="24"/>
          <w:lang w:val="en-US"/>
        </w:rPr>
        <w:t xml:space="preserve">Interestingly, </w:t>
      </w:r>
      <w:r w:rsidR="001F3F81" w:rsidRPr="00F941E3">
        <w:rPr>
          <w:rFonts w:ascii="Arial" w:hAnsi="Arial" w:cs="Arial"/>
          <w:color w:val="000000" w:themeColor="text1"/>
          <w:sz w:val="24"/>
          <w:szCs w:val="24"/>
          <w:lang w:val="en-US"/>
        </w:rPr>
        <w:t xml:space="preserve">COVID-19 </w:t>
      </w:r>
      <w:r w:rsidR="00E10D8C" w:rsidRPr="00F941E3">
        <w:rPr>
          <w:rFonts w:ascii="Arial" w:hAnsi="Arial" w:cs="Arial"/>
          <w:color w:val="000000" w:themeColor="text1"/>
          <w:sz w:val="24"/>
          <w:szCs w:val="24"/>
          <w:lang w:val="en-US"/>
        </w:rPr>
        <w:t xml:space="preserve">is </w:t>
      </w:r>
      <w:r w:rsidR="004F3978" w:rsidRPr="00F941E3">
        <w:rPr>
          <w:rFonts w:ascii="Arial" w:hAnsi="Arial" w:cs="Arial"/>
          <w:color w:val="000000" w:themeColor="text1"/>
          <w:sz w:val="24"/>
          <w:szCs w:val="24"/>
          <w:lang w:val="en-US"/>
        </w:rPr>
        <w:t xml:space="preserve">not only </w:t>
      </w:r>
      <w:r w:rsidR="00E10D8C" w:rsidRPr="00F941E3">
        <w:rPr>
          <w:rFonts w:ascii="Arial" w:hAnsi="Arial" w:cs="Arial"/>
          <w:color w:val="000000" w:themeColor="text1"/>
          <w:sz w:val="24"/>
          <w:szCs w:val="24"/>
          <w:lang w:val="en-US"/>
        </w:rPr>
        <w:t xml:space="preserve">associated with a </w:t>
      </w:r>
      <w:r w:rsidR="004F3978" w:rsidRPr="00F941E3">
        <w:rPr>
          <w:rFonts w:ascii="Arial" w:hAnsi="Arial" w:cs="Arial"/>
          <w:color w:val="000000" w:themeColor="text1"/>
          <w:sz w:val="24"/>
          <w:szCs w:val="24"/>
          <w:lang w:val="en-US"/>
        </w:rPr>
        <w:t xml:space="preserve">wide </w:t>
      </w:r>
      <w:r w:rsidR="00E10D8C" w:rsidRPr="00F941E3">
        <w:rPr>
          <w:rFonts w:ascii="Arial" w:hAnsi="Arial" w:cs="Arial"/>
          <w:color w:val="000000" w:themeColor="text1"/>
          <w:sz w:val="24"/>
          <w:szCs w:val="24"/>
          <w:lang w:val="en-US"/>
        </w:rPr>
        <w:t>range of</w:t>
      </w:r>
      <w:r w:rsidR="002E5370" w:rsidRPr="00F941E3">
        <w:rPr>
          <w:rFonts w:ascii="Arial" w:hAnsi="Arial" w:cs="Arial"/>
          <w:color w:val="000000" w:themeColor="text1"/>
          <w:sz w:val="24"/>
          <w:szCs w:val="24"/>
          <w:lang w:val="en-US"/>
        </w:rPr>
        <w:t xml:space="preserve"> </w:t>
      </w:r>
      <w:r w:rsidR="00E10D8C" w:rsidRPr="00F941E3">
        <w:rPr>
          <w:rFonts w:ascii="Arial" w:hAnsi="Arial" w:cs="Arial"/>
          <w:color w:val="000000" w:themeColor="text1"/>
          <w:sz w:val="24"/>
          <w:szCs w:val="24"/>
          <w:lang w:val="en-US"/>
        </w:rPr>
        <w:t xml:space="preserve">symptoms </w:t>
      </w:r>
      <w:r w:rsidR="00E025C2" w:rsidRPr="00F941E3">
        <w:rPr>
          <w:rFonts w:ascii="Arial" w:hAnsi="Arial" w:cs="Arial"/>
          <w:color w:val="000000" w:themeColor="text1"/>
          <w:sz w:val="24"/>
          <w:szCs w:val="24"/>
          <w:lang w:val="en-US"/>
        </w:rPr>
        <w:t>of a potential</w:t>
      </w:r>
      <w:r w:rsidR="004F3978" w:rsidRPr="00F941E3">
        <w:rPr>
          <w:rFonts w:ascii="Arial" w:hAnsi="Arial" w:cs="Arial"/>
          <w:color w:val="000000" w:themeColor="text1"/>
          <w:sz w:val="24"/>
          <w:szCs w:val="24"/>
          <w:lang w:val="en-US"/>
        </w:rPr>
        <w:t>ly</w:t>
      </w:r>
      <w:r w:rsidR="00E025C2" w:rsidRPr="00F941E3">
        <w:rPr>
          <w:rFonts w:ascii="Arial" w:hAnsi="Arial" w:cs="Arial"/>
          <w:color w:val="000000" w:themeColor="text1"/>
          <w:sz w:val="24"/>
          <w:szCs w:val="24"/>
          <w:lang w:val="en-US"/>
        </w:rPr>
        <w:t xml:space="preserve"> chronic nature, but is </w:t>
      </w:r>
      <w:r w:rsidR="0021077A" w:rsidRPr="00F941E3">
        <w:rPr>
          <w:rFonts w:ascii="Arial" w:hAnsi="Arial" w:cs="Arial"/>
          <w:color w:val="000000" w:themeColor="text1"/>
          <w:sz w:val="24"/>
          <w:szCs w:val="24"/>
          <w:lang w:val="en-US"/>
        </w:rPr>
        <w:t xml:space="preserve">also </w:t>
      </w:r>
      <w:r w:rsidR="001F3F81" w:rsidRPr="00F941E3">
        <w:rPr>
          <w:rFonts w:ascii="Arial" w:hAnsi="Arial" w:cs="Arial"/>
          <w:color w:val="000000" w:themeColor="text1"/>
          <w:sz w:val="24"/>
          <w:szCs w:val="24"/>
          <w:lang w:val="en-US"/>
        </w:rPr>
        <w:t xml:space="preserve">a risk factor </w:t>
      </w:r>
      <w:r w:rsidR="0016175D" w:rsidRPr="00F941E3">
        <w:rPr>
          <w:rFonts w:ascii="Arial" w:hAnsi="Arial" w:cs="Arial"/>
          <w:color w:val="000000" w:themeColor="text1"/>
          <w:sz w:val="24"/>
          <w:szCs w:val="24"/>
          <w:lang w:val="en-US"/>
        </w:rPr>
        <w:t>for poor physical health</w:t>
      </w:r>
      <w:r w:rsidR="004B432B" w:rsidRPr="00F941E3">
        <w:rPr>
          <w:rFonts w:ascii="Arial" w:hAnsi="Arial" w:cs="Arial"/>
          <w:color w:val="000000" w:themeColor="text1"/>
          <w:sz w:val="24"/>
          <w:szCs w:val="24"/>
          <w:lang w:val="en-US"/>
        </w:rPr>
        <w:t xml:space="preserve"> </w:t>
      </w:r>
      <w:r w:rsidR="004B432B"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{"citationID":"8CBqhLii","properties":{"formattedCitation":"(Tanji et al., 2021)","plainCitation":"(Tanji et al., 2021)","noteIndex":0},"citationItems":[{"id":20842,"uris":["http://zotero.org/users/local/hhPVnw6l/items/FFTHFGSS"],"uri":["http://zotero.org/users/local/hhPVnw6l/items/FFTHFGSS"],"itemData":{"id":20842,"type":"article-journal","abstract":"AIMS: Some studies have reported changes in glycemic control of patients with diabetes mellitus under lockdown. However, no previous study examined the impact of the pandemic on glycemic control in patients with diabetes in countries that did not introduce a lockdown such as Japan. This study aimed to assess changes in glycemic control during the pandemic in patients with type 2 diabetes treated at a Japanese clinic.\nMETHODS: We conducted a historical cohort study, using electronic medical records of patients with type 2 diabetes who visited our clinic between January 2019 and August 2020. Differences in HbA1c values before and after the outbreak of COVID-19 were the primary outcome, examined using the linear mixed model.\nRESULTS: HbA1c values significantly increased from 7.45% to 7.53% after the state of emergency was introduced (n = 1,009). Furthermore, a deterioration in HbA1c values was observed in particular among women, patients aged ≥ 65 years, those with body mass index of ≥ 25 kg/m2, and those that were not using insulin.\nCONCLUSIONS: Glycemic control deteriorated in patients with type 2 diabetes during the pandemic even in a country without a national lockdown.","container-title":"Diabetes Research and Clinical Practice","DOI":"10.1016/j.diabres.2021.108840","ISSN":"1872-8227","journalAbbreviation":"Diabetes Res Clin Pract","language":"eng","note":"PMID: 33933499\nPMCID: PMC8084613","page":"108840","source":"PubMed","title":"Impact of COVID-19 pandemic on glycemic control among outpatients with type 2 diabetes in Japan: A hospital-based survey from a country without lockdown","title-short":"Impact of COVID-19 pandemic on glycemic control among outpatients with type 2 diabetes in Japan","volume":"176","author":[{"family":"Tanji","given":"Yasuhiro"},{"family":"Sawada","given":"Shojiro"},{"family":"Watanabe","given":"Taichi"},{"family":"Mita","given":"Takashi"},{"family":"Kobayashi","given":"Yasutaka"},{"family":"Murakami","given":"Takahisa"},{"family":"Metoki","given":"Hirohito"},{"family":"Akai","given":"Hiroaki"}],"issued":{"date-parts":[["2021",4,30]]}}}],"schema":"https://github.com/citation-style-language/schema/raw/master/csl-citation.json"} </w:instrText>
      </w:r>
      <w:r w:rsidR="004B432B"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(Tanji et al., 2021)</w:t>
      </w:r>
      <w:r w:rsidR="004B432B" w:rsidRPr="00F941E3">
        <w:rPr>
          <w:rFonts w:ascii="Arial" w:hAnsi="Arial" w:cs="Arial"/>
          <w:color w:val="000000" w:themeColor="text1"/>
          <w:sz w:val="24"/>
          <w:szCs w:val="24"/>
          <w:lang w:val="en-US"/>
        </w:rPr>
        <w:fldChar w:fldCharType="end"/>
      </w:r>
      <w:r w:rsidR="0016175D" w:rsidRPr="00F941E3">
        <w:rPr>
          <w:rFonts w:ascii="Arial" w:hAnsi="Arial" w:cs="Arial"/>
          <w:color w:val="000000" w:themeColor="text1"/>
          <w:sz w:val="24"/>
          <w:szCs w:val="24"/>
          <w:lang w:val="en-US"/>
        </w:rPr>
        <w:t xml:space="preserve">, impaired mental </w:t>
      </w:r>
      <w:r w:rsidR="00051F09" w:rsidRPr="00F941E3">
        <w:rPr>
          <w:rFonts w:ascii="Arial" w:hAnsi="Arial" w:cs="Arial"/>
          <w:color w:val="000000" w:themeColor="text1"/>
          <w:sz w:val="24"/>
          <w:szCs w:val="24"/>
          <w:lang w:val="en-US"/>
        </w:rPr>
        <w:t>well-being</w:t>
      </w:r>
      <w:r w:rsidR="00AE5C9F" w:rsidRPr="00F941E3">
        <w:rPr>
          <w:rFonts w:ascii="Arial" w:hAnsi="Arial" w:cs="Arial"/>
          <w:color w:val="000000" w:themeColor="text1"/>
          <w:sz w:val="24"/>
          <w:szCs w:val="24"/>
          <w:lang w:val="en-US"/>
        </w:rPr>
        <w:t xml:space="preserve"> </w:t>
      </w:r>
      <w:r w:rsidR="00AE5C9F"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{"citationID":"L7VnlVGt","properties":{"formattedCitation":"(Xiong et al., 2020)","plainCitation":"(Xiong et al., 2020)","noteIndex":0},"citationItems":[{"id":20845,"uris":["http://zotero.org/users/local/hhPVnw6l/items/2ICI7LDQ"],"uri":["http://zotero.org/users/local/hhPVnw6l/items/2ICI7LDQ"],"itemData":{"id":20845,"type":"article-journal","abstract":"BACKGROUND: As a major virus outbreak in the 21st century, the Coronavirus disease 2019 (COVID-19) pandemic has led to unprecedented hazards to mental health globally. While psychological support is being provided to patients and healthcare workers, the general public's mental health requires significant attention as well. This systematic review aims to synthesize extant literature that reports on the effects of COVID-19 on psychological outcomes of the general population and its associated risk factors.\nMETHODS: A systematic search was conducted on PubMed, Embase, Medline, Web of Science, and Scopus from inception to 17 May 2020 following the PRISMA guidelines. A manual search on Google Scholar was performed to identify additional relevant studies. Articles were selected based on the predetermined eligibility criteria.\nRESULTS: Relatively high rates of symptoms of anxiety (6.33% to 50.9%), depression (14.6% to 48.3%), post-traumatic stress disorder (7% to 53.8%), psychological distress (34.43% to 38%), and stress (8.1% to 81.9%) are reported in the general population during the COVID-19 pandemic in China, Spain, Italy, Iran, the US, Turkey, Nepal, and Denmark. Risk factors associated with distress measures include female gender, younger age group (≤40 years), presence of chronic/psychiatric illnesses, unemployment, student status, and frequent exposure to social media/news concerning COVID-19.\nLIMITATIONS: A significant degree of heterogeneity was noted across studies.\nCONCLUSIONS: The COVID-19 pandemic is associated with highly significant levels of psychological distress that, in many cases, would meet the threshold for clinical relevance. Mitigating the hazardous effects of COVID-19 on mental health is an international public health priority.","container-title":"Journal of Affective Disorders","DOI":"10.1016/j.jad.2020.08.001","ISSN":"1573-2517","journalAbbreviation":"J Affect Disord","language":"eng","note":"PMID: 32799105\nPMCID: PMC7413844","page":"55-64","source":"PubMed","title":"Impact of COVID-19 pandemic on mental health in the general population: A systematic review","title-short":"Impact of COVID-19 pandemic on mental health in the general population","volume":"277","author":[{"family":"Xiong","given":"Jiaqi"},{"family":"Lipsitz","given":"Orly"},{"family":"Nasri","given":"Flora"},{"family":"Lui","given":"Leanna M. W."},{"family":"Gill","given":"Hartej"},{"family":"Phan","given":"Lee"},{"family":"Chen-Li","given":"David"},{"family":"Iacobucci","given":"Michelle"},{"family":"Ho","given":"Roger"},{"family":"Majeed","given":"Amna"},{"family":"McIntyre","given":"Roger S."}],"issued":{"date-parts":[["2020",12,1]]}}}],"schema":"https://github.com/citation-style-language/schema/raw/master/csl-citation.json"} </w:instrText>
      </w:r>
      <w:r w:rsidR="00AE5C9F"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(Xiong et al., 2020)</w:t>
      </w:r>
      <w:r w:rsidR="00AE5C9F" w:rsidRPr="00F941E3">
        <w:rPr>
          <w:rFonts w:ascii="Arial" w:hAnsi="Arial" w:cs="Arial"/>
          <w:color w:val="000000" w:themeColor="text1"/>
          <w:sz w:val="24"/>
          <w:szCs w:val="24"/>
          <w:lang w:val="en-US"/>
        </w:rPr>
        <w:fldChar w:fldCharType="end"/>
      </w:r>
      <w:r w:rsidR="00D838B1" w:rsidRPr="00F941E3">
        <w:rPr>
          <w:rFonts w:ascii="Arial" w:hAnsi="Arial" w:cs="Arial"/>
          <w:color w:val="000000" w:themeColor="text1"/>
          <w:sz w:val="24"/>
          <w:szCs w:val="24"/>
          <w:lang w:val="en-US"/>
        </w:rPr>
        <w:t>,</w:t>
      </w:r>
      <w:r w:rsidR="00051F09" w:rsidRPr="00F941E3">
        <w:rPr>
          <w:rFonts w:ascii="Arial" w:hAnsi="Arial" w:cs="Arial"/>
          <w:color w:val="000000" w:themeColor="text1"/>
          <w:sz w:val="24"/>
          <w:szCs w:val="24"/>
          <w:lang w:val="en-US"/>
        </w:rPr>
        <w:t xml:space="preserve"> </w:t>
      </w:r>
      <w:r w:rsidR="00060185" w:rsidRPr="00F941E3">
        <w:rPr>
          <w:rFonts w:ascii="Arial" w:hAnsi="Arial" w:cs="Arial"/>
          <w:color w:val="000000" w:themeColor="text1"/>
          <w:sz w:val="24"/>
          <w:szCs w:val="24"/>
          <w:lang w:val="en-US"/>
        </w:rPr>
        <w:t>and increased disability</w:t>
      </w:r>
      <w:r w:rsidR="00D32D5F" w:rsidRPr="00F941E3">
        <w:rPr>
          <w:rFonts w:ascii="Arial" w:hAnsi="Arial" w:cs="Arial"/>
          <w:color w:val="000000" w:themeColor="text1"/>
          <w:sz w:val="24"/>
          <w:szCs w:val="24"/>
          <w:lang w:val="en-US"/>
        </w:rPr>
        <w:t xml:space="preserve"> </w:t>
      </w:r>
      <w:r w:rsidR="00D32D5F"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{"citationID":"Z1SU2NZj","properties":{"formattedCitation":"(Pizarro-Pennarolli et al., 2021)","plainCitation":"(Pizarro-Pennarolli et al., 2021)","noteIndex":0},"citationItems":[{"id":20848,"uris":["http://zotero.org/users/local/hhPVnw6l/items/HRZ6PTKR"],"uri":["http://zotero.org/users/local/hhPVnw6l/items/HRZ6PTKR"],"itemData":{"id":20848,"type":"article-journal","abstract":"Background\nCoronavirus disease has provoked much discussion since its first appearance. Despite it being widely studied all over the world, little is known about the impact of the disease on functional ability related to performing activities of daily living (ADL) in patients post COVID-19 infection.\n\nObjectives\nTo understand the impact of COVID-19 on ADL performance of adult patients and to describe the common scales used to assess performance of ADL on patients post-COVID-19.\n\nMethods\nA systematic review was conducted. We included studies that applied a physical capacity test in COVID-19 patients, post-infection. Two independent reviewers analyzed the studies, extracted the data, and assessed the quality of the evidence.\n\nResults\nA total of 1,228 studies were included, after removing duplicates, 1,005 abstracts were screened and of those 983 were excluded. A final number of nine studies which met the eligibility criteria were included. The findings revealed worsening of physical function and ADL performance in all patients post COVID-19 infection.\n\nConclusion\nAll included studies found a reduction of ADL beyond the test or scale used, revealing a vital worsening of functional ability in ADL performance and consequently loss of independence in COVID-19 patients after the acute phase of infection. Functional ability status previous to COVID-19 is crucial for predicting the severity of the disease and mortality. Barthel Index and ADL score were the most used assessment tools across subjects with different intrinsic capacity and context levels.","container-title":"PeerJ","DOI":"10.7717/peerj.11026","ISSN":"2167-8359","journalAbbreviation":"PeerJ","note":"PMID: 33868804\nPMCID: PMC8034364","source":"PubMed Central","title":"Assessment of activities of daily living in patients post COVID-19: a systematic review","title-short":"Assessment of activities of daily living in patients post COVID-19","URL":"https://www.ncbi.nlm.nih.gov/pmc/articles/PMC8034364/","volume":"9","author":[{"family":"Pizarro-Pennarolli","given":"Catalina"},{"family":"Sánchez-Rojas","given":"Carlos"},{"family":"Torres-Castro","given":"Rodrigo"},{"family":"Vera-Uribe","given":"Roberto"},{"family":"Sanchez-Ramirez","given":"Diana C."},{"family":"Vasconcello-Castillo","given":"Luis"},{"family":"Solís-Navarro","given":"Lilian"},{"family":"Rivera-Lillo","given":"Gonzalo"}],"accessed":{"date-parts":[["2021",5,26]]},"issued":{"date-parts":[["2021",4,6]]}}}],"schema":"https://github.com/citation-style-language/schema/raw/master/csl-citation.json"} </w:instrText>
      </w:r>
      <w:r w:rsidR="00D32D5F"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(Pizarro-Pennarolli et al., 2021)</w:t>
      </w:r>
      <w:r w:rsidR="00D32D5F" w:rsidRPr="00F941E3">
        <w:rPr>
          <w:rFonts w:ascii="Arial" w:hAnsi="Arial" w:cs="Arial"/>
          <w:color w:val="000000" w:themeColor="text1"/>
          <w:sz w:val="24"/>
          <w:szCs w:val="24"/>
          <w:lang w:val="en-US"/>
        </w:rPr>
        <w:fldChar w:fldCharType="end"/>
      </w:r>
      <w:r w:rsidR="00060185" w:rsidRPr="00F941E3">
        <w:rPr>
          <w:rFonts w:ascii="Arial" w:hAnsi="Arial" w:cs="Arial"/>
          <w:color w:val="000000" w:themeColor="text1"/>
          <w:sz w:val="24"/>
          <w:szCs w:val="24"/>
          <w:lang w:val="en-US"/>
        </w:rPr>
        <w:t>.</w:t>
      </w:r>
      <w:r w:rsidR="00725200" w:rsidRPr="00F941E3">
        <w:rPr>
          <w:rFonts w:ascii="Arial" w:hAnsi="Arial" w:cs="Arial"/>
          <w:color w:val="000000" w:themeColor="text1"/>
          <w:sz w:val="24"/>
          <w:szCs w:val="24"/>
          <w:lang w:val="en-US"/>
        </w:rPr>
        <w:t xml:space="preserve"> </w:t>
      </w:r>
      <w:r w:rsidR="00F80C34" w:rsidRPr="00F941E3">
        <w:rPr>
          <w:rFonts w:ascii="Arial" w:hAnsi="Arial" w:cs="Arial"/>
          <w:color w:val="000000" w:themeColor="text1"/>
          <w:sz w:val="24"/>
          <w:szCs w:val="24"/>
          <w:lang w:val="en-US"/>
        </w:rPr>
        <w:t xml:space="preserve">Taken together, these various complications of COVID-19 may negatively impact the ability of </w:t>
      </w:r>
      <w:r w:rsidR="009715CA" w:rsidRPr="00F941E3">
        <w:rPr>
          <w:rFonts w:ascii="Arial" w:hAnsi="Arial" w:cs="Arial"/>
          <w:color w:val="000000" w:themeColor="text1"/>
          <w:sz w:val="24"/>
          <w:szCs w:val="24"/>
          <w:lang w:val="en-US"/>
        </w:rPr>
        <w:t xml:space="preserve">working-age </w:t>
      </w:r>
      <w:r w:rsidR="00F80C34" w:rsidRPr="00F941E3">
        <w:rPr>
          <w:rFonts w:ascii="Arial" w:hAnsi="Arial" w:cs="Arial"/>
          <w:color w:val="000000" w:themeColor="text1"/>
          <w:sz w:val="24"/>
          <w:szCs w:val="24"/>
          <w:lang w:val="en-US"/>
        </w:rPr>
        <w:t>patients</w:t>
      </w:r>
      <w:r w:rsidR="004F3978" w:rsidRPr="00F941E3">
        <w:rPr>
          <w:rFonts w:ascii="Arial" w:hAnsi="Arial" w:cs="Arial"/>
          <w:color w:val="000000" w:themeColor="text1"/>
          <w:sz w:val="24"/>
          <w:szCs w:val="24"/>
          <w:lang w:val="en-US"/>
        </w:rPr>
        <w:t xml:space="preserve"> to work</w:t>
      </w:r>
      <w:r w:rsidR="009057AB" w:rsidRPr="00F941E3">
        <w:rPr>
          <w:rFonts w:ascii="Arial" w:hAnsi="Arial" w:cs="Arial"/>
          <w:color w:val="000000" w:themeColor="text1"/>
          <w:sz w:val="24"/>
          <w:szCs w:val="24"/>
          <w:lang w:val="en-US"/>
        </w:rPr>
        <w:t>.</w:t>
      </w:r>
      <w:r w:rsidR="00883550" w:rsidRPr="00F941E3">
        <w:rPr>
          <w:rFonts w:ascii="Arial" w:hAnsi="Arial" w:cs="Arial"/>
          <w:color w:val="000000" w:themeColor="text1"/>
          <w:sz w:val="24"/>
          <w:szCs w:val="24"/>
          <w:lang w:val="en-US"/>
        </w:rPr>
        <w:t xml:space="preserve"> As a matter of fact, </w:t>
      </w:r>
      <w:r w:rsidR="005E65CA" w:rsidRPr="00F941E3">
        <w:rPr>
          <w:rFonts w:ascii="Arial" w:hAnsi="Arial" w:cs="Arial"/>
          <w:color w:val="000000" w:themeColor="text1"/>
          <w:sz w:val="24"/>
          <w:szCs w:val="24"/>
          <w:lang w:val="en-US"/>
        </w:rPr>
        <w:t>a large number of</w:t>
      </w:r>
      <w:r w:rsidR="00883550" w:rsidRPr="00F941E3">
        <w:rPr>
          <w:rFonts w:ascii="Arial" w:hAnsi="Arial" w:cs="Arial"/>
          <w:color w:val="000000" w:themeColor="text1"/>
          <w:sz w:val="24"/>
          <w:szCs w:val="24"/>
          <w:lang w:val="en-US"/>
        </w:rPr>
        <w:t xml:space="preserve"> studies have reported high rates of sick leave in workers affected by COVID-19</w:t>
      </w:r>
      <w:r w:rsidR="0037529C" w:rsidRPr="00F941E3">
        <w:rPr>
          <w:rFonts w:ascii="Arial" w:hAnsi="Arial" w:cs="Arial"/>
          <w:color w:val="000000" w:themeColor="text1"/>
          <w:sz w:val="24"/>
          <w:szCs w:val="24"/>
          <w:lang w:val="en-US"/>
        </w:rPr>
        <w:t xml:space="preserve"> </w:t>
      </w:r>
      <w:r w:rsidR="000D0969"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{"citationID":"gUjWJ0QN","properties":{"formattedCitation":"(Alqu\\uc0\\u233{}zar-Arb\\uc0\\u233{} et al., 2020; Calvo-Bonacho et al., 2020; Carvalho-Schneider et al., 2021; COVIDSurg Collaborative, 2021; Groenewold et al., 2020; Khorasanee et al., 2021; Merkin et al., 2020; Prezant et al., 2020; Su\\uc0\\u225{}rez-Garc\\uc0\\u237{}a et al., 2020)","plainCitation":"(Alquézar-Arbé et al., 2020; Calvo-Bonacho et al., 2020; Carvalho-Schneider et al., 2021; COVIDSurg Collaborative, 2021; Groenewold et al., 2020; Khorasanee et al., 2021; Merkin et al., 2020; Prezant et al., 2020; Suárez-García et al., 2020)","noteIndex":0},"citationItems":[{"id":20873,"uris":["http://zotero.org/users/local/hhPVnw6l/items/6BR97IUL"],"uri":["http://zotero.org/users/local/hhPVnw6l/items/6BR97IUL"],"itemData":{"id":20873,"type":"article-journal","abstract":"OBJECTIVES: To estimate the impact of the coronavirus disease 2019 (COVID-19) pandemic on the organization of Spanish hospital emergency departments (EDs). To explore differences between Spanish autonomous communities or according to hospital size and disease incidence in the area.\nMATERIAL AND METHODS: Survey of the heads of 283 EDs in hospitals belonging to or affiliated with Spain's public health service. Respondents evaluated the pandemic's impact on organization, resources, and staff absence from work in March and April 2020. Assessments were for 15-day periods. Results were analyzed overall and by autonomous community, hospital size, and local population incidence rates.\nRESULTS: A total of 246 (87%) responses were received. The majority of the EDs organized a triage system, first aid, and observation wards; areas specifically for patients suspected of having COVID-19 were newly set apart. The nursing staff was increased in 83% of the EDs (with no subgroup differences), and 59% increased the number of physicians (especially in large hospitals and locations where the COVID-19 incidence was high). Diagnostic tests for the severe acute respiratory syndrome coronavirus 2 were the resource the EDs missed most: 55% reported that tests were scarce often or very often. Other resources reported to be scarce were FPP2 and FPP3 masks (38% of the EDs), waterproof protective gowns (34%), and space (32%). More than 5% of the physicians, nurses, or other emergency staff were on sick leave 20%, 19%, and 16% of the time. These deficiencies were greatest during the last half of March, except for tests, which were most scarce in the first 15 days. Large hospital EDs less often reported that diagnostic tests were unavailable. In areas where the COVID-19 incidence was higher, the EDs reported higher rates of staff on sick leave. Resource scarcity differed markedly by autonomous community and was not always associated with the incidence of COVID-19 in the population.\nCONCLUSION: The COVID-19 pandemic led to organizational changes in EDs. Certain resources became scarce, and marked differences between autonomous communities were detected.","container-title":"Emergencias: Revista De La Sociedad Espanola De Medicina De Emergencias","ISSN":"2386-5857","issue":"5","journalAbbreviation":"Emergencias","language":"eng, spa","note":"PMID: 33006832","page":"320-331","source":"PubMed","title":"Impact of the COVID-19 pandemic on hospital emergency departments: results of a survey of departments in 2020 - the Spanish ENCOVUR study","title-short":"Impact of the COVID-19 pandemic on hospital emergency departments","volume":"32","author":[{"family":"Alquézar-Arbé","given":"Aitor"},{"family":"Piñera","given":"Pascual"},{"family":"Jacob","given":"Javier"},{"family":"Martín","given":"Alfonso"},{"family":"Jiménez","given":"Sònia"},{"family":"Llorens","given":"Pere"},{"family":"Martín-Sánchez","given":"Francisco Javier"},{"family":"Burillo-Putze","given":"Guillermo"},{"family":"García-Lamberechts","given":"Eric Jorge"},{"family":"González Del Castillo","given":"Juan"},{"family":"Rizzi","given":"Miguel"},{"family":"Agudo Villa","given":"Teresa"},{"family":"Haro","given":"Antoni"},{"family":"Martín Díaz","given":"Natalia"},{"family":"Miró","given":"Òscar"}],"issued":{"date-parts":[["2020",9]]}}},{"id":20861,"uris":["http://zotero.org/users/local/hhPVnw6l/items/72EMZ4XS"],"uri":["http://zotero.org/users/local/hhPVnw6l/items/72EMZ4XS"],"itemData":{"id":20861,"type":"article-journal","abstract":"Objectives: The worldwide SARS-COV2 pandemic has impacted the health of workers and companies. The aim is to quantify it according to sick leave. Methods: Using ICD-9 codes, we analyzed Ibermutua records of all sick leaves during the first trimester of 2020, compared to during the same months of 2017, 2018, and 2019. We stratified the analysis by causes, patient sex, activity sectors, and regional data. All sick leaves were adjusted by the number of Ibermutua-affiliated persons in each period. Results: In March 2020, there was an unprecedented (116%) increase in total sick leaves, mainly due to infectious and respiratory diseases. Men and women were equally affected. All activity sectors were impacted, with the highest increase (457%) observed among health-related workers, especially due to contagious disease. The incidences of sick leaves were heterogeneous among different regions. Cost-analysis of sick leaves during the first trimester of 2020 compared with in previous years showed 40.3% increment (mean 2,813 vs. 2,005 € per 100 affiliated workers). Conclusions: The SARS-COV2 pandemic is having a huge impact on workers' health, as shown by data regarding sick leaves in March 2020. This is associated with greater economic burden for companies, both due to the cost associated with sick leaves and the losses in productivity due to confinement.","container-title":"Frontiers in Public Health","DOI":"10.3389/fpubh.2020.580546","ISSN":"2296-2565","journalAbbreviation":"Front Public Health","language":"eng","note":"PMID: 33194983\nPMCID: PMC7604328","page":"580546","source":"PubMed","title":"COVID-19 and Sick Leave: An Analysis of the Ibermutua Cohort of Over 1,651,305 Spanish Workers in the First Trimester of 2020","title-short":"COVID-19 and Sick Leave","volume":"8","author":[{"family":"Calvo-Bonacho","given":"Eva"},{"family":"Catalina-Romero","given":"Carlos"},{"family":"Fernández-Labandera","given":"Carlos"},{"family":"Fernández-Meseguer","given":"Ana"},{"family":"González-Quintela","given":"Arturo"},{"family":"Martínez-Muñoz","given":"Paloma"},{"family":"Quevedo","given":"Luis"},{"family":"Valdivielso","given":"Pedro"},{"family":"Sánchez-Chaparro","given":"Miguel Ángel"}],"issued":{"date-parts":[["2020"]]}}},{"id":20864,"uris":["http://zotero.org/users/local/hhPVnw6l/items/DB5YSULG"],"uri":["http://zotero.org/users/local/hhPVnw6l/items/DB5YSULG"],"itemData":{"id":20864,"type":"article-journal","abstract":"OBJECTIVES: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id":20881,"uris":["http://zotero.org/users/local/hhPVnw6l/items/2Z6SYVZK"],"uri":["http://zotero.org/users/local/hhPVnw6l/items/2Z6SYVZK"],"itemData":{"id":20881,"type":"article-journal","abstract":"BACKGROUND: During the initial COVID-19 outbreak up to 28.4 million elective operations were cancelled worldwide, in part owing to concerns that it would be unsustainable to maintain elective surgery capacity because of COVID-19-related surgeon absence. Although many hospitals are now recovering, surgical teams need strategies to prepare for future outbreaks. This study aimed to develop a framework to predict elective surgery capacity during future COVID-19 outbreaks.\nMETHODS: An international cross-sectional study determined real-world COVID-19-related absence rates among surgeons. COVID-19-related absences included sickness, self-isolation, shielding, and caring for family. To estimate elective surgical capacity during future outbreaks, an expert elicitation study was undertaken with senior surgeons to determine the minimum surgical staff required to provide surgical services while maintaining a range of elective surgery volumes (0, 25, 50 or 75 per cent).\nRESULTS: Based on data from 364 hospitals across 65 countries, the COVID-19-related absence rate during the initial 6 weeks of the outbreak ranged from 20.5 to 24.7 per cent (mean average fortnightly). In weeks 7-12, this decreased to 9.2-13.8 per cent. At all times during the COVID-19 outbreak there was predicted to be sufficient surgical staff available to maintain at least 75 per cent of regular elective surgical volume. Overall, there was predicted capacity for surgeon redeployment to support the wider hospital response to COVID-19.\nCONCLUSION: This framework will inform elective surgical service planning during future COVID-19 outbreaks. In most settings, surgeon absence is unlikely to be the factor limiting elective surgery capacity.","container-title":"BJS open","DOI":"10.1093/bjsopen/zraa021","ISSN":"2474-9842","issue":"2","journalAbbreviation":"BJS Open","language":"eng","note":"PMID: 33688956\nPMCID: PMC7799259","source":"PubMed","title":"COVID-19-related absence among surgeons: development of an international surgical workforce prediction model","title-short":"COVID-19-related absence among surgeons","volume":"5","author":[{"literal":"COVIDSurg Collaborative"}],"issued":{"date-parts":[["2021",3,5]]}}},{"id":20878,"uris":["http://zotero.org/users/local/hhPVnw6l/items/27M55SPD"],"uri":["http://zotero.org/users/local/hhPVnw6l/items/27M55SPD"],"itemData":{"id":20878,"type":"article-journal","abstract":"During a pandemic, syndromic methods for monitoring illness outside of health care settings, such as tracking absenteeism trends in schools and workplaces, can be useful adjuncts to conventional disease reporting (1,2). Each month, CDC's National Institute for Occupational Safety and Health (NIOSH) monitors the prevalence of health-related workplace absenteeism among currently employed full-time workers in the United States, overall and by demographic and occupational subgroups, using data from the Current Population Survey (CPS).* This report describes trends in absenteeism during October 2019-April 2020, including March and April 2020, the period of rapidly accelerating transmission of SARS-CoV-2, the virus that causes coronavirus disease 2019 (COVID-19). Overall, the prevalence of health-related workplace absenteeism in March and April 2020 were similar to their 5-year baselines. However, compared with occupation-specific baselines, absenteeism among workers in several occupational groups that define or contain essential critical infrastructure workforce† categories was significantly higher than expected in April. Significant increases in absenteeism were observed in personal care and service§ (includes child care workers and personal care aides); healthcare support¶; and production** (includes meat, poultry, and fish processing workers). Although health-related workplace absenteeism remained relatively unchanged or decreased in other groups, the increase in absenteeism among workers in occupational groups less able to avoid exposure to SARS-CoV-2 (3) highlights the potential impact of COVID-19 on the essential critical infrastructure workforce because of the risks and concerns of occupational transmission of SARS-CoV-2. More widespread and complete collection of occupational data in COVID-19 surveillance is required to fully understand workers' occupational risks and inform intervention strategies. Employers should follow available recommendations to protect workers' health.","container-title":"MMWR. Morbidity and mortality weekly report","DOI":"10.15585/mmwr.mm6927a1","ISSN":"1545-861X","issue":"27","journalAbbreviation":"MMWR Morb Mortal Wkly Rep","language":"eng","note":"PMID: 32644979\nPMCID: PMC7727595","page":"853-858","source":"PubMed","title":"Increases in Health-Related Workplace Absenteeism Among Workers in Essential Critical Infrastructure Occupations During the COVID-19 Pandemic - United States, March-April 2020","volume":"69","author":[{"family":"Groenewold","given":"Matthew R."},{"family":"Burrer","given":"Sherry L."},{"family":"Ahmed","given":"Faruque"},{"family":"Uzicanin","given":"Amra"},{"family":"Free","given":"Hannah"},{"family":"Luckhaupt","given":"Sara E."}],"issued":{"date-parts":[["2020",7,10]]}}},{"id":20851,"uris":["http://zotero.org/users/local/hhPVnw6l/items/9H4H6D35"],"uri":["http://zotero.org/users/local/hhPVnw6l/items/9H4H6D35"],"itemData":{"id":20851,"type":"article-journal","abstract":"INTRODUCTION: COVID-19 presents a risk to healthcare workers, incurring harm to staff physical and mental wellbeing and difficulties in provision of care and service planning.\nMETHODOLOGY: Doctors' anonymised demographic and staff sickness data were collected between 16 March and 26 April 2020, corresponding with the single centre's greatest COVID-19 caseload.\nFINDINGS: 128 (39%) of doctors experienced at least one sickness episode. Episodes totalled 1,240 days, equating to a sickness absence rate of 9.1%. Rates varied between departments and grades. High levels of sickness were seen in medicine and both adult and paediatric emergency departments with the lowest levels seen in intensive care.\nDISCUSSION: COVID-19 caused a burden of sickness on the medical workforce which must be accounted for in future workforce planning. The disparity in sickness rates across departments is likely to be multi-factorial. Further study is needed to investigate these factors to protect healthcare staff and their patients.","container-title":"Clinical Medicine (London, England)","DOI":"10.7861/clinmed.2020-0547","ISSN":"1473-4893","issue":"2","journalAbbreviation":"Clin Med (Lond)","language":"eng","note":"PMID: 33547066\nPMCID: PMC8002809","page":"e150-e154","source":"PubMed","title":"The effects of COVID-19 on sickness of medical staff across departments: A single centre experience","title-short":"The effects of COVID-19 on sickness of medical staff across departments","volume":"21","author":[{"family":"Khorasanee","given":"Reza"},{"family":"Grundy","given":"Tomas"},{"family":"Isted","given":"Alexander"},{"family":"Breeze","given":"Richard"}],"issued":{"date-parts":[["2021",3]]}}},{"id":20875,"uris":["http://zotero.org/users/local/hhPVnw6l/items/SHZ3CMUD"],"uri":["http://zotero.org/users/local/hhPVnw6l/items/SHZ3CMUD"],"itemData":{"id":20875,"type":"article-journal","abstract":"Background: Montefiore Medical Center (MMC) is a large tertiary care center in the Bronx, New York City, with 245 internal medicine residents. Beginning on February 29, 2020, residents became ill with COVID-19-like illness (CLI), which required absence from work. There was initially a shortage of personal protective equipment and delays in SARS-CoV-2 testing, which gradually improved during March and April 2020.\nObjective: We evaluated the relationship between CLI-related work absence rates of internal medicine residents and MMC's COVID-19 hospital census over time.\nMethods: Data on resident work absence between February 29 and May 22 were reviewed along with MMC's COVID-19 hospital census data. To determine the effect of patient exposure on resident CLI incidence, we compared the mean incidence of CLI per patient exposure days (PED = daily hospital census × days pre- or post-peak) before and after peak COVID-19 hospital census.\nResults: Forty-two percent (103 of 245) of internal medicine residents were absent from work, resulting in 875 missed workdays. At the peak of resident work absence, 16% (38 of 245) were out sick. Residents were absent for a median of 7 days (IQR 6-9.5 days). Mean resident CLI incidence per PED (CLI/PED) was 13.9-fold lower post-peak compared to pre-peak (P = .003).\nConclusions: At the beginning of the COVID-19 pandemic in New York City, a large portion of internal medicine residents at this single center became ill. However, the incidence of CLI decreased over time, despite ongoing exposure to patients with COVID-19.","container-title":"Journal of Graduate Medical Education","DOI":"10.4300/JGME-D-20-00657.1","ISSN":"1949-8357","issue":"6","journalAbbreviation":"J Grad Med Educ","language":"eng","note":"PMID: 33391591\nPMCID: PMC7771614","page":"682-685","source":"PubMed","title":"Internal Medicine Resident Work Absence During the COVID-19 Pandemic at a Large Academic Medical Center in New York City","volume":"12","author":[{"family":"Merkin","given":"Ross"},{"family":"Kruger","given":"Ariel"},{"family":"Bhardwaj","given":"Gaurav"},{"family":"Kajita","given":"Grace R."},{"family":"Shapiro","given":"Lauren"},{"family":"Galen","given":"Benjamin T."}],"issued":{"date-parts":[["2020",12]]}}},{"id":20867,"uris":["http://zotero.org/users/local/hhPVnw6l/items/GNHPL9H2"],"uri":["http://zotero.org/users/local/hhPVnw6l/items/GNHPL9H2"],"itemData":{"id":20867,"type":"article-journal","abstract":"This cohort study examines use of medical leave among emergency medical service (EMS) responders and firefighters in New York, New York, during the coronavirus disease 2019 (COVID-19) pandemic compared with earlier periods.","container-title":"JAMA Network Open","DOI":"10.1001/jamanetworkopen.2020.16094","ISSN":"2574-3805","issue":"7","journalAbbreviation":"JAMA Netw Open","note":"PMID: 32706380\nPMCID: PMC7382005","source":"PubMed Central","title":"Medical Leave Associated With COVID-19 Among Emergency Medical System Responders and Firefighters in New York City","URL":"https://www.ncbi.nlm.nih.gov/pmc/articles/PMC7382005/","volume":"3","author":[{"family":"Prezant","given":"David J."},{"family":"Zeig-Owens","given":"Rachel"},{"family":"Schwartz","given":"Theresa"},{"family":"Liu","given":"Yang"},{"family":"Hurwitz","given":"Karen"},{"family":"Beecher","given":"Shenecia"},{"family":"Weiden","given":"Michael D."}],"accessed":{"date-parts":[["2021",5,28]]},"issued":{"date-parts":[["2020",7,24]]}}},{"id":20870,"uris":["http://zotero.org/users/local/hhPVnw6l/items/ZDVYMF2V"],"uri":["http://zotero.org/users/local/hhPVnw6l/items/ZDVYMF2V"],"itemData":{"id":20870,"type":"article-journal","abstract":"BACKGROUND: Healthcare workers (HCWs) are especially vulnerable to infection by severe acute respiratory syndrome coronavirus 2 (SARS-CoV-2).\nAIM: The aim of this study was to describe the epidemiological and clinical characteristics of coronavirus disease 2019 (COVID-19) among HCWs from February 24th to April 30th, 2020, in a hospital in Madrid, Spain.\nMETHODS: This was a retrospective cohort study. Cumulative COVID-19 incidence was calculated for all HCWs and categorized according to presumed level of COVID-19 exposure (high, medium, and low).\nFINDINGS: Among 1911 HCWs, 213 (11.1%) had COVID-19 during the study period. Cases increased gradually from March 8th, peaking on March 17th and declining thereafter. The peak of cases among HCWs was reached 14 days before the peak in admitted COVID-19 cases in the hospital. There were no significant differences in the proportion of COVI</w:instrText>
      </w:r>
      <w:r w:rsidR="00D50691" w:rsidRPr="00F941E3">
        <w:rPr>
          <w:rFonts w:ascii="Arial" w:hAnsi="Arial" w:cs="Arial"/>
          <w:color w:val="000000" w:themeColor="text1"/>
          <w:sz w:val="24"/>
          <w:szCs w:val="24"/>
        </w:rPr>
        <w:instrText xml:space="preserve">D-19 cases according to level of occupational exposure (P = 0.123). There were five departments and two professions in which &gt;20% of the workers had confirmed COVID-19. Temporal clusters were identified in three of these departments and one profession, with most of the cases occurring over a period of less than five days. The prevalence of comorbidities was low and 91.5% of patients had mild or moderate symptoms. Eleven patients were admitted to the hospital and one patient needed intensive care. None of the patients died. The median time of sick leave was 20 (interquartile range: 15-26) days.\nCONCLUSION: The results suggest that HCW-HCW transmission accounted for part of the cases. In spite of a low prevalence of comorbidities and a mild clinical course in most cases, COVID-19 caused long periods of sick leave.","container-title":"The Journal of Hospital Infection","DOI":"10.1016/j.jhin.2020.07.020","ISSN":"1532-2939","issue":"2","journalAbbreviation":"J Hosp Infect","language":"eng","note":"PMID: 32702465\nPMCID: PMC7371579","page":"357-363","source":"PubMed","title":"SARS-CoV-2 infection among healthcare workers in a hospital in Madrid, Spain","volume":"106","author":[{"family":"Suárez-García","given":"I."},{"family":"Martínez de Aramayona López","given":"M. J."},{"family":"Sáez Vicente","given":"A."},{"family":"Lobo Abascal","given":"P."}],"issued":{"date-parts":[["2020",10]]}}}],"schema":"https://github.com/citation-style-language/schema/raw/master/csl-citation.json"} </w:instrText>
      </w:r>
      <w:r w:rsidR="000D0969" w:rsidRPr="00F941E3">
        <w:rPr>
          <w:rFonts w:ascii="Arial" w:hAnsi="Arial" w:cs="Arial"/>
          <w:color w:val="000000" w:themeColor="text1"/>
          <w:sz w:val="24"/>
          <w:szCs w:val="24"/>
          <w:lang w:val="en-US"/>
        </w:rPr>
        <w:fldChar w:fldCharType="separate"/>
      </w:r>
      <w:r w:rsidR="00D50691" w:rsidRPr="00F941E3">
        <w:rPr>
          <w:rFonts w:ascii="Arial" w:hAnsi="Arial" w:cs="Arial"/>
          <w:color w:val="000000" w:themeColor="text1"/>
          <w:sz w:val="24"/>
        </w:rPr>
        <w:t xml:space="preserve">(Alquézar-Arbé et al., 2020; Calvo-Bonacho et al., 2020; Carvalho-Schneider et al., 2021; COVIDSurg Collaborative, 2021; Groenewold </w:t>
      </w:r>
      <w:r w:rsidR="00D50691" w:rsidRPr="00F941E3">
        <w:rPr>
          <w:rFonts w:ascii="Arial" w:hAnsi="Arial" w:cs="Arial"/>
          <w:color w:val="000000" w:themeColor="text1"/>
          <w:sz w:val="24"/>
        </w:rPr>
        <w:lastRenderedPageBreak/>
        <w:t>et al., 2020; Khorasanee et al., 2021; Merkin et al., 2020; Prezant et al., 2020; Suárez-García et al., 2020)</w:t>
      </w:r>
      <w:r w:rsidR="000D0969" w:rsidRPr="00F941E3">
        <w:rPr>
          <w:rFonts w:ascii="Arial" w:hAnsi="Arial" w:cs="Arial"/>
          <w:color w:val="000000" w:themeColor="text1"/>
          <w:sz w:val="24"/>
          <w:szCs w:val="24"/>
          <w:lang w:val="en-US"/>
        </w:rPr>
        <w:fldChar w:fldCharType="end"/>
      </w:r>
      <w:r w:rsidR="00883550" w:rsidRPr="00F941E3">
        <w:rPr>
          <w:rFonts w:ascii="Arial" w:hAnsi="Arial" w:cs="Arial"/>
          <w:color w:val="000000" w:themeColor="text1"/>
          <w:sz w:val="24"/>
          <w:szCs w:val="24"/>
        </w:rPr>
        <w:t xml:space="preserve">. </w:t>
      </w:r>
      <w:r w:rsidR="00883550" w:rsidRPr="00F941E3">
        <w:rPr>
          <w:rFonts w:ascii="Arial" w:hAnsi="Arial" w:cs="Arial"/>
          <w:color w:val="000000" w:themeColor="text1"/>
          <w:sz w:val="24"/>
          <w:szCs w:val="24"/>
          <w:lang w:val="en-US"/>
        </w:rPr>
        <w:t>For example, one study</w:t>
      </w:r>
      <w:r w:rsidR="0031258A" w:rsidRPr="00F941E3">
        <w:rPr>
          <w:rFonts w:ascii="Arial" w:hAnsi="Arial" w:cs="Arial"/>
          <w:color w:val="000000" w:themeColor="text1"/>
          <w:sz w:val="24"/>
          <w:szCs w:val="24"/>
          <w:lang w:val="en-US"/>
        </w:rPr>
        <w:t xml:space="preserve"> using data </w:t>
      </w:r>
      <w:r w:rsidR="00215739" w:rsidRPr="00F941E3">
        <w:rPr>
          <w:rFonts w:ascii="Arial" w:hAnsi="Arial" w:cs="Arial"/>
          <w:color w:val="000000" w:themeColor="text1"/>
          <w:sz w:val="24"/>
          <w:szCs w:val="24"/>
          <w:lang w:val="en-US"/>
        </w:rPr>
        <w:t>collected in</w:t>
      </w:r>
      <w:r w:rsidR="00162DB3" w:rsidRPr="00F941E3">
        <w:rPr>
          <w:rFonts w:ascii="Arial" w:hAnsi="Arial" w:cs="Arial"/>
          <w:color w:val="000000" w:themeColor="text1"/>
          <w:sz w:val="24"/>
          <w:szCs w:val="24"/>
          <w:lang w:val="en-US"/>
        </w:rPr>
        <w:t xml:space="preserve"> a </w:t>
      </w:r>
      <w:r w:rsidR="004F3978" w:rsidRPr="00F941E3">
        <w:rPr>
          <w:rFonts w:ascii="Arial" w:hAnsi="Arial" w:cs="Arial"/>
          <w:color w:val="000000" w:themeColor="text1"/>
          <w:sz w:val="24"/>
          <w:szCs w:val="24"/>
          <w:lang w:val="en-US"/>
        </w:rPr>
        <w:t xml:space="preserve">UK </w:t>
      </w:r>
      <w:r w:rsidR="00162DB3" w:rsidRPr="00F941E3">
        <w:rPr>
          <w:rFonts w:ascii="Arial" w:hAnsi="Arial" w:cs="Arial"/>
          <w:color w:val="000000" w:themeColor="text1"/>
          <w:sz w:val="24"/>
          <w:szCs w:val="24"/>
          <w:lang w:val="en-US"/>
        </w:rPr>
        <w:t xml:space="preserve">medical center </w:t>
      </w:r>
      <w:r w:rsidR="00792D6F" w:rsidRPr="00F941E3">
        <w:rPr>
          <w:rFonts w:ascii="Arial" w:hAnsi="Arial" w:cs="Arial"/>
          <w:color w:val="000000" w:themeColor="text1"/>
          <w:sz w:val="24"/>
          <w:szCs w:val="24"/>
          <w:lang w:val="en-US"/>
        </w:rPr>
        <w:t xml:space="preserve">in March and April 2020 found that </w:t>
      </w:r>
      <w:r w:rsidR="001A324E" w:rsidRPr="00F941E3">
        <w:rPr>
          <w:rFonts w:ascii="Arial" w:hAnsi="Arial" w:cs="Arial"/>
          <w:color w:val="000000" w:themeColor="text1"/>
          <w:sz w:val="24"/>
          <w:szCs w:val="24"/>
          <w:lang w:val="en-US"/>
        </w:rPr>
        <w:t xml:space="preserve">39% of physicians </w:t>
      </w:r>
      <w:r w:rsidR="004F3978" w:rsidRPr="00F941E3">
        <w:rPr>
          <w:rFonts w:ascii="Arial" w:hAnsi="Arial" w:cs="Arial"/>
          <w:color w:val="000000" w:themeColor="text1"/>
          <w:sz w:val="24"/>
          <w:szCs w:val="24"/>
          <w:lang w:val="en-US"/>
        </w:rPr>
        <w:t>were absen</w:t>
      </w:r>
      <w:r w:rsidR="00D838B1" w:rsidRPr="00F941E3">
        <w:rPr>
          <w:rFonts w:ascii="Arial" w:hAnsi="Arial" w:cs="Arial"/>
          <w:color w:val="000000" w:themeColor="text1"/>
          <w:sz w:val="24"/>
          <w:szCs w:val="24"/>
          <w:lang w:val="en-US"/>
        </w:rPr>
        <w:t>t</w:t>
      </w:r>
      <w:r w:rsidR="004F3978" w:rsidRPr="00F941E3">
        <w:rPr>
          <w:rFonts w:ascii="Arial" w:hAnsi="Arial" w:cs="Arial"/>
          <w:color w:val="000000" w:themeColor="text1"/>
          <w:sz w:val="24"/>
          <w:szCs w:val="24"/>
          <w:lang w:val="en-US"/>
        </w:rPr>
        <w:t xml:space="preserve"> </w:t>
      </w:r>
      <w:r w:rsidR="006B31D3" w:rsidRPr="00F941E3">
        <w:rPr>
          <w:rFonts w:ascii="Arial" w:hAnsi="Arial" w:cs="Arial"/>
          <w:color w:val="000000" w:themeColor="text1"/>
          <w:sz w:val="24"/>
          <w:szCs w:val="24"/>
          <w:lang w:val="en-US"/>
        </w:rPr>
        <w:t xml:space="preserve">at least </w:t>
      </w:r>
      <w:r w:rsidR="004F3978" w:rsidRPr="00F941E3">
        <w:rPr>
          <w:rFonts w:ascii="Arial" w:hAnsi="Arial" w:cs="Arial"/>
          <w:color w:val="000000" w:themeColor="text1"/>
          <w:sz w:val="24"/>
          <w:szCs w:val="24"/>
          <w:lang w:val="en-US"/>
        </w:rPr>
        <w:t xml:space="preserve">once due to </w:t>
      </w:r>
      <w:r w:rsidR="00096B13" w:rsidRPr="00F941E3">
        <w:rPr>
          <w:rFonts w:ascii="Arial" w:hAnsi="Arial" w:cs="Arial"/>
          <w:color w:val="000000" w:themeColor="text1"/>
          <w:sz w:val="24"/>
          <w:szCs w:val="24"/>
          <w:lang w:val="en-US"/>
        </w:rPr>
        <w:t xml:space="preserve">sickness, and </w:t>
      </w:r>
      <w:r w:rsidR="00162DB3" w:rsidRPr="00F941E3">
        <w:rPr>
          <w:rFonts w:ascii="Arial" w:hAnsi="Arial" w:cs="Arial"/>
          <w:color w:val="000000" w:themeColor="text1"/>
          <w:sz w:val="24"/>
          <w:szCs w:val="24"/>
          <w:lang w:val="en-US"/>
        </w:rPr>
        <w:t xml:space="preserve">that </w:t>
      </w:r>
      <w:r w:rsidR="00096B13" w:rsidRPr="00F941E3">
        <w:rPr>
          <w:rFonts w:ascii="Arial" w:hAnsi="Arial" w:cs="Arial"/>
          <w:color w:val="000000" w:themeColor="text1"/>
          <w:sz w:val="24"/>
          <w:szCs w:val="24"/>
          <w:lang w:val="en-US"/>
        </w:rPr>
        <w:t>absence</w:t>
      </w:r>
      <w:r w:rsidR="00162DB3" w:rsidRPr="00F941E3">
        <w:rPr>
          <w:rFonts w:ascii="Arial" w:hAnsi="Arial" w:cs="Arial"/>
          <w:color w:val="000000" w:themeColor="text1"/>
          <w:sz w:val="24"/>
          <w:szCs w:val="24"/>
          <w:lang w:val="en-US"/>
        </w:rPr>
        <w:t>s</w:t>
      </w:r>
      <w:r w:rsidR="004F3978" w:rsidRPr="00F941E3">
        <w:rPr>
          <w:rFonts w:ascii="Arial" w:hAnsi="Arial" w:cs="Arial"/>
          <w:color w:val="000000" w:themeColor="text1"/>
          <w:sz w:val="24"/>
          <w:szCs w:val="24"/>
          <w:lang w:val="en-US"/>
        </w:rPr>
        <w:t xml:space="preserve"> due to sickness</w:t>
      </w:r>
      <w:r w:rsidR="00096B13" w:rsidRPr="00F941E3">
        <w:rPr>
          <w:rFonts w:ascii="Arial" w:hAnsi="Arial" w:cs="Arial"/>
          <w:color w:val="000000" w:themeColor="text1"/>
          <w:sz w:val="24"/>
          <w:szCs w:val="24"/>
          <w:lang w:val="en-US"/>
        </w:rPr>
        <w:t xml:space="preserve"> </w:t>
      </w:r>
      <w:r w:rsidR="004F3978" w:rsidRPr="00F941E3">
        <w:rPr>
          <w:rFonts w:ascii="Arial" w:hAnsi="Arial" w:cs="Arial"/>
          <w:color w:val="000000" w:themeColor="text1"/>
          <w:sz w:val="24"/>
          <w:szCs w:val="24"/>
          <w:lang w:val="en-US"/>
        </w:rPr>
        <w:t xml:space="preserve">amounted to </w:t>
      </w:r>
      <w:r w:rsidR="00723983" w:rsidRPr="00F941E3">
        <w:rPr>
          <w:rFonts w:ascii="Arial" w:hAnsi="Arial" w:cs="Arial"/>
          <w:color w:val="000000" w:themeColor="text1"/>
          <w:sz w:val="24"/>
          <w:szCs w:val="24"/>
          <w:lang w:val="en-US"/>
        </w:rPr>
        <w:t xml:space="preserve">1,240 days in the </w:t>
      </w:r>
      <w:r w:rsidR="00162DB3" w:rsidRPr="00F941E3">
        <w:rPr>
          <w:rFonts w:ascii="Arial" w:hAnsi="Arial" w:cs="Arial"/>
          <w:color w:val="000000" w:themeColor="text1"/>
          <w:sz w:val="24"/>
          <w:szCs w:val="24"/>
          <w:lang w:val="en-US"/>
        </w:rPr>
        <w:t xml:space="preserve">overall </w:t>
      </w:r>
      <w:r w:rsidR="00610645" w:rsidRPr="00F941E3">
        <w:rPr>
          <w:rFonts w:ascii="Arial" w:hAnsi="Arial" w:cs="Arial"/>
          <w:color w:val="000000" w:themeColor="text1"/>
          <w:sz w:val="24"/>
          <w:szCs w:val="24"/>
          <w:lang w:val="en-US"/>
        </w:rPr>
        <w:t>sample</w:t>
      </w:r>
      <w:r w:rsidR="0095191B" w:rsidRPr="00F941E3">
        <w:rPr>
          <w:rFonts w:ascii="Arial" w:hAnsi="Arial" w:cs="Arial"/>
          <w:color w:val="000000" w:themeColor="text1"/>
          <w:sz w:val="24"/>
          <w:szCs w:val="24"/>
          <w:lang w:val="en-US"/>
        </w:rPr>
        <w:t xml:space="preserve"> </w:t>
      </w:r>
      <w:r w:rsidR="0095191B"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{"citationID":"wANvuwFU","properties":{"formattedCitation":"(Khorasanee et al., 2021)","plainCitation":"(Khorasanee et al., 2021)","noteIndex":0},"citationItems":[{"id":20851,"uris":["http://zotero.org/users/local/hhPVnw6l/items/9H4H6D35"],"uri":["http://zotero.org/users/local/hhPVnw6l/items/9H4H6D35"],"itemData":{"id":20851,"type":"article-journal","abstract":"INTRODUCTION: COVID-19 presents a risk to healthcare workers, incurring harm to staff physical and mental wellbeing and difficulties in provision of care and service planning.\nMETHODOLOGY: Doctors' anonymised demographic and staff sickness data were collected between 16 March and 26 April 2020, corresponding with the single centre's greatest COVID-19 caseload.\nFINDINGS: 128 (39%) of doctors experienced at least one sickness episode. Episodes totalled 1,240 days, equating to a sickness absence rate of 9.1%. Rates varied between departments and grades. High levels of sickness were seen in medicine and both adult and paediatric emergency departments with the lowest levels seen in intensive care.\nDISCUSSION: COVID-19 caused a burden of sickness on the medical workforce which must be accounted for in future workforce planning. The disparity in sickness rates across departments is likely to be multi-factorial. Further study is needed to investigate these factors to protect healthcare staff and their patients.","container-title":"Clinical Medicine (London, England)","DOI":"10.7861/clinmed.2020-0547","ISSN":"1473-4893","issue":"2","journalAbbreviation":"Clin Med (Lond)","language":"eng","note":"PMID: 33547066\nPMCID: PMC8002809","page":"e150-e154","source":"PubMed","title":"The effects of COVID-19 on sickness of medical staff across departments: A single centre experience","title-short":"The effects of COVID-19 on sickness of medical staff across departments","volume":"21","author":[{"family":"Khorasanee","given":"Reza"},{"family":"Grundy","given":"Tomas"},{"family":"Isted","given":"Alexander"},{"family":"Breeze","given":"Richard"}],"issued":{"date-parts":[["2021",3]]}}}],"schema":"https://github.com/citation-style-language/schema/raw/master/csl-citation.json"} </w:instrText>
      </w:r>
      <w:r w:rsidR="0095191B"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(Khorasanee et al., 2021)</w:t>
      </w:r>
      <w:r w:rsidR="0095191B" w:rsidRPr="00F941E3">
        <w:rPr>
          <w:rFonts w:ascii="Arial" w:hAnsi="Arial" w:cs="Arial"/>
          <w:color w:val="000000" w:themeColor="text1"/>
          <w:sz w:val="24"/>
          <w:szCs w:val="24"/>
          <w:lang w:val="en-US"/>
        </w:rPr>
        <w:fldChar w:fldCharType="end"/>
      </w:r>
      <w:r w:rsidR="00BF2606" w:rsidRPr="00F941E3">
        <w:rPr>
          <w:rFonts w:ascii="Arial" w:hAnsi="Arial" w:cs="Arial"/>
          <w:color w:val="000000" w:themeColor="text1"/>
          <w:sz w:val="24"/>
          <w:szCs w:val="24"/>
          <w:lang w:val="en-US"/>
        </w:rPr>
        <w:t>.</w:t>
      </w:r>
      <w:r w:rsidR="00162DB3" w:rsidRPr="00F941E3">
        <w:rPr>
          <w:rFonts w:ascii="Arial" w:hAnsi="Arial" w:cs="Arial"/>
          <w:color w:val="000000" w:themeColor="text1"/>
          <w:sz w:val="24"/>
          <w:szCs w:val="24"/>
          <w:lang w:val="en-US"/>
        </w:rPr>
        <w:t xml:space="preserve"> Despite this extensive literature, </w:t>
      </w:r>
      <w:r w:rsidR="004F3978" w:rsidRPr="00F941E3">
        <w:rPr>
          <w:rFonts w:ascii="Arial" w:hAnsi="Arial" w:cs="Arial"/>
          <w:color w:val="000000" w:themeColor="text1"/>
          <w:sz w:val="24"/>
          <w:szCs w:val="24"/>
          <w:lang w:val="en-US"/>
        </w:rPr>
        <w:t xml:space="preserve">however, </w:t>
      </w:r>
      <w:r w:rsidR="00162DB3" w:rsidRPr="00F941E3">
        <w:rPr>
          <w:rFonts w:ascii="Arial" w:hAnsi="Arial" w:cs="Arial"/>
          <w:color w:val="000000" w:themeColor="text1"/>
          <w:sz w:val="24"/>
          <w:szCs w:val="24"/>
          <w:lang w:val="en-US"/>
        </w:rPr>
        <w:t xml:space="preserve">little is known </w:t>
      </w:r>
      <w:r w:rsidR="004F3978" w:rsidRPr="00F941E3">
        <w:rPr>
          <w:rFonts w:ascii="Arial" w:hAnsi="Arial" w:cs="Arial"/>
          <w:color w:val="000000" w:themeColor="text1"/>
          <w:sz w:val="24"/>
          <w:szCs w:val="24"/>
          <w:lang w:val="en-US"/>
        </w:rPr>
        <w:t xml:space="preserve">about </w:t>
      </w:r>
      <w:r w:rsidR="00162DB3" w:rsidRPr="00F941E3">
        <w:rPr>
          <w:rFonts w:ascii="Arial" w:hAnsi="Arial" w:cs="Arial"/>
          <w:color w:val="000000" w:themeColor="text1"/>
          <w:sz w:val="24"/>
          <w:szCs w:val="24"/>
          <w:lang w:val="en-US"/>
        </w:rPr>
        <w:t>long</w:t>
      </w:r>
      <w:r w:rsidR="004F3978" w:rsidRPr="00F941E3">
        <w:rPr>
          <w:rFonts w:ascii="Arial" w:hAnsi="Arial" w:cs="Arial"/>
          <w:color w:val="000000" w:themeColor="text1"/>
          <w:sz w:val="24"/>
          <w:szCs w:val="24"/>
          <w:lang w:val="en-US"/>
        </w:rPr>
        <w:t>-term</w:t>
      </w:r>
      <w:r w:rsidR="00162DB3" w:rsidRPr="00F941E3">
        <w:rPr>
          <w:rFonts w:ascii="Arial" w:hAnsi="Arial" w:cs="Arial"/>
          <w:color w:val="000000" w:themeColor="text1"/>
          <w:sz w:val="24"/>
          <w:szCs w:val="24"/>
          <w:lang w:val="en-US"/>
        </w:rPr>
        <w:t xml:space="preserve"> </w:t>
      </w:r>
      <w:r w:rsidR="004F3978" w:rsidRPr="00F941E3">
        <w:rPr>
          <w:rFonts w:ascii="Arial" w:hAnsi="Arial" w:cs="Arial"/>
          <w:color w:val="000000" w:themeColor="text1"/>
          <w:sz w:val="24"/>
          <w:szCs w:val="24"/>
          <w:lang w:val="en-US"/>
        </w:rPr>
        <w:t xml:space="preserve">COVID-19 </w:t>
      </w:r>
      <w:r w:rsidR="00162DB3" w:rsidRPr="00F941E3">
        <w:rPr>
          <w:rFonts w:ascii="Arial" w:hAnsi="Arial" w:cs="Arial"/>
          <w:color w:val="000000" w:themeColor="text1"/>
          <w:sz w:val="24"/>
          <w:szCs w:val="24"/>
          <w:lang w:val="en-US"/>
        </w:rPr>
        <w:t>sick leave (i.e., sick leave lasting for at least several weeks) and the populations at particular risk.</w:t>
      </w:r>
    </w:p>
    <w:p w14:paraId="641CF358" w14:textId="45B05381" w:rsidR="00E4335E" w:rsidRPr="00F941E3" w:rsidRDefault="00E4335E" w:rsidP="00BC4D0A">
      <w:pPr>
        <w:spacing w:line="480" w:lineRule="auto"/>
        <w:jc w:val="both"/>
        <w:rPr>
          <w:rFonts w:ascii="Arial" w:hAnsi="Arial" w:cs="Arial"/>
          <w:color w:val="000000" w:themeColor="text1"/>
          <w:sz w:val="24"/>
          <w:szCs w:val="24"/>
          <w:lang w:val="en-US"/>
        </w:rPr>
      </w:pPr>
    </w:p>
    <w:p w14:paraId="18806238" w14:textId="7EBD8692" w:rsidR="00E4335E" w:rsidRPr="00F941E3" w:rsidRDefault="00E4335E"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Therefore, the goal of this study was to investigate the prevalence </w:t>
      </w:r>
      <w:proofErr w:type="gramStart"/>
      <w:r w:rsidRPr="00F941E3">
        <w:rPr>
          <w:rFonts w:ascii="Arial" w:hAnsi="Arial" w:cs="Arial"/>
          <w:color w:val="000000" w:themeColor="text1"/>
          <w:sz w:val="24"/>
          <w:szCs w:val="24"/>
          <w:lang w:val="en-US"/>
        </w:rPr>
        <w:t>of</w:t>
      </w:r>
      <w:proofErr w:type="gramEnd"/>
      <w:r w:rsidRPr="00F941E3">
        <w:rPr>
          <w:rFonts w:ascii="Arial" w:hAnsi="Arial" w:cs="Arial"/>
          <w:color w:val="000000" w:themeColor="text1"/>
          <w:sz w:val="24"/>
          <w:szCs w:val="24"/>
          <w:lang w:val="en-US"/>
        </w:rPr>
        <w:t xml:space="preserve"> and the factors associated with </w:t>
      </w:r>
      <w:r w:rsidR="001F2750" w:rsidRPr="00F941E3">
        <w:rPr>
          <w:rFonts w:ascii="Arial" w:hAnsi="Arial" w:cs="Arial"/>
          <w:color w:val="000000" w:themeColor="text1"/>
          <w:sz w:val="24"/>
          <w:szCs w:val="24"/>
          <w:lang w:val="en-US"/>
        </w:rPr>
        <w:t xml:space="preserve">long-term </w:t>
      </w:r>
      <w:r w:rsidRPr="00F941E3">
        <w:rPr>
          <w:rFonts w:ascii="Arial" w:hAnsi="Arial" w:cs="Arial"/>
          <w:color w:val="000000" w:themeColor="text1"/>
          <w:sz w:val="24"/>
          <w:szCs w:val="24"/>
          <w:lang w:val="en-US"/>
        </w:rPr>
        <w:t xml:space="preserve">COVID-19 sick leave in working-age patients followed in general practices in Germany. </w:t>
      </w:r>
    </w:p>
    <w:p w14:paraId="68F392CB" w14:textId="63535906" w:rsidR="00EF2F42" w:rsidRPr="00F941E3" w:rsidRDefault="00EF2F42" w:rsidP="00BC4D0A">
      <w:pPr>
        <w:spacing w:line="480" w:lineRule="auto"/>
        <w:jc w:val="both"/>
        <w:rPr>
          <w:rFonts w:ascii="Arial" w:hAnsi="Arial" w:cs="Arial"/>
          <w:color w:val="000000" w:themeColor="text1"/>
          <w:sz w:val="24"/>
          <w:szCs w:val="24"/>
          <w:lang w:val="en-US"/>
        </w:rPr>
      </w:pPr>
    </w:p>
    <w:p w14:paraId="0F8B2EDF" w14:textId="2E564932" w:rsidR="00EF2F42" w:rsidRPr="00F941E3" w:rsidRDefault="00EF2F42" w:rsidP="006702BC">
      <w:pPr>
        <w:pStyle w:val="Heading1"/>
        <w:rPr>
          <w:lang w:val="en-US"/>
        </w:rPr>
      </w:pPr>
      <w:r w:rsidRPr="00F941E3">
        <w:rPr>
          <w:lang w:val="en-US"/>
        </w:rPr>
        <w:t>M</w:t>
      </w:r>
      <w:r w:rsidR="006F1363" w:rsidRPr="00F941E3">
        <w:rPr>
          <w:lang w:val="en-US"/>
        </w:rPr>
        <w:t>aterials and m</w:t>
      </w:r>
      <w:r w:rsidRPr="00F941E3">
        <w:rPr>
          <w:lang w:val="en-US"/>
        </w:rPr>
        <w:t xml:space="preserve">ethods </w:t>
      </w:r>
    </w:p>
    <w:p w14:paraId="33656944" w14:textId="548415EA" w:rsidR="00EF2F42" w:rsidRPr="00F941E3" w:rsidRDefault="00EF2F42" w:rsidP="00BC4D0A">
      <w:pPr>
        <w:spacing w:line="480" w:lineRule="auto"/>
        <w:jc w:val="both"/>
        <w:rPr>
          <w:rFonts w:ascii="Arial" w:hAnsi="Arial" w:cs="Arial"/>
          <w:color w:val="000000" w:themeColor="text1"/>
          <w:sz w:val="24"/>
          <w:szCs w:val="24"/>
          <w:lang w:val="en-US"/>
        </w:rPr>
      </w:pPr>
    </w:p>
    <w:p w14:paraId="6A49A565" w14:textId="65EEEA07" w:rsidR="00EF2F42" w:rsidRPr="00F941E3" w:rsidRDefault="00EF2F42" w:rsidP="006702BC">
      <w:pPr>
        <w:pStyle w:val="Heading2"/>
        <w:rPr>
          <w:i w:val="0"/>
          <w:lang w:val="en-US"/>
        </w:rPr>
      </w:pPr>
      <w:r w:rsidRPr="00F941E3">
        <w:rPr>
          <w:lang w:val="en-US"/>
        </w:rPr>
        <w:t xml:space="preserve">Database </w:t>
      </w:r>
    </w:p>
    <w:p w14:paraId="6F7B0D22" w14:textId="15A3DF74" w:rsidR="00F80C34" w:rsidRPr="00F941E3" w:rsidRDefault="002366F7"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Data from the Disease Analyzer </w:t>
      </w:r>
      <w:r w:rsidR="0042322D" w:rsidRPr="00F941E3">
        <w:rPr>
          <w:rFonts w:ascii="Arial" w:hAnsi="Arial" w:cs="Arial"/>
          <w:color w:val="000000" w:themeColor="text1"/>
          <w:sz w:val="24"/>
          <w:szCs w:val="24"/>
          <w:lang w:val="en-US"/>
        </w:rPr>
        <w:t>database</w:t>
      </w:r>
      <w:r w:rsidRPr="00F941E3">
        <w:rPr>
          <w:rFonts w:ascii="Arial" w:hAnsi="Arial" w:cs="Arial"/>
          <w:color w:val="000000" w:themeColor="text1"/>
          <w:sz w:val="24"/>
          <w:szCs w:val="24"/>
          <w:lang w:val="en-US"/>
        </w:rPr>
        <w:t xml:space="preserve"> </w:t>
      </w:r>
      <w:r w:rsidR="00232498" w:rsidRPr="00F941E3">
        <w:rPr>
          <w:rFonts w:ascii="Arial" w:hAnsi="Arial" w:cs="Arial"/>
          <w:color w:val="000000" w:themeColor="text1"/>
          <w:sz w:val="24"/>
          <w:szCs w:val="24"/>
          <w:lang w:val="en-US"/>
        </w:rPr>
        <w:t>(IQVIA)</w:t>
      </w:r>
      <w:r w:rsidR="002A35D6" w:rsidRPr="00F941E3">
        <w:rPr>
          <w:rFonts w:ascii="Arial" w:hAnsi="Arial" w:cs="Arial"/>
          <w:color w:val="000000" w:themeColor="text1"/>
          <w:sz w:val="24"/>
          <w:szCs w:val="24"/>
          <w:lang w:val="en-US"/>
        </w:rPr>
        <w:t xml:space="preserve"> were used</w:t>
      </w:r>
      <w:r w:rsidR="006726E2" w:rsidRPr="00F941E3">
        <w:rPr>
          <w:rFonts w:ascii="Arial" w:hAnsi="Arial" w:cs="Arial"/>
          <w:color w:val="000000" w:themeColor="text1"/>
          <w:sz w:val="24"/>
          <w:szCs w:val="24"/>
          <w:lang w:val="en-US"/>
        </w:rPr>
        <w:t xml:space="preserve"> for this study. </w:t>
      </w:r>
      <w:r w:rsidR="00612C55" w:rsidRPr="00F941E3">
        <w:rPr>
          <w:rFonts w:ascii="Arial" w:hAnsi="Arial" w:cs="Arial"/>
          <w:color w:val="000000" w:themeColor="text1"/>
          <w:sz w:val="24"/>
          <w:szCs w:val="24"/>
          <w:lang w:val="en-US"/>
        </w:rPr>
        <w:t>De</w:t>
      </w:r>
      <w:r w:rsidR="00281F8B" w:rsidRPr="00F941E3">
        <w:rPr>
          <w:rFonts w:ascii="Arial" w:hAnsi="Arial" w:cs="Arial"/>
          <w:color w:val="000000" w:themeColor="text1"/>
          <w:sz w:val="24"/>
          <w:szCs w:val="24"/>
          <w:lang w:val="en-US"/>
        </w:rPr>
        <w:t xml:space="preserve">tails on this database are </w:t>
      </w:r>
      <w:r w:rsidR="00C02383" w:rsidRPr="00F941E3">
        <w:rPr>
          <w:rFonts w:ascii="Arial" w:hAnsi="Arial" w:cs="Arial"/>
          <w:color w:val="000000" w:themeColor="text1"/>
          <w:sz w:val="24"/>
          <w:szCs w:val="24"/>
          <w:lang w:val="en-US"/>
        </w:rPr>
        <w:t xml:space="preserve">already </w:t>
      </w:r>
      <w:r w:rsidR="00281F8B" w:rsidRPr="00F941E3">
        <w:rPr>
          <w:rFonts w:ascii="Arial" w:hAnsi="Arial" w:cs="Arial"/>
          <w:color w:val="000000" w:themeColor="text1"/>
          <w:sz w:val="24"/>
          <w:szCs w:val="24"/>
          <w:lang w:val="en-US"/>
        </w:rPr>
        <w:t>available in the literature</w:t>
      </w:r>
      <w:r w:rsidR="00221C9F" w:rsidRPr="00F941E3">
        <w:rPr>
          <w:rFonts w:ascii="Arial" w:hAnsi="Arial" w:cs="Arial"/>
          <w:color w:val="000000" w:themeColor="text1"/>
          <w:sz w:val="24"/>
          <w:szCs w:val="24"/>
          <w:lang w:val="en-US"/>
        </w:rPr>
        <w:t xml:space="preserve"> </w:t>
      </w:r>
      <w:r w:rsidR="00221C9F"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{"citationID":"qEUQwJE1","properties":{"formattedCitation":"(Rathmann et al., 2018)","plainCitation":"(Rathmann et al., 2018)","noteIndex":0},"citationItems":[{"id":840,"uris":["http://zotero.org/users/local/hhPVnw6l/items/92ST9TT3"],"uri":["http://zotero.org/users/local/hhPVnw6l/items/92ST9TT3"],"itemData":{"id":840,"type":"article-journal","abstract":"PURPOSE: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D50691" w:rsidRPr="00F941E3">
        <w:rPr>
          <w:rFonts w:ascii="MS Gothic" w:eastAsia="MS Gothic" w:hAnsi="MS Gothic" w:cs="MS Gothic" w:hint="eastAsia"/>
          <w:color w:val="000000" w:themeColor="text1"/>
          <w:sz w:val="24"/>
          <w:szCs w:val="24"/>
          <w:lang w:val="en-US"/>
        </w:rPr>
        <w:instrText> </w:instrText>
      </w:r>
      <w:r w:rsidR="00D50691" w:rsidRPr="00F941E3">
        <w:rPr>
          <w:rFonts w:ascii="Arial" w:hAnsi="Arial" w:cs="Arial"/>
          <w:color w:val="000000" w:themeColor="text1"/>
          <w:sz w:val="24"/>
          <w:szCs w:val="24"/>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00221C9F"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(Rathmann et al., 2018)</w:t>
      </w:r>
      <w:r w:rsidR="00221C9F" w:rsidRPr="00F941E3">
        <w:rPr>
          <w:rFonts w:ascii="Arial" w:hAnsi="Arial" w:cs="Arial"/>
          <w:color w:val="000000" w:themeColor="text1"/>
          <w:sz w:val="24"/>
          <w:szCs w:val="24"/>
          <w:lang w:val="en-US"/>
        </w:rPr>
        <w:fldChar w:fldCharType="end"/>
      </w:r>
      <w:r w:rsidR="00221C9F" w:rsidRPr="00F941E3">
        <w:rPr>
          <w:rFonts w:ascii="Arial" w:hAnsi="Arial" w:cs="Arial"/>
          <w:color w:val="000000" w:themeColor="text1"/>
          <w:sz w:val="24"/>
          <w:szCs w:val="24"/>
          <w:lang w:val="en-US"/>
        </w:rPr>
        <w:t>.</w:t>
      </w:r>
      <w:r w:rsidR="00761DFE" w:rsidRPr="00F941E3">
        <w:rPr>
          <w:rFonts w:ascii="Arial" w:hAnsi="Arial" w:cs="Arial"/>
          <w:color w:val="000000" w:themeColor="text1"/>
          <w:sz w:val="24"/>
          <w:szCs w:val="24"/>
          <w:lang w:val="en-US"/>
        </w:rPr>
        <w:t xml:space="preserve"> </w:t>
      </w:r>
      <w:r w:rsidR="001F2750" w:rsidRPr="00F941E3">
        <w:rPr>
          <w:rFonts w:ascii="Arial" w:hAnsi="Arial" w:cs="Arial"/>
          <w:color w:val="000000" w:themeColor="text1"/>
          <w:sz w:val="24"/>
          <w:szCs w:val="24"/>
          <w:lang w:val="en-US"/>
        </w:rPr>
        <w:t>To summarize</w:t>
      </w:r>
      <w:r w:rsidR="00C26DBF" w:rsidRPr="00F941E3">
        <w:rPr>
          <w:rFonts w:ascii="Arial" w:hAnsi="Arial" w:cs="Arial"/>
          <w:color w:val="000000" w:themeColor="text1"/>
          <w:sz w:val="24"/>
          <w:szCs w:val="24"/>
          <w:lang w:val="en-US"/>
        </w:rPr>
        <w:t xml:space="preserve">, </w:t>
      </w:r>
      <w:r w:rsidR="007B5CB7" w:rsidRPr="00F941E3">
        <w:rPr>
          <w:rFonts w:ascii="Arial" w:hAnsi="Arial" w:cs="Arial"/>
          <w:color w:val="000000" w:themeColor="text1"/>
          <w:sz w:val="24"/>
          <w:szCs w:val="24"/>
          <w:lang w:val="en-US"/>
        </w:rPr>
        <w:t>the Disease Analyzer</w:t>
      </w:r>
      <w:r w:rsidR="0042322D" w:rsidRPr="00F941E3">
        <w:rPr>
          <w:rFonts w:ascii="Arial" w:hAnsi="Arial" w:cs="Arial"/>
          <w:color w:val="000000" w:themeColor="text1"/>
          <w:sz w:val="24"/>
          <w:szCs w:val="24"/>
          <w:lang w:val="en-US"/>
        </w:rPr>
        <w:t xml:space="preserve"> database </w:t>
      </w:r>
      <w:r w:rsidR="004E5E61" w:rsidRPr="00F941E3">
        <w:rPr>
          <w:rFonts w:ascii="Arial" w:hAnsi="Arial" w:cs="Arial"/>
          <w:color w:val="000000" w:themeColor="text1"/>
          <w:sz w:val="24"/>
          <w:szCs w:val="24"/>
          <w:lang w:val="en-US"/>
        </w:rPr>
        <w:t xml:space="preserve">contains demographic, </w:t>
      </w:r>
      <w:r w:rsidR="00855D46" w:rsidRPr="00F941E3">
        <w:rPr>
          <w:rFonts w:ascii="Arial" w:hAnsi="Arial" w:cs="Arial"/>
          <w:color w:val="000000" w:themeColor="text1"/>
          <w:sz w:val="24"/>
          <w:szCs w:val="24"/>
          <w:lang w:val="en-US"/>
        </w:rPr>
        <w:t>diagnosis</w:t>
      </w:r>
      <w:r w:rsidR="00D838B1" w:rsidRPr="00F941E3">
        <w:rPr>
          <w:rFonts w:ascii="Arial" w:hAnsi="Arial" w:cs="Arial"/>
          <w:color w:val="000000" w:themeColor="text1"/>
          <w:sz w:val="24"/>
          <w:szCs w:val="24"/>
          <w:lang w:val="en-US"/>
        </w:rPr>
        <w:t>,</w:t>
      </w:r>
      <w:r w:rsidR="00855D46" w:rsidRPr="00F941E3">
        <w:rPr>
          <w:rFonts w:ascii="Arial" w:hAnsi="Arial" w:cs="Arial"/>
          <w:color w:val="000000" w:themeColor="text1"/>
          <w:sz w:val="24"/>
          <w:szCs w:val="24"/>
          <w:lang w:val="en-US"/>
        </w:rPr>
        <w:t xml:space="preserve"> and prescription data </w:t>
      </w:r>
      <w:r w:rsidR="00D12207" w:rsidRPr="00F941E3">
        <w:rPr>
          <w:rFonts w:ascii="Arial" w:hAnsi="Arial" w:cs="Arial"/>
          <w:color w:val="000000" w:themeColor="text1"/>
          <w:sz w:val="24"/>
          <w:szCs w:val="24"/>
          <w:lang w:val="en-US"/>
        </w:rPr>
        <w:t xml:space="preserve">collected in general and specialized practices </w:t>
      </w:r>
      <w:r w:rsidR="00D838B1" w:rsidRPr="00F941E3">
        <w:rPr>
          <w:rFonts w:ascii="Arial" w:hAnsi="Arial" w:cs="Arial"/>
          <w:color w:val="000000" w:themeColor="text1"/>
          <w:sz w:val="24"/>
          <w:szCs w:val="24"/>
          <w:lang w:val="en-US"/>
        </w:rPr>
        <w:t>in</w:t>
      </w:r>
      <w:r w:rsidR="00D12207" w:rsidRPr="00F941E3">
        <w:rPr>
          <w:rFonts w:ascii="Arial" w:hAnsi="Arial" w:cs="Arial"/>
          <w:color w:val="000000" w:themeColor="text1"/>
          <w:sz w:val="24"/>
          <w:szCs w:val="24"/>
          <w:lang w:val="en-US"/>
        </w:rPr>
        <w:t xml:space="preserve"> Germany.</w:t>
      </w:r>
      <w:r w:rsidR="002A69C8" w:rsidRPr="00F941E3">
        <w:rPr>
          <w:rFonts w:ascii="Arial" w:hAnsi="Arial" w:cs="Arial"/>
          <w:color w:val="000000" w:themeColor="text1"/>
          <w:sz w:val="24"/>
          <w:szCs w:val="24"/>
          <w:lang w:val="en-US"/>
        </w:rPr>
        <w:t xml:space="preserve"> </w:t>
      </w:r>
      <w:r w:rsidR="00D8562E" w:rsidRPr="00F941E3">
        <w:rPr>
          <w:rFonts w:ascii="Arial" w:hAnsi="Arial" w:cs="Arial"/>
          <w:color w:val="000000" w:themeColor="text1"/>
          <w:sz w:val="24"/>
          <w:szCs w:val="24"/>
          <w:lang w:val="en-US"/>
        </w:rPr>
        <w:t xml:space="preserve">Three </w:t>
      </w:r>
      <w:r w:rsidR="001F2750" w:rsidRPr="00F941E3">
        <w:rPr>
          <w:rFonts w:ascii="Arial" w:hAnsi="Arial" w:cs="Arial"/>
          <w:color w:val="000000" w:themeColor="text1"/>
          <w:sz w:val="24"/>
          <w:szCs w:val="24"/>
          <w:lang w:val="en-US"/>
        </w:rPr>
        <w:t>percent</w:t>
      </w:r>
      <w:r w:rsidR="00D8562E" w:rsidRPr="00F941E3">
        <w:rPr>
          <w:rFonts w:ascii="Arial" w:hAnsi="Arial" w:cs="Arial"/>
          <w:color w:val="000000" w:themeColor="text1"/>
          <w:sz w:val="24"/>
          <w:szCs w:val="24"/>
          <w:lang w:val="en-US"/>
        </w:rPr>
        <w:t xml:space="preserve"> of all practices </w:t>
      </w:r>
      <w:r w:rsidR="002F782D" w:rsidRPr="00F941E3">
        <w:rPr>
          <w:rFonts w:ascii="Arial" w:hAnsi="Arial" w:cs="Arial"/>
          <w:color w:val="000000" w:themeColor="text1"/>
          <w:sz w:val="24"/>
          <w:szCs w:val="24"/>
          <w:lang w:val="en-US"/>
        </w:rPr>
        <w:t xml:space="preserve">in this country are included in </w:t>
      </w:r>
      <w:r w:rsidR="001F2750" w:rsidRPr="00F941E3">
        <w:rPr>
          <w:rFonts w:ascii="Arial" w:hAnsi="Arial" w:cs="Arial"/>
          <w:color w:val="000000" w:themeColor="text1"/>
          <w:sz w:val="24"/>
          <w:szCs w:val="24"/>
          <w:lang w:val="en-US"/>
        </w:rPr>
        <w:t xml:space="preserve">the </w:t>
      </w:r>
      <w:r w:rsidR="002F782D" w:rsidRPr="00F941E3">
        <w:rPr>
          <w:rFonts w:ascii="Arial" w:hAnsi="Arial" w:cs="Arial"/>
          <w:color w:val="000000" w:themeColor="text1"/>
          <w:sz w:val="24"/>
          <w:szCs w:val="24"/>
          <w:lang w:val="en-US"/>
        </w:rPr>
        <w:t xml:space="preserve">database. </w:t>
      </w:r>
      <w:r w:rsidR="005E0573" w:rsidRPr="00F941E3">
        <w:rPr>
          <w:rFonts w:ascii="Arial" w:hAnsi="Arial" w:cs="Arial"/>
          <w:color w:val="000000" w:themeColor="text1"/>
          <w:sz w:val="24"/>
          <w:szCs w:val="24"/>
          <w:lang w:val="en-US"/>
        </w:rPr>
        <w:t xml:space="preserve">Diagnosis data are </w:t>
      </w:r>
      <w:r w:rsidR="003F4AD8" w:rsidRPr="00F941E3">
        <w:rPr>
          <w:rFonts w:ascii="Arial" w:hAnsi="Arial" w:cs="Arial"/>
          <w:color w:val="000000" w:themeColor="text1"/>
          <w:sz w:val="24"/>
          <w:szCs w:val="24"/>
          <w:lang w:val="en-US"/>
        </w:rPr>
        <w:t>coded</w:t>
      </w:r>
      <w:r w:rsidR="005E0573" w:rsidRPr="00F941E3">
        <w:rPr>
          <w:rFonts w:ascii="Arial" w:hAnsi="Arial" w:cs="Arial"/>
          <w:color w:val="000000" w:themeColor="text1"/>
          <w:sz w:val="24"/>
          <w:szCs w:val="24"/>
          <w:lang w:val="en-US"/>
        </w:rPr>
        <w:t xml:space="preserve"> </w:t>
      </w:r>
      <w:r w:rsidR="003F5F5A" w:rsidRPr="00F941E3">
        <w:rPr>
          <w:rFonts w:ascii="Arial" w:hAnsi="Arial" w:cs="Arial"/>
          <w:color w:val="000000" w:themeColor="text1"/>
          <w:sz w:val="24"/>
          <w:szCs w:val="24"/>
          <w:lang w:val="en-US"/>
        </w:rPr>
        <w:t>using</w:t>
      </w:r>
      <w:r w:rsidR="005E0573" w:rsidRPr="00F941E3">
        <w:rPr>
          <w:rFonts w:ascii="Arial" w:hAnsi="Arial" w:cs="Arial"/>
          <w:color w:val="000000" w:themeColor="text1"/>
          <w:sz w:val="24"/>
          <w:szCs w:val="24"/>
          <w:lang w:val="en-US"/>
        </w:rPr>
        <w:t xml:space="preserve"> the German</w:t>
      </w:r>
      <w:r w:rsidR="003F5F5A" w:rsidRPr="00F941E3">
        <w:rPr>
          <w:rFonts w:ascii="Arial" w:hAnsi="Arial" w:cs="Arial"/>
          <w:color w:val="000000" w:themeColor="text1"/>
          <w:sz w:val="24"/>
          <w:szCs w:val="24"/>
          <w:lang w:val="en-US"/>
        </w:rPr>
        <w:t xml:space="preserve"> adaptation of the International Classification of Diseases, 10th revision (ICD-10),</w:t>
      </w:r>
      <w:r w:rsidR="0031533A" w:rsidRPr="00F941E3">
        <w:rPr>
          <w:rFonts w:ascii="Arial" w:hAnsi="Arial" w:cs="Arial"/>
          <w:color w:val="000000" w:themeColor="text1"/>
          <w:sz w:val="24"/>
          <w:szCs w:val="24"/>
          <w:lang w:val="en-US"/>
        </w:rPr>
        <w:t xml:space="preserve"> and prescription data using the </w:t>
      </w:r>
      <w:r w:rsidR="0045501C" w:rsidRPr="00F941E3">
        <w:rPr>
          <w:rFonts w:ascii="Arial" w:hAnsi="Arial" w:cs="Arial"/>
          <w:color w:val="000000" w:themeColor="text1"/>
          <w:sz w:val="24"/>
          <w:szCs w:val="24"/>
          <w:lang w:val="en-US"/>
        </w:rPr>
        <w:t>European Pharmaceutical Marketing Research Association (</w:t>
      </w:r>
      <w:proofErr w:type="spellStart"/>
      <w:r w:rsidR="0045501C" w:rsidRPr="00F941E3">
        <w:rPr>
          <w:rFonts w:ascii="Arial" w:hAnsi="Arial" w:cs="Arial"/>
          <w:color w:val="000000" w:themeColor="text1"/>
          <w:sz w:val="24"/>
          <w:szCs w:val="24"/>
          <w:lang w:val="en-US"/>
        </w:rPr>
        <w:t>EphMRA</w:t>
      </w:r>
      <w:proofErr w:type="spellEnd"/>
      <w:r w:rsidR="0045501C" w:rsidRPr="00F941E3">
        <w:rPr>
          <w:rFonts w:ascii="Arial" w:hAnsi="Arial" w:cs="Arial"/>
          <w:color w:val="000000" w:themeColor="text1"/>
          <w:sz w:val="24"/>
          <w:szCs w:val="24"/>
          <w:lang w:val="en-US"/>
        </w:rPr>
        <w:t>) Anatomical Therapeutic Chemical (ATC) classification system</w:t>
      </w:r>
      <w:r w:rsidR="007D5CFE" w:rsidRPr="00F941E3">
        <w:rPr>
          <w:rFonts w:ascii="Arial" w:hAnsi="Arial" w:cs="Arial"/>
          <w:color w:val="000000" w:themeColor="text1"/>
          <w:sz w:val="24"/>
          <w:szCs w:val="24"/>
          <w:lang w:val="en-US"/>
        </w:rPr>
        <w:t>.</w:t>
      </w:r>
      <w:r w:rsidR="001C10A0" w:rsidRPr="00F941E3">
        <w:rPr>
          <w:rFonts w:ascii="Arial" w:hAnsi="Arial" w:cs="Arial"/>
          <w:color w:val="000000" w:themeColor="text1"/>
          <w:sz w:val="24"/>
          <w:szCs w:val="24"/>
          <w:lang w:val="en-US"/>
        </w:rPr>
        <w:t xml:space="preserve"> The assessment of the quality of these data </w:t>
      </w:r>
      <w:r w:rsidR="001F2750" w:rsidRPr="00F941E3">
        <w:rPr>
          <w:rFonts w:ascii="Arial" w:hAnsi="Arial" w:cs="Arial"/>
          <w:color w:val="000000" w:themeColor="text1"/>
          <w:sz w:val="24"/>
          <w:szCs w:val="24"/>
          <w:lang w:val="en-US"/>
        </w:rPr>
        <w:t xml:space="preserve">is based </w:t>
      </w:r>
      <w:r w:rsidR="001C10A0" w:rsidRPr="00F941E3">
        <w:rPr>
          <w:rFonts w:ascii="Arial" w:hAnsi="Arial" w:cs="Arial"/>
          <w:color w:val="000000" w:themeColor="text1"/>
          <w:sz w:val="24"/>
          <w:szCs w:val="24"/>
          <w:lang w:val="en-US"/>
        </w:rPr>
        <w:t xml:space="preserve">on several criteria such as </w:t>
      </w:r>
      <w:r w:rsidR="00534DA5" w:rsidRPr="00F941E3">
        <w:rPr>
          <w:rFonts w:ascii="Arial" w:hAnsi="Arial" w:cs="Arial"/>
          <w:color w:val="000000" w:themeColor="text1"/>
          <w:sz w:val="24"/>
          <w:szCs w:val="24"/>
          <w:lang w:val="en-US"/>
        </w:rPr>
        <w:t xml:space="preserve">completeness of documentation and </w:t>
      </w:r>
      <w:r w:rsidR="00E21FA0" w:rsidRPr="00F941E3">
        <w:rPr>
          <w:rFonts w:ascii="Arial" w:hAnsi="Arial" w:cs="Arial"/>
          <w:color w:val="000000" w:themeColor="text1"/>
          <w:sz w:val="24"/>
          <w:szCs w:val="24"/>
          <w:lang w:val="en-US"/>
        </w:rPr>
        <w:t xml:space="preserve">linkage between diagnoses and </w:t>
      </w:r>
      <w:r w:rsidR="00E21FA0" w:rsidRPr="00F941E3">
        <w:rPr>
          <w:rFonts w:ascii="Arial" w:hAnsi="Arial" w:cs="Arial"/>
          <w:color w:val="000000" w:themeColor="text1"/>
          <w:sz w:val="24"/>
          <w:szCs w:val="24"/>
          <w:lang w:val="en-US"/>
        </w:rPr>
        <w:lastRenderedPageBreak/>
        <w:t>prescriptions.</w:t>
      </w:r>
      <w:r w:rsidR="00A3507B" w:rsidRPr="00F941E3">
        <w:rPr>
          <w:rFonts w:ascii="Arial" w:hAnsi="Arial" w:cs="Arial"/>
          <w:color w:val="000000" w:themeColor="text1"/>
          <w:sz w:val="24"/>
          <w:szCs w:val="24"/>
          <w:lang w:val="en-US"/>
        </w:rPr>
        <w:t xml:space="preserve"> Finally, </w:t>
      </w:r>
      <w:r w:rsidR="007067A8" w:rsidRPr="00F941E3">
        <w:rPr>
          <w:rFonts w:ascii="Arial" w:hAnsi="Arial" w:cs="Arial"/>
          <w:color w:val="000000" w:themeColor="text1"/>
          <w:sz w:val="24"/>
          <w:szCs w:val="24"/>
          <w:lang w:val="en-US"/>
        </w:rPr>
        <w:t xml:space="preserve">previous research has </w:t>
      </w:r>
      <w:r w:rsidR="001F2750" w:rsidRPr="00F941E3">
        <w:rPr>
          <w:rFonts w:ascii="Arial" w:hAnsi="Arial" w:cs="Arial"/>
          <w:color w:val="000000" w:themeColor="text1"/>
          <w:sz w:val="24"/>
          <w:szCs w:val="24"/>
          <w:lang w:val="en-US"/>
        </w:rPr>
        <w:t xml:space="preserve">shown </w:t>
      </w:r>
      <w:r w:rsidR="00D60366" w:rsidRPr="00F941E3">
        <w:rPr>
          <w:rFonts w:ascii="Arial" w:hAnsi="Arial" w:cs="Arial"/>
          <w:color w:val="000000" w:themeColor="text1"/>
          <w:sz w:val="24"/>
          <w:szCs w:val="24"/>
          <w:lang w:val="en-US"/>
        </w:rPr>
        <w:t xml:space="preserve">that the Disease Analyzer database </w:t>
      </w:r>
      <w:r w:rsidR="001F2750" w:rsidRPr="00F941E3">
        <w:rPr>
          <w:rFonts w:ascii="Arial" w:hAnsi="Arial" w:cs="Arial"/>
          <w:color w:val="000000" w:themeColor="text1"/>
          <w:sz w:val="24"/>
          <w:szCs w:val="24"/>
          <w:lang w:val="en-US"/>
        </w:rPr>
        <w:t>offers</w:t>
      </w:r>
      <w:r w:rsidR="00D60366" w:rsidRPr="00F941E3">
        <w:rPr>
          <w:rFonts w:ascii="Arial" w:hAnsi="Arial" w:cs="Arial"/>
          <w:color w:val="000000" w:themeColor="text1"/>
          <w:sz w:val="24"/>
          <w:szCs w:val="24"/>
          <w:lang w:val="en-US"/>
        </w:rPr>
        <w:t xml:space="preserve"> a representative panel of </w:t>
      </w:r>
      <w:r w:rsidR="007618CF" w:rsidRPr="00F941E3">
        <w:rPr>
          <w:rFonts w:ascii="Arial" w:hAnsi="Arial" w:cs="Arial"/>
          <w:color w:val="000000" w:themeColor="text1"/>
          <w:sz w:val="24"/>
          <w:szCs w:val="24"/>
          <w:lang w:val="en-US"/>
        </w:rPr>
        <w:t>practices in Germany</w:t>
      </w:r>
      <w:r w:rsidR="00221C9F" w:rsidRPr="00F941E3">
        <w:rPr>
          <w:rFonts w:ascii="Arial" w:hAnsi="Arial" w:cs="Arial"/>
          <w:color w:val="000000" w:themeColor="text1"/>
          <w:sz w:val="24"/>
          <w:szCs w:val="24"/>
          <w:lang w:val="en-US"/>
        </w:rPr>
        <w:t xml:space="preserve"> </w:t>
      </w:r>
      <w:r w:rsidR="00221C9F"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{"citationID":"JaVpwIql","properties":{"formattedCitation":"(Rathmann et al., 2018)","plainCitation":"(Rathmann et al., 2018)","noteIndex":0},"citationItems":[{"id":840,"uris":["http://zotero.org/users/local/hhPVnw6l/items/92ST9TT3"],"uri":["http://zotero.org/users/local/hhPVnw6l/items/92ST9TT3"],"itemData":{"id":840,"type":"article-journal","abstract":"PURPOSE: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D50691" w:rsidRPr="00F941E3">
        <w:rPr>
          <w:rFonts w:ascii="MS Gothic" w:eastAsia="MS Gothic" w:hAnsi="MS Gothic" w:cs="MS Gothic" w:hint="eastAsia"/>
          <w:color w:val="000000" w:themeColor="text1"/>
          <w:sz w:val="24"/>
          <w:szCs w:val="24"/>
          <w:lang w:val="en-US"/>
        </w:rPr>
        <w:instrText> </w:instrText>
      </w:r>
      <w:r w:rsidR="00D50691" w:rsidRPr="00F941E3">
        <w:rPr>
          <w:rFonts w:ascii="Arial" w:hAnsi="Arial" w:cs="Arial"/>
          <w:color w:val="000000" w:themeColor="text1"/>
          <w:sz w:val="24"/>
          <w:szCs w:val="24"/>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00221C9F"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(Rathmann et al., 2018)</w:t>
      </w:r>
      <w:r w:rsidR="00221C9F" w:rsidRPr="00F941E3">
        <w:rPr>
          <w:rFonts w:ascii="Arial" w:hAnsi="Arial" w:cs="Arial"/>
          <w:color w:val="000000" w:themeColor="text1"/>
          <w:sz w:val="24"/>
          <w:szCs w:val="24"/>
          <w:lang w:val="en-US"/>
        </w:rPr>
        <w:fldChar w:fldCharType="end"/>
      </w:r>
      <w:r w:rsidR="00221C9F" w:rsidRPr="00F941E3">
        <w:rPr>
          <w:rFonts w:ascii="Arial" w:hAnsi="Arial" w:cs="Arial"/>
          <w:color w:val="000000" w:themeColor="text1"/>
          <w:sz w:val="24"/>
          <w:szCs w:val="24"/>
          <w:lang w:val="en-US"/>
        </w:rPr>
        <w:t>.</w:t>
      </w:r>
    </w:p>
    <w:p w14:paraId="3CDBE0C4" w14:textId="5A4A894E" w:rsidR="00935F2D" w:rsidRPr="00F941E3" w:rsidRDefault="00935F2D" w:rsidP="00BC4D0A">
      <w:pPr>
        <w:spacing w:line="480" w:lineRule="auto"/>
        <w:jc w:val="both"/>
        <w:rPr>
          <w:rFonts w:ascii="Arial" w:hAnsi="Arial" w:cs="Arial"/>
          <w:color w:val="000000" w:themeColor="text1"/>
          <w:sz w:val="24"/>
          <w:szCs w:val="24"/>
          <w:lang w:val="en-US"/>
        </w:rPr>
      </w:pPr>
    </w:p>
    <w:p w14:paraId="788267D3" w14:textId="30995361" w:rsidR="00935F2D" w:rsidRPr="00F941E3" w:rsidRDefault="00935F2D" w:rsidP="006702BC">
      <w:pPr>
        <w:pStyle w:val="Heading2"/>
        <w:rPr>
          <w:lang w:val="en-US"/>
        </w:rPr>
      </w:pPr>
      <w:r w:rsidRPr="00F941E3">
        <w:rPr>
          <w:lang w:val="en-US"/>
        </w:rPr>
        <w:t>Study population</w:t>
      </w:r>
    </w:p>
    <w:p w14:paraId="05207D32" w14:textId="44F9E0BA" w:rsidR="00935F2D" w:rsidRPr="00F941E3" w:rsidRDefault="00540CB8"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Patients diagnosed </w:t>
      </w:r>
      <w:r w:rsidR="008F2FC3" w:rsidRPr="00F941E3">
        <w:rPr>
          <w:rFonts w:ascii="Arial" w:hAnsi="Arial" w:cs="Arial"/>
          <w:color w:val="000000" w:themeColor="text1"/>
          <w:sz w:val="24"/>
          <w:szCs w:val="24"/>
          <w:lang w:val="en-US"/>
        </w:rPr>
        <w:t xml:space="preserve">with COVID-19 in one of </w:t>
      </w:r>
      <w:r w:rsidR="00C3348F" w:rsidRPr="00F941E3">
        <w:rPr>
          <w:rFonts w:ascii="Arial" w:hAnsi="Arial" w:cs="Arial"/>
          <w:color w:val="000000" w:themeColor="text1"/>
          <w:sz w:val="24"/>
          <w:szCs w:val="24"/>
          <w:lang w:val="en-US"/>
        </w:rPr>
        <w:t xml:space="preserve">1,255 general practices in Germany between </w:t>
      </w:r>
      <w:r w:rsidR="00444C2F" w:rsidRPr="00F941E3">
        <w:rPr>
          <w:rFonts w:ascii="Arial" w:hAnsi="Arial" w:cs="Arial"/>
          <w:color w:val="000000" w:themeColor="text1"/>
          <w:sz w:val="24"/>
          <w:szCs w:val="24"/>
          <w:lang w:val="en-US"/>
        </w:rPr>
        <w:t>March 2020 and February 2021 were included in this study.</w:t>
      </w:r>
      <w:r w:rsidR="00472297" w:rsidRPr="00F941E3">
        <w:rPr>
          <w:rFonts w:ascii="Arial" w:hAnsi="Arial" w:cs="Arial"/>
          <w:color w:val="000000" w:themeColor="text1"/>
          <w:sz w:val="24"/>
          <w:szCs w:val="24"/>
          <w:lang w:val="en-US"/>
        </w:rPr>
        <w:t xml:space="preserve"> </w:t>
      </w:r>
      <w:r w:rsidR="0096693B" w:rsidRPr="00F941E3">
        <w:rPr>
          <w:rFonts w:ascii="Arial" w:hAnsi="Arial" w:cs="Arial"/>
          <w:color w:val="000000" w:themeColor="text1"/>
          <w:sz w:val="24"/>
          <w:szCs w:val="24"/>
          <w:lang w:val="en-US"/>
        </w:rPr>
        <w:t>Given that the population of interest of this study corresponded to working-age adults, p</w:t>
      </w:r>
      <w:r w:rsidR="00472297" w:rsidRPr="00F941E3">
        <w:rPr>
          <w:rFonts w:ascii="Arial" w:hAnsi="Arial" w:cs="Arial"/>
          <w:color w:val="000000" w:themeColor="text1"/>
          <w:sz w:val="24"/>
          <w:szCs w:val="24"/>
          <w:lang w:val="en-US"/>
        </w:rPr>
        <w:t xml:space="preserve">articipants </w:t>
      </w:r>
      <w:r w:rsidR="0096693B" w:rsidRPr="00F941E3">
        <w:rPr>
          <w:rFonts w:ascii="Arial" w:hAnsi="Arial" w:cs="Arial"/>
          <w:color w:val="000000" w:themeColor="text1"/>
          <w:sz w:val="24"/>
          <w:szCs w:val="24"/>
          <w:lang w:val="en-US"/>
        </w:rPr>
        <w:t>had to be</w:t>
      </w:r>
      <w:r w:rsidR="00472297" w:rsidRPr="00F941E3">
        <w:rPr>
          <w:rFonts w:ascii="Arial" w:hAnsi="Arial" w:cs="Arial"/>
          <w:color w:val="000000" w:themeColor="text1"/>
          <w:sz w:val="24"/>
          <w:szCs w:val="24"/>
          <w:lang w:val="en-US"/>
        </w:rPr>
        <w:t xml:space="preserve"> aged 18-65 years</w:t>
      </w:r>
      <w:r w:rsidR="00177F1E" w:rsidRPr="00F941E3">
        <w:rPr>
          <w:rFonts w:ascii="Arial" w:hAnsi="Arial" w:cs="Arial"/>
          <w:color w:val="000000" w:themeColor="text1"/>
          <w:sz w:val="24"/>
          <w:szCs w:val="24"/>
          <w:lang w:val="en-US"/>
        </w:rPr>
        <w:t>. Moreover</w:t>
      </w:r>
      <w:r w:rsidR="005F0E22" w:rsidRPr="00F941E3">
        <w:rPr>
          <w:rFonts w:ascii="Arial" w:hAnsi="Arial" w:cs="Arial"/>
          <w:color w:val="000000" w:themeColor="text1"/>
          <w:sz w:val="24"/>
          <w:szCs w:val="24"/>
          <w:lang w:val="en-US"/>
        </w:rPr>
        <w:t xml:space="preserve">, participants had to have a </w:t>
      </w:r>
      <w:r w:rsidR="00E34628" w:rsidRPr="00F941E3">
        <w:rPr>
          <w:rFonts w:ascii="Arial" w:hAnsi="Arial" w:cs="Arial"/>
          <w:color w:val="000000" w:themeColor="text1"/>
          <w:sz w:val="24"/>
          <w:szCs w:val="24"/>
          <w:lang w:val="en-US"/>
        </w:rPr>
        <w:t xml:space="preserve">statutory health insurance. </w:t>
      </w:r>
      <w:r w:rsidR="005F0E22" w:rsidRPr="00F941E3">
        <w:rPr>
          <w:rFonts w:ascii="Arial" w:hAnsi="Arial" w:cs="Arial"/>
          <w:color w:val="000000" w:themeColor="text1"/>
          <w:sz w:val="24"/>
          <w:szCs w:val="24"/>
          <w:lang w:val="en-US"/>
        </w:rPr>
        <w:t xml:space="preserve">Data pertaining to those with a private health insurance were not included in the analysis, as </w:t>
      </w:r>
      <w:r w:rsidR="00D50691" w:rsidRPr="00F941E3">
        <w:rPr>
          <w:rFonts w:ascii="Arial" w:hAnsi="Arial" w:cs="Arial"/>
          <w:color w:val="000000" w:themeColor="text1"/>
          <w:sz w:val="24"/>
          <w:szCs w:val="24"/>
          <w:lang w:val="en-US"/>
        </w:rPr>
        <w:t xml:space="preserve">self-employed people frequently opt for a private health insurance </w:t>
      </w:r>
      <w:r w:rsidR="00D50691"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{"citationID":"Dw1bNr0A","properties":{"formattedCitation":"(Busse and Bl\\uc0\\u252{}mel, 2014)","plainCitation":"(Busse and Blümel, 2014)","noteIndex":0},"citationItems":[{"id":19771,"uris":["http://zotero.org/users/local/hhPVnw6l/items/WMKE63MD"],"uri":["http://zotero.org/users/local/hhPVnw6l/items/WMKE63MD"],"itemData":{"id":19771,"type":"article-journal","abstract":"This analysis of the German health system reviews recent developments in organization and governance, health financing, health care provision, health reforms and health system performance. In the German health care system, decision-making powers are traditionally shared between national (federal) and state (Land) levels, with much power delegated to self-governing bodies. It provides universal coverage for a wide range of benefits. Since 2009, health insurance has been mandatory for all citizens and permanent residents, through either statutory or private health insurance. A total of 70 million people or 85% of the population are covered by statutory health insurance in one of 132 sickness funds in early 2014. Another 11% are covered by substitutive private health insurance. Characteristics of the system are free choice of providers and unrestricted access to all care levels. A key feature of the health care delivery system in Germany is the clear institutional separation between public health services, ambulatory care and hospital (inpatient) care. This has increasingly been perceived as a barrier to change and so provisions for integrated care are being introduced with the aim of improving cooperation between ambulatory physicians and hospitals. Germany invests a substantial amount of its resources on health care: 11.4% of gross domestic product in 2012, which is one of the highest levels in the European Union. In international terms, the German health care system has a generous benefit basket, one of the highest levels of capacity as well as relatively low cost-sharing. However, the German health care system still needs improvement in some areas, such as the quality of care. In addition, the division into statutory and private health insurance remains one of the largest challenges for the German health care system, as it leads to inequalities.","container-title":"Health Systems in Transition","ISSN":"1817-6127","issue":"2","journalAbbreviation":"Health Syst Transit","language":"eng","note":"PMID: 25115137","page":"1-296, xxi","source":"PubMed","title":"Germany: Health system review","title-short":"Germany","volume":"16","author":[{"family":"Busse","given":"Reinhard"},{"family":"Blümel","given":"Miriam"}],"issued":{"date-parts":[["2014"]]}}}],"schema":"https://github.com/citation-style-language/schema/raw/master/csl-citation.json"} </w:instrText>
      </w:r>
      <w:r w:rsidR="00D50691" w:rsidRPr="00F941E3">
        <w:rPr>
          <w:rFonts w:ascii="Arial" w:hAnsi="Arial" w:cs="Arial"/>
          <w:color w:val="000000" w:themeColor="text1"/>
          <w:sz w:val="24"/>
          <w:szCs w:val="24"/>
          <w:lang w:val="en-US"/>
        </w:rPr>
        <w:fldChar w:fldCharType="separate"/>
      </w:r>
      <w:r w:rsidR="00D50691" w:rsidRPr="00F941E3">
        <w:rPr>
          <w:rFonts w:ascii="Arial" w:hAnsi="Arial" w:cs="Arial"/>
          <w:color w:val="000000" w:themeColor="text1"/>
          <w:sz w:val="24"/>
          <w:lang w:val="en-US"/>
        </w:rPr>
        <w:t>(Busse and Blümel, 2014)</w:t>
      </w:r>
      <w:r w:rsidR="00D50691" w:rsidRPr="00F941E3">
        <w:rPr>
          <w:rFonts w:ascii="Arial" w:hAnsi="Arial" w:cs="Arial"/>
          <w:color w:val="000000" w:themeColor="text1"/>
          <w:sz w:val="24"/>
          <w:szCs w:val="24"/>
          <w:lang w:val="en-US"/>
        </w:rPr>
        <w:fldChar w:fldCharType="end"/>
      </w:r>
      <w:r w:rsidR="00D50691" w:rsidRPr="00F941E3">
        <w:rPr>
          <w:rFonts w:ascii="Arial" w:hAnsi="Arial" w:cs="Arial"/>
          <w:color w:val="000000" w:themeColor="text1"/>
          <w:sz w:val="24"/>
          <w:szCs w:val="24"/>
          <w:lang w:val="en-US"/>
        </w:rPr>
        <w:t xml:space="preserve">, and sick leave may not be necessary in this group of workers. </w:t>
      </w:r>
      <w:r w:rsidR="00E34628" w:rsidRPr="00F941E3">
        <w:rPr>
          <w:rFonts w:ascii="Arial" w:hAnsi="Arial" w:cs="Arial"/>
          <w:color w:val="000000" w:themeColor="text1"/>
          <w:sz w:val="24"/>
          <w:szCs w:val="24"/>
          <w:lang w:val="en-US"/>
        </w:rPr>
        <w:t xml:space="preserve">The selection of study patients is </w:t>
      </w:r>
      <w:r w:rsidR="00201C3D" w:rsidRPr="00F941E3">
        <w:rPr>
          <w:rFonts w:ascii="Arial" w:hAnsi="Arial" w:cs="Arial"/>
          <w:color w:val="000000" w:themeColor="text1"/>
          <w:sz w:val="24"/>
          <w:szCs w:val="24"/>
          <w:lang w:val="en-US"/>
        </w:rPr>
        <w:t>display</w:t>
      </w:r>
      <w:r w:rsidR="00343BA2" w:rsidRPr="00F941E3">
        <w:rPr>
          <w:rFonts w:ascii="Arial" w:hAnsi="Arial" w:cs="Arial"/>
          <w:color w:val="000000" w:themeColor="text1"/>
          <w:sz w:val="24"/>
          <w:szCs w:val="24"/>
          <w:lang w:val="en-US"/>
        </w:rPr>
        <w:t>ed</w:t>
      </w:r>
      <w:r w:rsidR="00201C3D" w:rsidRPr="00F941E3">
        <w:rPr>
          <w:rFonts w:ascii="Arial" w:hAnsi="Arial" w:cs="Arial"/>
          <w:color w:val="000000" w:themeColor="text1"/>
          <w:sz w:val="24"/>
          <w:szCs w:val="24"/>
          <w:lang w:val="en-US"/>
        </w:rPr>
        <w:t xml:space="preserve"> in </w:t>
      </w:r>
      <w:r w:rsidR="00201C3D" w:rsidRPr="00F941E3">
        <w:rPr>
          <w:rFonts w:ascii="Arial" w:hAnsi="Arial" w:cs="Arial"/>
          <w:b/>
          <w:bCs/>
          <w:color w:val="000000" w:themeColor="text1"/>
          <w:sz w:val="24"/>
          <w:szCs w:val="24"/>
          <w:lang w:val="en-US"/>
        </w:rPr>
        <w:t>Figure 1</w:t>
      </w:r>
      <w:r w:rsidR="00201C3D" w:rsidRPr="00F941E3">
        <w:rPr>
          <w:rFonts w:ascii="Arial" w:hAnsi="Arial" w:cs="Arial"/>
          <w:color w:val="000000" w:themeColor="text1"/>
          <w:sz w:val="24"/>
          <w:szCs w:val="24"/>
          <w:lang w:val="en-US"/>
        </w:rPr>
        <w:t>.</w:t>
      </w:r>
    </w:p>
    <w:p w14:paraId="182EAECD" w14:textId="51F4B26F" w:rsidR="00B462E3" w:rsidRPr="00F941E3" w:rsidRDefault="00B462E3" w:rsidP="00BC4D0A">
      <w:pPr>
        <w:spacing w:line="480" w:lineRule="auto"/>
        <w:jc w:val="both"/>
        <w:rPr>
          <w:rFonts w:ascii="Arial" w:hAnsi="Arial" w:cs="Arial"/>
          <w:color w:val="000000" w:themeColor="text1"/>
          <w:sz w:val="24"/>
          <w:szCs w:val="24"/>
          <w:lang w:val="en-US"/>
        </w:rPr>
      </w:pPr>
    </w:p>
    <w:p w14:paraId="336E1C80" w14:textId="45FA5251" w:rsidR="00B462E3" w:rsidRPr="00F941E3" w:rsidRDefault="00B462E3" w:rsidP="006702BC">
      <w:pPr>
        <w:pStyle w:val="Heading2"/>
        <w:rPr>
          <w:lang w:val="en-US"/>
        </w:rPr>
      </w:pPr>
      <w:r w:rsidRPr="00F941E3">
        <w:rPr>
          <w:lang w:val="en-US"/>
        </w:rPr>
        <w:t>Long</w:t>
      </w:r>
      <w:r w:rsidR="001F2750" w:rsidRPr="00F941E3">
        <w:rPr>
          <w:lang w:val="en-US"/>
        </w:rPr>
        <w:t>-term</w:t>
      </w:r>
      <w:r w:rsidRPr="00F941E3">
        <w:rPr>
          <w:lang w:val="en-US"/>
        </w:rPr>
        <w:t xml:space="preserve"> sick leave</w:t>
      </w:r>
    </w:p>
    <w:p w14:paraId="6712CFEA" w14:textId="1123A865" w:rsidR="00B462E3" w:rsidRPr="00F941E3" w:rsidRDefault="001F2750"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As there </w:t>
      </w:r>
      <w:r w:rsidR="00A5467A" w:rsidRPr="00F941E3">
        <w:rPr>
          <w:rFonts w:ascii="Arial" w:hAnsi="Arial" w:cs="Arial"/>
          <w:color w:val="000000" w:themeColor="text1"/>
          <w:sz w:val="24"/>
          <w:szCs w:val="24"/>
          <w:lang w:val="en-US"/>
        </w:rPr>
        <w:t>is no clear consensus on the definition of long</w:t>
      </w:r>
      <w:r w:rsidRPr="00F941E3">
        <w:rPr>
          <w:rFonts w:ascii="Arial" w:hAnsi="Arial" w:cs="Arial"/>
          <w:color w:val="000000" w:themeColor="text1"/>
          <w:sz w:val="24"/>
          <w:szCs w:val="24"/>
          <w:lang w:val="en-US"/>
        </w:rPr>
        <w:t>-term</w:t>
      </w:r>
      <w:r w:rsidR="00A5467A" w:rsidRPr="00F941E3">
        <w:rPr>
          <w:rFonts w:ascii="Arial" w:hAnsi="Arial" w:cs="Arial"/>
          <w:color w:val="000000" w:themeColor="text1"/>
          <w:sz w:val="24"/>
          <w:szCs w:val="24"/>
          <w:lang w:val="en-US"/>
        </w:rPr>
        <w:t xml:space="preserve"> sick leave, </w:t>
      </w:r>
      <w:r w:rsidR="0060355F" w:rsidRPr="00F941E3">
        <w:rPr>
          <w:rFonts w:ascii="Arial" w:hAnsi="Arial" w:cs="Arial"/>
          <w:color w:val="000000" w:themeColor="text1"/>
          <w:sz w:val="24"/>
          <w:szCs w:val="24"/>
          <w:lang w:val="en-US"/>
        </w:rPr>
        <w:t xml:space="preserve">it </w:t>
      </w:r>
      <w:r w:rsidR="00C07B64" w:rsidRPr="00F941E3">
        <w:rPr>
          <w:rFonts w:ascii="Arial" w:hAnsi="Arial" w:cs="Arial"/>
          <w:color w:val="000000" w:themeColor="text1"/>
          <w:sz w:val="24"/>
          <w:szCs w:val="24"/>
          <w:lang w:val="en-US"/>
        </w:rPr>
        <w:t>was defined as sick leave of at least four weeks</w:t>
      </w:r>
      <w:r w:rsidR="0060355F" w:rsidRPr="00F941E3">
        <w:rPr>
          <w:rFonts w:ascii="Arial" w:hAnsi="Arial" w:cs="Arial"/>
          <w:color w:val="000000" w:themeColor="text1"/>
          <w:sz w:val="24"/>
          <w:szCs w:val="24"/>
          <w:lang w:val="en-US"/>
        </w:rPr>
        <w:t xml:space="preserve"> for the purposes of this study</w:t>
      </w:r>
      <w:r w:rsidR="00C07B64" w:rsidRPr="00F941E3">
        <w:rPr>
          <w:rFonts w:ascii="Arial" w:hAnsi="Arial" w:cs="Arial"/>
          <w:color w:val="000000" w:themeColor="text1"/>
          <w:sz w:val="24"/>
          <w:szCs w:val="24"/>
          <w:lang w:val="en-US"/>
        </w:rPr>
        <w:t>.</w:t>
      </w:r>
    </w:p>
    <w:p w14:paraId="37FEEDC0" w14:textId="49F3A794" w:rsidR="003A0C45" w:rsidRPr="00F941E3" w:rsidRDefault="003A0C45" w:rsidP="00BC4D0A">
      <w:pPr>
        <w:spacing w:line="480" w:lineRule="auto"/>
        <w:jc w:val="both"/>
        <w:rPr>
          <w:rFonts w:ascii="Arial" w:hAnsi="Arial" w:cs="Arial"/>
          <w:color w:val="000000" w:themeColor="text1"/>
          <w:sz w:val="24"/>
          <w:szCs w:val="24"/>
          <w:lang w:val="en-US"/>
        </w:rPr>
      </w:pPr>
    </w:p>
    <w:p w14:paraId="2370C7E3" w14:textId="4B8ACA32" w:rsidR="003A0C45" w:rsidRPr="00F941E3" w:rsidRDefault="003A0C45" w:rsidP="006702BC">
      <w:pPr>
        <w:pStyle w:val="Heading2"/>
        <w:rPr>
          <w:lang w:val="en-US"/>
        </w:rPr>
      </w:pPr>
      <w:r w:rsidRPr="00F941E3">
        <w:rPr>
          <w:lang w:val="en-US"/>
        </w:rPr>
        <w:t>Demographic and clinical variables</w:t>
      </w:r>
    </w:p>
    <w:p w14:paraId="267BBA6B" w14:textId="1FFFD70D" w:rsidR="003A0C45" w:rsidRPr="00F941E3" w:rsidRDefault="003A0C45"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Demographic variables included sex and age. Clinical variables included </w:t>
      </w:r>
      <w:r w:rsidR="00DF1709" w:rsidRPr="00F941E3">
        <w:rPr>
          <w:rFonts w:ascii="Arial" w:hAnsi="Arial" w:cs="Arial"/>
          <w:color w:val="000000" w:themeColor="text1"/>
          <w:sz w:val="24"/>
          <w:szCs w:val="24"/>
          <w:lang w:val="en-US"/>
        </w:rPr>
        <w:t xml:space="preserve">all </w:t>
      </w:r>
      <w:r w:rsidRPr="00F941E3">
        <w:rPr>
          <w:rFonts w:ascii="Arial" w:hAnsi="Arial" w:cs="Arial"/>
          <w:color w:val="000000" w:themeColor="text1"/>
          <w:sz w:val="24"/>
          <w:szCs w:val="24"/>
          <w:lang w:val="en-US"/>
        </w:rPr>
        <w:t xml:space="preserve">disorders diagnosed </w:t>
      </w:r>
      <w:r w:rsidR="00DF1709" w:rsidRPr="00F941E3">
        <w:rPr>
          <w:rFonts w:ascii="Arial" w:hAnsi="Arial" w:cs="Arial"/>
          <w:color w:val="000000" w:themeColor="text1"/>
          <w:sz w:val="24"/>
          <w:szCs w:val="24"/>
          <w:lang w:val="en-US"/>
        </w:rPr>
        <w:t xml:space="preserve">in </w:t>
      </w:r>
      <w:r w:rsidR="00BA4A36" w:rsidRPr="00F941E3">
        <w:rPr>
          <w:rFonts w:ascii="Arial" w:hAnsi="Arial" w:cs="Arial"/>
          <w:color w:val="000000" w:themeColor="text1"/>
          <w:sz w:val="24"/>
          <w:szCs w:val="24"/>
          <w:lang w:val="en-US"/>
        </w:rPr>
        <w:t>at least</w:t>
      </w:r>
      <w:r w:rsidR="00DF1709" w:rsidRPr="00F941E3">
        <w:rPr>
          <w:rFonts w:ascii="Arial" w:hAnsi="Arial" w:cs="Arial"/>
          <w:color w:val="000000" w:themeColor="text1"/>
          <w:sz w:val="24"/>
          <w:szCs w:val="24"/>
          <w:lang w:val="en-US"/>
        </w:rPr>
        <w:t xml:space="preserve"> </w:t>
      </w:r>
      <w:r w:rsidR="003A0E02" w:rsidRPr="00F941E3">
        <w:rPr>
          <w:rFonts w:ascii="Arial" w:hAnsi="Arial" w:cs="Arial"/>
          <w:color w:val="000000" w:themeColor="text1"/>
          <w:sz w:val="24"/>
          <w:szCs w:val="24"/>
          <w:lang w:val="en-US"/>
        </w:rPr>
        <w:t>3</w:t>
      </w:r>
      <w:r w:rsidR="00DF1709" w:rsidRPr="00F941E3">
        <w:rPr>
          <w:rFonts w:ascii="Arial" w:hAnsi="Arial" w:cs="Arial"/>
          <w:color w:val="000000" w:themeColor="text1"/>
          <w:sz w:val="24"/>
          <w:szCs w:val="24"/>
          <w:lang w:val="en-US"/>
        </w:rPr>
        <w:t xml:space="preserve">% of patients </w:t>
      </w:r>
      <w:r w:rsidRPr="00F941E3">
        <w:rPr>
          <w:rFonts w:ascii="Arial" w:hAnsi="Arial" w:cs="Arial"/>
          <w:color w:val="000000" w:themeColor="text1"/>
          <w:sz w:val="24"/>
          <w:szCs w:val="24"/>
          <w:lang w:val="en-US"/>
        </w:rPr>
        <w:t xml:space="preserve">within </w:t>
      </w:r>
      <w:r w:rsidR="00BB632D" w:rsidRPr="00F941E3">
        <w:rPr>
          <w:rFonts w:ascii="Arial" w:hAnsi="Arial" w:cs="Arial"/>
          <w:color w:val="000000" w:themeColor="text1"/>
          <w:sz w:val="24"/>
          <w:szCs w:val="24"/>
          <w:lang w:val="en-US"/>
        </w:rPr>
        <w:t>12</w:t>
      </w:r>
      <w:r w:rsidRPr="00F941E3">
        <w:rPr>
          <w:rFonts w:ascii="Arial" w:hAnsi="Arial" w:cs="Arial"/>
          <w:color w:val="000000" w:themeColor="text1"/>
          <w:sz w:val="24"/>
          <w:szCs w:val="24"/>
          <w:lang w:val="en-US"/>
        </w:rPr>
        <w:t xml:space="preserve"> months</w:t>
      </w:r>
      <w:r w:rsidR="003D5419" w:rsidRPr="00F941E3">
        <w:rPr>
          <w:rFonts w:ascii="Arial" w:hAnsi="Arial" w:cs="Arial"/>
          <w:color w:val="000000" w:themeColor="text1"/>
          <w:sz w:val="24"/>
          <w:szCs w:val="24"/>
          <w:lang w:val="en-US"/>
        </w:rPr>
        <w:t xml:space="preserve"> prior to the diagnosis of COVID-19. These disorders </w:t>
      </w:r>
      <w:r w:rsidR="00FA3B6A" w:rsidRPr="00F941E3">
        <w:rPr>
          <w:rFonts w:ascii="Arial" w:hAnsi="Arial" w:cs="Arial"/>
          <w:color w:val="000000" w:themeColor="text1"/>
          <w:sz w:val="24"/>
          <w:szCs w:val="24"/>
          <w:lang w:val="en-US"/>
        </w:rPr>
        <w:t xml:space="preserve">included </w:t>
      </w:r>
      <w:r w:rsidR="009C4B3F" w:rsidRPr="00F941E3">
        <w:rPr>
          <w:rFonts w:ascii="Arial" w:hAnsi="Arial" w:cs="Arial"/>
          <w:color w:val="000000" w:themeColor="text1"/>
          <w:sz w:val="24"/>
          <w:szCs w:val="24"/>
          <w:lang w:val="en-US"/>
        </w:rPr>
        <w:t xml:space="preserve">hypertension (ICD-10: I10), depression (F32 and F33), gastritis and duodenitis (K29), thyroid gland disorders (E00-E07), atopic dermatitis (L20-L30), reaction to severe stress, and adjustment disorders (F43), lipid metabolism disorders (E78), chronic sinusitis (J32), somatoform disorders (F45), sleep disorders </w:t>
      </w:r>
      <w:r w:rsidR="009C4B3F" w:rsidRPr="00F941E3">
        <w:rPr>
          <w:rFonts w:ascii="Arial" w:hAnsi="Arial" w:cs="Arial"/>
          <w:color w:val="000000" w:themeColor="text1"/>
          <w:sz w:val="24"/>
          <w:szCs w:val="24"/>
          <w:lang w:val="en-US"/>
        </w:rPr>
        <w:lastRenderedPageBreak/>
        <w:t xml:space="preserve">(F51 and G47), chronic headache (G43 and G44), obesity (E66), osteoarthritis (M15-M19), reflux diseases (K20-K22), asthma (J45 and K46), allergic rhinitis (J30), noninfective enteritis and colitis (K50-K52), diabetes mellitus (E10-E14), phlebitis and thrombosis (I80-I84), cardiac arrhythmias (I76-I79), anxiety disorders (F41), mononeuropathies (G56-G59), spondylitis (M47), </w:t>
      </w:r>
      <w:r w:rsidR="001916D0" w:rsidRPr="00F941E3">
        <w:rPr>
          <w:rFonts w:ascii="Arial" w:hAnsi="Arial" w:cs="Arial"/>
          <w:color w:val="000000" w:themeColor="text1"/>
          <w:sz w:val="24"/>
          <w:szCs w:val="24"/>
          <w:lang w:val="en-US"/>
        </w:rPr>
        <w:t xml:space="preserve">and </w:t>
      </w:r>
      <w:r w:rsidR="009C4B3F" w:rsidRPr="00F941E3">
        <w:rPr>
          <w:rFonts w:ascii="Arial" w:hAnsi="Arial" w:cs="Arial"/>
          <w:color w:val="000000" w:themeColor="text1"/>
          <w:sz w:val="24"/>
          <w:szCs w:val="24"/>
          <w:lang w:val="en-US"/>
        </w:rPr>
        <w:t>vitamin D deficiency (E55).</w:t>
      </w:r>
    </w:p>
    <w:p w14:paraId="05A57C9D" w14:textId="38AA3966" w:rsidR="00227DFD" w:rsidRPr="00F941E3" w:rsidRDefault="00227DFD" w:rsidP="00BC4D0A">
      <w:pPr>
        <w:spacing w:line="480" w:lineRule="auto"/>
        <w:jc w:val="both"/>
        <w:rPr>
          <w:rFonts w:ascii="Arial" w:hAnsi="Arial" w:cs="Arial"/>
          <w:color w:val="000000" w:themeColor="text1"/>
          <w:sz w:val="24"/>
          <w:szCs w:val="24"/>
          <w:lang w:val="en-US"/>
        </w:rPr>
      </w:pPr>
    </w:p>
    <w:p w14:paraId="7568D7E4" w14:textId="1EF03011" w:rsidR="00227DFD" w:rsidRPr="00F941E3" w:rsidRDefault="00227DFD" w:rsidP="006702BC">
      <w:pPr>
        <w:pStyle w:val="Heading2"/>
        <w:rPr>
          <w:lang w:val="en-US"/>
        </w:rPr>
      </w:pPr>
      <w:r w:rsidRPr="00F941E3">
        <w:rPr>
          <w:lang w:val="en-US"/>
        </w:rPr>
        <w:t>Statistical analyses</w:t>
      </w:r>
    </w:p>
    <w:p w14:paraId="7F70D1AA" w14:textId="43DD672D" w:rsidR="00227DFD" w:rsidRPr="00F941E3" w:rsidRDefault="00C53FF9"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The demographic </w:t>
      </w:r>
      <w:r w:rsidR="004813E8" w:rsidRPr="00F941E3">
        <w:rPr>
          <w:rFonts w:ascii="Arial" w:hAnsi="Arial" w:cs="Arial"/>
          <w:color w:val="000000" w:themeColor="text1"/>
          <w:sz w:val="24"/>
          <w:szCs w:val="24"/>
          <w:lang w:val="en-US"/>
        </w:rPr>
        <w:t xml:space="preserve">and clinical characteristics of the study population </w:t>
      </w:r>
      <w:r w:rsidR="00343BA2" w:rsidRPr="00F941E3">
        <w:rPr>
          <w:rFonts w:ascii="Arial" w:hAnsi="Arial" w:cs="Arial"/>
          <w:color w:val="000000" w:themeColor="text1"/>
          <w:sz w:val="24"/>
          <w:szCs w:val="24"/>
          <w:lang w:val="en-US"/>
        </w:rPr>
        <w:t xml:space="preserve">were studied. </w:t>
      </w:r>
      <w:r w:rsidR="009A36B4" w:rsidRPr="00F941E3">
        <w:rPr>
          <w:rFonts w:ascii="Arial" w:hAnsi="Arial" w:cs="Arial"/>
          <w:color w:val="000000" w:themeColor="text1"/>
          <w:sz w:val="24"/>
          <w:szCs w:val="24"/>
          <w:lang w:val="en-US"/>
        </w:rPr>
        <w:t>The prevalence of long</w:t>
      </w:r>
      <w:r w:rsidRPr="00F941E3">
        <w:rPr>
          <w:rFonts w:ascii="Arial" w:hAnsi="Arial" w:cs="Arial"/>
          <w:color w:val="000000" w:themeColor="text1"/>
          <w:sz w:val="24"/>
          <w:szCs w:val="24"/>
          <w:lang w:val="en-US"/>
        </w:rPr>
        <w:t>-term</w:t>
      </w:r>
      <w:r w:rsidR="009A36B4" w:rsidRPr="00F941E3">
        <w:rPr>
          <w:rFonts w:ascii="Arial" w:hAnsi="Arial" w:cs="Arial"/>
          <w:color w:val="000000" w:themeColor="text1"/>
          <w:sz w:val="24"/>
          <w:szCs w:val="24"/>
          <w:lang w:val="en-US"/>
        </w:rPr>
        <w:t xml:space="preserve"> sick leave was </w:t>
      </w:r>
      <w:r w:rsidR="0039540F" w:rsidRPr="00F941E3">
        <w:rPr>
          <w:rFonts w:ascii="Arial" w:hAnsi="Arial" w:cs="Arial"/>
          <w:color w:val="000000" w:themeColor="text1"/>
          <w:sz w:val="24"/>
          <w:szCs w:val="24"/>
          <w:lang w:val="en-US"/>
        </w:rPr>
        <w:t>estimated</w:t>
      </w:r>
      <w:r w:rsidR="009A36B4" w:rsidRPr="00F941E3">
        <w:rPr>
          <w:rFonts w:ascii="Arial" w:hAnsi="Arial" w:cs="Arial"/>
          <w:color w:val="000000" w:themeColor="text1"/>
          <w:sz w:val="24"/>
          <w:szCs w:val="24"/>
          <w:lang w:val="en-US"/>
        </w:rPr>
        <w:t xml:space="preserve"> </w:t>
      </w:r>
      <w:r w:rsidR="0039540F" w:rsidRPr="00F941E3">
        <w:rPr>
          <w:rFonts w:ascii="Arial" w:hAnsi="Arial" w:cs="Arial"/>
          <w:color w:val="000000" w:themeColor="text1"/>
          <w:sz w:val="24"/>
          <w:szCs w:val="24"/>
          <w:lang w:val="en-US"/>
        </w:rPr>
        <w:t>by dividing</w:t>
      </w:r>
      <w:r w:rsidR="009A36B4" w:rsidRPr="00F941E3">
        <w:rPr>
          <w:rFonts w:ascii="Arial" w:hAnsi="Arial" w:cs="Arial"/>
          <w:color w:val="000000" w:themeColor="text1"/>
          <w:sz w:val="24"/>
          <w:szCs w:val="24"/>
          <w:lang w:val="en-US"/>
        </w:rPr>
        <w:t xml:space="preserve"> the </w:t>
      </w:r>
      <w:r w:rsidR="00C878C0" w:rsidRPr="00F941E3">
        <w:rPr>
          <w:rFonts w:ascii="Arial" w:hAnsi="Arial" w:cs="Arial"/>
          <w:color w:val="000000" w:themeColor="text1"/>
          <w:sz w:val="24"/>
          <w:szCs w:val="24"/>
          <w:lang w:val="en-US"/>
        </w:rPr>
        <w:t>number of patients on long</w:t>
      </w:r>
      <w:r w:rsidRPr="00F941E3">
        <w:rPr>
          <w:rFonts w:ascii="Arial" w:hAnsi="Arial" w:cs="Arial"/>
          <w:color w:val="000000" w:themeColor="text1"/>
          <w:sz w:val="24"/>
          <w:szCs w:val="24"/>
          <w:lang w:val="en-US"/>
        </w:rPr>
        <w:t>-term</w:t>
      </w:r>
      <w:r w:rsidR="00C878C0" w:rsidRPr="00F941E3">
        <w:rPr>
          <w:rFonts w:ascii="Arial" w:hAnsi="Arial" w:cs="Arial"/>
          <w:color w:val="000000" w:themeColor="text1"/>
          <w:sz w:val="24"/>
          <w:szCs w:val="24"/>
          <w:lang w:val="en-US"/>
        </w:rPr>
        <w:t xml:space="preserve"> sick leave by the total number of patients.</w:t>
      </w:r>
      <w:r w:rsidR="00343BA2" w:rsidRPr="00F941E3">
        <w:rPr>
          <w:rFonts w:ascii="Arial" w:hAnsi="Arial" w:cs="Arial"/>
          <w:color w:val="000000" w:themeColor="text1"/>
          <w:sz w:val="24"/>
          <w:szCs w:val="24"/>
          <w:lang w:val="en-US"/>
        </w:rPr>
        <w:t xml:space="preserve"> Finally, the </w:t>
      </w:r>
      <w:r w:rsidR="00C878C0" w:rsidRPr="00F941E3">
        <w:rPr>
          <w:rFonts w:ascii="Arial" w:hAnsi="Arial" w:cs="Arial"/>
          <w:color w:val="000000" w:themeColor="text1"/>
          <w:sz w:val="24"/>
          <w:szCs w:val="24"/>
          <w:lang w:val="en-US"/>
        </w:rPr>
        <w:t xml:space="preserve">association </w:t>
      </w:r>
      <w:r w:rsidR="008C67FB" w:rsidRPr="00F941E3">
        <w:rPr>
          <w:rFonts w:ascii="Arial" w:hAnsi="Arial" w:cs="Arial"/>
          <w:color w:val="000000" w:themeColor="text1"/>
          <w:sz w:val="24"/>
          <w:szCs w:val="24"/>
          <w:lang w:val="en-US"/>
        </w:rPr>
        <w:t xml:space="preserve">of demographic and clinical variables with long sick leave was analyzed using an adjusted logistic regression model. </w:t>
      </w:r>
      <w:r w:rsidRPr="00F941E3">
        <w:rPr>
          <w:rFonts w:ascii="Arial" w:hAnsi="Arial" w:cs="Arial"/>
          <w:color w:val="000000" w:themeColor="text1"/>
          <w:sz w:val="24"/>
          <w:szCs w:val="24"/>
          <w:lang w:val="en-US"/>
        </w:rPr>
        <w:t xml:space="preserve">The results </w:t>
      </w:r>
      <w:r w:rsidR="008C67FB" w:rsidRPr="00F941E3">
        <w:rPr>
          <w:rFonts w:ascii="Arial" w:hAnsi="Arial" w:cs="Arial"/>
          <w:color w:val="000000" w:themeColor="text1"/>
          <w:sz w:val="24"/>
          <w:szCs w:val="24"/>
          <w:lang w:val="en-US"/>
        </w:rPr>
        <w:t>are presented as odds ratio</w:t>
      </w:r>
      <w:r w:rsidR="007B153C" w:rsidRPr="00F941E3">
        <w:rPr>
          <w:rFonts w:ascii="Arial" w:hAnsi="Arial" w:cs="Arial"/>
          <w:color w:val="000000" w:themeColor="text1"/>
          <w:sz w:val="24"/>
          <w:szCs w:val="24"/>
          <w:lang w:val="en-US"/>
        </w:rPr>
        <w:t>s (O</w:t>
      </w:r>
      <w:r w:rsidR="004D5123" w:rsidRPr="00F941E3">
        <w:rPr>
          <w:rFonts w:ascii="Arial" w:hAnsi="Arial" w:cs="Arial"/>
          <w:color w:val="000000" w:themeColor="text1"/>
          <w:sz w:val="24"/>
          <w:szCs w:val="24"/>
          <w:lang w:val="en-US"/>
        </w:rPr>
        <w:t>R</w:t>
      </w:r>
      <w:r w:rsidR="007B153C" w:rsidRPr="00F941E3">
        <w:rPr>
          <w:rFonts w:ascii="Arial" w:hAnsi="Arial" w:cs="Arial"/>
          <w:color w:val="000000" w:themeColor="text1"/>
          <w:sz w:val="24"/>
          <w:szCs w:val="24"/>
          <w:lang w:val="en-US"/>
        </w:rPr>
        <w:t xml:space="preserve">s) and 95% confidence intervals (CIs). </w:t>
      </w:r>
      <w:r w:rsidR="00AB1FDE" w:rsidRPr="00F941E3">
        <w:rPr>
          <w:rFonts w:ascii="Arial" w:hAnsi="Arial" w:cs="Arial"/>
          <w:color w:val="000000" w:themeColor="text1"/>
          <w:sz w:val="24"/>
          <w:szCs w:val="24"/>
          <w:lang w:val="en-US"/>
        </w:rPr>
        <w:t xml:space="preserve">P-values </w:t>
      </w:r>
      <w:r w:rsidR="00AD26DA" w:rsidRPr="00F941E3">
        <w:rPr>
          <w:rFonts w:ascii="Arial" w:hAnsi="Arial" w:cs="Arial"/>
          <w:color w:val="000000" w:themeColor="text1"/>
          <w:sz w:val="24"/>
          <w:szCs w:val="24"/>
          <w:lang w:val="en-US"/>
        </w:rPr>
        <w:t xml:space="preserve">&lt; 0.05 </w:t>
      </w:r>
      <w:r w:rsidR="004819A0" w:rsidRPr="00F941E3">
        <w:rPr>
          <w:rFonts w:ascii="Arial" w:hAnsi="Arial" w:cs="Arial"/>
          <w:color w:val="000000" w:themeColor="text1"/>
          <w:sz w:val="24"/>
          <w:szCs w:val="24"/>
          <w:lang w:val="en-US"/>
        </w:rPr>
        <w:t xml:space="preserve">were considered statistically significant. </w:t>
      </w:r>
      <w:r w:rsidR="00C42EB7" w:rsidRPr="00F941E3">
        <w:rPr>
          <w:rFonts w:ascii="Arial" w:hAnsi="Arial" w:cs="Arial"/>
          <w:color w:val="000000" w:themeColor="text1"/>
          <w:sz w:val="24"/>
          <w:szCs w:val="24"/>
          <w:lang w:val="en-US"/>
        </w:rPr>
        <w:t xml:space="preserve">All analyses were performed using </w:t>
      </w:r>
      <w:r w:rsidR="00D07ED8" w:rsidRPr="00F941E3">
        <w:rPr>
          <w:rFonts w:ascii="Arial" w:hAnsi="Arial" w:cs="Arial"/>
          <w:color w:val="000000" w:themeColor="text1"/>
          <w:sz w:val="24"/>
          <w:szCs w:val="24"/>
          <w:lang w:val="en-US"/>
        </w:rPr>
        <w:t>SAS 9.4.</w:t>
      </w:r>
    </w:p>
    <w:p w14:paraId="6E8129F9" w14:textId="6C341AFC" w:rsidR="00D14EE3" w:rsidRPr="00F941E3" w:rsidRDefault="00D14EE3" w:rsidP="00BC4D0A">
      <w:pPr>
        <w:spacing w:line="480" w:lineRule="auto"/>
        <w:jc w:val="both"/>
        <w:rPr>
          <w:rFonts w:ascii="Arial" w:hAnsi="Arial" w:cs="Arial"/>
          <w:color w:val="000000" w:themeColor="text1"/>
          <w:sz w:val="24"/>
          <w:szCs w:val="24"/>
          <w:lang w:val="en-US"/>
        </w:rPr>
      </w:pPr>
    </w:p>
    <w:p w14:paraId="25FC142F" w14:textId="29042FFE" w:rsidR="00D14EE3" w:rsidRPr="00F941E3" w:rsidRDefault="00D14EE3" w:rsidP="006702BC">
      <w:pPr>
        <w:pStyle w:val="Heading1"/>
        <w:rPr>
          <w:lang w:val="en-US"/>
        </w:rPr>
      </w:pPr>
      <w:r w:rsidRPr="00F941E3">
        <w:rPr>
          <w:lang w:val="en-US"/>
        </w:rPr>
        <w:t xml:space="preserve">Results </w:t>
      </w:r>
    </w:p>
    <w:p w14:paraId="5B388B60" w14:textId="77777777" w:rsidR="00C10F42" w:rsidRPr="00F941E3" w:rsidRDefault="00C10F42" w:rsidP="00BC4D0A">
      <w:pPr>
        <w:spacing w:line="480" w:lineRule="auto"/>
        <w:jc w:val="both"/>
        <w:rPr>
          <w:rFonts w:ascii="Arial" w:hAnsi="Arial" w:cs="Arial"/>
          <w:color w:val="000000" w:themeColor="text1"/>
          <w:sz w:val="24"/>
          <w:szCs w:val="24"/>
          <w:lang w:val="en-US"/>
        </w:rPr>
      </w:pPr>
    </w:p>
    <w:p w14:paraId="20B1EC55" w14:textId="29370DE1" w:rsidR="00D14EE3" w:rsidRPr="00F941E3" w:rsidRDefault="00C53FF9"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This study included a total of </w:t>
      </w:r>
      <w:r w:rsidR="00201753" w:rsidRPr="00F941E3">
        <w:rPr>
          <w:rFonts w:ascii="Arial" w:hAnsi="Arial" w:cs="Arial"/>
          <w:color w:val="000000" w:themeColor="text1"/>
          <w:sz w:val="24"/>
          <w:szCs w:val="24"/>
          <w:lang w:val="en-US"/>
        </w:rPr>
        <w:t xml:space="preserve">30,950 patients </w:t>
      </w:r>
      <w:r w:rsidR="00D93683" w:rsidRPr="00F941E3">
        <w:rPr>
          <w:rFonts w:ascii="Arial" w:hAnsi="Arial" w:cs="Arial"/>
          <w:color w:val="000000" w:themeColor="text1"/>
          <w:sz w:val="24"/>
          <w:szCs w:val="24"/>
          <w:lang w:val="en-US"/>
        </w:rPr>
        <w:t>diagnosed with COVID-19</w:t>
      </w:r>
      <w:r w:rsidR="00201753" w:rsidRPr="00F941E3">
        <w:rPr>
          <w:rFonts w:ascii="Arial" w:hAnsi="Arial" w:cs="Arial"/>
          <w:color w:val="000000" w:themeColor="text1"/>
          <w:sz w:val="24"/>
          <w:szCs w:val="24"/>
          <w:lang w:val="en-US"/>
        </w:rPr>
        <w:t xml:space="preserve">. </w:t>
      </w:r>
      <w:r w:rsidR="00CE7E08" w:rsidRPr="00F941E3">
        <w:rPr>
          <w:rFonts w:ascii="Arial" w:hAnsi="Arial" w:cs="Arial"/>
          <w:color w:val="000000" w:themeColor="text1"/>
          <w:sz w:val="24"/>
          <w:szCs w:val="24"/>
          <w:lang w:val="en-US"/>
        </w:rPr>
        <w:t xml:space="preserve">There were </w:t>
      </w:r>
      <w:r w:rsidR="003F7019" w:rsidRPr="00F941E3">
        <w:rPr>
          <w:rFonts w:ascii="Arial" w:hAnsi="Arial" w:cs="Arial"/>
          <w:color w:val="000000" w:themeColor="text1"/>
          <w:sz w:val="24"/>
          <w:szCs w:val="24"/>
          <w:lang w:val="en-US"/>
        </w:rPr>
        <w:t xml:space="preserve">51.7% of women, and </w:t>
      </w:r>
      <w:r w:rsidRPr="00F941E3">
        <w:rPr>
          <w:rFonts w:ascii="Arial" w:hAnsi="Arial" w:cs="Arial"/>
          <w:color w:val="000000" w:themeColor="text1"/>
          <w:sz w:val="24"/>
          <w:szCs w:val="24"/>
          <w:lang w:val="en-US"/>
        </w:rPr>
        <w:t xml:space="preserve">the </w:t>
      </w:r>
      <w:r w:rsidR="003F7019" w:rsidRPr="00F941E3">
        <w:rPr>
          <w:rFonts w:ascii="Arial" w:hAnsi="Arial" w:cs="Arial"/>
          <w:color w:val="000000" w:themeColor="text1"/>
          <w:sz w:val="24"/>
          <w:szCs w:val="24"/>
          <w:lang w:val="en-US"/>
        </w:rPr>
        <w:t xml:space="preserve">mean (standard deviation) age was </w:t>
      </w:r>
      <w:r w:rsidR="008E6C2E" w:rsidRPr="00F941E3">
        <w:rPr>
          <w:rFonts w:ascii="Arial" w:hAnsi="Arial" w:cs="Arial"/>
          <w:color w:val="000000" w:themeColor="text1"/>
          <w:sz w:val="24"/>
          <w:szCs w:val="24"/>
          <w:lang w:val="en-US"/>
        </w:rPr>
        <w:t>41.5 (</w:t>
      </w:r>
      <w:r w:rsidR="005D7FF6" w:rsidRPr="00F941E3">
        <w:rPr>
          <w:rFonts w:ascii="Arial" w:hAnsi="Arial" w:cs="Arial"/>
          <w:color w:val="000000" w:themeColor="text1"/>
          <w:sz w:val="24"/>
          <w:szCs w:val="24"/>
          <w:lang w:val="en-US"/>
        </w:rPr>
        <w:t>13.0) years (</w:t>
      </w:r>
      <w:r w:rsidR="00C10F42" w:rsidRPr="00F941E3">
        <w:rPr>
          <w:rFonts w:ascii="Arial" w:hAnsi="Arial" w:cs="Arial"/>
          <w:b/>
          <w:bCs/>
          <w:color w:val="000000" w:themeColor="text1"/>
          <w:sz w:val="24"/>
          <w:szCs w:val="24"/>
          <w:lang w:val="en-US"/>
        </w:rPr>
        <w:t>Table 1</w:t>
      </w:r>
      <w:r w:rsidR="00C10F42" w:rsidRPr="00F941E3">
        <w:rPr>
          <w:rFonts w:ascii="Arial" w:hAnsi="Arial" w:cs="Arial"/>
          <w:color w:val="000000" w:themeColor="text1"/>
          <w:sz w:val="24"/>
          <w:szCs w:val="24"/>
          <w:lang w:val="en-US"/>
        </w:rPr>
        <w:t xml:space="preserve">). </w:t>
      </w:r>
      <w:r w:rsidRPr="00F941E3">
        <w:rPr>
          <w:rFonts w:ascii="Arial" w:hAnsi="Arial" w:cs="Arial"/>
          <w:color w:val="000000" w:themeColor="text1"/>
          <w:sz w:val="24"/>
          <w:szCs w:val="24"/>
          <w:lang w:val="en-US"/>
        </w:rPr>
        <w:t xml:space="preserve">The most common </w:t>
      </w:r>
      <w:r w:rsidR="00D93683" w:rsidRPr="00F941E3">
        <w:rPr>
          <w:rFonts w:ascii="Arial" w:hAnsi="Arial" w:cs="Arial"/>
          <w:color w:val="000000" w:themeColor="text1"/>
          <w:sz w:val="24"/>
          <w:szCs w:val="24"/>
          <w:lang w:val="en-US"/>
        </w:rPr>
        <w:t xml:space="preserve">conditions were </w:t>
      </w:r>
      <w:r w:rsidR="00892C2C" w:rsidRPr="00F941E3">
        <w:rPr>
          <w:rFonts w:ascii="Arial" w:hAnsi="Arial" w:cs="Arial"/>
          <w:color w:val="000000" w:themeColor="text1"/>
          <w:sz w:val="24"/>
          <w:szCs w:val="24"/>
          <w:lang w:val="en-US"/>
        </w:rPr>
        <w:t xml:space="preserve">hypertension (13.5%), </w:t>
      </w:r>
      <w:r w:rsidR="005E7B7C" w:rsidRPr="00F941E3">
        <w:rPr>
          <w:rFonts w:ascii="Arial" w:hAnsi="Arial" w:cs="Arial"/>
          <w:color w:val="000000" w:themeColor="text1"/>
          <w:sz w:val="24"/>
          <w:szCs w:val="24"/>
          <w:lang w:val="en-US"/>
        </w:rPr>
        <w:t>depression (12.2%)</w:t>
      </w:r>
      <w:r w:rsidR="00CA0884" w:rsidRPr="00F941E3">
        <w:rPr>
          <w:rFonts w:ascii="Arial" w:hAnsi="Arial" w:cs="Arial"/>
          <w:color w:val="000000" w:themeColor="text1"/>
          <w:sz w:val="24"/>
          <w:szCs w:val="24"/>
          <w:lang w:val="en-US"/>
        </w:rPr>
        <w:t>,</w:t>
      </w:r>
      <w:r w:rsidR="005E7B7C" w:rsidRPr="00F941E3">
        <w:rPr>
          <w:rFonts w:ascii="Arial" w:hAnsi="Arial" w:cs="Arial"/>
          <w:color w:val="000000" w:themeColor="text1"/>
          <w:sz w:val="24"/>
          <w:szCs w:val="24"/>
          <w:lang w:val="en-US"/>
        </w:rPr>
        <w:t xml:space="preserve"> and </w:t>
      </w:r>
      <w:r w:rsidR="00CA0884" w:rsidRPr="00F941E3">
        <w:rPr>
          <w:rFonts w:ascii="Arial" w:hAnsi="Arial" w:cs="Arial"/>
          <w:color w:val="000000" w:themeColor="text1"/>
          <w:sz w:val="24"/>
          <w:szCs w:val="24"/>
          <w:lang w:val="en-US"/>
        </w:rPr>
        <w:t xml:space="preserve">gastritis and duodenitis </w:t>
      </w:r>
      <w:r w:rsidR="008B0145" w:rsidRPr="00F941E3">
        <w:rPr>
          <w:rFonts w:ascii="Arial" w:hAnsi="Arial" w:cs="Arial"/>
          <w:color w:val="000000" w:themeColor="text1"/>
          <w:sz w:val="24"/>
          <w:szCs w:val="24"/>
          <w:lang w:val="en-US"/>
        </w:rPr>
        <w:t>(11.7%). The prevalence of long</w:t>
      </w:r>
      <w:r w:rsidRPr="00F941E3">
        <w:rPr>
          <w:rFonts w:ascii="Arial" w:hAnsi="Arial" w:cs="Arial"/>
          <w:color w:val="000000" w:themeColor="text1"/>
          <w:sz w:val="24"/>
          <w:szCs w:val="24"/>
          <w:lang w:val="en-US"/>
        </w:rPr>
        <w:t>-term</w:t>
      </w:r>
      <w:r w:rsidR="008B0145" w:rsidRPr="00F941E3">
        <w:rPr>
          <w:rFonts w:ascii="Arial" w:hAnsi="Arial" w:cs="Arial"/>
          <w:color w:val="000000" w:themeColor="text1"/>
          <w:sz w:val="24"/>
          <w:szCs w:val="24"/>
          <w:lang w:val="en-US"/>
        </w:rPr>
        <w:t xml:space="preserve"> sick leave (i.e., sick leave lasting at least four weeks) was </w:t>
      </w:r>
      <w:r w:rsidR="00662E32" w:rsidRPr="00F941E3">
        <w:rPr>
          <w:rFonts w:ascii="Arial" w:hAnsi="Arial" w:cs="Arial"/>
          <w:color w:val="000000" w:themeColor="text1"/>
          <w:sz w:val="24"/>
          <w:szCs w:val="24"/>
          <w:lang w:val="en-US"/>
        </w:rPr>
        <w:t>5.8%</w:t>
      </w:r>
      <w:r w:rsidR="005A009F" w:rsidRPr="00F941E3">
        <w:rPr>
          <w:rFonts w:ascii="Arial" w:hAnsi="Arial" w:cs="Arial"/>
          <w:color w:val="000000" w:themeColor="text1"/>
          <w:sz w:val="24"/>
          <w:szCs w:val="24"/>
          <w:lang w:val="en-US"/>
        </w:rPr>
        <w:t xml:space="preserve"> in the overall sample. Finally, </w:t>
      </w:r>
      <w:r w:rsidR="003F25EE" w:rsidRPr="00F941E3">
        <w:rPr>
          <w:rFonts w:ascii="Arial" w:hAnsi="Arial" w:cs="Arial"/>
          <w:color w:val="000000" w:themeColor="text1"/>
          <w:sz w:val="24"/>
          <w:szCs w:val="24"/>
          <w:lang w:val="en-US"/>
        </w:rPr>
        <w:t>the</w:t>
      </w:r>
      <w:r w:rsidR="00662E32" w:rsidRPr="00F941E3">
        <w:rPr>
          <w:rFonts w:ascii="Arial" w:hAnsi="Arial" w:cs="Arial"/>
          <w:color w:val="000000" w:themeColor="text1"/>
          <w:sz w:val="24"/>
          <w:szCs w:val="24"/>
          <w:lang w:val="en-US"/>
        </w:rPr>
        <w:t xml:space="preserve"> results of the adjusted logistic regression analysis are displayed in </w:t>
      </w:r>
      <w:r w:rsidR="00662E32" w:rsidRPr="00F941E3">
        <w:rPr>
          <w:rFonts w:ascii="Arial" w:hAnsi="Arial" w:cs="Arial"/>
          <w:b/>
          <w:bCs/>
          <w:color w:val="000000" w:themeColor="text1"/>
          <w:sz w:val="24"/>
          <w:szCs w:val="24"/>
          <w:lang w:val="en-US"/>
        </w:rPr>
        <w:t>Table 2</w:t>
      </w:r>
      <w:r w:rsidR="00662E32" w:rsidRPr="00F941E3">
        <w:rPr>
          <w:rFonts w:ascii="Arial" w:hAnsi="Arial" w:cs="Arial"/>
          <w:color w:val="000000" w:themeColor="text1"/>
          <w:sz w:val="24"/>
          <w:szCs w:val="24"/>
          <w:lang w:val="en-US"/>
        </w:rPr>
        <w:t>.</w:t>
      </w:r>
      <w:r w:rsidR="002F24ED" w:rsidRPr="00F941E3">
        <w:rPr>
          <w:rFonts w:ascii="Arial" w:hAnsi="Arial" w:cs="Arial"/>
          <w:color w:val="000000" w:themeColor="text1"/>
          <w:sz w:val="24"/>
          <w:szCs w:val="24"/>
          <w:lang w:val="en-US"/>
        </w:rPr>
        <w:t xml:space="preserve"> In terms of demographic characteristics, </w:t>
      </w:r>
      <w:r w:rsidR="00BC236B" w:rsidRPr="00F941E3">
        <w:rPr>
          <w:rFonts w:ascii="Arial" w:hAnsi="Arial" w:cs="Arial"/>
          <w:color w:val="000000" w:themeColor="text1"/>
          <w:sz w:val="24"/>
          <w:szCs w:val="24"/>
          <w:lang w:val="en-US"/>
        </w:rPr>
        <w:t>female sex (</w:t>
      </w:r>
      <w:r w:rsidR="006A63FD" w:rsidRPr="00F941E3">
        <w:rPr>
          <w:rFonts w:ascii="Arial" w:hAnsi="Arial" w:cs="Arial"/>
          <w:color w:val="000000" w:themeColor="text1"/>
          <w:sz w:val="24"/>
          <w:szCs w:val="24"/>
          <w:lang w:val="en-US"/>
        </w:rPr>
        <w:t xml:space="preserve">OR = </w:t>
      </w:r>
      <w:r w:rsidR="006F1DF9" w:rsidRPr="00F941E3">
        <w:rPr>
          <w:rFonts w:ascii="Arial" w:hAnsi="Arial" w:cs="Arial"/>
          <w:color w:val="000000" w:themeColor="text1"/>
          <w:sz w:val="24"/>
          <w:szCs w:val="24"/>
          <w:lang w:val="en-US"/>
        </w:rPr>
        <w:t>1.19</w:t>
      </w:r>
      <w:r w:rsidR="0071027E" w:rsidRPr="00F941E3">
        <w:rPr>
          <w:rFonts w:ascii="Arial" w:hAnsi="Arial" w:cs="Arial"/>
          <w:color w:val="000000" w:themeColor="text1"/>
          <w:sz w:val="24"/>
          <w:szCs w:val="24"/>
          <w:lang w:val="en-US"/>
        </w:rPr>
        <w:t>; ma</w:t>
      </w:r>
      <w:r w:rsidR="0011671E" w:rsidRPr="00F941E3">
        <w:rPr>
          <w:rFonts w:ascii="Arial" w:hAnsi="Arial" w:cs="Arial"/>
          <w:color w:val="000000" w:themeColor="text1"/>
          <w:sz w:val="24"/>
          <w:szCs w:val="24"/>
          <w:lang w:val="en-US"/>
        </w:rPr>
        <w:t>le</w:t>
      </w:r>
      <w:r w:rsidR="0071027E" w:rsidRPr="00F941E3">
        <w:rPr>
          <w:rFonts w:ascii="Arial" w:hAnsi="Arial" w:cs="Arial"/>
          <w:color w:val="000000" w:themeColor="text1"/>
          <w:sz w:val="24"/>
          <w:szCs w:val="24"/>
          <w:lang w:val="en-US"/>
        </w:rPr>
        <w:t xml:space="preserve"> sex: reference) </w:t>
      </w:r>
      <w:r w:rsidR="00BC236B" w:rsidRPr="00F941E3">
        <w:rPr>
          <w:rFonts w:ascii="Arial" w:hAnsi="Arial" w:cs="Arial"/>
          <w:color w:val="000000" w:themeColor="text1"/>
          <w:sz w:val="24"/>
          <w:szCs w:val="24"/>
          <w:lang w:val="en-US"/>
        </w:rPr>
        <w:t>and older age</w:t>
      </w:r>
      <w:r w:rsidR="0071027E" w:rsidRPr="00F941E3">
        <w:rPr>
          <w:rFonts w:ascii="Arial" w:hAnsi="Arial" w:cs="Arial"/>
          <w:color w:val="000000" w:themeColor="text1"/>
          <w:sz w:val="24"/>
          <w:szCs w:val="24"/>
          <w:lang w:val="en-US"/>
        </w:rPr>
        <w:t xml:space="preserve"> (</w:t>
      </w:r>
      <w:r w:rsidR="002202EA" w:rsidRPr="00F941E3">
        <w:rPr>
          <w:rFonts w:ascii="Arial" w:hAnsi="Arial" w:cs="Arial"/>
          <w:color w:val="000000" w:themeColor="text1"/>
          <w:sz w:val="24"/>
          <w:szCs w:val="24"/>
          <w:lang w:val="en-US"/>
        </w:rPr>
        <w:t>36-45 years: OR = 1.84</w:t>
      </w:r>
      <w:r w:rsidR="00CA4FF1" w:rsidRPr="00F941E3">
        <w:rPr>
          <w:rFonts w:ascii="Arial" w:hAnsi="Arial" w:cs="Arial"/>
          <w:color w:val="000000" w:themeColor="text1"/>
          <w:sz w:val="24"/>
          <w:szCs w:val="24"/>
          <w:lang w:val="en-US"/>
        </w:rPr>
        <w:t xml:space="preserve">; </w:t>
      </w:r>
      <w:r w:rsidR="00C91164" w:rsidRPr="00F941E3">
        <w:rPr>
          <w:rFonts w:ascii="Arial" w:hAnsi="Arial" w:cs="Arial"/>
          <w:color w:val="000000" w:themeColor="text1"/>
          <w:sz w:val="24"/>
          <w:szCs w:val="24"/>
          <w:lang w:val="en-US"/>
        </w:rPr>
        <w:t xml:space="preserve">46-55 years: OR = 2.68; </w:t>
      </w:r>
      <w:r w:rsidR="008B0F2E" w:rsidRPr="00F941E3">
        <w:rPr>
          <w:rFonts w:ascii="Arial" w:hAnsi="Arial" w:cs="Arial"/>
          <w:color w:val="000000" w:themeColor="text1"/>
          <w:sz w:val="24"/>
          <w:szCs w:val="24"/>
          <w:lang w:val="en-US"/>
        </w:rPr>
        <w:t xml:space="preserve">56-65 years: OR = </w:t>
      </w:r>
      <w:r w:rsidR="00B94440" w:rsidRPr="00F941E3">
        <w:rPr>
          <w:rFonts w:ascii="Arial" w:hAnsi="Arial" w:cs="Arial"/>
          <w:color w:val="000000" w:themeColor="text1"/>
          <w:sz w:val="24"/>
          <w:szCs w:val="24"/>
          <w:lang w:val="en-US"/>
        </w:rPr>
        <w:t>3.71; 18-</w:t>
      </w:r>
      <w:r w:rsidR="003F4681" w:rsidRPr="00F941E3">
        <w:rPr>
          <w:rFonts w:ascii="Arial" w:hAnsi="Arial" w:cs="Arial"/>
          <w:color w:val="000000" w:themeColor="text1"/>
          <w:sz w:val="24"/>
          <w:szCs w:val="24"/>
          <w:lang w:val="en-US"/>
        </w:rPr>
        <w:t>25</w:t>
      </w:r>
      <w:r w:rsidR="00B94440" w:rsidRPr="00F941E3">
        <w:rPr>
          <w:rFonts w:ascii="Arial" w:hAnsi="Arial" w:cs="Arial"/>
          <w:color w:val="000000" w:themeColor="text1"/>
          <w:sz w:val="24"/>
          <w:szCs w:val="24"/>
          <w:lang w:val="en-US"/>
        </w:rPr>
        <w:t xml:space="preserve"> years: </w:t>
      </w:r>
      <w:r w:rsidR="00B94440" w:rsidRPr="00F941E3">
        <w:rPr>
          <w:rFonts w:ascii="Arial" w:hAnsi="Arial" w:cs="Arial"/>
          <w:color w:val="000000" w:themeColor="text1"/>
          <w:sz w:val="24"/>
          <w:szCs w:val="24"/>
          <w:lang w:val="en-US"/>
        </w:rPr>
        <w:lastRenderedPageBreak/>
        <w:t xml:space="preserve">reference) </w:t>
      </w:r>
      <w:r w:rsidR="00BC236B" w:rsidRPr="00F941E3">
        <w:rPr>
          <w:rFonts w:ascii="Arial" w:hAnsi="Arial" w:cs="Arial"/>
          <w:color w:val="000000" w:themeColor="text1"/>
          <w:sz w:val="24"/>
          <w:szCs w:val="24"/>
          <w:lang w:val="en-US"/>
        </w:rPr>
        <w:t xml:space="preserve">were positively and significantly associated with the odds of </w:t>
      </w:r>
      <w:r w:rsidR="004E0450" w:rsidRPr="00F941E3">
        <w:rPr>
          <w:rFonts w:ascii="Arial" w:hAnsi="Arial" w:cs="Arial"/>
          <w:color w:val="000000" w:themeColor="text1"/>
          <w:sz w:val="24"/>
          <w:szCs w:val="24"/>
          <w:lang w:val="en-US"/>
        </w:rPr>
        <w:t>taking</w:t>
      </w:r>
      <w:r w:rsidR="00BC236B" w:rsidRPr="00F941E3">
        <w:rPr>
          <w:rFonts w:ascii="Arial" w:hAnsi="Arial" w:cs="Arial"/>
          <w:color w:val="000000" w:themeColor="text1"/>
          <w:sz w:val="24"/>
          <w:szCs w:val="24"/>
          <w:lang w:val="en-US"/>
        </w:rPr>
        <w:t xml:space="preserve"> long</w:t>
      </w:r>
      <w:r w:rsidRPr="00F941E3">
        <w:rPr>
          <w:rFonts w:ascii="Arial" w:hAnsi="Arial" w:cs="Arial"/>
          <w:color w:val="000000" w:themeColor="text1"/>
          <w:sz w:val="24"/>
          <w:szCs w:val="24"/>
          <w:lang w:val="en-US"/>
        </w:rPr>
        <w:t>-term</w:t>
      </w:r>
      <w:r w:rsidR="00BC236B" w:rsidRPr="00F941E3">
        <w:rPr>
          <w:rFonts w:ascii="Arial" w:hAnsi="Arial" w:cs="Arial"/>
          <w:color w:val="000000" w:themeColor="text1"/>
          <w:sz w:val="24"/>
          <w:szCs w:val="24"/>
          <w:lang w:val="en-US"/>
        </w:rPr>
        <w:t xml:space="preserve"> sick leave</w:t>
      </w:r>
      <w:r w:rsidR="00563C80" w:rsidRPr="00F941E3">
        <w:rPr>
          <w:rFonts w:ascii="Arial" w:hAnsi="Arial" w:cs="Arial"/>
          <w:color w:val="000000" w:themeColor="text1"/>
          <w:sz w:val="24"/>
          <w:szCs w:val="24"/>
          <w:lang w:val="en-US"/>
        </w:rPr>
        <w:t xml:space="preserve">. </w:t>
      </w:r>
      <w:r w:rsidR="00D17A3D" w:rsidRPr="00F941E3">
        <w:rPr>
          <w:rFonts w:ascii="Arial" w:hAnsi="Arial" w:cs="Arial"/>
          <w:color w:val="000000" w:themeColor="text1"/>
          <w:sz w:val="24"/>
          <w:szCs w:val="24"/>
          <w:lang w:val="en-US"/>
        </w:rPr>
        <w:t xml:space="preserve">In terms of clinical </w:t>
      </w:r>
      <w:r w:rsidR="003D528D" w:rsidRPr="00F941E3">
        <w:rPr>
          <w:rFonts w:ascii="Arial" w:hAnsi="Arial" w:cs="Arial"/>
          <w:color w:val="000000" w:themeColor="text1"/>
          <w:sz w:val="24"/>
          <w:szCs w:val="24"/>
          <w:lang w:val="en-US"/>
        </w:rPr>
        <w:t xml:space="preserve">characteristics, </w:t>
      </w:r>
      <w:r w:rsidR="000B1A65" w:rsidRPr="00F941E3">
        <w:rPr>
          <w:rFonts w:ascii="Arial" w:hAnsi="Arial" w:cs="Arial"/>
          <w:color w:val="000000" w:themeColor="text1"/>
          <w:sz w:val="24"/>
          <w:szCs w:val="24"/>
          <w:lang w:val="en-US"/>
        </w:rPr>
        <w:t xml:space="preserve">there was a significant relationship </w:t>
      </w:r>
      <w:r w:rsidRPr="00F941E3">
        <w:rPr>
          <w:rFonts w:ascii="Arial" w:hAnsi="Arial" w:cs="Arial"/>
          <w:color w:val="000000" w:themeColor="text1"/>
          <w:sz w:val="24"/>
          <w:szCs w:val="24"/>
          <w:lang w:val="en-US"/>
        </w:rPr>
        <w:t xml:space="preserve">between </w:t>
      </w:r>
      <w:r w:rsidR="000B1A65" w:rsidRPr="00F941E3">
        <w:rPr>
          <w:rFonts w:ascii="Arial" w:hAnsi="Arial" w:cs="Arial"/>
          <w:color w:val="000000" w:themeColor="text1"/>
          <w:sz w:val="24"/>
          <w:szCs w:val="24"/>
          <w:lang w:val="en-US"/>
        </w:rPr>
        <w:t xml:space="preserve">long sick leave </w:t>
      </w:r>
      <w:r w:rsidRPr="00F941E3">
        <w:rPr>
          <w:rFonts w:ascii="Arial" w:hAnsi="Arial" w:cs="Arial"/>
          <w:color w:val="000000" w:themeColor="text1"/>
          <w:sz w:val="24"/>
          <w:szCs w:val="24"/>
          <w:lang w:val="en-US"/>
        </w:rPr>
        <w:t xml:space="preserve">and </w:t>
      </w:r>
      <w:r w:rsidR="00AB0D42" w:rsidRPr="00F941E3">
        <w:rPr>
          <w:rFonts w:ascii="Arial" w:hAnsi="Arial" w:cs="Arial"/>
          <w:color w:val="000000" w:themeColor="text1"/>
          <w:sz w:val="24"/>
          <w:szCs w:val="24"/>
          <w:lang w:val="en-US"/>
        </w:rPr>
        <w:t xml:space="preserve">noninfective enteritis and colitis (OR = </w:t>
      </w:r>
      <w:r w:rsidR="00A50D4E" w:rsidRPr="00F941E3">
        <w:rPr>
          <w:rFonts w:ascii="Arial" w:hAnsi="Arial" w:cs="Arial"/>
          <w:color w:val="000000" w:themeColor="text1"/>
          <w:sz w:val="24"/>
          <w:szCs w:val="24"/>
          <w:lang w:val="en-US"/>
        </w:rPr>
        <w:t xml:space="preserve">2.02), </w:t>
      </w:r>
      <w:r w:rsidR="00084CD7" w:rsidRPr="00F941E3">
        <w:rPr>
          <w:rFonts w:ascii="Arial" w:hAnsi="Arial" w:cs="Arial"/>
          <w:color w:val="000000" w:themeColor="text1"/>
          <w:sz w:val="24"/>
          <w:szCs w:val="24"/>
          <w:lang w:val="en-US"/>
        </w:rPr>
        <w:t xml:space="preserve">reaction to severe stress, and adjustment disorders (OR = </w:t>
      </w:r>
      <w:r w:rsidR="00083C55" w:rsidRPr="00F941E3">
        <w:rPr>
          <w:rFonts w:ascii="Arial" w:hAnsi="Arial" w:cs="Arial"/>
          <w:color w:val="000000" w:themeColor="text1"/>
          <w:sz w:val="24"/>
          <w:szCs w:val="24"/>
          <w:lang w:val="en-US"/>
        </w:rPr>
        <w:t>1.68)</w:t>
      </w:r>
      <w:r w:rsidR="0091309F" w:rsidRPr="00F941E3">
        <w:rPr>
          <w:rFonts w:ascii="Arial" w:hAnsi="Arial" w:cs="Arial"/>
          <w:color w:val="000000" w:themeColor="text1"/>
          <w:sz w:val="24"/>
          <w:szCs w:val="24"/>
          <w:lang w:val="en-US"/>
        </w:rPr>
        <w:t xml:space="preserve">, atopic dermatitis (OR = </w:t>
      </w:r>
      <w:r w:rsidR="003431D3" w:rsidRPr="00F941E3">
        <w:rPr>
          <w:rFonts w:ascii="Arial" w:hAnsi="Arial" w:cs="Arial"/>
          <w:color w:val="000000" w:themeColor="text1"/>
          <w:sz w:val="24"/>
          <w:szCs w:val="24"/>
          <w:lang w:val="en-US"/>
        </w:rPr>
        <w:t xml:space="preserve">1.27), </w:t>
      </w:r>
      <w:r w:rsidR="00AD1A94" w:rsidRPr="00F941E3">
        <w:rPr>
          <w:rFonts w:ascii="Arial" w:hAnsi="Arial" w:cs="Arial"/>
          <w:color w:val="000000" w:themeColor="text1"/>
          <w:sz w:val="24"/>
          <w:szCs w:val="24"/>
          <w:lang w:val="en-US"/>
        </w:rPr>
        <w:t xml:space="preserve">mononeuropathies (OR = 1.27), </w:t>
      </w:r>
      <w:r w:rsidR="00DB5226" w:rsidRPr="00F941E3">
        <w:rPr>
          <w:rFonts w:ascii="Arial" w:hAnsi="Arial" w:cs="Arial"/>
          <w:color w:val="000000" w:themeColor="text1"/>
          <w:sz w:val="24"/>
          <w:szCs w:val="24"/>
          <w:lang w:val="en-US"/>
        </w:rPr>
        <w:t>reflux diseases (OR =</w:t>
      </w:r>
      <w:r w:rsidR="005D4B68" w:rsidRPr="00F941E3">
        <w:rPr>
          <w:rFonts w:ascii="Arial" w:hAnsi="Arial" w:cs="Arial"/>
          <w:color w:val="000000" w:themeColor="text1"/>
          <w:sz w:val="24"/>
          <w:szCs w:val="24"/>
          <w:lang w:val="en-US"/>
        </w:rPr>
        <w:t xml:space="preserve"> 1.24), </w:t>
      </w:r>
      <w:r w:rsidR="00417D8D" w:rsidRPr="00F941E3">
        <w:rPr>
          <w:rFonts w:ascii="Arial" w:hAnsi="Arial" w:cs="Arial"/>
          <w:color w:val="000000" w:themeColor="text1"/>
          <w:sz w:val="24"/>
          <w:szCs w:val="24"/>
          <w:lang w:val="en-US"/>
        </w:rPr>
        <w:t xml:space="preserve">diabetes mellitus (OR = 1.21), and </w:t>
      </w:r>
      <w:r w:rsidR="00192CB1" w:rsidRPr="00F941E3">
        <w:rPr>
          <w:rFonts w:ascii="Arial" w:hAnsi="Arial" w:cs="Arial"/>
          <w:color w:val="000000" w:themeColor="text1"/>
          <w:sz w:val="24"/>
          <w:szCs w:val="24"/>
          <w:lang w:val="en-US"/>
        </w:rPr>
        <w:t xml:space="preserve">hypertension (OR = 1.19). </w:t>
      </w:r>
    </w:p>
    <w:p w14:paraId="3199779B" w14:textId="678E4E9F" w:rsidR="003A3602" w:rsidRPr="00F941E3" w:rsidRDefault="003A3602" w:rsidP="00BC4D0A">
      <w:pPr>
        <w:spacing w:line="480" w:lineRule="auto"/>
        <w:jc w:val="both"/>
        <w:rPr>
          <w:rFonts w:ascii="Arial" w:hAnsi="Arial" w:cs="Arial"/>
          <w:color w:val="000000" w:themeColor="text1"/>
          <w:sz w:val="24"/>
          <w:szCs w:val="24"/>
          <w:lang w:val="en-US"/>
        </w:rPr>
      </w:pPr>
    </w:p>
    <w:p w14:paraId="596B1761" w14:textId="09D7FDA9" w:rsidR="003A3602" w:rsidRPr="00F941E3" w:rsidRDefault="003A3602" w:rsidP="006702BC">
      <w:pPr>
        <w:pStyle w:val="Heading1"/>
        <w:rPr>
          <w:lang w:val="en-US"/>
        </w:rPr>
      </w:pPr>
      <w:r w:rsidRPr="00F941E3">
        <w:rPr>
          <w:lang w:val="en-US"/>
        </w:rPr>
        <w:t xml:space="preserve">Discussion </w:t>
      </w:r>
    </w:p>
    <w:p w14:paraId="3E2AE3E2" w14:textId="0E752461" w:rsidR="003A3602" w:rsidRPr="00F941E3" w:rsidRDefault="003A3602" w:rsidP="00BC4D0A">
      <w:pPr>
        <w:spacing w:line="480" w:lineRule="auto"/>
        <w:jc w:val="both"/>
        <w:rPr>
          <w:rFonts w:ascii="Arial" w:hAnsi="Arial" w:cs="Arial"/>
          <w:color w:val="000000" w:themeColor="text1"/>
          <w:sz w:val="24"/>
          <w:szCs w:val="24"/>
          <w:lang w:val="en-US"/>
        </w:rPr>
      </w:pPr>
    </w:p>
    <w:p w14:paraId="3F015775" w14:textId="6FD7C7EC" w:rsidR="003A3602" w:rsidRPr="00F941E3" w:rsidRDefault="003A3602" w:rsidP="006702BC">
      <w:pPr>
        <w:pStyle w:val="Heading2"/>
        <w:rPr>
          <w:lang w:val="en-US"/>
        </w:rPr>
      </w:pPr>
      <w:r w:rsidRPr="00F941E3">
        <w:rPr>
          <w:lang w:val="en-US"/>
        </w:rPr>
        <w:t xml:space="preserve">Main findings </w:t>
      </w:r>
    </w:p>
    <w:p w14:paraId="5BEBF96C" w14:textId="6B89FFDF" w:rsidR="003A3602" w:rsidRPr="00F941E3" w:rsidRDefault="00E27254"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This cross-sectional study including </w:t>
      </w:r>
      <w:r w:rsidR="007C55E5" w:rsidRPr="00F941E3">
        <w:rPr>
          <w:rFonts w:ascii="Arial" w:hAnsi="Arial" w:cs="Arial"/>
          <w:color w:val="000000" w:themeColor="text1"/>
          <w:sz w:val="24"/>
          <w:szCs w:val="24"/>
          <w:lang w:val="en-US"/>
        </w:rPr>
        <w:t xml:space="preserve">almost 31,000 patients with COVID-19 from </w:t>
      </w:r>
      <w:r w:rsidR="008418BA" w:rsidRPr="00F941E3">
        <w:rPr>
          <w:rFonts w:ascii="Arial" w:hAnsi="Arial" w:cs="Arial"/>
          <w:color w:val="000000" w:themeColor="text1"/>
          <w:sz w:val="24"/>
          <w:szCs w:val="24"/>
          <w:lang w:val="en-US"/>
        </w:rPr>
        <w:t xml:space="preserve">more than 1,250 </w:t>
      </w:r>
      <w:r w:rsidR="007C55E5" w:rsidRPr="00F941E3">
        <w:rPr>
          <w:rFonts w:ascii="Arial" w:hAnsi="Arial" w:cs="Arial"/>
          <w:color w:val="000000" w:themeColor="text1"/>
          <w:sz w:val="24"/>
          <w:szCs w:val="24"/>
          <w:lang w:val="en-US"/>
        </w:rPr>
        <w:t xml:space="preserve">general practices in Germany </w:t>
      </w:r>
      <w:r w:rsidR="008418BA" w:rsidRPr="00F941E3">
        <w:rPr>
          <w:rFonts w:ascii="Arial" w:hAnsi="Arial" w:cs="Arial"/>
          <w:color w:val="000000" w:themeColor="text1"/>
          <w:sz w:val="24"/>
          <w:szCs w:val="24"/>
          <w:lang w:val="en-US"/>
        </w:rPr>
        <w:t xml:space="preserve">showed that </w:t>
      </w:r>
      <w:r w:rsidR="00A142BC" w:rsidRPr="00F941E3">
        <w:rPr>
          <w:rFonts w:ascii="Arial" w:hAnsi="Arial" w:cs="Arial"/>
          <w:color w:val="000000" w:themeColor="text1"/>
          <w:sz w:val="24"/>
          <w:szCs w:val="24"/>
          <w:lang w:val="en-US"/>
        </w:rPr>
        <w:t>5.</w:t>
      </w:r>
      <w:r w:rsidR="00D33856" w:rsidRPr="00F941E3">
        <w:rPr>
          <w:rFonts w:ascii="Arial" w:hAnsi="Arial" w:cs="Arial"/>
          <w:color w:val="000000" w:themeColor="text1"/>
          <w:sz w:val="24"/>
          <w:szCs w:val="24"/>
          <w:lang w:val="en-US"/>
        </w:rPr>
        <w:t>8</w:t>
      </w:r>
      <w:r w:rsidR="00A142BC" w:rsidRPr="00F941E3">
        <w:rPr>
          <w:rFonts w:ascii="Arial" w:hAnsi="Arial" w:cs="Arial"/>
          <w:color w:val="000000" w:themeColor="text1"/>
          <w:sz w:val="24"/>
          <w:szCs w:val="24"/>
          <w:lang w:val="en-US"/>
        </w:rPr>
        <w:t xml:space="preserve">% of </w:t>
      </w:r>
      <w:r w:rsidR="00C53FF9" w:rsidRPr="00F941E3">
        <w:rPr>
          <w:rFonts w:ascii="Arial" w:hAnsi="Arial" w:cs="Arial"/>
          <w:color w:val="000000" w:themeColor="text1"/>
          <w:sz w:val="24"/>
          <w:szCs w:val="24"/>
          <w:lang w:val="en-US"/>
        </w:rPr>
        <w:t xml:space="preserve">patients </w:t>
      </w:r>
      <w:r w:rsidR="00324696" w:rsidRPr="00F941E3">
        <w:rPr>
          <w:rFonts w:ascii="Arial" w:hAnsi="Arial" w:cs="Arial"/>
          <w:color w:val="000000" w:themeColor="text1"/>
          <w:sz w:val="24"/>
          <w:szCs w:val="24"/>
          <w:lang w:val="en-US"/>
        </w:rPr>
        <w:t>were on long</w:t>
      </w:r>
      <w:r w:rsidR="00C53FF9" w:rsidRPr="00F941E3">
        <w:rPr>
          <w:rFonts w:ascii="Arial" w:hAnsi="Arial" w:cs="Arial"/>
          <w:color w:val="000000" w:themeColor="text1"/>
          <w:sz w:val="24"/>
          <w:szCs w:val="24"/>
          <w:lang w:val="en-US"/>
        </w:rPr>
        <w:t>-term</w:t>
      </w:r>
      <w:r w:rsidR="00324696" w:rsidRPr="00F941E3">
        <w:rPr>
          <w:rFonts w:ascii="Arial" w:hAnsi="Arial" w:cs="Arial"/>
          <w:color w:val="000000" w:themeColor="text1"/>
          <w:sz w:val="24"/>
          <w:szCs w:val="24"/>
          <w:lang w:val="en-US"/>
        </w:rPr>
        <w:t xml:space="preserve"> sick leave </w:t>
      </w:r>
      <w:r w:rsidR="00F77D4B" w:rsidRPr="00F941E3">
        <w:rPr>
          <w:rFonts w:ascii="Arial" w:hAnsi="Arial" w:cs="Arial"/>
          <w:color w:val="000000" w:themeColor="text1"/>
          <w:sz w:val="24"/>
          <w:szCs w:val="24"/>
          <w:lang w:val="en-US"/>
        </w:rPr>
        <w:t xml:space="preserve">between March 2020 and February 2021. </w:t>
      </w:r>
      <w:r w:rsidR="00C62559" w:rsidRPr="00F941E3">
        <w:rPr>
          <w:rFonts w:ascii="Arial" w:hAnsi="Arial" w:cs="Arial"/>
          <w:color w:val="000000" w:themeColor="text1"/>
          <w:sz w:val="24"/>
          <w:szCs w:val="24"/>
          <w:lang w:val="en-US"/>
        </w:rPr>
        <w:t xml:space="preserve">It was </w:t>
      </w:r>
      <w:r w:rsidR="00C53FF9" w:rsidRPr="00F941E3">
        <w:rPr>
          <w:rFonts w:ascii="Arial" w:hAnsi="Arial" w:cs="Arial"/>
          <w:color w:val="000000" w:themeColor="text1"/>
          <w:sz w:val="24"/>
          <w:szCs w:val="24"/>
          <w:lang w:val="en-US"/>
        </w:rPr>
        <w:t xml:space="preserve">also </w:t>
      </w:r>
      <w:r w:rsidR="00C62559" w:rsidRPr="00F941E3">
        <w:rPr>
          <w:rFonts w:ascii="Arial" w:hAnsi="Arial" w:cs="Arial"/>
          <w:color w:val="000000" w:themeColor="text1"/>
          <w:sz w:val="24"/>
          <w:szCs w:val="24"/>
          <w:lang w:val="en-US"/>
        </w:rPr>
        <w:t xml:space="preserve">observed that female sex, older </w:t>
      </w:r>
      <w:r w:rsidR="00C141C6" w:rsidRPr="00F941E3">
        <w:rPr>
          <w:rFonts w:ascii="Arial" w:hAnsi="Arial" w:cs="Arial"/>
          <w:color w:val="000000" w:themeColor="text1"/>
          <w:sz w:val="24"/>
          <w:szCs w:val="24"/>
          <w:lang w:val="en-US"/>
        </w:rPr>
        <w:t>age</w:t>
      </w:r>
      <w:r w:rsidR="00D838B1" w:rsidRPr="00F941E3">
        <w:rPr>
          <w:rFonts w:ascii="Arial" w:hAnsi="Arial" w:cs="Arial"/>
          <w:color w:val="000000" w:themeColor="text1"/>
          <w:sz w:val="24"/>
          <w:szCs w:val="24"/>
          <w:lang w:val="en-US"/>
        </w:rPr>
        <w:t>,</w:t>
      </w:r>
      <w:r w:rsidR="00C141C6" w:rsidRPr="00F941E3">
        <w:rPr>
          <w:rFonts w:ascii="Arial" w:hAnsi="Arial" w:cs="Arial"/>
          <w:color w:val="000000" w:themeColor="text1"/>
          <w:sz w:val="24"/>
          <w:szCs w:val="24"/>
          <w:lang w:val="en-US"/>
        </w:rPr>
        <w:t xml:space="preserve"> </w:t>
      </w:r>
      <w:r w:rsidR="00C62559" w:rsidRPr="00F941E3">
        <w:rPr>
          <w:rFonts w:ascii="Arial" w:hAnsi="Arial" w:cs="Arial"/>
          <w:color w:val="000000" w:themeColor="text1"/>
          <w:sz w:val="24"/>
          <w:szCs w:val="24"/>
          <w:lang w:val="en-US"/>
        </w:rPr>
        <w:t xml:space="preserve">and several conditions </w:t>
      </w:r>
      <w:r w:rsidR="00873B7B" w:rsidRPr="00F941E3">
        <w:rPr>
          <w:rFonts w:ascii="Arial" w:hAnsi="Arial" w:cs="Arial"/>
          <w:color w:val="000000" w:themeColor="text1"/>
          <w:sz w:val="24"/>
          <w:szCs w:val="24"/>
          <w:lang w:val="en-US"/>
        </w:rPr>
        <w:t xml:space="preserve">(i.e., </w:t>
      </w:r>
      <w:r w:rsidR="00A1280B" w:rsidRPr="00F941E3">
        <w:rPr>
          <w:rFonts w:ascii="Arial" w:hAnsi="Arial" w:cs="Arial"/>
          <w:color w:val="000000" w:themeColor="text1"/>
          <w:sz w:val="24"/>
          <w:szCs w:val="24"/>
          <w:lang w:val="en-US"/>
        </w:rPr>
        <w:t>noninfec</w:t>
      </w:r>
      <w:r w:rsidR="00C106EC" w:rsidRPr="00F941E3">
        <w:rPr>
          <w:rFonts w:ascii="Arial" w:hAnsi="Arial" w:cs="Arial"/>
          <w:color w:val="000000" w:themeColor="text1"/>
          <w:sz w:val="24"/>
          <w:szCs w:val="24"/>
          <w:lang w:val="en-US"/>
        </w:rPr>
        <w:t xml:space="preserve">tive </w:t>
      </w:r>
      <w:r w:rsidR="00A65471" w:rsidRPr="00F941E3">
        <w:rPr>
          <w:rFonts w:ascii="Arial" w:hAnsi="Arial" w:cs="Arial"/>
          <w:color w:val="000000" w:themeColor="text1"/>
          <w:sz w:val="24"/>
          <w:szCs w:val="24"/>
          <w:lang w:val="en-US"/>
        </w:rPr>
        <w:t xml:space="preserve">enteritis and </w:t>
      </w:r>
      <w:r w:rsidR="00161BCA" w:rsidRPr="00F941E3">
        <w:rPr>
          <w:rFonts w:ascii="Arial" w:hAnsi="Arial" w:cs="Arial"/>
          <w:color w:val="000000" w:themeColor="text1"/>
          <w:sz w:val="24"/>
          <w:szCs w:val="24"/>
          <w:lang w:val="en-US"/>
        </w:rPr>
        <w:t xml:space="preserve">colitis, </w:t>
      </w:r>
      <w:r w:rsidR="00C141C6" w:rsidRPr="00F941E3">
        <w:rPr>
          <w:rFonts w:ascii="Arial" w:hAnsi="Arial" w:cs="Arial"/>
          <w:color w:val="000000" w:themeColor="text1"/>
          <w:sz w:val="24"/>
          <w:szCs w:val="24"/>
          <w:lang w:val="en-US"/>
        </w:rPr>
        <w:t xml:space="preserve">reaction </w:t>
      </w:r>
      <w:r w:rsidR="009739A9" w:rsidRPr="00F941E3">
        <w:rPr>
          <w:rFonts w:ascii="Arial" w:hAnsi="Arial" w:cs="Arial"/>
          <w:color w:val="000000" w:themeColor="text1"/>
          <w:sz w:val="24"/>
          <w:szCs w:val="24"/>
          <w:lang w:val="en-US"/>
        </w:rPr>
        <w:t xml:space="preserve">to severe stress, and </w:t>
      </w:r>
      <w:r w:rsidR="00FD3B7B" w:rsidRPr="00F941E3">
        <w:rPr>
          <w:rFonts w:ascii="Arial" w:hAnsi="Arial" w:cs="Arial"/>
          <w:color w:val="000000" w:themeColor="text1"/>
          <w:sz w:val="24"/>
          <w:szCs w:val="24"/>
          <w:lang w:val="en-US"/>
        </w:rPr>
        <w:t xml:space="preserve">adjustment disorders, </w:t>
      </w:r>
      <w:r w:rsidR="006014C2" w:rsidRPr="00F941E3">
        <w:rPr>
          <w:rFonts w:ascii="Arial" w:hAnsi="Arial" w:cs="Arial"/>
          <w:color w:val="000000" w:themeColor="text1"/>
          <w:sz w:val="24"/>
          <w:szCs w:val="24"/>
          <w:lang w:val="en-US"/>
        </w:rPr>
        <w:t xml:space="preserve">atopic dermatitis, </w:t>
      </w:r>
      <w:r w:rsidR="00C639C1" w:rsidRPr="00F941E3">
        <w:rPr>
          <w:rFonts w:ascii="Arial" w:hAnsi="Arial" w:cs="Arial"/>
          <w:color w:val="000000" w:themeColor="text1"/>
          <w:sz w:val="24"/>
          <w:szCs w:val="24"/>
          <w:lang w:val="en-US"/>
        </w:rPr>
        <w:t xml:space="preserve">mononeuropathies, </w:t>
      </w:r>
      <w:r w:rsidR="000943A9" w:rsidRPr="00F941E3">
        <w:rPr>
          <w:rFonts w:ascii="Arial" w:hAnsi="Arial" w:cs="Arial"/>
          <w:color w:val="000000" w:themeColor="text1"/>
          <w:sz w:val="24"/>
          <w:szCs w:val="24"/>
          <w:lang w:val="en-US"/>
        </w:rPr>
        <w:t xml:space="preserve">reflux diseases, </w:t>
      </w:r>
      <w:r w:rsidR="00957104" w:rsidRPr="00F941E3">
        <w:rPr>
          <w:rFonts w:ascii="Arial" w:hAnsi="Arial" w:cs="Arial"/>
          <w:color w:val="000000" w:themeColor="text1"/>
          <w:sz w:val="24"/>
          <w:szCs w:val="24"/>
          <w:lang w:val="en-US"/>
        </w:rPr>
        <w:t xml:space="preserve">diabetes mellitus, and </w:t>
      </w:r>
      <w:r w:rsidR="00291762" w:rsidRPr="00F941E3">
        <w:rPr>
          <w:rFonts w:ascii="Arial" w:hAnsi="Arial" w:cs="Arial"/>
          <w:color w:val="000000" w:themeColor="text1"/>
          <w:sz w:val="24"/>
          <w:szCs w:val="24"/>
          <w:lang w:val="en-US"/>
        </w:rPr>
        <w:t xml:space="preserve">hypertension) </w:t>
      </w:r>
      <w:r w:rsidR="00C62559" w:rsidRPr="00F941E3">
        <w:rPr>
          <w:rFonts w:ascii="Arial" w:hAnsi="Arial" w:cs="Arial"/>
          <w:color w:val="000000" w:themeColor="text1"/>
          <w:sz w:val="24"/>
          <w:szCs w:val="24"/>
          <w:lang w:val="en-US"/>
        </w:rPr>
        <w:t xml:space="preserve">were positively and significantly associated with </w:t>
      </w:r>
      <w:r w:rsidR="00873B7B" w:rsidRPr="00F941E3">
        <w:rPr>
          <w:rFonts w:ascii="Arial" w:hAnsi="Arial" w:cs="Arial"/>
          <w:color w:val="000000" w:themeColor="text1"/>
          <w:sz w:val="24"/>
          <w:szCs w:val="24"/>
          <w:lang w:val="en-US"/>
        </w:rPr>
        <w:t>the risk of long</w:t>
      </w:r>
      <w:r w:rsidR="00C53FF9" w:rsidRPr="00F941E3">
        <w:rPr>
          <w:rFonts w:ascii="Arial" w:hAnsi="Arial" w:cs="Arial"/>
          <w:color w:val="000000" w:themeColor="text1"/>
          <w:sz w:val="24"/>
          <w:szCs w:val="24"/>
          <w:lang w:val="en-US"/>
        </w:rPr>
        <w:t>-term</w:t>
      </w:r>
      <w:r w:rsidR="00873B7B" w:rsidRPr="00F941E3">
        <w:rPr>
          <w:rFonts w:ascii="Arial" w:hAnsi="Arial" w:cs="Arial"/>
          <w:color w:val="000000" w:themeColor="text1"/>
          <w:sz w:val="24"/>
          <w:szCs w:val="24"/>
          <w:lang w:val="en-US"/>
        </w:rPr>
        <w:t xml:space="preserve"> sick leave.</w:t>
      </w:r>
      <w:r w:rsidR="00291762" w:rsidRPr="00F941E3">
        <w:rPr>
          <w:rFonts w:ascii="Arial" w:hAnsi="Arial" w:cs="Arial"/>
          <w:color w:val="000000" w:themeColor="text1"/>
          <w:sz w:val="24"/>
          <w:szCs w:val="24"/>
          <w:lang w:val="en-US"/>
        </w:rPr>
        <w:t xml:space="preserve"> To the best of the knowledge of the authors, this </w:t>
      </w:r>
      <w:r w:rsidR="00202D85" w:rsidRPr="00F941E3">
        <w:rPr>
          <w:rFonts w:ascii="Arial" w:hAnsi="Arial" w:cs="Arial"/>
          <w:color w:val="000000" w:themeColor="text1"/>
          <w:sz w:val="24"/>
          <w:szCs w:val="24"/>
          <w:lang w:val="en-US"/>
        </w:rPr>
        <w:t>is one of the largest studies to have investigated the prevalence of long</w:t>
      </w:r>
      <w:r w:rsidR="00C53FF9" w:rsidRPr="00F941E3">
        <w:rPr>
          <w:rFonts w:ascii="Arial" w:hAnsi="Arial" w:cs="Arial"/>
          <w:color w:val="000000" w:themeColor="text1"/>
          <w:sz w:val="24"/>
          <w:szCs w:val="24"/>
          <w:lang w:val="en-US"/>
        </w:rPr>
        <w:t>-term</w:t>
      </w:r>
      <w:r w:rsidR="00202D85" w:rsidRPr="00F941E3">
        <w:rPr>
          <w:rFonts w:ascii="Arial" w:hAnsi="Arial" w:cs="Arial"/>
          <w:color w:val="000000" w:themeColor="text1"/>
          <w:sz w:val="24"/>
          <w:szCs w:val="24"/>
          <w:lang w:val="en-US"/>
        </w:rPr>
        <w:t xml:space="preserve"> sick leave in </w:t>
      </w:r>
      <w:r w:rsidR="007571ED" w:rsidRPr="00F941E3">
        <w:rPr>
          <w:rFonts w:ascii="Arial" w:hAnsi="Arial" w:cs="Arial"/>
          <w:color w:val="000000" w:themeColor="text1"/>
          <w:sz w:val="24"/>
          <w:szCs w:val="24"/>
          <w:lang w:val="en-US"/>
        </w:rPr>
        <w:t>people affected by the COVID-19.</w:t>
      </w:r>
    </w:p>
    <w:p w14:paraId="26D29F97" w14:textId="79412C92" w:rsidR="007571ED" w:rsidRPr="00F941E3" w:rsidRDefault="007571ED" w:rsidP="00BC4D0A">
      <w:pPr>
        <w:spacing w:line="480" w:lineRule="auto"/>
        <w:jc w:val="both"/>
        <w:rPr>
          <w:rFonts w:ascii="Arial" w:hAnsi="Arial" w:cs="Arial"/>
          <w:color w:val="000000" w:themeColor="text1"/>
          <w:sz w:val="24"/>
          <w:szCs w:val="24"/>
          <w:lang w:val="en-US"/>
        </w:rPr>
      </w:pPr>
    </w:p>
    <w:p w14:paraId="5457D4E3" w14:textId="1EF350BB" w:rsidR="007571ED" w:rsidRPr="00F941E3" w:rsidRDefault="00601556" w:rsidP="006702BC">
      <w:pPr>
        <w:pStyle w:val="Heading2"/>
        <w:rPr>
          <w:lang w:val="en-US"/>
        </w:rPr>
      </w:pPr>
      <w:r w:rsidRPr="00F941E3">
        <w:rPr>
          <w:lang w:val="en-US"/>
        </w:rPr>
        <w:t xml:space="preserve">Interpretation of findings </w:t>
      </w:r>
    </w:p>
    <w:p w14:paraId="3632CE36" w14:textId="5DDEBDBC" w:rsidR="00853CA7" w:rsidRPr="00F941E3" w:rsidRDefault="001A35C0"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One major finding of this study is that the rate of long</w:t>
      </w:r>
      <w:r w:rsidR="00385487" w:rsidRPr="00F941E3">
        <w:rPr>
          <w:rFonts w:ascii="Arial" w:hAnsi="Arial" w:cs="Arial"/>
          <w:color w:val="000000" w:themeColor="text1"/>
          <w:sz w:val="24"/>
          <w:szCs w:val="24"/>
          <w:lang w:val="en-US"/>
        </w:rPr>
        <w:t>-term</w:t>
      </w:r>
      <w:r w:rsidRPr="00F941E3">
        <w:rPr>
          <w:rFonts w:ascii="Arial" w:hAnsi="Arial" w:cs="Arial"/>
          <w:color w:val="000000" w:themeColor="text1"/>
          <w:sz w:val="24"/>
          <w:szCs w:val="24"/>
          <w:lang w:val="en-US"/>
        </w:rPr>
        <w:t xml:space="preserve"> sick </w:t>
      </w:r>
      <w:r w:rsidR="00205E1B" w:rsidRPr="00F941E3">
        <w:rPr>
          <w:rFonts w:ascii="Arial" w:hAnsi="Arial" w:cs="Arial"/>
          <w:color w:val="000000" w:themeColor="text1"/>
          <w:sz w:val="24"/>
          <w:szCs w:val="24"/>
          <w:lang w:val="en-US"/>
        </w:rPr>
        <w:t xml:space="preserve">leave in COVID-19 patients followed in general practices </w:t>
      </w:r>
      <w:r w:rsidR="00CB4276" w:rsidRPr="00F941E3">
        <w:rPr>
          <w:rFonts w:ascii="Arial" w:hAnsi="Arial" w:cs="Arial"/>
          <w:color w:val="000000" w:themeColor="text1"/>
          <w:sz w:val="24"/>
          <w:szCs w:val="24"/>
          <w:lang w:val="en-US"/>
        </w:rPr>
        <w:t>in</w:t>
      </w:r>
      <w:r w:rsidR="00205E1B" w:rsidRPr="00F941E3">
        <w:rPr>
          <w:rFonts w:ascii="Arial" w:hAnsi="Arial" w:cs="Arial"/>
          <w:color w:val="000000" w:themeColor="text1"/>
          <w:sz w:val="24"/>
          <w:szCs w:val="24"/>
          <w:lang w:val="en-US"/>
        </w:rPr>
        <w:t xml:space="preserve"> Germany was slightly higher than 5%</w:t>
      </w:r>
      <w:r w:rsidR="00397D79" w:rsidRPr="00F941E3">
        <w:rPr>
          <w:rFonts w:ascii="Arial" w:hAnsi="Arial" w:cs="Arial"/>
          <w:color w:val="000000" w:themeColor="text1"/>
          <w:sz w:val="24"/>
          <w:szCs w:val="24"/>
          <w:lang w:val="en-US"/>
        </w:rPr>
        <w:t xml:space="preserve">. </w:t>
      </w:r>
      <w:r w:rsidR="00554386" w:rsidRPr="00F941E3">
        <w:rPr>
          <w:rFonts w:ascii="Arial" w:hAnsi="Arial" w:cs="Arial"/>
          <w:color w:val="000000" w:themeColor="text1"/>
          <w:sz w:val="24"/>
          <w:szCs w:val="24"/>
          <w:lang w:val="en-US"/>
        </w:rPr>
        <w:t xml:space="preserve">To date, only </w:t>
      </w:r>
      <w:r w:rsidR="003D4344" w:rsidRPr="00F941E3">
        <w:rPr>
          <w:rFonts w:ascii="Arial" w:hAnsi="Arial" w:cs="Arial"/>
          <w:color w:val="000000" w:themeColor="text1"/>
          <w:sz w:val="24"/>
          <w:szCs w:val="24"/>
          <w:lang w:val="en-US"/>
        </w:rPr>
        <w:t>one</w:t>
      </w:r>
      <w:r w:rsidR="0060073B" w:rsidRPr="00F941E3">
        <w:rPr>
          <w:rFonts w:ascii="Arial" w:hAnsi="Arial" w:cs="Arial"/>
          <w:color w:val="000000" w:themeColor="text1"/>
          <w:sz w:val="24"/>
          <w:szCs w:val="24"/>
          <w:lang w:val="en-US"/>
        </w:rPr>
        <w:t xml:space="preserve"> </w:t>
      </w:r>
      <w:r w:rsidR="00554386" w:rsidRPr="00F941E3">
        <w:rPr>
          <w:rFonts w:ascii="Arial" w:hAnsi="Arial" w:cs="Arial"/>
          <w:color w:val="000000" w:themeColor="text1"/>
          <w:sz w:val="24"/>
          <w:szCs w:val="24"/>
          <w:lang w:val="en-US"/>
        </w:rPr>
        <w:t xml:space="preserve">other </w:t>
      </w:r>
      <w:r w:rsidR="0060073B" w:rsidRPr="00F941E3">
        <w:rPr>
          <w:rFonts w:ascii="Arial" w:hAnsi="Arial" w:cs="Arial"/>
          <w:color w:val="000000" w:themeColor="text1"/>
          <w:sz w:val="24"/>
          <w:szCs w:val="24"/>
          <w:lang w:val="en-US"/>
        </w:rPr>
        <w:t>stud</w:t>
      </w:r>
      <w:r w:rsidR="003D4344" w:rsidRPr="00F941E3">
        <w:rPr>
          <w:rFonts w:ascii="Arial" w:hAnsi="Arial" w:cs="Arial"/>
          <w:color w:val="000000" w:themeColor="text1"/>
          <w:sz w:val="24"/>
          <w:szCs w:val="24"/>
          <w:lang w:val="en-US"/>
        </w:rPr>
        <w:t>y</w:t>
      </w:r>
      <w:r w:rsidR="0060073B" w:rsidRPr="00F941E3">
        <w:rPr>
          <w:rFonts w:ascii="Arial" w:hAnsi="Arial" w:cs="Arial"/>
          <w:color w:val="000000" w:themeColor="text1"/>
          <w:sz w:val="24"/>
          <w:szCs w:val="24"/>
          <w:lang w:val="en-US"/>
        </w:rPr>
        <w:t xml:space="preserve"> ha</w:t>
      </w:r>
      <w:r w:rsidR="003D4344" w:rsidRPr="00F941E3">
        <w:rPr>
          <w:rFonts w:ascii="Arial" w:hAnsi="Arial" w:cs="Arial"/>
          <w:color w:val="000000" w:themeColor="text1"/>
          <w:sz w:val="24"/>
          <w:szCs w:val="24"/>
          <w:lang w:val="en-US"/>
        </w:rPr>
        <w:t>s</w:t>
      </w:r>
      <w:r w:rsidR="0060073B" w:rsidRPr="00F941E3">
        <w:rPr>
          <w:rFonts w:ascii="Arial" w:hAnsi="Arial" w:cs="Arial"/>
          <w:color w:val="000000" w:themeColor="text1"/>
          <w:sz w:val="24"/>
          <w:szCs w:val="24"/>
          <w:lang w:val="en-US"/>
        </w:rPr>
        <w:t xml:space="preserve"> analyzed </w:t>
      </w:r>
      <w:r w:rsidR="000B554F" w:rsidRPr="00F941E3">
        <w:rPr>
          <w:rFonts w:ascii="Arial" w:hAnsi="Arial" w:cs="Arial"/>
          <w:color w:val="000000" w:themeColor="text1"/>
          <w:sz w:val="24"/>
          <w:szCs w:val="24"/>
          <w:lang w:val="en-US"/>
        </w:rPr>
        <w:t>the prevalence of long</w:t>
      </w:r>
      <w:r w:rsidR="00554386" w:rsidRPr="00F941E3">
        <w:rPr>
          <w:rFonts w:ascii="Arial" w:hAnsi="Arial" w:cs="Arial"/>
          <w:color w:val="000000" w:themeColor="text1"/>
          <w:sz w:val="24"/>
          <w:szCs w:val="24"/>
          <w:lang w:val="en-US"/>
        </w:rPr>
        <w:t>-term</w:t>
      </w:r>
      <w:r w:rsidR="000B554F" w:rsidRPr="00F941E3">
        <w:rPr>
          <w:rFonts w:ascii="Arial" w:hAnsi="Arial" w:cs="Arial"/>
          <w:color w:val="000000" w:themeColor="text1"/>
          <w:sz w:val="24"/>
          <w:szCs w:val="24"/>
          <w:lang w:val="en-US"/>
        </w:rPr>
        <w:t xml:space="preserve"> sick leave in individuals diagnosed with COVID-19.</w:t>
      </w:r>
      <w:r w:rsidR="00CB4276" w:rsidRPr="00F941E3">
        <w:rPr>
          <w:rFonts w:ascii="Arial" w:hAnsi="Arial" w:cs="Arial"/>
          <w:color w:val="000000" w:themeColor="text1"/>
          <w:sz w:val="24"/>
          <w:szCs w:val="24"/>
          <w:lang w:val="en-US"/>
        </w:rPr>
        <w:t xml:space="preserve"> </w:t>
      </w:r>
      <w:r w:rsidR="003D4344" w:rsidRPr="00F941E3">
        <w:rPr>
          <w:rFonts w:ascii="Arial" w:hAnsi="Arial" w:cs="Arial"/>
          <w:color w:val="000000" w:themeColor="text1"/>
          <w:sz w:val="24"/>
          <w:szCs w:val="24"/>
          <w:lang w:val="en-US"/>
        </w:rPr>
        <w:t>This</w:t>
      </w:r>
      <w:r w:rsidR="00CB4276" w:rsidRPr="00F941E3">
        <w:rPr>
          <w:rFonts w:ascii="Arial" w:hAnsi="Arial" w:cs="Arial"/>
          <w:color w:val="000000" w:themeColor="text1"/>
          <w:sz w:val="24"/>
          <w:szCs w:val="24"/>
          <w:lang w:val="en-US"/>
        </w:rPr>
        <w:t xml:space="preserve"> study of 150 patients </w:t>
      </w:r>
      <w:r w:rsidR="008C64C3" w:rsidRPr="00F941E3">
        <w:rPr>
          <w:rFonts w:ascii="Arial" w:hAnsi="Arial" w:cs="Arial"/>
          <w:color w:val="000000" w:themeColor="text1"/>
          <w:sz w:val="24"/>
          <w:szCs w:val="24"/>
          <w:lang w:val="en-US"/>
        </w:rPr>
        <w:t xml:space="preserve">with noncritical </w:t>
      </w:r>
      <w:r w:rsidR="00DB737F" w:rsidRPr="00F941E3">
        <w:rPr>
          <w:rFonts w:ascii="Arial" w:hAnsi="Arial" w:cs="Arial"/>
          <w:color w:val="000000" w:themeColor="text1"/>
          <w:sz w:val="24"/>
          <w:szCs w:val="24"/>
          <w:lang w:val="en-US"/>
        </w:rPr>
        <w:t xml:space="preserve">COVID-19 </w:t>
      </w:r>
      <w:r w:rsidR="00554386" w:rsidRPr="00F941E3">
        <w:rPr>
          <w:rFonts w:ascii="Arial" w:hAnsi="Arial" w:cs="Arial"/>
          <w:color w:val="000000" w:themeColor="text1"/>
          <w:sz w:val="24"/>
          <w:szCs w:val="24"/>
          <w:lang w:val="en-US"/>
        </w:rPr>
        <w:t xml:space="preserve">in </w:t>
      </w:r>
      <w:r w:rsidR="00DB737F" w:rsidRPr="00F941E3">
        <w:rPr>
          <w:rFonts w:ascii="Arial" w:hAnsi="Arial" w:cs="Arial"/>
          <w:color w:val="000000" w:themeColor="text1"/>
          <w:sz w:val="24"/>
          <w:szCs w:val="24"/>
          <w:lang w:val="en-US"/>
        </w:rPr>
        <w:lastRenderedPageBreak/>
        <w:t xml:space="preserve">France revealed that </w:t>
      </w:r>
      <w:r w:rsidR="00FD6F17" w:rsidRPr="00F941E3">
        <w:rPr>
          <w:rFonts w:ascii="Arial" w:hAnsi="Arial" w:cs="Arial"/>
          <w:color w:val="000000" w:themeColor="text1"/>
          <w:sz w:val="24"/>
          <w:szCs w:val="24"/>
          <w:lang w:val="en-US"/>
        </w:rPr>
        <w:t>19.7%</w:t>
      </w:r>
      <w:r w:rsidR="00100242" w:rsidRPr="00F941E3">
        <w:rPr>
          <w:rFonts w:ascii="Arial" w:hAnsi="Arial" w:cs="Arial"/>
          <w:color w:val="000000" w:themeColor="text1"/>
          <w:sz w:val="24"/>
          <w:szCs w:val="24"/>
          <w:lang w:val="en-US"/>
        </w:rPr>
        <w:t xml:space="preserve"> and 11.2% </w:t>
      </w:r>
      <w:r w:rsidR="00554386" w:rsidRPr="00F941E3">
        <w:rPr>
          <w:rFonts w:ascii="Arial" w:hAnsi="Arial" w:cs="Arial"/>
          <w:color w:val="000000" w:themeColor="text1"/>
          <w:sz w:val="24"/>
          <w:szCs w:val="24"/>
          <w:lang w:val="en-US"/>
        </w:rPr>
        <w:t xml:space="preserve">respectively </w:t>
      </w:r>
      <w:r w:rsidR="00100242" w:rsidRPr="00F941E3">
        <w:rPr>
          <w:rFonts w:ascii="Arial" w:hAnsi="Arial" w:cs="Arial"/>
          <w:color w:val="000000" w:themeColor="text1"/>
          <w:sz w:val="24"/>
          <w:szCs w:val="24"/>
          <w:lang w:val="en-US"/>
        </w:rPr>
        <w:t xml:space="preserve">were on sick leave </w:t>
      </w:r>
      <w:r w:rsidR="008B3D96" w:rsidRPr="00F941E3">
        <w:rPr>
          <w:rFonts w:ascii="Arial" w:hAnsi="Arial" w:cs="Arial"/>
          <w:color w:val="000000" w:themeColor="text1"/>
          <w:sz w:val="24"/>
          <w:szCs w:val="24"/>
          <w:lang w:val="en-US"/>
        </w:rPr>
        <w:t xml:space="preserve">30 and 60 days after the </w:t>
      </w:r>
      <w:r w:rsidR="008F2387" w:rsidRPr="00F941E3">
        <w:rPr>
          <w:rFonts w:ascii="Arial" w:hAnsi="Arial" w:cs="Arial"/>
          <w:color w:val="000000" w:themeColor="text1"/>
          <w:sz w:val="24"/>
          <w:szCs w:val="24"/>
          <w:lang w:val="en-US"/>
        </w:rPr>
        <w:t>onset of the disease</w:t>
      </w:r>
      <w:r w:rsidR="004E711C" w:rsidRPr="00F941E3">
        <w:rPr>
          <w:rFonts w:ascii="Arial" w:hAnsi="Arial" w:cs="Arial"/>
          <w:color w:val="000000" w:themeColor="text1"/>
          <w:sz w:val="24"/>
          <w:szCs w:val="24"/>
          <w:lang w:val="en-US"/>
        </w:rPr>
        <w:t xml:space="preserve"> </w:t>
      </w:r>
      <w:r w:rsidR="004E711C"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{"citationID":"91WqVSKg","properties":{"formattedCitation":"(Carvalho-Schneider et al., 2021)","plainCitation":"(Carvalho-Schneider et al., 2021)","noteIndex":0},"citationItems":[{"id":20864,"uris":["http://zotero.org/users/local/hhPVnw6l/items/DB5YSULG"],"uri":["http://zotero.org/users/local/hhPVnw6l/items/DB5YSULG"],"itemData":{"id":20864,"type":"article-journal","abstract":"OBJECTIVES: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schema":"https://github.com/citation-style-language/schema/raw/master/csl-citation.json"} </w:instrText>
      </w:r>
      <w:r w:rsidR="004E711C"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(Carvalho-Schneider et al., 2021)</w:t>
      </w:r>
      <w:r w:rsidR="004E711C" w:rsidRPr="00F941E3">
        <w:rPr>
          <w:rFonts w:ascii="Arial" w:hAnsi="Arial" w:cs="Arial"/>
          <w:color w:val="000000" w:themeColor="text1"/>
          <w:sz w:val="24"/>
          <w:szCs w:val="24"/>
          <w:lang w:val="en-US"/>
        </w:rPr>
        <w:fldChar w:fldCharType="end"/>
      </w:r>
      <w:r w:rsidR="008B3D96" w:rsidRPr="00F941E3">
        <w:rPr>
          <w:rFonts w:ascii="Arial" w:hAnsi="Arial" w:cs="Arial"/>
          <w:color w:val="000000" w:themeColor="text1"/>
          <w:sz w:val="24"/>
          <w:szCs w:val="24"/>
          <w:lang w:val="en-US"/>
        </w:rPr>
        <w:t>.</w:t>
      </w:r>
      <w:r w:rsidR="00A21C5B" w:rsidRPr="00F941E3">
        <w:rPr>
          <w:rFonts w:ascii="Arial" w:hAnsi="Arial" w:cs="Arial"/>
          <w:color w:val="000000" w:themeColor="text1"/>
          <w:sz w:val="24"/>
          <w:szCs w:val="24"/>
          <w:lang w:val="en-US"/>
        </w:rPr>
        <w:t xml:space="preserve"> </w:t>
      </w:r>
      <w:r w:rsidR="003D4344" w:rsidRPr="00F941E3">
        <w:rPr>
          <w:rFonts w:ascii="Arial" w:hAnsi="Arial" w:cs="Arial"/>
          <w:color w:val="000000" w:themeColor="text1"/>
          <w:sz w:val="24"/>
          <w:szCs w:val="24"/>
          <w:lang w:val="en-US"/>
        </w:rPr>
        <w:t xml:space="preserve">Although </w:t>
      </w:r>
      <w:r w:rsidR="00554386" w:rsidRPr="00F941E3">
        <w:rPr>
          <w:rFonts w:ascii="Arial" w:hAnsi="Arial" w:cs="Arial"/>
          <w:color w:val="000000" w:themeColor="text1"/>
          <w:sz w:val="24"/>
          <w:szCs w:val="24"/>
          <w:lang w:val="en-US"/>
        </w:rPr>
        <w:t xml:space="preserve">they do </w:t>
      </w:r>
      <w:r w:rsidR="003D4344" w:rsidRPr="00F941E3">
        <w:rPr>
          <w:rFonts w:ascii="Arial" w:hAnsi="Arial" w:cs="Arial"/>
          <w:color w:val="000000" w:themeColor="text1"/>
          <w:sz w:val="24"/>
          <w:szCs w:val="24"/>
          <w:lang w:val="en-US"/>
        </w:rPr>
        <w:t>not directly assess the proportion of patients on long</w:t>
      </w:r>
      <w:r w:rsidR="00554386" w:rsidRPr="00F941E3">
        <w:rPr>
          <w:rFonts w:ascii="Arial" w:hAnsi="Arial" w:cs="Arial"/>
          <w:color w:val="000000" w:themeColor="text1"/>
          <w:sz w:val="24"/>
          <w:szCs w:val="24"/>
          <w:lang w:val="en-US"/>
        </w:rPr>
        <w:t>-term</w:t>
      </w:r>
      <w:r w:rsidR="003D4344" w:rsidRPr="00F941E3">
        <w:rPr>
          <w:rFonts w:ascii="Arial" w:hAnsi="Arial" w:cs="Arial"/>
          <w:color w:val="000000" w:themeColor="text1"/>
          <w:sz w:val="24"/>
          <w:szCs w:val="24"/>
          <w:lang w:val="en-US"/>
        </w:rPr>
        <w:t xml:space="preserve"> sick leave, other </w:t>
      </w:r>
      <w:r w:rsidR="004A65F8" w:rsidRPr="00F941E3">
        <w:rPr>
          <w:rFonts w:ascii="Arial" w:hAnsi="Arial" w:cs="Arial"/>
          <w:color w:val="000000" w:themeColor="text1"/>
          <w:sz w:val="24"/>
          <w:szCs w:val="24"/>
          <w:lang w:val="en-US"/>
        </w:rPr>
        <w:t xml:space="preserve">pieces of </w:t>
      </w:r>
      <w:r w:rsidR="003D4344" w:rsidRPr="00F941E3">
        <w:rPr>
          <w:rFonts w:ascii="Arial" w:hAnsi="Arial" w:cs="Arial"/>
          <w:color w:val="000000" w:themeColor="text1"/>
          <w:sz w:val="24"/>
          <w:szCs w:val="24"/>
          <w:lang w:val="en-US"/>
        </w:rPr>
        <w:t>research ha</w:t>
      </w:r>
      <w:r w:rsidR="004A65F8" w:rsidRPr="00F941E3">
        <w:rPr>
          <w:rFonts w:ascii="Arial" w:hAnsi="Arial" w:cs="Arial"/>
          <w:color w:val="000000" w:themeColor="text1"/>
          <w:sz w:val="24"/>
          <w:szCs w:val="24"/>
          <w:lang w:val="en-US"/>
        </w:rPr>
        <w:t>ve</w:t>
      </w:r>
      <w:r w:rsidR="003D4344" w:rsidRPr="00F941E3">
        <w:rPr>
          <w:rFonts w:ascii="Arial" w:hAnsi="Arial" w:cs="Arial"/>
          <w:color w:val="000000" w:themeColor="text1"/>
          <w:sz w:val="24"/>
          <w:szCs w:val="24"/>
          <w:lang w:val="en-US"/>
        </w:rPr>
        <w:t xml:space="preserve"> focused on the mean</w:t>
      </w:r>
      <w:r w:rsidR="00F620AE" w:rsidRPr="00F941E3">
        <w:rPr>
          <w:rFonts w:ascii="Arial" w:hAnsi="Arial" w:cs="Arial"/>
          <w:color w:val="000000" w:themeColor="text1"/>
          <w:sz w:val="24"/>
          <w:szCs w:val="24"/>
          <w:lang w:val="en-US"/>
        </w:rPr>
        <w:t xml:space="preserve"> or </w:t>
      </w:r>
      <w:r w:rsidR="003D4344" w:rsidRPr="00F941E3">
        <w:rPr>
          <w:rFonts w:ascii="Arial" w:hAnsi="Arial" w:cs="Arial"/>
          <w:color w:val="000000" w:themeColor="text1"/>
          <w:sz w:val="24"/>
          <w:szCs w:val="24"/>
          <w:lang w:val="en-US"/>
        </w:rPr>
        <w:t xml:space="preserve">median </w:t>
      </w:r>
      <w:r w:rsidR="00554386" w:rsidRPr="00F941E3">
        <w:rPr>
          <w:rFonts w:ascii="Arial" w:hAnsi="Arial" w:cs="Arial"/>
          <w:color w:val="000000" w:themeColor="text1"/>
          <w:sz w:val="24"/>
          <w:szCs w:val="24"/>
          <w:lang w:val="en-US"/>
        </w:rPr>
        <w:t xml:space="preserve">period </w:t>
      </w:r>
      <w:r w:rsidR="003D4344" w:rsidRPr="00F941E3">
        <w:rPr>
          <w:rFonts w:ascii="Arial" w:hAnsi="Arial" w:cs="Arial"/>
          <w:color w:val="000000" w:themeColor="text1"/>
          <w:sz w:val="24"/>
          <w:szCs w:val="24"/>
          <w:lang w:val="en-US"/>
        </w:rPr>
        <w:t>of sick leave. For example</w:t>
      </w:r>
      <w:r w:rsidR="0095278A" w:rsidRPr="00F941E3">
        <w:rPr>
          <w:rFonts w:ascii="Arial" w:hAnsi="Arial" w:cs="Arial"/>
          <w:color w:val="000000" w:themeColor="text1"/>
          <w:sz w:val="24"/>
          <w:szCs w:val="24"/>
          <w:lang w:val="en-US"/>
        </w:rPr>
        <w:t xml:space="preserve">, a study including </w:t>
      </w:r>
      <w:r w:rsidR="005A2549" w:rsidRPr="00F941E3">
        <w:rPr>
          <w:rFonts w:ascii="Arial" w:hAnsi="Arial" w:cs="Arial"/>
          <w:color w:val="000000" w:themeColor="text1"/>
          <w:sz w:val="24"/>
          <w:szCs w:val="24"/>
          <w:lang w:val="en-US"/>
        </w:rPr>
        <w:t xml:space="preserve">1,911 healthcare workers </w:t>
      </w:r>
      <w:r w:rsidR="0052380C" w:rsidRPr="00F941E3">
        <w:rPr>
          <w:rFonts w:ascii="Arial" w:hAnsi="Arial" w:cs="Arial"/>
          <w:color w:val="000000" w:themeColor="text1"/>
          <w:sz w:val="24"/>
          <w:szCs w:val="24"/>
          <w:lang w:val="en-US"/>
        </w:rPr>
        <w:t xml:space="preserve">living in Spain </w:t>
      </w:r>
      <w:r w:rsidR="00554386" w:rsidRPr="00F941E3">
        <w:rPr>
          <w:rFonts w:ascii="Arial" w:hAnsi="Arial" w:cs="Arial"/>
          <w:color w:val="000000" w:themeColor="text1"/>
          <w:sz w:val="24"/>
          <w:szCs w:val="24"/>
          <w:lang w:val="en-US"/>
        </w:rPr>
        <w:t>found a</w:t>
      </w:r>
      <w:r w:rsidR="0052380C" w:rsidRPr="00F941E3">
        <w:rPr>
          <w:rFonts w:ascii="Arial" w:hAnsi="Arial" w:cs="Arial"/>
          <w:color w:val="000000" w:themeColor="text1"/>
          <w:sz w:val="24"/>
          <w:szCs w:val="24"/>
          <w:lang w:val="en-US"/>
        </w:rPr>
        <w:t xml:space="preserve"> median </w:t>
      </w:r>
      <w:r w:rsidR="00BC7563" w:rsidRPr="00F941E3">
        <w:rPr>
          <w:rFonts w:ascii="Arial" w:hAnsi="Arial" w:cs="Arial"/>
          <w:color w:val="000000" w:themeColor="text1"/>
          <w:sz w:val="24"/>
          <w:szCs w:val="24"/>
          <w:lang w:val="en-US"/>
        </w:rPr>
        <w:t xml:space="preserve">sick </w:t>
      </w:r>
      <w:r w:rsidR="00B211FA" w:rsidRPr="00F941E3">
        <w:rPr>
          <w:rFonts w:ascii="Arial" w:hAnsi="Arial" w:cs="Arial"/>
          <w:color w:val="000000" w:themeColor="text1"/>
          <w:sz w:val="24"/>
          <w:szCs w:val="24"/>
          <w:lang w:val="en-US"/>
        </w:rPr>
        <w:t xml:space="preserve">leave </w:t>
      </w:r>
      <w:r w:rsidR="00554386" w:rsidRPr="00F941E3">
        <w:rPr>
          <w:rFonts w:ascii="Arial" w:hAnsi="Arial" w:cs="Arial"/>
          <w:color w:val="000000" w:themeColor="text1"/>
          <w:sz w:val="24"/>
          <w:szCs w:val="24"/>
          <w:lang w:val="en-US"/>
        </w:rPr>
        <w:t xml:space="preserve">period of </w:t>
      </w:r>
      <w:r w:rsidR="003A7C0B" w:rsidRPr="00F941E3">
        <w:rPr>
          <w:rFonts w:ascii="Arial" w:hAnsi="Arial" w:cs="Arial"/>
          <w:color w:val="000000" w:themeColor="text1"/>
          <w:sz w:val="24"/>
          <w:szCs w:val="24"/>
          <w:lang w:val="en-US"/>
        </w:rPr>
        <w:t>20</w:t>
      </w:r>
      <w:r w:rsidR="004E1247" w:rsidRPr="00F941E3">
        <w:rPr>
          <w:rFonts w:ascii="Arial" w:hAnsi="Arial" w:cs="Arial"/>
          <w:color w:val="000000" w:themeColor="text1"/>
          <w:sz w:val="24"/>
          <w:szCs w:val="24"/>
          <w:lang w:val="en-US"/>
        </w:rPr>
        <w:t xml:space="preserve"> days </w:t>
      </w:r>
      <w:r w:rsidR="004E1247"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{"citationID":"7Uh3Kcyo","properties":{"formattedCitation":"(Su\\uc0\\u225{}rez-Garc\\uc0\\u237{}a et al., 2020)","plainCitation":"(Suárez-García et al., 2020)","noteIndex":0},"citationItems":[{"id":20870,"uris":["http://zotero.org/users/local/hhPVnw6l/items/ZDVYMF2V"],"uri":["http://zotero.org/users/local/hhPVnw6l/items/ZDVYMF2V"],"itemData":{"id":20870,"type":"article-journal","abstract":"BACKGROUND: Healthcare workers (HCWs) are especially vulnerable to infection by severe acute respiratory syndrome coronavirus 2 (SARS-CoV-2).\nAIM: The aim of this study was to describe the epidemiological and clinical characteristics of coronavirus disease 2019 (COVID-19) among HCWs from February 24th to April 30th, 2020, in a hospital in Madrid, Spain.\nMETHODS: This was a retrospective cohort study. Cumulative COVID-19 incidence was calculated for all HCWs and categorized according to presumed level of COVID-19 exposure (high, medium, and low).\nFINDINGS: Among 1911 HCWs, 213 (11.1%) had COVID-19 during the study period. Cases increased gradually from March 8th, peaking on March 17th and declining thereafter. The peak of cases among HCWs was reached 14 days before the peak in admitted COVID-19 cases in the hospital. There were no significant differences in the proportion of COVID-19 cases according to level of occupational exposure (P = 0.123). There were five departments and two professions in which &gt;20% of the workers had confirmed COVID-19. Temporal clusters were identified in three of these departments and one profession, with most of the cases occurring over a period of less than five days. The prevalence of comorbidities was low and 91.5% of patients had mild or moderate symptoms. Eleven patients were admitted to the hospital and one patient needed intensive care. None of the patients died. The median time of sick leave was 20 (interquartile range: 15-26) days.\nCONCLUSION: The results suggest that HCW-HCW transmission accounted for part of the cases. In spite of a low prevalence of comorbidities and a mild clinical course in most cases, COVID-19 caused long periods of sick leave.","container-title":"The Journal of Hospital Infection","DOI":"10.1016/j.jhin.2020.07.020","ISSN":"1532-2939","issue":"2","journalAbbreviation":"J Hosp Infect","language":"eng","note":"PMID: 32702465\nPMCID: PMC7371579","page":"357-363","source":"PubMed","title":"SARS-CoV-2 infection among healthcare workers in a hospital in Madrid, Spain","volume":"106","author":[{"family":"Suárez-García","given":"I."},{"family":"Martínez de Aramayona López","given":"M. J."},{"family":"Sáez Vicente","given":"A."},{"family":"Lobo Abascal","given":"P."}],"issued":{"date-parts":[["2020",10]]}}}],"schema":"https://github.com/citation-style-language/schema/raw/master/csl-citation.json"} </w:instrText>
      </w:r>
      <w:r w:rsidR="004E1247" w:rsidRPr="00F941E3">
        <w:rPr>
          <w:rFonts w:ascii="Arial" w:hAnsi="Arial" w:cs="Arial"/>
          <w:color w:val="000000" w:themeColor="text1"/>
          <w:sz w:val="24"/>
          <w:szCs w:val="24"/>
          <w:lang w:val="en-US"/>
        </w:rPr>
        <w:fldChar w:fldCharType="separate"/>
      </w:r>
      <w:r w:rsidR="00D50691" w:rsidRPr="00F941E3">
        <w:rPr>
          <w:rFonts w:ascii="Arial" w:hAnsi="Arial" w:cs="Arial"/>
          <w:color w:val="000000" w:themeColor="text1"/>
          <w:sz w:val="24"/>
          <w:lang w:val="en-US"/>
        </w:rPr>
        <w:t>(Suárez-García et al., 2020)</w:t>
      </w:r>
      <w:r w:rsidR="004E1247" w:rsidRPr="00F941E3">
        <w:rPr>
          <w:rFonts w:ascii="Arial" w:hAnsi="Arial" w:cs="Arial"/>
          <w:color w:val="000000" w:themeColor="text1"/>
          <w:sz w:val="24"/>
          <w:szCs w:val="24"/>
          <w:lang w:val="en-US"/>
        </w:rPr>
        <w:fldChar w:fldCharType="end"/>
      </w:r>
      <w:r w:rsidR="003A7C0B" w:rsidRPr="00F941E3">
        <w:rPr>
          <w:rFonts w:ascii="Arial" w:hAnsi="Arial" w:cs="Arial"/>
          <w:color w:val="000000" w:themeColor="text1"/>
          <w:sz w:val="24"/>
          <w:szCs w:val="24"/>
          <w:lang w:val="en-US"/>
        </w:rPr>
        <w:t>.</w:t>
      </w:r>
      <w:r w:rsidR="00D1331A" w:rsidRPr="00F941E3">
        <w:rPr>
          <w:rFonts w:ascii="Arial" w:hAnsi="Arial" w:cs="Arial"/>
          <w:color w:val="000000" w:themeColor="text1"/>
          <w:sz w:val="24"/>
          <w:szCs w:val="24"/>
          <w:lang w:val="en-US"/>
        </w:rPr>
        <w:t xml:space="preserve"> Another study of </w:t>
      </w:r>
      <w:r w:rsidR="003A46BD" w:rsidRPr="00F941E3">
        <w:rPr>
          <w:rFonts w:ascii="Arial" w:hAnsi="Arial" w:cs="Arial"/>
          <w:color w:val="000000" w:themeColor="text1"/>
          <w:sz w:val="24"/>
          <w:szCs w:val="24"/>
          <w:lang w:val="en-US"/>
        </w:rPr>
        <w:t>4,408</w:t>
      </w:r>
      <w:r w:rsidR="006A115F" w:rsidRPr="00F941E3">
        <w:rPr>
          <w:rFonts w:ascii="Arial" w:hAnsi="Arial" w:cs="Arial"/>
          <w:color w:val="000000" w:themeColor="text1"/>
          <w:sz w:val="24"/>
          <w:szCs w:val="24"/>
          <w:lang w:val="en-US"/>
        </w:rPr>
        <w:t xml:space="preserve"> </w:t>
      </w:r>
      <w:r w:rsidR="00EE365D" w:rsidRPr="00F941E3">
        <w:rPr>
          <w:rFonts w:ascii="Arial" w:hAnsi="Arial" w:cs="Arial"/>
          <w:color w:val="000000" w:themeColor="text1"/>
          <w:sz w:val="24"/>
          <w:szCs w:val="24"/>
          <w:lang w:val="en-US"/>
        </w:rPr>
        <w:t>emergency medical system responders</w:t>
      </w:r>
      <w:r w:rsidR="006A115F" w:rsidRPr="00F941E3">
        <w:rPr>
          <w:rFonts w:ascii="Arial" w:hAnsi="Arial" w:cs="Arial"/>
          <w:color w:val="000000" w:themeColor="text1"/>
          <w:sz w:val="24"/>
          <w:szCs w:val="24"/>
          <w:lang w:val="en-US"/>
        </w:rPr>
        <w:t xml:space="preserve"> and </w:t>
      </w:r>
      <w:r w:rsidR="00C3138B" w:rsidRPr="00F941E3">
        <w:rPr>
          <w:rFonts w:ascii="Arial" w:hAnsi="Arial" w:cs="Arial"/>
          <w:color w:val="000000" w:themeColor="text1"/>
          <w:sz w:val="24"/>
          <w:szCs w:val="24"/>
          <w:lang w:val="en-US"/>
        </w:rPr>
        <w:t xml:space="preserve">11,230 </w:t>
      </w:r>
      <w:r w:rsidR="001A0965" w:rsidRPr="00F941E3">
        <w:rPr>
          <w:rFonts w:ascii="Arial" w:hAnsi="Arial" w:cs="Arial"/>
          <w:color w:val="000000" w:themeColor="text1"/>
          <w:sz w:val="24"/>
          <w:szCs w:val="24"/>
          <w:lang w:val="en-US"/>
        </w:rPr>
        <w:t xml:space="preserve">firefighters </w:t>
      </w:r>
      <w:r w:rsidR="00EE365D" w:rsidRPr="00F941E3">
        <w:rPr>
          <w:rFonts w:ascii="Arial" w:hAnsi="Arial" w:cs="Arial"/>
          <w:color w:val="000000" w:themeColor="text1"/>
          <w:sz w:val="24"/>
          <w:szCs w:val="24"/>
          <w:lang w:val="en-US"/>
        </w:rPr>
        <w:t xml:space="preserve">from </w:t>
      </w:r>
      <w:r w:rsidR="003F640D" w:rsidRPr="00F941E3">
        <w:rPr>
          <w:rFonts w:ascii="Arial" w:hAnsi="Arial" w:cs="Arial"/>
          <w:color w:val="000000" w:themeColor="text1"/>
          <w:sz w:val="24"/>
          <w:szCs w:val="24"/>
          <w:lang w:val="en-US"/>
        </w:rPr>
        <w:t xml:space="preserve">the United States estimated that </w:t>
      </w:r>
      <w:r w:rsidR="00554386" w:rsidRPr="00F941E3">
        <w:rPr>
          <w:rFonts w:ascii="Arial" w:hAnsi="Arial" w:cs="Arial"/>
          <w:color w:val="000000" w:themeColor="text1"/>
          <w:sz w:val="24"/>
          <w:szCs w:val="24"/>
          <w:lang w:val="en-US"/>
        </w:rPr>
        <w:t xml:space="preserve">the </w:t>
      </w:r>
      <w:r w:rsidR="00D124EB" w:rsidRPr="00F941E3">
        <w:rPr>
          <w:rFonts w:ascii="Arial" w:hAnsi="Arial" w:cs="Arial"/>
          <w:color w:val="000000" w:themeColor="text1"/>
          <w:sz w:val="24"/>
          <w:szCs w:val="24"/>
          <w:lang w:val="en-US"/>
        </w:rPr>
        <w:t xml:space="preserve">mean </w:t>
      </w:r>
      <w:r w:rsidR="00554386" w:rsidRPr="00F941E3">
        <w:rPr>
          <w:rFonts w:ascii="Arial" w:hAnsi="Arial" w:cs="Arial"/>
          <w:color w:val="000000" w:themeColor="text1"/>
          <w:sz w:val="24"/>
          <w:szCs w:val="24"/>
          <w:lang w:val="en-US"/>
        </w:rPr>
        <w:t xml:space="preserve">duration of </w:t>
      </w:r>
      <w:r w:rsidR="00B46181" w:rsidRPr="00F941E3">
        <w:rPr>
          <w:rFonts w:ascii="Arial" w:hAnsi="Arial" w:cs="Arial"/>
          <w:color w:val="000000" w:themeColor="text1"/>
          <w:sz w:val="24"/>
          <w:szCs w:val="24"/>
          <w:lang w:val="en-US"/>
        </w:rPr>
        <w:t xml:space="preserve">medical leave </w:t>
      </w:r>
      <w:r w:rsidR="006907E0" w:rsidRPr="00F941E3">
        <w:rPr>
          <w:rFonts w:ascii="Arial" w:hAnsi="Arial" w:cs="Arial"/>
          <w:color w:val="000000" w:themeColor="text1"/>
          <w:sz w:val="24"/>
          <w:szCs w:val="24"/>
          <w:lang w:val="en-US"/>
        </w:rPr>
        <w:t xml:space="preserve">was </w:t>
      </w:r>
      <w:r w:rsidR="000D0915" w:rsidRPr="00F941E3">
        <w:rPr>
          <w:rFonts w:ascii="Arial" w:hAnsi="Arial" w:cs="Arial"/>
          <w:color w:val="000000" w:themeColor="text1"/>
          <w:sz w:val="24"/>
          <w:szCs w:val="24"/>
          <w:lang w:val="en-US"/>
        </w:rPr>
        <w:t xml:space="preserve">19.8 days </w:t>
      </w:r>
      <w:r w:rsidR="008301B5" w:rsidRPr="00F941E3">
        <w:rPr>
          <w:rFonts w:ascii="Arial" w:hAnsi="Arial" w:cs="Arial"/>
          <w:color w:val="000000" w:themeColor="text1"/>
          <w:sz w:val="24"/>
          <w:szCs w:val="24"/>
          <w:lang w:val="en-US"/>
        </w:rPr>
        <w:t xml:space="preserve">for </w:t>
      </w:r>
      <w:r w:rsidR="000E7564" w:rsidRPr="00F941E3">
        <w:rPr>
          <w:rFonts w:ascii="Arial" w:hAnsi="Arial" w:cs="Arial"/>
          <w:color w:val="000000" w:themeColor="text1"/>
          <w:sz w:val="24"/>
          <w:szCs w:val="24"/>
          <w:lang w:val="en-US"/>
        </w:rPr>
        <w:t xml:space="preserve">those with suspected COVID-19 </w:t>
      </w:r>
      <w:r w:rsidR="000D0915" w:rsidRPr="00F941E3">
        <w:rPr>
          <w:rFonts w:ascii="Arial" w:hAnsi="Arial" w:cs="Arial"/>
          <w:color w:val="000000" w:themeColor="text1"/>
          <w:sz w:val="24"/>
          <w:szCs w:val="24"/>
          <w:lang w:val="en-US"/>
        </w:rPr>
        <w:t xml:space="preserve">and </w:t>
      </w:r>
      <w:r w:rsidR="006907E0" w:rsidRPr="00F941E3">
        <w:rPr>
          <w:rFonts w:ascii="Arial" w:hAnsi="Arial" w:cs="Arial"/>
          <w:color w:val="000000" w:themeColor="text1"/>
          <w:sz w:val="24"/>
          <w:szCs w:val="24"/>
          <w:lang w:val="en-US"/>
        </w:rPr>
        <w:t xml:space="preserve">25.3 days </w:t>
      </w:r>
      <w:r w:rsidR="000E7564" w:rsidRPr="00F941E3">
        <w:rPr>
          <w:rFonts w:ascii="Arial" w:hAnsi="Arial" w:cs="Arial"/>
          <w:color w:val="000000" w:themeColor="text1"/>
          <w:sz w:val="24"/>
          <w:szCs w:val="24"/>
          <w:lang w:val="en-US"/>
        </w:rPr>
        <w:t>for those with confirmed COVID-19</w:t>
      </w:r>
      <w:r w:rsidR="00412C28" w:rsidRPr="00F941E3">
        <w:rPr>
          <w:rFonts w:ascii="Arial" w:hAnsi="Arial" w:cs="Arial"/>
          <w:color w:val="000000" w:themeColor="text1"/>
          <w:sz w:val="24"/>
          <w:szCs w:val="24"/>
          <w:lang w:val="en-US"/>
        </w:rPr>
        <w:t xml:space="preserve"> who later </w:t>
      </w:r>
      <w:r w:rsidR="00693CA2" w:rsidRPr="00F941E3">
        <w:rPr>
          <w:rFonts w:ascii="Arial" w:hAnsi="Arial" w:cs="Arial"/>
          <w:color w:val="000000" w:themeColor="text1"/>
          <w:sz w:val="24"/>
          <w:szCs w:val="24"/>
          <w:lang w:val="en-US"/>
        </w:rPr>
        <w:t>returned to work</w:t>
      </w:r>
      <w:r w:rsidR="00F77D9A" w:rsidRPr="00F941E3">
        <w:rPr>
          <w:rFonts w:ascii="Arial" w:hAnsi="Arial" w:cs="Arial"/>
          <w:color w:val="000000" w:themeColor="text1"/>
          <w:sz w:val="24"/>
          <w:szCs w:val="24"/>
          <w:lang w:val="en-US"/>
        </w:rPr>
        <w:t xml:space="preserve"> </w:t>
      </w:r>
      <w:r w:rsidR="00F77D9A"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{"citationID":"OpftuMmP","properties":{"formattedCitation":"(Prezant et al., 2020)","plainCitation":"(Prezant et al., 2020)","noteIndex":0},"citationItems":[{"id":20867,"uris":["http://zotero.org/users/local/hhPVnw6l/items/GNHPL9H2"],"uri":["http://zotero.org/users/local/hhPVnw6l/items/GNHPL9H2"],"itemData":{"id":20867,"type":"article-journal","abstract":"This cohort study examines use of medical leave among emergency medical service (EMS) responders and firefighters in New York, New York, during the coronavirus disease 2019 (COVID-19) pandemic compared with earlier periods.","container-title":"JAMA Network Open","DOI":"10.1001/jamanetworkopen.2020.16094","ISSN":"2574-3805","issue":"7","journalAbbreviation":"JAMA Netw Open","note":"PMID: 32706380\nPMCID: PMC7382005","source":"PubMed Central","title":"Medical Leave Associated With COVID-19 Among Emergency Medical System Responders and Firefighters in New York City","URL":"https://www.ncbi.nlm.nih.gov/pmc/articles/PMC7382005/","volume":"3","author":[{"family":"Prezant","given":"David J."},{"family":"Zeig-Owens","given":"Rachel"},{"family":"Schwartz","given":"Theresa"},{"family":"Liu","given":"Yang"},{"family":"Hurwitz","given":"Karen"},{"family":"Beecher","given":"Shenecia"},{"family":"Weiden","given":"Michael D."}],"accessed":{"date-parts":[["2021",5,28]]},"issued":{"date-parts":[["2020",7,24]]}}}],"schema":"https://github.com/citation-style-language/schema/raw/master/csl-citation.json"} </w:instrText>
      </w:r>
      <w:r w:rsidR="00F77D9A"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(Prezant et al., 2020)</w:t>
      </w:r>
      <w:r w:rsidR="00F77D9A" w:rsidRPr="00F941E3">
        <w:rPr>
          <w:rFonts w:ascii="Arial" w:hAnsi="Arial" w:cs="Arial"/>
          <w:color w:val="000000" w:themeColor="text1"/>
          <w:sz w:val="24"/>
          <w:szCs w:val="24"/>
          <w:lang w:val="en-US"/>
        </w:rPr>
        <w:fldChar w:fldCharType="end"/>
      </w:r>
      <w:r w:rsidR="00F650B6" w:rsidRPr="00F941E3">
        <w:rPr>
          <w:rFonts w:ascii="Arial" w:hAnsi="Arial" w:cs="Arial"/>
          <w:color w:val="000000" w:themeColor="text1"/>
          <w:sz w:val="24"/>
          <w:szCs w:val="24"/>
          <w:lang w:val="en-US"/>
        </w:rPr>
        <w:t>.</w:t>
      </w:r>
      <w:r w:rsidR="00F620AE" w:rsidRPr="00F941E3">
        <w:rPr>
          <w:rFonts w:ascii="Arial" w:hAnsi="Arial" w:cs="Arial"/>
          <w:color w:val="000000" w:themeColor="text1"/>
          <w:sz w:val="24"/>
          <w:szCs w:val="24"/>
          <w:lang w:val="en-US"/>
        </w:rPr>
        <w:t xml:space="preserve"> </w:t>
      </w:r>
      <w:r w:rsidR="009046EB" w:rsidRPr="00F941E3">
        <w:rPr>
          <w:rFonts w:ascii="Arial" w:hAnsi="Arial" w:cs="Arial"/>
          <w:color w:val="000000" w:themeColor="text1"/>
          <w:sz w:val="24"/>
          <w:szCs w:val="24"/>
          <w:lang w:val="en-US"/>
        </w:rPr>
        <w:t xml:space="preserve">The discrepancy between the findings of the previous </w:t>
      </w:r>
      <w:r w:rsidR="00F02546" w:rsidRPr="00F941E3">
        <w:rPr>
          <w:rFonts w:ascii="Arial" w:hAnsi="Arial" w:cs="Arial"/>
          <w:color w:val="000000" w:themeColor="text1"/>
          <w:sz w:val="24"/>
          <w:szCs w:val="24"/>
          <w:lang w:val="en-US"/>
        </w:rPr>
        <w:t>French study</w:t>
      </w:r>
      <w:r w:rsidR="00B527AD" w:rsidRPr="00F941E3">
        <w:rPr>
          <w:rFonts w:ascii="Arial" w:hAnsi="Arial" w:cs="Arial"/>
          <w:color w:val="000000" w:themeColor="text1"/>
          <w:sz w:val="24"/>
          <w:szCs w:val="24"/>
          <w:lang w:val="en-US"/>
        </w:rPr>
        <w:t xml:space="preserve"> </w:t>
      </w:r>
      <w:r w:rsidR="00B527AD"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{"citationID":"BEnxCURV","properties":{"formattedCitation":"(Carvalho-Schneider et al., 2021)","plainCitation":"(Carvalho-Schneider et al., 2021)","noteIndex":0},"citationItems":[{"id":20864,"uris":["http://zotero.org/users/local/hhPVnw6l/items/DB5YSULG"],"uri":["http://zotero.org/users/local/hhPVnw6l/items/DB5YSULG"],"itemData":{"id":20864,"type":"article-journal","abstract":"OBJECTIVES: To describe the clinical evolution and predictors of symptom persistence during 2 months' follow-up in adults with noncritical coronavirus disease 2019 (COVID-19).\nMETHODS: We performed descriptive clinical follow-up (day (D) 7, D30 and D60) of 150 patients with noncritical COVID-19 confirmed by real-time reverse transcriptase PCR at Tours University Hospital from 17 March to 3 June 2020, including demographic, clinical and laboratory data collected from the electronic medical records and by phone call. Persisting symptoms were defined by the presence at D30 or D60 of at least one of the following: weight loss ≥5%, severe dyspnoea or asthenia, chest pain, palpitations, anosmia/ageusia, headache, cutaneous signs, arthralgia, myalgia, digestive disorders, fever or sick leave.\nRESULTS: At D30, 68% (103/150) of patients had at least one symptom; and at D60, 66% (86/130) had symptoms, mainly anosmia/ageusia: 59% (89/150) at symptom onset, 28% (40/150) at D30 and 23% (29/130) at D60. Dyspnoea concerned 36.7% (55/150) patients at D30 and 30% (39/130) at D60. Half of the patients (74/150) at D30 and 40% (52/130) at D60 reported asthenia. Persistent symptoms at D60 were significantly associated with age 40 to 60 years old, hospital admission and abnormal auscultation at symptom onset. At D30, severe COVID-19 and/or dyspnoea at symptom onset were additional factors associated with persistent symptoms.\nCONCLUSIONS: Up to 2 months after symptom onset, two thirds of adults with noncritical COVID-19 had complaints, mainly anosmia/ageusia, dyspnoea or asthenia. A prolonged medical follow-up of patients with COVID-19 seems essential, whatever the initial clinical presentation.","container-title":"Clinical Microbiology and Infection: The Official Publication of the European Society of Clinical Microbiology and Infectious Diseases","DOI":"10.1016/j.cmi.2020.09.052","ISSN":"1469-0691","issue":"2","journalAbbreviation":"Clin Microbiol Infect","language":"eng","note":"PMID: 33031948\nPMCID: PMC7534895","page":"258-263","source":"PubMed","title":"Follow-up of adults with noncritical COVID-19 two months after symptom onset","volume":"27","author":[{"family":"Carvalho-Schneider","given":"Claudia"},{"family":"Laurent","given":"Emeline"},{"family":"Lemaignen","given":"Adrien"},{"family":"Beaufils","given":"Emilie"},{"family":"Bourbao-Tournois","given":"Céline"},{"family":"Laribi","given":"Saïd"},{"family":"Flament","given":"Thomas"},{"family":"Ferreira-Maldent","given":"Nicole"},{"family":"Bruyère","given":"Franck"},{"family":"Stefic","given":"Karl"},{"family":"Gaudy-Graffin","given":"Catherine"},{"family":"Grammatico-Guillon","given":"Leslie"},{"family":"Bernard","given":"Louis"}],"issued":{"date-parts":[["2021",2]]}}}],"schema":"https://github.com/citation-style-language/schema/raw/master/csl-citation.json"} </w:instrText>
      </w:r>
      <w:r w:rsidR="00B527AD"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(Carvalho-Schneider et al., 2021)</w:t>
      </w:r>
      <w:r w:rsidR="00B527AD" w:rsidRPr="00F941E3">
        <w:rPr>
          <w:rFonts w:ascii="Arial" w:hAnsi="Arial" w:cs="Arial"/>
          <w:color w:val="000000" w:themeColor="text1"/>
          <w:sz w:val="24"/>
          <w:szCs w:val="24"/>
          <w:lang w:val="en-US"/>
        </w:rPr>
        <w:fldChar w:fldCharType="end"/>
      </w:r>
      <w:r w:rsidR="00B527AD" w:rsidRPr="00F941E3">
        <w:rPr>
          <w:rFonts w:ascii="Arial" w:hAnsi="Arial" w:cs="Arial"/>
          <w:color w:val="000000" w:themeColor="text1"/>
          <w:sz w:val="24"/>
          <w:szCs w:val="24"/>
          <w:lang w:val="en-US"/>
        </w:rPr>
        <w:t xml:space="preserve"> </w:t>
      </w:r>
      <w:r w:rsidR="009046EB" w:rsidRPr="00F941E3">
        <w:rPr>
          <w:rFonts w:ascii="Arial" w:hAnsi="Arial" w:cs="Arial"/>
          <w:color w:val="000000" w:themeColor="text1"/>
          <w:sz w:val="24"/>
          <w:szCs w:val="24"/>
          <w:lang w:val="en-US"/>
        </w:rPr>
        <w:t xml:space="preserve">and the findings of this study conducted in Germany may be </w:t>
      </w:r>
      <w:r w:rsidR="00554386" w:rsidRPr="00F941E3">
        <w:rPr>
          <w:rFonts w:ascii="Arial" w:hAnsi="Arial" w:cs="Arial"/>
          <w:color w:val="000000" w:themeColor="text1"/>
          <w:sz w:val="24"/>
          <w:szCs w:val="24"/>
          <w:lang w:val="en-US"/>
        </w:rPr>
        <w:t>due to</w:t>
      </w:r>
      <w:r w:rsidR="009046EB" w:rsidRPr="00F941E3">
        <w:rPr>
          <w:rFonts w:ascii="Arial" w:hAnsi="Arial" w:cs="Arial"/>
          <w:color w:val="000000" w:themeColor="text1"/>
          <w:sz w:val="24"/>
          <w:szCs w:val="24"/>
          <w:lang w:val="en-US"/>
        </w:rPr>
        <w:t xml:space="preserve"> </w:t>
      </w:r>
      <w:r w:rsidR="00B948DE" w:rsidRPr="00F941E3">
        <w:rPr>
          <w:rFonts w:ascii="Arial" w:hAnsi="Arial" w:cs="Arial"/>
          <w:color w:val="000000" w:themeColor="text1"/>
          <w:sz w:val="24"/>
          <w:szCs w:val="24"/>
          <w:lang w:val="en-US"/>
        </w:rPr>
        <w:t>the</w:t>
      </w:r>
      <w:r w:rsidR="00A47170" w:rsidRPr="00F941E3">
        <w:rPr>
          <w:rFonts w:ascii="Arial" w:hAnsi="Arial" w:cs="Arial"/>
          <w:color w:val="000000" w:themeColor="text1"/>
          <w:sz w:val="24"/>
          <w:szCs w:val="24"/>
          <w:lang w:val="en-US"/>
        </w:rPr>
        <w:t xml:space="preserve"> </w:t>
      </w:r>
      <w:r w:rsidR="0078723D" w:rsidRPr="00F941E3">
        <w:rPr>
          <w:rFonts w:ascii="Arial" w:hAnsi="Arial" w:cs="Arial"/>
          <w:color w:val="000000" w:themeColor="text1"/>
          <w:sz w:val="24"/>
          <w:szCs w:val="24"/>
          <w:lang w:val="en-US"/>
        </w:rPr>
        <w:t xml:space="preserve">different </w:t>
      </w:r>
      <w:r w:rsidR="00A47170" w:rsidRPr="00F941E3">
        <w:rPr>
          <w:rFonts w:ascii="Arial" w:hAnsi="Arial" w:cs="Arial"/>
          <w:color w:val="000000" w:themeColor="text1"/>
          <w:sz w:val="24"/>
          <w:szCs w:val="24"/>
          <w:lang w:val="en-US"/>
        </w:rPr>
        <w:t xml:space="preserve">settings in which these studies were </w:t>
      </w:r>
      <w:r w:rsidR="00D838B1" w:rsidRPr="00F941E3">
        <w:rPr>
          <w:rFonts w:ascii="Arial" w:hAnsi="Arial" w:cs="Arial"/>
          <w:color w:val="000000" w:themeColor="text1"/>
          <w:sz w:val="24"/>
          <w:szCs w:val="24"/>
          <w:lang w:val="en-US"/>
        </w:rPr>
        <w:t>carried out</w:t>
      </w:r>
      <w:r w:rsidR="00A47170" w:rsidRPr="00F941E3">
        <w:rPr>
          <w:rFonts w:ascii="Arial" w:hAnsi="Arial" w:cs="Arial"/>
          <w:color w:val="000000" w:themeColor="text1"/>
          <w:sz w:val="24"/>
          <w:szCs w:val="24"/>
          <w:lang w:val="en-US"/>
        </w:rPr>
        <w:t xml:space="preserve">. Patients </w:t>
      </w:r>
      <w:r w:rsidR="00C67162" w:rsidRPr="00F941E3">
        <w:rPr>
          <w:rFonts w:ascii="Arial" w:hAnsi="Arial" w:cs="Arial"/>
          <w:color w:val="000000" w:themeColor="text1"/>
          <w:sz w:val="24"/>
          <w:szCs w:val="24"/>
          <w:lang w:val="en-US"/>
        </w:rPr>
        <w:t>included</w:t>
      </w:r>
      <w:r w:rsidR="009046EB" w:rsidRPr="00F941E3">
        <w:rPr>
          <w:rFonts w:ascii="Arial" w:hAnsi="Arial" w:cs="Arial"/>
          <w:color w:val="000000" w:themeColor="text1"/>
          <w:sz w:val="24"/>
          <w:szCs w:val="24"/>
          <w:lang w:val="en-US"/>
        </w:rPr>
        <w:t xml:space="preserve"> in the French study were </w:t>
      </w:r>
      <w:r w:rsidR="00C67162" w:rsidRPr="00F941E3">
        <w:rPr>
          <w:rFonts w:ascii="Arial" w:hAnsi="Arial" w:cs="Arial"/>
          <w:color w:val="000000" w:themeColor="text1"/>
          <w:sz w:val="24"/>
          <w:szCs w:val="24"/>
          <w:lang w:val="en-US"/>
        </w:rPr>
        <w:t>treated for COVID-19 in a</w:t>
      </w:r>
      <w:r w:rsidR="0096227B" w:rsidRPr="00F941E3">
        <w:rPr>
          <w:rFonts w:ascii="Arial" w:hAnsi="Arial" w:cs="Arial"/>
          <w:color w:val="000000" w:themeColor="text1"/>
          <w:sz w:val="24"/>
          <w:szCs w:val="24"/>
          <w:lang w:val="en-US"/>
        </w:rPr>
        <w:t>n academic university hospital, whereas this study included individuals followed in general practices. Thus, it is likely that the proportion of participants with severe COVID-19 was lower in the German</w:t>
      </w:r>
      <w:r w:rsidR="00554386" w:rsidRPr="00F941E3">
        <w:rPr>
          <w:rFonts w:ascii="Arial" w:hAnsi="Arial" w:cs="Arial"/>
          <w:color w:val="000000" w:themeColor="text1"/>
          <w:sz w:val="24"/>
          <w:szCs w:val="24"/>
          <w:lang w:val="en-US"/>
        </w:rPr>
        <w:t xml:space="preserve"> sample</w:t>
      </w:r>
      <w:r w:rsidR="0096227B" w:rsidRPr="00F941E3">
        <w:rPr>
          <w:rFonts w:ascii="Arial" w:hAnsi="Arial" w:cs="Arial"/>
          <w:color w:val="000000" w:themeColor="text1"/>
          <w:sz w:val="24"/>
          <w:szCs w:val="24"/>
          <w:lang w:val="en-US"/>
        </w:rPr>
        <w:t xml:space="preserve"> than in the French </w:t>
      </w:r>
      <w:r w:rsidR="00554386" w:rsidRPr="00F941E3">
        <w:rPr>
          <w:rFonts w:ascii="Arial" w:hAnsi="Arial" w:cs="Arial"/>
          <w:color w:val="000000" w:themeColor="text1"/>
          <w:sz w:val="24"/>
          <w:szCs w:val="24"/>
          <w:lang w:val="en-US"/>
        </w:rPr>
        <w:t>one</w:t>
      </w:r>
      <w:r w:rsidR="003C5001" w:rsidRPr="00F941E3">
        <w:rPr>
          <w:rFonts w:ascii="Arial" w:hAnsi="Arial" w:cs="Arial"/>
          <w:color w:val="000000" w:themeColor="text1"/>
          <w:sz w:val="24"/>
          <w:szCs w:val="24"/>
          <w:lang w:val="en-US"/>
        </w:rPr>
        <w:t xml:space="preserve">. </w:t>
      </w:r>
    </w:p>
    <w:p w14:paraId="53D959A6" w14:textId="54510D6B" w:rsidR="003C5001" w:rsidRPr="00F941E3" w:rsidRDefault="003C5001" w:rsidP="00BC4D0A">
      <w:pPr>
        <w:spacing w:line="480" w:lineRule="auto"/>
        <w:jc w:val="both"/>
        <w:rPr>
          <w:rFonts w:ascii="Arial" w:hAnsi="Arial" w:cs="Arial"/>
          <w:color w:val="000000" w:themeColor="text1"/>
          <w:sz w:val="24"/>
          <w:szCs w:val="24"/>
          <w:lang w:val="en-US"/>
        </w:rPr>
      </w:pPr>
    </w:p>
    <w:p w14:paraId="447CB316" w14:textId="47E1C3D3" w:rsidR="003C5001" w:rsidRPr="00F941E3" w:rsidRDefault="003C5001"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Interestingly, sex, age</w:t>
      </w:r>
      <w:r w:rsidR="00D838B1" w:rsidRPr="00F941E3">
        <w:rPr>
          <w:rFonts w:ascii="Arial" w:hAnsi="Arial" w:cs="Arial"/>
          <w:color w:val="000000" w:themeColor="text1"/>
          <w:sz w:val="24"/>
          <w:szCs w:val="24"/>
          <w:lang w:val="en-US"/>
        </w:rPr>
        <w:t>,</w:t>
      </w:r>
      <w:r w:rsidRPr="00F941E3">
        <w:rPr>
          <w:rFonts w:ascii="Arial" w:hAnsi="Arial" w:cs="Arial"/>
          <w:color w:val="000000" w:themeColor="text1"/>
          <w:sz w:val="24"/>
          <w:szCs w:val="24"/>
          <w:lang w:val="en-US"/>
        </w:rPr>
        <w:t xml:space="preserve"> and several chronic disorders were positively and significantly associated </w:t>
      </w:r>
      <w:r w:rsidR="00413B5F" w:rsidRPr="00F941E3">
        <w:rPr>
          <w:rFonts w:ascii="Arial" w:hAnsi="Arial" w:cs="Arial"/>
          <w:color w:val="000000" w:themeColor="text1"/>
          <w:sz w:val="24"/>
          <w:szCs w:val="24"/>
          <w:lang w:val="en-US"/>
        </w:rPr>
        <w:t xml:space="preserve">with </w:t>
      </w:r>
      <w:r w:rsidR="00685476" w:rsidRPr="00F941E3">
        <w:rPr>
          <w:rFonts w:ascii="Arial" w:hAnsi="Arial" w:cs="Arial"/>
          <w:color w:val="000000" w:themeColor="text1"/>
          <w:sz w:val="24"/>
          <w:szCs w:val="24"/>
          <w:lang w:val="en-US"/>
        </w:rPr>
        <w:t>long</w:t>
      </w:r>
      <w:r w:rsidR="00D47E1C" w:rsidRPr="00F941E3">
        <w:rPr>
          <w:rFonts w:ascii="Arial" w:hAnsi="Arial" w:cs="Arial"/>
          <w:color w:val="000000" w:themeColor="text1"/>
          <w:sz w:val="24"/>
          <w:szCs w:val="24"/>
          <w:lang w:val="en-US"/>
        </w:rPr>
        <w:t>-term</w:t>
      </w:r>
      <w:r w:rsidR="00685476" w:rsidRPr="00F941E3">
        <w:rPr>
          <w:rFonts w:ascii="Arial" w:hAnsi="Arial" w:cs="Arial"/>
          <w:color w:val="000000" w:themeColor="text1"/>
          <w:sz w:val="24"/>
          <w:szCs w:val="24"/>
          <w:lang w:val="en-US"/>
        </w:rPr>
        <w:t xml:space="preserve"> sick leave</w:t>
      </w:r>
      <w:r w:rsidR="008151AF" w:rsidRPr="00F941E3">
        <w:rPr>
          <w:rFonts w:ascii="Arial" w:hAnsi="Arial" w:cs="Arial"/>
          <w:color w:val="000000" w:themeColor="text1"/>
          <w:sz w:val="24"/>
          <w:szCs w:val="24"/>
          <w:lang w:val="en-US"/>
        </w:rPr>
        <w:t xml:space="preserve">. </w:t>
      </w:r>
      <w:r w:rsidR="00413B5F" w:rsidRPr="00F941E3">
        <w:rPr>
          <w:rFonts w:ascii="Arial" w:hAnsi="Arial" w:cs="Arial"/>
          <w:color w:val="000000" w:themeColor="text1"/>
          <w:sz w:val="24"/>
          <w:szCs w:val="24"/>
          <w:lang w:val="en-US"/>
        </w:rPr>
        <w:t xml:space="preserve">First, women were more likely to </w:t>
      </w:r>
      <w:r w:rsidR="00D47E1C" w:rsidRPr="00F941E3">
        <w:rPr>
          <w:rFonts w:ascii="Arial" w:hAnsi="Arial" w:cs="Arial"/>
          <w:color w:val="000000" w:themeColor="text1"/>
          <w:sz w:val="24"/>
          <w:szCs w:val="24"/>
          <w:lang w:val="en-US"/>
        </w:rPr>
        <w:t>take</w:t>
      </w:r>
      <w:r w:rsidR="00413B5F" w:rsidRPr="00F941E3">
        <w:rPr>
          <w:rFonts w:ascii="Arial" w:hAnsi="Arial" w:cs="Arial"/>
          <w:color w:val="000000" w:themeColor="text1"/>
          <w:sz w:val="24"/>
          <w:szCs w:val="24"/>
          <w:lang w:val="en-US"/>
        </w:rPr>
        <w:t xml:space="preserve"> long</w:t>
      </w:r>
      <w:r w:rsidR="00D47E1C" w:rsidRPr="00F941E3">
        <w:rPr>
          <w:rFonts w:ascii="Arial" w:hAnsi="Arial" w:cs="Arial"/>
          <w:color w:val="000000" w:themeColor="text1"/>
          <w:sz w:val="24"/>
          <w:szCs w:val="24"/>
          <w:lang w:val="en-US"/>
        </w:rPr>
        <w:t>-term</w:t>
      </w:r>
      <w:r w:rsidR="00413B5F" w:rsidRPr="00F941E3">
        <w:rPr>
          <w:rFonts w:ascii="Arial" w:hAnsi="Arial" w:cs="Arial"/>
          <w:color w:val="000000" w:themeColor="text1"/>
          <w:sz w:val="24"/>
          <w:szCs w:val="24"/>
          <w:lang w:val="en-US"/>
        </w:rPr>
        <w:t xml:space="preserve"> sick leave than their male counterparts</w:t>
      </w:r>
      <w:r w:rsidR="008040AD" w:rsidRPr="00F941E3">
        <w:rPr>
          <w:rFonts w:ascii="Arial" w:hAnsi="Arial" w:cs="Arial"/>
          <w:color w:val="000000" w:themeColor="text1"/>
          <w:sz w:val="24"/>
          <w:szCs w:val="24"/>
          <w:lang w:val="en-US"/>
        </w:rPr>
        <w:t>.</w:t>
      </w:r>
      <w:r w:rsidR="00FD2F54" w:rsidRPr="00F941E3">
        <w:rPr>
          <w:rFonts w:ascii="Arial" w:hAnsi="Arial" w:cs="Arial"/>
          <w:color w:val="000000" w:themeColor="text1"/>
          <w:sz w:val="24"/>
          <w:szCs w:val="24"/>
          <w:lang w:val="en-US"/>
        </w:rPr>
        <w:t xml:space="preserve"> This finding is relatively unexpected because </w:t>
      </w:r>
      <w:r w:rsidR="00665881" w:rsidRPr="00F941E3">
        <w:rPr>
          <w:rFonts w:ascii="Arial" w:hAnsi="Arial" w:cs="Arial"/>
          <w:color w:val="000000" w:themeColor="text1"/>
          <w:sz w:val="24"/>
          <w:szCs w:val="24"/>
          <w:lang w:val="en-US"/>
        </w:rPr>
        <w:t xml:space="preserve">previous research </w:t>
      </w:r>
      <w:r w:rsidR="00B026A8" w:rsidRPr="00F941E3">
        <w:rPr>
          <w:rFonts w:ascii="Arial" w:hAnsi="Arial" w:cs="Arial"/>
          <w:color w:val="000000" w:themeColor="text1"/>
          <w:sz w:val="24"/>
          <w:szCs w:val="24"/>
          <w:lang w:val="en-US"/>
        </w:rPr>
        <w:t>tends to suggest</w:t>
      </w:r>
      <w:r w:rsidR="00665881" w:rsidRPr="00F941E3">
        <w:rPr>
          <w:rFonts w:ascii="Arial" w:hAnsi="Arial" w:cs="Arial"/>
          <w:color w:val="000000" w:themeColor="text1"/>
          <w:sz w:val="24"/>
          <w:szCs w:val="24"/>
          <w:lang w:val="en-US"/>
        </w:rPr>
        <w:t xml:space="preserve"> that </w:t>
      </w:r>
      <w:r w:rsidR="00FD2F54" w:rsidRPr="00F941E3">
        <w:rPr>
          <w:rFonts w:ascii="Arial" w:hAnsi="Arial" w:cs="Arial"/>
          <w:color w:val="000000" w:themeColor="text1"/>
          <w:sz w:val="24"/>
          <w:szCs w:val="24"/>
          <w:lang w:val="en-US"/>
        </w:rPr>
        <w:t xml:space="preserve">male sex is a risk factor for </w:t>
      </w:r>
      <w:r w:rsidR="00B65DC3" w:rsidRPr="00F941E3">
        <w:rPr>
          <w:rFonts w:ascii="Arial" w:hAnsi="Arial" w:cs="Arial"/>
          <w:color w:val="000000" w:themeColor="text1"/>
          <w:sz w:val="24"/>
          <w:szCs w:val="24"/>
          <w:lang w:val="en-US"/>
        </w:rPr>
        <w:t xml:space="preserve">severe </w:t>
      </w:r>
      <w:r w:rsidR="00FD2F54" w:rsidRPr="00F941E3">
        <w:rPr>
          <w:rFonts w:ascii="Arial" w:hAnsi="Arial" w:cs="Arial"/>
          <w:color w:val="000000" w:themeColor="text1"/>
          <w:sz w:val="24"/>
          <w:szCs w:val="24"/>
          <w:lang w:val="en-US"/>
        </w:rPr>
        <w:t xml:space="preserve">COVID-19 </w:t>
      </w:r>
      <w:r w:rsidR="00EA6883" w:rsidRPr="00F941E3">
        <w:rPr>
          <w:rFonts w:ascii="Arial" w:hAnsi="Arial" w:cs="Arial"/>
          <w:color w:val="000000" w:themeColor="text1"/>
          <w:sz w:val="24"/>
          <w:szCs w:val="24"/>
          <w:lang w:val="en-US"/>
        </w:rPr>
        <w:t xml:space="preserve">and </w:t>
      </w:r>
      <w:r w:rsidR="00B65DC3" w:rsidRPr="00F941E3">
        <w:rPr>
          <w:rFonts w:ascii="Arial" w:hAnsi="Arial" w:cs="Arial"/>
          <w:color w:val="000000" w:themeColor="text1"/>
          <w:sz w:val="24"/>
          <w:szCs w:val="24"/>
          <w:lang w:val="en-US"/>
        </w:rPr>
        <w:t xml:space="preserve">COVID-19 </w:t>
      </w:r>
      <w:r w:rsidR="00FD2F54" w:rsidRPr="00F941E3">
        <w:rPr>
          <w:rFonts w:ascii="Arial" w:hAnsi="Arial" w:cs="Arial"/>
          <w:color w:val="000000" w:themeColor="text1"/>
          <w:sz w:val="24"/>
          <w:szCs w:val="24"/>
          <w:lang w:val="en-US"/>
        </w:rPr>
        <w:t>complications</w:t>
      </w:r>
      <w:r w:rsidR="006E5C70" w:rsidRPr="00F941E3">
        <w:rPr>
          <w:rFonts w:ascii="Arial" w:hAnsi="Arial" w:cs="Arial"/>
          <w:color w:val="000000" w:themeColor="text1"/>
          <w:sz w:val="24"/>
          <w:szCs w:val="24"/>
          <w:lang w:val="en-US"/>
        </w:rPr>
        <w:t xml:space="preserve"> </w:t>
      </w:r>
      <w:r w:rsidR="006E5C70"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{"citationID":"77GTrAG8","properties":{"formattedCitation":"(Vahidy et al., 2021)","plainCitation":"(Vahidy et al., 2021)","noteIndex":0},"citationItems":[{"id":20887,"uris":["http://zotero.org/users/local/hhPVnw6l/items/XTJ74MA7"],"uri":["http://zotero.org/users/local/hhPVnw6l/items/XTJ74MA7"],"itemData":{"id":20887,"type":"article-journal","abstract":"INTRODUCTION: Sex is increasingly recognized as an important factor in the epidemiology and outcome of many diseases. This also appears to hold for coronavirus disease 2019 (COVID-19). Evidence from China and Europe has suggested that mortality from COVID-19 infection is higher in men than women, but evidence from US populations is lacking. Utilizing data from a large healthcare provider, we determined if males, as compared to females have a higher likelihood of SARS-CoV-2 susceptibility, and if among the hospitalized COVID-19 patients, male sex is independently associated with COVID-19 severity and poor in-hospital outcomes.\nMETHODS AND FINDINGS: Using the Strengthening the Reporting of Observational Studies in Epidemiology (STROBE) guidelines, we conducted a cross-sectional analysis of data from a COVID-19 Surveillance and Outcomes Registry (CURATOR). Data were extracted from Electronic Medical Records (EMR). A total of 96,473 individuals tested for SARS-CoV-2 RNA in nasopharyngeal swab specimens via Polymerized Chain Reaction (PCR) tests were included. For hospital-based analyses, all patients admitted during the same time-period were included. Of the 96,473 patients tested, 14,992 (15.6%) tested positive, of whom 4,785 (31.9%) were hospitalized and 452 (9.5%) died. Among all patients tested, men were significantly older. The overall SARS-CoV-2 positivity among all tested individuals was 15.5%, and was higher in males as compared to females 17.0% vs. 14.6% [OR 1.20]. This sex difference held after adjusting for age, race, ethnicity, marital status, insurance type, median income, BMI, smoking and 17 comorbidities included in Charlson Comorbidity Index (CCI) [aOR 1.39]. A higher proportion of males (vs. females) experienced pulmonary (ARDS, hypoxic respiratory failure) and extra-pulmonary (acute renal injury) complications during their hospital course. After adjustment, length of stay (LOS), need for mechanical ventilation, and in-hospital mortality were significantly higher in males as compared to females.\nCONCLUSIONS: In this analysis of a large US cohort, males were more likely to test positive for COVID-19. In hospitalized patients, males were more likely to have complications, require ICU admission and mechanical ventilation, and had higher mortality than females, independent of age. Sex disparities in COVID-19 vulnerability are present, and emphasize the importance of examining sex-disaggregated data to improve our understanding of the biological processes involved to potentially tailor treatment and risk stratify patients.","container-title":"PloS One","DOI":"10.1371/journal.pone.0245556","ISSN":"1932-6203","issue":"1","journalAbbreviation":"PLoS One","language":"eng","note":"PMID: 33439908\nPMCID: PMC7806140","page":"e0245556","source":"PubMed","title":"Sex differences in susceptibility, severity, and outcomes of coronavirus disease 2019: Cross-sectional analysis from a diverse US metropolitan area","title-short":"Sex differences in susceptibility, severity, and outcomes of coronavirus disease 2019","volume":"16","author":[{"family":"Vahidy","given":"Farhaan S."},{"family":"Pan","given":"Alan P."},{"family":"Ahnstedt","given":"Hilda"},{"family":"Munshi","given":"Yashasvee"},{"family":"Choi","given":"Huimahn A."},{"family":"Tiruneh","given":"Yordanos"},{"family":"Nasir","given":"Khurram"},{"family":"Kash","given":"Bita A."},{"family":"Andrieni","given":"Julia D."},{"family":"McCullough","given":"Louise D."}],"issued":{"date-parts":[["2021"]]}}}],"schema":"https://github.com/citation-style-language/schema/raw/master/csl-citation.json"} </w:instrText>
      </w:r>
      <w:r w:rsidR="006E5C70"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(Vahidy et al., 2021)</w:t>
      </w:r>
      <w:r w:rsidR="006E5C70" w:rsidRPr="00F941E3">
        <w:rPr>
          <w:rFonts w:ascii="Arial" w:hAnsi="Arial" w:cs="Arial"/>
          <w:color w:val="000000" w:themeColor="text1"/>
          <w:sz w:val="24"/>
          <w:szCs w:val="24"/>
          <w:lang w:val="en-US"/>
        </w:rPr>
        <w:fldChar w:fldCharType="end"/>
      </w:r>
      <w:r w:rsidR="00CB312C" w:rsidRPr="00F941E3">
        <w:rPr>
          <w:rFonts w:ascii="Arial" w:hAnsi="Arial" w:cs="Arial"/>
          <w:color w:val="000000" w:themeColor="text1"/>
          <w:sz w:val="24"/>
          <w:szCs w:val="24"/>
          <w:lang w:val="en-US"/>
        </w:rPr>
        <w:t xml:space="preserve">. That being said, </w:t>
      </w:r>
      <w:r w:rsidR="00792E00" w:rsidRPr="00F941E3">
        <w:rPr>
          <w:rFonts w:ascii="Arial" w:hAnsi="Arial" w:cs="Arial"/>
          <w:color w:val="000000" w:themeColor="text1"/>
          <w:sz w:val="24"/>
          <w:szCs w:val="24"/>
          <w:lang w:val="en-US"/>
        </w:rPr>
        <w:t xml:space="preserve">persistent fatigue after COVID-19 </w:t>
      </w:r>
      <w:r w:rsidR="00AF07E0" w:rsidRPr="00F941E3">
        <w:rPr>
          <w:rFonts w:ascii="Arial" w:hAnsi="Arial" w:cs="Arial"/>
          <w:color w:val="000000" w:themeColor="text1"/>
          <w:sz w:val="24"/>
          <w:szCs w:val="24"/>
          <w:lang w:val="en-US"/>
        </w:rPr>
        <w:t xml:space="preserve">is more </w:t>
      </w:r>
      <w:r w:rsidR="00D47E1C" w:rsidRPr="00F941E3">
        <w:rPr>
          <w:rFonts w:ascii="Arial" w:hAnsi="Arial" w:cs="Arial"/>
          <w:color w:val="000000" w:themeColor="text1"/>
          <w:sz w:val="24"/>
          <w:szCs w:val="24"/>
          <w:lang w:val="en-US"/>
        </w:rPr>
        <w:t xml:space="preserve">common </w:t>
      </w:r>
      <w:r w:rsidR="00AF07E0" w:rsidRPr="00F941E3">
        <w:rPr>
          <w:rFonts w:ascii="Arial" w:hAnsi="Arial" w:cs="Arial"/>
          <w:color w:val="000000" w:themeColor="text1"/>
          <w:sz w:val="24"/>
          <w:szCs w:val="24"/>
          <w:lang w:val="en-US"/>
        </w:rPr>
        <w:t>in women than in men</w:t>
      </w:r>
      <w:r w:rsidR="00CF24F3" w:rsidRPr="00F941E3">
        <w:rPr>
          <w:rFonts w:ascii="Arial" w:hAnsi="Arial" w:cs="Arial"/>
          <w:color w:val="000000" w:themeColor="text1"/>
          <w:sz w:val="24"/>
          <w:szCs w:val="24"/>
          <w:lang w:val="en-US"/>
        </w:rPr>
        <w:t xml:space="preserve"> </w:t>
      </w:r>
      <w:r w:rsidR="00CF24F3"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{"citationID":"LEeKhS85","properties":{"formattedCitation":"(Townsend et al., 2020)","plainCitation":"(Townsend et al., 2020)","noteIndex":0},"citationItems":[{"id":20890,"uris":["http://zotero.org/users/local/hhPVnw6l/items/4GMG24M2"],"uri":["http://zotero.org/users/local/hhPVnw6l/items/4GMG24M2"],"itemData":{"id":20890,"type":"article-journal","abstract":"Fatigue is a common symptom in those presenting with symptomatic COVID-19 infection. However, it is unknown if COVID-19 results in persistent fatigue in those recovered from acute infection. We examined the prevalence of fatigue in individuals recovered from the acute phase of COVID-19 illness using the Chalder Fatigue Score (CFQ-11). We further examined potential predictors of fatigue following COVID-19 infection, evaluating indicators of COVID-19 severity, markers of peripheral immune activation and circulating pro-inflammatory cytokines. Of 128 participants (49.5 ± 15 years; 54% female), more than half reported persistent fatigue (67/128; 52.3%) at median of 10 weeks after initial COVID-19 symptoms. There was no association between COVID-19 severity (need for inpatient admission, supplemental oxygen or critical care) and fatigue following COVID-19. Additionally, there was no association between routine laboratory markers of inflammation and cell turnover (leukocyte, neutrophil or lymphocyte counts, neutrophil-to-lymphocyte ratio, lactate dehydrogenase, C-reactive protein) or pro-inflammatory molecules (IL-6 or sCD25) and fatigue post COVID-19. Female gender and those with a pre-existing diagnosis of depression/anxiety were over-represented in those with fatigue. Our findings demonstrate a significant burden of post-viral fatigue in individuals with previous SARS-CoV-2 infection after the acute phase of COVID-19 illness. This study highlights the importance of assessing those recovering from COVID-19 for symptoms of severe fatigue, irrespective of severity of initial illness, and may identify a group worthy of further study and early intervention.","container-title":"PLoS ONE","DOI":"10.1371/journal.pone.0240784","ISSN":"1932-6203","issue":"11","journalAbbreviation":"PLoS One","note":"PMID: 33166287\nPMCID: PMC7652254","source":"PubMed Central","title":"Persistent fatigue following SARS-CoV-2 infection is common and independent of severity of initial infection","URL":"https://www.ncbi.nlm.nih.gov/pmc/articles/PMC7652254/","volume":"15","author":[{"family":"Townsend","given":"Liam"},{"family":"Dyer","given":"Adam H."},{"family":"Jones","given":"Karen"},{"family":"Dunne","given":"Jean"},{"family":"Mooney","given":"Aoife"},{"family":"Gaffney","given":"Fiona"},{"family":"O'Connor","given":"Laura"},{"family":"Leavy","given":"Deirdre"},{"family":"O'Brien","given":"Kate"},{"family":"Dowds","given":"Joanne"},{"family":"Sugrue","given":"Jamie A."},{"family":"Hopkins","given":"David"},{"family":"Martin-Loeches","given":"Ignacio"},{"family":"Ni Cheallaigh","given":"Cliona"},{"family":"Nadarajan","given":"Parthiban"},{"family":"McLaughlin","given":"Anne Marie"},{"family":"Bourke","given":"Nollaig M."},{"family":"Bergin","given":"Colm"},{"family":"O'Farrelly","given":"Cliona"},{"family":"Bannan","given":"Ciaran"},{"family":"Conlon","given":"Niall"}],"accessed":{"date-parts":[["2021",6,8]]},"issued":{"date-parts":[["2020",11,9]]}}}],"schema":"https://github.com/citation-style-language/schema/raw/master/csl-citation.json"} </w:instrText>
      </w:r>
      <w:r w:rsidR="00CF24F3"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(Townsend et al., 2020)</w:t>
      </w:r>
      <w:r w:rsidR="00CF24F3" w:rsidRPr="00F941E3">
        <w:rPr>
          <w:rFonts w:ascii="Arial" w:hAnsi="Arial" w:cs="Arial"/>
          <w:color w:val="000000" w:themeColor="text1"/>
          <w:sz w:val="24"/>
          <w:szCs w:val="24"/>
          <w:lang w:val="en-US"/>
        </w:rPr>
        <w:fldChar w:fldCharType="end"/>
      </w:r>
      <w:r w:rsidR="00AF07E0" w:rsidRPr="00F941E3">
        <w:rPr>
          <w:rFonts w:ascii="Arial" w:hAnsi="Arial" w:cs="Arial"/>
          <w:color w:val="000000" w:themeColor="text1"/>
          <w:sz w:val="24"/>
          <w:szCs w:val="24"/>
          <w:lang w:val="en-US"/>
        </w:rPr>
        <w:t xml:space="preserve">, and </w:t>
      </w:r>
      <w:r w:rsidR="00D47E1C" w:rsidRPr="00F941E3">
        <w:rPr>
          <w:rFonts w:ascii="Arial" w:hAnsi="Arial" w:cs="Arial"/>
          <w:color w:val="000000" w:themeColor="text1"/>
          <w:sz w:val="24"/>
          <w:szCs w:val="24"/>
          <w:lang w:val="en-US"/>
        </w:rPr>
        <w:t xml:space="preserve">this </w:t>
      </w:r>
      <w:r w:rsidR="00AF07E0" w:rsidRPr="00F941E3">
        <w:rPr>
          <w:rFonts w:ascii="Arial" w:hAnsi="Arial" w:cs="Arial"/>
          <w:color w:val="000000" w:themeColor="text1"/>
          <w:sz w:val="24"/>
          <w:szCs w:val="24"/>
          <w:lang w:val="en-US"/>
        </w:rPr>
        <w:t xml:space="preserve">might explain </w:t>
      </w:r>
      <w:r w:rsidR="00025E37" w:rsidRPr="00F941E3">
        <w:rPr>
          <w:rFonts w:ascii="Arial" w:hAnsi="Arial" w:cs="Arial"/>
          <w:color w:val="000000" w:themeColor="text1"/>
          <w:sz w:val="24"/>
          <w:szCs w:val="24"/>
          <w:lang w:val="en-US"/>
        </w:rPr>
        <w:t>why the prevalence of long</w:t>
      </w:r>
      <w:r w:rsidR="00D47E1C" w:rsidRPr="00F941E3">
        <w:rPr>
          <w:rFonts w:ascii="Arial" w:hAnsi="Arial" w:cs="Arial"/>
          <w:color w:val="000000" w:themeColor="text1"/>
          <w:sz w:val="24"/>
          <w:szCs w:val="24"/>
          <w:lang w:val="en-US"/>
        </w:rPr>
        <w:t>-term</w:t>
      </w:r>
      <w:r w:rsidR="00025E37" w:rsidRPr="00F941E3">
        <w:rPr>
          <w:rFonts w:ascii="Arial" w:hAnsi="Arial" w:cs="Arial"/>
          <w:color w:val="000000" w:themeColor="text1"/>
          <w:sz w:val="24"/>
          <w:szCs w:val="24"/>
          <w:lang w:val="en-US"/>
        </w:rPr>
        <w:t xml:space="preserve"> sick leave was </w:t>
      </w:r>
      <w:r w:rsidR="009F2711" w:rsidRPr="00F941E3">
        <w:rPr>
          <w:rFonts w:ascii="Arial" w:hAnsi="Arial" w:cs="Arial"/>
          <w:color w:val="000000" w:themeColor="text1"/>
          <w:sz w:val="24"/>
          <w:szCs w:val="24"/>
          <w:lang w:val="en-US"/>
        </w:rPr>
        <w:t xml:space="preserve">higher </w:t>
      </w:r>
      <w:r w:rsidR="00025E37" w:rsidRPr="00F941E3">
        <w:rPr>
          <w:rFonts w:ascii="Arial" w:hAnsi="Arial" w:cs="Arial"/>
          <w:color w:val="000000" w:themeColor="text1"/>
          <w:sz w:val="24"/>
          <w:szCs w:val="24"/>
          <w:lang w:val="en-US"/>
        </w:rPr>
        <w:t>in women than in men.</w:t>
      </w:r>
      <w:r w:rsidR="00183197" w:rsidRPr="00F941E3">
        <w:rPr>
          <w:rFonts w:ascii="Arial" w:hAnsi="Arial" w:cs="Arial"/>
          <w:color w:val="000000" w:themeColor="text1"/>
          <w:sz w:val="24"/>
          <w:szCs w:val="24"/>
          <w:lang w:val="en-US"/>
        </w:rPr>
        <w:t xml:space="preserve"> Second, there was a positive relationship between increasing age and </w:t>
      </w:r>
      <w:r w:rsidR="00183197" w:rsidRPr="00F941E3">
        <w:rPr>
          <w:rFonts w:ascii="Arial" w:hAnsi="Arial" w:cs="Arial"/>
          <w:color w:val="000000" w:themeColor="text1"/>
          <w:sz w:val="24"/>
          <w:szCs w:val="24"/>
          <w:lang w:val="en-US"/>
        </w:rPr>
        <w:lastRenderedPageBreak/>
        <w:t>long</w:t>
      </w:r>
      <w:r w:rsidR="00D47E1C" w:rsidRPr="00F941E3">
        <w:rPr>
          <w:rFonts w:ascii="Arial" w:hAnsi="Arial" w:cs="Arial"/>
          <w:color w:val="000000" w:themeColor="text1"/>
          <w:sz w:val="24"/>
          <w:szCs w:val="24"/>
          <w:lang w:val="en-US"/>
        </w:rPr>
        <w:t>-term</w:t>
      </w:r>
      <w:r w:rsidR="00183197" w:rsidRPr="00F941E3">
        <w:rPr>
          <w:rFonts w:ascii="Arial" w:hAnsi="Arial" w:cs="Arial"/>
          <w:color w:val="000000" w:themeColor="text1"/>
          <w:sz w:val="24"/>
          <w:szCs w:val="24"/>
          <w:lang w:val="en-US"/>
        </w:rPr>
        <w:t xml:space="preserve"> sick leave. </w:t>
      </w:r>
      <w:r w:rsidR="00D9294B" w:rsidRPr="00F941E3">
        <w:rPr>
          <w:rFonts w:ascii="Arial" w:hAnsi="Arial" w:cs="Arial"/>
          <w:color w:val="000000" w:themeColor="text1"/>
          <w:sz w:val="24"/>
          <w:szCs w:val="24"/>
          <w:lang w:val="en-US"/>
        </w:rPr>
        <w:t xml:space="preserve">A </w:t>
      </w:r>
      <w:r w:rsidR="00E46C7E" w:rsidRPr="00F941E3">
        <w:rPr>
          <w:rFonts w:ascii="Arial" w:hAnsi="Arial" w:cs="Arial"/>
          <w:color w:val="000000" w:themeColor="text1"/>
          <w:sz w:val="24"/>
          <w:szCs w:val="24"/>
          <w:lang w:val="en-US"/>
        </w:rPr>
        <w:t xml:space="preserve">systematic review and </w:t>
      </w:r>
      <w:r w:rsidR="00D9294B" w:rsidRPr="00F941E3">
        <w:rPr>
          <w:rFonts w:ascii="Arial" w:hAnsi="Arial" w:cs="Arial"/>
          <w:color w:val="000000" w:themeColor="text1"/>
          <w:sz w:val="24"/>
          <w:szCs w:val="24"/>
          <w:lang w:val="en-US"/>
        </w:rPr>
        <w:t xml:space="preserve">meta-analysis </w:t>
      </w:r>
      <w:r w:rsidR="00E46C7E" w:rsidRPr="00F941E3">
        <w:rPr>
          <w:rFonts w:ascii="Arial" w:hAnsi="Arial" w:cs="Arial"/>
          <w:color w:val="000000" w:themeColor="text1"/>
          <w:sz w:val="24"/>
          <w:szCs w:val="24"/>
          <w:lang w:val="en-US"/>
        </w:rPr>
        <w:t xml:space="preserve">of </w:t>
      </w:r>
      <w:r w:rsidR="00971DFF" w:rsidRPr="00F941E3">
        <w:rPr>
          <w:rFonts w:ascii="Arial" w:hAnsi="Arial" w:cs="Arial"/>
          <w:color w:val="000000" w:themeColor="text1"/>
          <w:sz w:val="24"/>
          <w:szCs w:val="24"/>
          <w:lang w:val="en-US"/>
        </w:rPr>
        <w:t xml:space="preserve">12 studies </w:t>
      </w:r>
      <w:r w:rsidR="0060687A" w:rsidRPr="00F941E3">
        <w:rPr>
          <w:rFonts w:ascii="Arial" w:hAnsi="Arial" w:cs="Arial"/>
          <w:color w:val="000000" w:themeColor="text1"/>
          <w:sz w:val="24"/>
          <w:szCs w:val="24"/>
          <w:lang w:val="en-US"/>
        </w:rPr>
        <w:t xml:space="preserve">(N = 3,064 patients with COVID-19) revealed that </w:t>
      </w:r>
      <w:r w:rsidR="00343DDD" w:rsidRPr="00F941E3">
        <w:rPr>
          <w:rFonts w:ascii="Arial" w:hAnsi="Arial" w:cs="Arial"/>
          <w:color w:val="000000" w:themeColor="text1"/>
          <w:sz w:val="24"/>
          <w:szCs w:val="24"/>
          <w:lang w:val="en-US"/>
        </w:rPr>
        <w:t xml:space="preserve">older age increases the risk </w:t>
      </w:r>
      <w:r w:rsidR="00363CE9" w:rsidRPr="00F941E3">
        <w:rPr>
          <w:rFonts w:ascii="Arial" w:hAnsi="Arial" w:cs="Arial"/>
          <w:color w:val="000000" w:themeColor="text1"/>
          <w:sz w:val="24"/>
          <w:szCs w:val="24"/>
          <w:lang w:val="en-US"/>
        </w:rPr>
        <w:t xml:space="preserve">of several complications (i.e., </w:t>
      </w:r>
      <w:r w:rsidR="002F0817" w:rsidRPr="00F941E3">
        <w:rPr>
          <w:rFonts w:ascii="Arial" w:hAnsi="Arial" w:cs="Arial"/>
          <w:color w:val="000000" w:themeColor="text1"/>
          <w:sz w:val="24"/>
          <w:szCs w:val="24"/>
          <w:lang w:val="en-US"/>
        </w:rPr>
        <w:t>acute respiratory distress syndrome, acute kidney injury, acute cardiac injury, and shock)</w:t>
      </w:r>
      <w:r w:rsidR="008162F3" w:rsidRPr="00F941E3">
        <w:rPr>
          <w:rFonts w:ascii="Arial" w:hAnsi="Arial" w:cs="Arial"/>
          <w:color w:val="000000" w:themeColor="text1"/>
          <w:sz w:val="24"/>
          <w:szCs w:val="24"/>
          <w:lang w:val="en-US"/>
        </w:rPr>
        <w:t xml:space="preserve"> </w:t>
      </w:r>
      <w:r w:rsidR="008162F3"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{"citationID":"hIIexxn8","properties":{"formattedCitation":"(Tiruneh et al., 2021)","plainCitation":"(Tiruneh et al., 2021)","noteIndex":0},"citationItems":[{"id":20893,"uris":["http://zotero.org/users/local/hhPVnw6l/items/4CNSYDKI"],"uri":["http://zotero.org/users/local/hhPVnw6l/items/4CNSYDKI"],"itemData":{"id":20893,"type":"article-journal","abstract":"BACKGROUND: The coronavirus (COVID-19) pandemic was reported from Wuhan, China, on December 31, 2019, and the pandemic was spread to more than 212 countries in the globe. This meta-analysis aimed to assess the pooled incidence of COVID-19 complications and to identify the association between the incidence of complications and age.\nMETHODS: Comprehensive databases, PubMed, Hinari, and Google Scholar, were used to locate potential articles for this review. Data were extracted using Microsoft Excel and imported to the STATA/MP version 16.0 software for analysis. Heterogeneity between studies was assessed using the Cochrane Q test statistics and I2 test, and small study effect was checked using Egger's statistical test at 5% significant level. Sensitivity analysis was checked. A random-effects model was conducted to estimate the pooled incidence of COVID-19 complications. Univariate meta-regression was conducted to identify the association between the mean ages with each complication.\nRESULTS: From the total of 1237 studies, 12 studies were included with a total of 3064 COVID-19 patients. The most complications were acute respiratory distress syndrome (30.93%, 95%CI 21.3-40.6%) followed by acute liver injury (22.8%, 95%CI 14-31.5%), shock (10.9%, 95%CI 7.4-14.4%), acute kidney injury (7%, 95%CI 3.8-10.4%), and acute cardiac injury (6.4%, 95%CI 2.8-15.6%). Univariate meta-regression revealed that as the mean age increased by 1 year, the incidence of acute respiratory distress syndrome, acute kidney injury, acute cardiac injury, and shock increased by a factor of 2.9 (β = 2.9, 95%CI 2.4-3.4, adjusted R2 = 88), 0.4 (β = 0.4, 95%CI 0.04-0.72, adjusted R2 = 54), 1.6 (β = 1.6, 95%CI 1.1-2.1, adjusted R2 = 85), and 1.1 (β = 1.1, 95%CI 0.8-1.5, adjusted R2 = 26) times respectively.\nCONCLUSION: Significant complications of COVID-19 viral infections were reported. Older populations were a high-risk group of developing adverse complications as compared to their counterparts. Health care professionals should give primary attention to those risk group individuals.","container-title":"Systematic Reviews","DOI":"10.1186/s13643-021-01636-2","ISSN":"2046-4053","issue":"1","journalAbbreviation":"Syst Rev","language":"eng","note":"PMID: 33743821\nPMCID: PMC7980104","page":"80","source":"PubMed","title":"The effect of age on the incidence of COVID-19 complications: a systematic review and meta-analysis","title-short":"The effect of age on the incidence of COVID-19 complications","volume":"10","author":[{"family":"Tiruneh","given":"Sofonyas Abebaw"},{"family":"Tesema","given":"Zemenu Tadese"},{"family":"Azanaw","given":"Melkalem Mamuye"},{"family":"Angaw","given":"Dessie Abebaw"}],"issued":{"date-parts":[["2021",3,20]]}}}],"schema":"https://github.com/citation-style-language/schema/raw/master/csl-citation.json"} </w:instrText>
      </w:r>
      <w:r w:rsidR="008162F3"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(Tiruneh et al., 2021)</w:t>
      </w:r>
      <w:r w:rsidR="008162F3" w:rsidRPr="00F941E3">
        <w:rPr>
          <w:rFonts w:ascii="Arial" w:hAnsi="Arial" w:cs="Arial"/>
          <w:color w:val="000000" w:themeColor="text1"/>
          <w:sz w:val="24"/>
          <w:szCs w:val="24"/>
          <w:lang w:val="en-US"/>
        </w:rPr>
        <w:fldChar w:fldCharType="end"/>
      </w:r>
      <w:r w:rsidR="002650AE" w:rsidRPr="00F941E3">
        <w:rPr>
          <w:rFonts w:ascii="Arial" w:hAnsi="Arial" w:cs="Arial"/>
          <w:color w:val="000000" w:themeColor="text1"/>
          <w:sz w:val="24"/>
          <w:szCs w:val="24"/>
          <w:lang w:val="en-US"/>
        </w:rPr>
        <w:t xml:space="preserve">, and </w:t>
      </w:r>
      <w:r w:rsidR="00D47E1C" w:rsidRPr="00F941E3">
        <w:rPr>
          <w:rFonts w:ascii="Arial" w:hAnsi="Arial" w:cs="Arial"/>
          <w:color w:val="000000" w:themeColor="text1"/>
          <w:sz w:val="24"/>
          <w:szCs w:val="24"/>
          <w:lang w:val="en-US"/>
        </w:rPr>
        <w:t xml:space="preserve">the </w:t>
      </w:r>
      <w:r w:rsidR="0017018D" w:rsidRPr="00F941E3">
        <w:rPr>
          <w:rFonts w:ascii="Arial" w:hAnsi="Arial" w:cs="Arial"/>
          <w:color w:val="000000" w:themeColor="text1"/>
          <w:sz w:val="24"/>
          <w:szCs w:val="24"/>
          <w:lang w:val="en-US"/>
        </w:rPr>
        <w:t>return to work</w:t>
      </w:r>
      <w:r w:rsidR="007B2B7D" w:rsidRPr="00F941E3">
        <w:rPr>
          <w:rFonts w:ascii="Arial" w:hAnsi="Arial" w:cs="Arial"/>
          <w:color w:val="000000" w:themeColor="text1"/>
          <w:sz w:val="24"/>
          <w:szCs w:val="24"/>
          <w:lang w:val="en-US"/>
        </w:rPr>
        <w:t xml:space="preserve"> </w:t>
      </w:r>
      <w:r w:rsidR="0017018D" w:rsidRPr="00F941E3">
        <w:rPr>
          <w:rFonts w:ascii="Arial" w:hAnsi="Arial" w:cs="Arial"/>
          <w:color w:val="000000" w:themeColor="text1"/>
          <w:sz w:val="24"/>
          <w:szCs w:val="24"/>
          <w:lang w:val="en-US"/>
        </w:rPr>
        <w:t>might</w:t>
      </w:r>
      <w:r w:rsidR="00D47E1C" w:rsidRPr="00F941E3">
        <w:rPr>
          <w:rFonts w:ascii="Arial" w:hAnsi="Arial" w:cs="Arial"/>
          <w:color w:val="000000" w:themeColor="text1"/>
          <w:sz w:val="24"/>
          <w:szCs w:val="24"/>
          <w:lang w:val="en-US"/>
        </w:rPr>
        <w:t xml:space="preserve"> thus</w:t>
      </w:r>
      <w:r w:rsidR="0017018D" w:rsidRPr="00F941E3">
        <w:rPr>
          <w:rFonts w:ascii="Arial" w:hAnsi="Arial" w:cs="Arial"/>
          <w:color w:val="000000" w:themeColor="text1"/>
          <w:sz w:val="24"/>
          <w:szCs w:val="24"/>
          <w:lang w:val="en-US"/>
        </w:rPr>
        <w:t xml:space="preserve"> be more difficult</w:t>
      </w:r>
      <w:r w:rsidR="002650AE" w:rsidRPr="00F941E3">
        <w:rPr>
          <w:rFonts w:ascii="Arial" w:hAnsi="Arial" w:cs="Arial"/>
          <w:color w:val="000000" w:themeColor="text1"/>
          <w:sz w:val="24"/>
          <w:szCs w:val="24"/>
          <w:lang w:val="en-US"/>
        </w:rPr>
        <w:t xml:space="preserve"> in older adults than in younger populations</w:t>
      </w:r>
      <w:r w:rsidR="0017018D" w:rsidRPr="00F941E3">
        <w:rPr>
          <w:rFonts w:ascii="Arial" w:hAnsi="Arial" w:cs="Arial"/>
          <w:color w:val="000000" w:themeColor="text1"/>
          <w:sz w:val="24"/>
          <w:szCs w:val="24"/>
          <w:lang w:val="en-US"/>
        </w:rPr>
        <w:t xml:space="preserve">. Third, several conditions (i.e., noninfective enteritis and colitis, </w:t>
      </w:r>
      <w:r w:rsidR="008924FE" w:rsidRPr="00F941E3">
        <w:rPr>
          <w:rFonts w:ascii="Arial" w:hAnsi="Arial" w:cs="Arial"/>
          <w:color w:val="000000" w:themeColor="text1"/>
          <w:sz w:val="24"/>
          <w:szCs w:val="24"/>
          <w:lang w:val="en-US"/>
        </w:rPr>
        <w:t xml:space="preserve">reaction </w:t>
      </w:r>
      <w:r w:rsidR="0017018D" w:rsidRPr="00F941E3">
        <w:rPr>
          <w:rFonts w:ascii="Arial" w:hAnsi="Arial" w:cs="Arial"/>
          <w:color w:val="000000" w:themeColor="text1"/>
          <w:sz w:val="24"/>
          <w:szCs w:val="24"/>
          <w:lang w:val="en-US"/>
        </w:rPr>
        <w:t xml:space="preserve">to severe stress, and adjustment disorders, atopic dermatitis, mononeuropathies, reflux diseases, diabetes mellitus, and hypertension) were associated with </w:t>
      </w:r>
      <w:r w:rsidR="00D47E1C" w:rsidRPr="00F941E3">
        <w:rPr>
          <w:rFonts w:ascii="Arial" w:hAnsi="Arial" w:cs="Arial"/>
          <w:color w:val="000000" w:themeColor="text1"/>
          <w:sz w:val="24"/>
          <w:szCs w:val="24"/>
          <w:lang w:val="en-US"/>
        </w:rPr>
        <w:t xml:space="preserve">increased </w:t>
      </w:r>
      <w:r w:rsidR="0017018D" w:rsidRPr="00F941E3">
        <w:rPr>
          <w:rFonts w:ascii="Arial" w:hAnsi="Arial" w:cs="Arial"/>
          <w:color w:val="000000" w:themeColor="text1"/>
          <w:sz w:val="24"/>
          <w:szCs w:val="24"/>
          <w:lang w:val="en-US"/>
        </w:rPr>
        <w:t>odds of long</w:t>
      </w:r>
      <w:r w:rsidR="00D47E1C" w:rsidRPr="00F941E3">
        <w:rPr>
          <w:rFonts w:ascii="Arial" w:hAnsi="Arial" w:cs="Arial"/>
          <w:color w:val="000000" w:themeColor="text1"/>
          <w:sz w:val="24"/>
          <w:szCs w:val="24"/>
          <w:lang w:val="en-US"/>
        </w:rPr>
        <w:t>-term</w:t>
      </w:r>
      <w:r w:rsidR="0017018D" w:rsidRPr="00F941E3">
        <w:rPr>
          <w:rFonts w:ascii="Arial" w:hAnsi="Arial" w:cs="Arial"/>
          <w:color w:val="000000" w:themeColor="text1"/>
          <w:sz w:val="24"/>
          <w:szCs w:val="24"/>
          <w:lang w:val="en-US"/>
        </w:rPr>
        <w:t xml:space="preserve"> sick leave</w:t>
      </w:r>
      <w:r w:rsidR="00421E95" w:rsidRPr="00F941E3">
        <w:rPr>
          <w:rFonts w:ascii="Arial" w:hAnsi="Arial" w:cs="Arial"/>
          <w:color w:val="000000" w:themeColor="text1"/>
          <w:sz w:val="24"/>
          <w:szCs w:val="24"/>
          <w:lang w:val="en-US"/>
        </w:rPr>
        <w:t xml:space="preserve">. </w:t>
      </w:r>
      <w:r w:rsidR="00D47E1C" w:rsidRPr="00F941E3">
        <w:rPr>
          <w:rFonts w:ascii="Arial" w:hAnsi="Arial" w:cs="Arial"/>
          <w:color w:val="000000" w:themeColor="text1"/>
          <w:sz w:val="24"/>
          <w:szCs w:val="24"/>
          <w:lang w:val="en-US"/>
        </w:rPr>
        <w:t>Since</w:t>
      </w:r>
      <w:r w:rsidR="00421E95" w:rsidRPr="00F941E3">
        <w:rPr>
          <w:rFonts w:ascii="Arial" w:hAnsi="Arial" w:cs="Arial"/>
          <w:color w:val="000000" w:themeColor="text1"/>
          <w:sz w:val="24"/>
          <w:szCs w:val="24"/>
          <w:lang w:val="en-US"/>
        </w:rPr>
        <w:t xml:space="preserve"> noninfective enteritis and colitis, atopic dermatitis, mononeuropathies</w:t>
      </w:r>
      <w:r w:rsidR="006142DA" w:rsidRPr="00F941E3">
        <w:rPr>
          <w:rFonts w:ascii="Arial" w:hAnsi="Arial" w:cs="Arial"/>
          <w:color w:val="000000" w:themeColor="text1"/>
          <w:sz w:val="24"/>
          <w:szCs w:val="24"/>
          <w:lang w:val="en-US"/>
        </w:rPr>
        <w:t xml:space="preserve">, and reflux diseases </w:t>
      </w:r>
      <w:r w:rsidR="006B3D8D" w:rsidRPr="00F941E3">
        <w:rPr>
          <w:rFonts w:ascii="Arial" w:hAnsi="Arial" w:cs="Arial"/>
          <w:color w:val="000000" w:themeColor="text1"/>
          <w:sz w:val="24"/>
          <w:szCs w:val="24"/>
          <w:lang w:val="en-US"/>
        </w:rPr>
        <w:t>involve</w:t>
      </w:r>
      <w:r w:rsidR="00716D29" w:rsidRPr="00F941E3">
        <w:rPr>
          <w:rFonts w:ascii="Arial" w:hAnsi="Arial" w:cs="Arial"/>
          <w:color w:val="000000" w:themeColor="text1"/>
          <w:sz w:val="24"/>
          <w:szCs w:val="24"/>
          <w:lang w:val="en-US"/>
        </w:rPr>
        <w:t xml:space="preserve"> </w:t>
      </w:r>
      <w:r w:rsidR="006B3D8D" w:rsidRPr="00F941E3">
        <w:rPr>
          <w:rFonts w:ascii="Arial" w:hAnsi="Arial" w:cs="Arial"/>
          <w:color w:val="000000" w:themeColor="text1"/>
          <w:sz w:val="24"/>
          <w:szCs w:val="24"/>
          <w:lang w:val="en-US"/>
        </w:rPr>
        <w:t>immunological dysregulations</w:t>
      </w:r>
      <w:r w:rsidR="004E67EB" w:rsidRPr="00F941E3">
        <w:rPr>
          <w:rFonts w:ascii="Arial" w:hAnsi="Arial" w:cs="Arial"/>
          <w:color w:val="000000" w:themeColor="text1"/>
          <w:sz w:val="24"/>
          <w:szCs w:val="24"/>
          <w:lang w:val="en-US"/>
        </w:rPr>
        <w:t xml:space="preserve"> </w:t>
      </w:r>
      <w:r w:rsidR="00032FA6"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{"citationID":"aQPiNNHk","properties":{"formattedCitation":"(Elzinga et al., 2019; Lee et al., 2018; Miraglia del Giudice et al., 2006; Rieder et al., 2010)","plainCitation":"(Elzinga et al., 2019; Lee et al., 2018; Miraglia del Giudice et al., 2006; Rieder et al., 2010)","noteIndex":0},"citationItems":[{"id":20920,"uris":["http://zotero.org/users/local/hhPVnw6l/items/SSDYSJVL"],"uri":["http://zotero.org/users/local/hhPVnw6l/items/SSDYSJVL"],"itemData":{"id":20920,"type":"article-journal","abstract":"Neuropathy is a common, morbid complication of the metabolic syndrome, prediabetes, and diabetes. Recent studies have indicated a potential role for the immune system in the development of neuropathy. In particular, toll-like receptors (TLR) 2 and 4 have been linked to metabolic dysfunction, and blocking TLR4 is proposed as a treatment for neuropathic pain. In the current study, we investigated the role of the immune system, particularly TLRs 2 and 4, in the pathogenesis and progression of neuropathy. Sural or sciatic nerve gene expression arrays from humans and murine neuropathy models of prediabetes and diabetes were first analyzed to identify differentially expressed TLR2- and TLR4-associated genes within the KEGG (Kyoto Encyclopedia of Genes and Genomes) database. We observed that genes associated with TLRs 2 and 4, particularly lipopolysaccharide binding protein (LPB) and phosphatidylinositol-4,5-bisphosphate 3-kinase catalytic subunit beta (PIK3CB), were dysregulated across species and across multiple murine models of prediabetic and diabetic neuropathy. To further understand the role of these pathways in vivo, TLR 2 and 4 global knockout mice placed on a 60% high fat diet (HFD-TLR2/4-/-) were compared with wild type (WT) mice on a high fat diet (HFD-WT) and WT controls on a standard diet (CON). Mice then underwent metabolic, neuropathic, and immunological phenotyping at two time points to assess the impact of TLR signaling on neuropathy and immunity during metabolic dysfunction over time. We found that HFD-TLR2/4-/- and HFD-WT mice weighed more than CON mice but did not have increased fasting blood glucose levels. Despite normal blood glucose levels, HFD-TLR2/4-/- mice eventually developed neuropathy at the later time point (28 wks of age) but were somewhat protected from neuropathy at the early time point (16 wks of age) as measured by shorter hind paw withdraw latencies. This is in contrast to HFD-WT mice which developed neuropathy within 11 wks of being placed on a high fat diet and were neuropathic by all measures at both the early and late time points. Finally, we immunophenotyped all three mouse groups at the later time point and found differences in the number of peripheral blood Ly6C-myeloid cells as well as F4/80+ expression. These results indicate that TLR signaling influences early development of neuropathy in sensory neurons, potentially via immune modulation and recruitment.","container-title":"Experimental Neurology","DOI":"10.1016/j.expneurol.2019.112967","ISSN":"1090-2430","journalAbbreviation":"Exp Neurol","language":"eng","note":"PMID: 31145897\nPMCID: PMC6708507","page":"112967","source":"PubMed","title":"Toll-like receptors and inflammation in metabolic neuropathy; a role in early versus late disease?","volume":"320","author":[{"family":"Elzinga","given":"S."},{"family":"Murdock","given":"B. J."},{"family":"Guo","given":"K."},{"family":"Hayes","given":"J. M."},{"family":"Tabbey","given":"M. A."},{"family":"Hur","given":"J."},{"family":"Feldman","given":"E. L."}],"issued":{"date-parts":[["2019",10]]}}},{"id":20915,"uris":["http://zotero.org/users/local/hhPVnw6l/items/FWXDN3TC"],"uri":["http://zotero.org/users/local/hhPVnw6l/items/FWXDN3TC"],"itemData":{"id":20915,"type":"article-journal","abstract":"Inflammatory bowel disease (IBD) is a chronic inflammatory state of the gastrointestinal tract and can be classified into 2 main clinical phenomena: Crohn's disease (CD) and ulcerative colitis (UC). The pathogenesis of IBD, including CD and UC, involves the presence of pathogenic factors such as abnormal gut microbiota, immune response dysregulation, environmental changes, and gene variants. Although many investigations have tried to identify novel pathogenic factors associated with IBD that are related to environmental, genetic, microbial, and immune response factors, a full understanding of IBD pathogenesis is unclear. Thus, IBD treatment is far from optimal, and patient outcomes can be unsatisfactory. As result of massive studying on IBD, T helper 17 (Th17) cells and innate lymphoid cells (ILCs) are investigated on their effects on IBD. A recent study of the plasticity of Th17 cells focused primarily on colitis. ILCs also emerging as novel cell family, which play a role in the pathogenesis of IBD. IBD immunopathogenesis is key to understanding the causes of IBD and can lead to the development of IBD therapies. The aim of this review is to explain the pathogenesis of IBD, with a focus on immunological factors and therapies.","container-title":"Intestinal Research","DOI":"10.5217/ir.2018.16.1.26","ISSN":"1598-9100","issue":"1","journalAbbreviation":"Intest Res","language":"eng","note":"PMID: 29422795\nPMCID: PMC5797268","page":"26-42","source":"PubMed","title":"Immunological pathogenesis of inflammatory bowel disease","volume":"16","author":[{"family":"Lee","given":"Seung Hoon"},{"family":"Kwon","given":"Jeong Eun"},{"family":"Cho","given":"Mi-La"}],"issued":{"date-parts":[["2018",1]]}}},{"id":20918,"uris":["http://zotero.org/users/local/hhPVnw6l/items/MIZV43QT"],"uri":["http://zotero.org/users/local/hhPVnw6l/items/MIZV43QT"],"itemData":{"id":20918,"type":"article-journal","abstract":"Atopic dermatitis (AD) is a chronic, relapsing, highly pruritic, inflammatory skin disease characterized by cutaneous hyperreactivity to environmentals triggers. Recent data suggest the presence of two different forms of AD: an extrinsic AD with elevated IgE involving 70-80% of the patients and an intrinsic AD with serum IgE not elevated and no specific IgE. Patients with extrinsic AD have elevated Th2- and decreased Thl-expressing cells in the peripheral blood, with elevated IL-4 and IL-13 expression, as well as IL-5. On the contrary, the intrinsic AD is linked with much lower levels of IL-4 and IL-13. Genetic factors are involved in the control of the disease and in the intrinsic AD the same chromosomal regions seem to be associated with psoriasis susceptibility. The AD is characterized by a complex of immunological alterations involving interactions between IgE-bearing antigen-presenting cells, T-cell activation, mast-cell degranulation, keratinocytes, eosinophils, and a combination of immediate and cellular immune responses. Inflammatory dendritic epidermal cells constitute a distinct dendritic cells population that is mainly found in AD and could induce the Th2/Thl isotopic switch contributing to AD chronic phase. Therapy is based on interventation in the pathophysiology of atopic eczema and elimination of exogenous provocation factors.","container-title":"Allergy and Asthma Proceedings","DOI":"10.2500/aap.2006.27.2887","ISSN":"1088-5412","issue":"6","journalAbbreviation":"Allergy Asthma Proc","language":"eng","note":"PMID: 17176778","page":"451-455","source":"PubMed","title":"Immune dysregulation in atopic dermatitis","volume":"27","author":[{"family":"Miraglia del Giudice","given":"Michele"},{"family":"Decimo","given":"Fabio"},{"family":"Leonardi","given":"Salvatore"},{"family":"Maioello","given":"Nunzia"},{"family":"Amelio","given":"Raffaele"},{"family":"Capasso","given":"Antonella"},{"family":"Capristo","given":"Carlo"},{"family":"Capristo","given":"Angelo F."}],"issued":{"date-parts":[["2006",12]]}}},{"id":20923,"uris":["http://zotero.org/users/local/hhPVnw6l/items/2RSYPNC4"],"uri":["http://zotero.org/users/local/hhPVnw6l/items/2RSYPNC4"],"itemData":{"id":20923,"type":"article-journal","abstract":"Gastroesophageal reflux disease (GERD) is one of the most common problems in clinical practice today. It is widely believed that functional and structural abnormalities of the gastroesophageal junction as well as an abnormal exposure to gastroduodenal contents are the main contributors to its pathogenesis. Novel findings of the inflammatory process in GERD suggest a far more complex process involving multifaceted inflammatory mechanisms. This review summarizes knowledge about the expression of inflammatory mediators in GERD and their potential cellular sources and provides an integrated concept of disease pathogenesis. In addition we evaluate the contribution of inflammatory mediators to well-known complications of GERD, namely motility abnormalities, fibrosis, and carcinogenesis. Novel findings regarding the pathophysiology of esophageal inflammation should enhance our understanding of GERD and its complications and provide new treatment insights.","container-title":"American Journal of Physiology. Gastrointestinal and Liver Physiology","DOI":"10.1152/ajpgi.00454.2009","ISSN":"1522-1547","issue":"5","journalAbbreviation":"Am J Physiol Gastrointest Liver Physiol","language":"eng","note":"PMID: 20299604\nPMCID: PMC2867418","page":"G571-581","source":"PubMed","title":"Inflammatory mediators in gastroesophageal reflux disease: impact on esophageal motility, fibrosis, and carcinogenesis","title-short":"Inflammatory mediators in gastroesophageal reflux disease","volume":"298","author":[{"family":"Rieder","given":"Florian"},{"family":"Biancani","given":"Piero"},{"family":"Harnett","given":"Karen"},{"family":"Yerian","given":"Lisa"},{"family":"Falk","given":"Gary W."}],"issued":{"date-parts":[["2010",5]]}}}],"schema":"https://github.com/citation-style-language/schema/raw/master/csl-citation.json"} </w:instrText>
      </w:r>
      <w:r w:rsidR="00032FA6" w:rsidRPr="00F941E3">
        <w:rPr>
          <w:rFonts w:ascii="Arial" w:hAnsi="Arial" w:cs="Arial"/>
          <w:color w:val="000000" w:themeColor="text1"/>
          <w:sz w:val="24"/>
          <w:szCs w:val="24"/>
          <w:lang w:val="en-US"/>
        </w:rPr>
        <w:fldChar w:fldCharType="separate"/>
      </w:r>
      <w:r w:rsidR="00D50691" w:rsidRPr="00F941E3">
        <w:rPr>
          <w:rFonts w:ascii="Arial" w:hAnsi="Arial" w:cs="Arial"/>
          <w:color w:val="000000" w:themeColor="text1"/>
          <w:sz w:val="24"/>
          <w:lang w:val="en-US"/>
        </w:rPr>
        <w:t>(Elzinga et al., 2019; Lee et al., 2018; Miraglia del Giudice et al., 2006; Rieder et al., 2010)</w:t>
      </w:r>
      <w:r w:rsidR="00032FA6" w:rsidRPr="00F941E3">
        <w:rPr>
          <w:rFonts w:ascii="Arial" w:hAnsi="Arial" w:cs="Arial"/>
          <w:color w:val="000000" w:themeColor="text1"/>
          <w:sz w:val="24"/>
          <w:szCs w:val="24"/>
          <w:lang w:val="en-US"/>
        </w:rPr>
        <w:fldChar w:fldCharType="end"/>
      </w:r>
      <w:r w:rsidR="00421E95" w:rsidRPr="00F941E3">
        <w:rPr>
          <w:rFonts w:ascii="Arial" w:hAnsi="Arial" w:cs="Arial"/>
          <w:color w:val="000000" w:themeColor="text1"/>
          <w:sz w:val="24"/>
          <w:szCs w:val="24"/>
          <w:lang w:val="en-US"/>
        </w:rPr>
        <w:t xml:space="preserve">, </w:t>
      </w:r>
      <w:r w:rsidR="00E33E26" w:rsidRPr="00F941E3">
        <w:rPr>
          <w:rFonts w:ascii="Arial" w:hAnsi="Arial" w:cs="Arial"/>
          <w:color w:val="000000" w:themeColor="text1"/>
          <w:sz w:val="24"/>
          <w:szCs w:val="24"/>
          <w:lang w:val="en-US"/>
        </w:rPr>
        <w:t xml:space="preserve">and since some of these disorders may require the use of immunotherapies </w:t>
      </w:r>
      <w:r w:rsidR="00613AEB" w:rsidRPr="00F941E3">
        <w:rPr>
          <w:rFonts w:ascii="Arial" w:hAnsi="Arial" w:cs="Arial"/>
          <w:color w:val="000000" w:themeColor="text1"/>
          <w:sz w:val="24"/>
          <w:szCs w:val="24"/>
          <w:lang w:val="en-US"/>
        </w:rPr>
        <w:fldChar w:fldCharType="begin"/>
      </w:r>
      <w:r w:rsidR="00B63015" w:rsidRPr="00F941E3">
        <w:rPr>
          <w:rFonts w:ascii="Arial" w:hAnsi="Arial" w:cs="Arial"/>
          <w:color w:val="000000" w:themeColor="text1"/>
          <w:sz w:val="24"/>
          <w:szCs w:val="24"/>
          <w:lang w:val="en-US"/>
        </w:rPr>
        <w:instrText xml:space="preserve"> ADDIN ZOTERO_ITEM CSL_CITATION {"citationID":"6OBevGyX","properties":{"formattedCitation":"(Catalan-Serra and Brenna, 2018; L\\uc0\\u233{}ger et al., 2016; Werfel and Biedermann, 2015)","plainCitation":"(Catalan-Serra and Brenna, 2018; Léger et al., 2016; Werfel and Biedermann, 2015)","noteIndex":0},"citationItems":[{"id":21043,"uris":["http://zotero.org/users/local/hhPVnw6l/items/GAETW3NF"],"uri":["http://zotero.org/users/local/hhPVnw6l/items/GAETW3NF"],"itemData":{"id":21043,"type":"article-journal","abstract":"Inflammatory bowel disease (IBD) is a chronic disabling inflammatory process that affects young individuals, with growing incidence. The etiopathogenesis of IBD remains poorly understood. A combination of genetic and environmental factors triggers an inadequate immune response against the commensal intestinal flora in IBD patients. Thus, a better understanding of the immunological mechanisms involved in IBD pathogenesis is central to the development of new therapeutic options. Current pharmacological treatments used in clinical practice like thiopurines or anti-TNF are effective but can produce significant side effects and their efficacy may diminish over time. In fact, up to one third of the patients do not have a satisfactory response to these therapies. Consequently, the search for new therapeutic strategies targeting alternative immunological pathways has intensified. Several new oral and parenteral substances are in the pipeline for IBD. In this review we discuss novel therapies targeting alternative pro-inflammatory pathways like IL-12/23 axis, IL-6 pathway or Janus Kinase inhibitors; as well as others modulating anti-inflammatory signalling pathways like transforming growth factor-β1 (TGF-β1). We also highlight new emerging therapies targeting the adhesion and migration of leukocytes into the inflamed intestinal mucosa by blocking selectively different subunits of α4β7 integrins or binding alternative adhesion molecules like MAdCAM-1. Drugs reducing the circulating lymphocytes by sequestering them in secondary lymphoid organs (sphingosine-1-phosphate (S1P) receptor modulators) are also discussed. Finally, the latest advances in cell therapies using mesenchymal stem cells or engineered T regs are reviewed. In addition, we provide an update on the current status in clinical trials of these new immune-regulating therapies that open a new era in the treatment of IBD.","container-title":"Human Vaccines &amp; Immunotherapeutics","DOI":"10.1080/21645515.2018.1461297","ISSN":"2164-554X","issue":"11","journalAbbreviation":"Hum Vaccin Immunother","language":"eng","note":"PMID: 29624476\nPMCID: PMC6314405","page":"2597-2611","source":"PubMed","title":"Immunotherapy in inflammatory bowel disease: Novel and emerging treatments","title-short":"Immunotherapy in inflammatory bowel disease","volume":"14","author":[{"family":"Catalan-Serra","given":"Ignacio"},{"family":"Brenna","given":"Øystein"}],"issued":{"date-parts":[["2018"]]}}},{"id":21048,"uris":["http://zotero.org/users/local/hhPVnw6l/items/RFQEX56Q"],"uri":["http://zotero.org/users/local/hhPVnw6l/items/RFQEX56Q"],"itemData":{"id":21048,"type":"article-journal","abstract":"Immunotherapy has been investigated in a small subset of peripheral neuropathies, including an acute one, Guillain-Barré syndrome, and 3 chronic forms: chronic inflammatory demyelinating polyradiculoneuropathy, multifocal motor neuropathy, and neuropathy associated with IgM anti-myelin-associated glycoprotein. Several experimental studies and clinical data are strongly suggestive of an immune-mediated pathogenesis. Either cell-mediated mechanisms or antibody responses to Schwann cell, compact myelin, or nodal antigens are considered to act together in an aberrant immune response to cause damage to peripheral nerves. Immunomodulatory treatments used in these neuropathies aim to act at various steps of this pathogenic process. However, there are many phenotypic variants and, consequently, there is a significant difference in the response to immunotherapy between these neuropathies, as well as a need to improve our knowledge and long-term management of chronic forms.","container-title":"Neurotherapeutics: The Journal of the American Society for Experimental NeuroTherapeutics","DOI":"10.1007/s13311-015-0401-7","ISSN":"1878-7479","issue":"1","journalAbbreviation":"Neurotherapeutics","language":"eng","note":"PMID: 26602549\nPMCID: PMC4720673","page":"96-107","source":"PubMed","title":"Immunotherapy in Peripheral Neuropathies","volume":"13","author":[{"family":"Léger","given":"Jean-Marc"},{"family":"Guimarães-Costa","given":"Raquel"},{"family":"Muntean","given":"Cristina"}],"issued":{"date-parts":[["2016",1]]}}},{"id":21046,"uris":["http://zotero.org/users/local/hhPVnw6l/items/K7SKTK97"],"uri":["http://zotero.org/users/local/hhPVnw6l/items/K7SKTK97"],"itemData":{"id":21046,"type":"article-journal","abstract":"PURPOSE OF REVIEW: This present review gives an overview on different approaches on systemic treatment of atopic dermatitis with a focus on molecules that are presently investigated as defined target structures in clinical studies with patients with atopic dermatitis.\nRECENT FINDINGS: Available systemic drugs for the treatment of atopic dermatitis are limited. There is a high need for the development of new treatment regimen. Current studies address novel biologicals or small molecules for the treatment of atopic dermatitis. In particular, interventions in the T-helper 2 cell (Th2) allergic inflammation are promising. Dupilumab, a humanized monoclonal antibody to the interteukin-4R is the first antibody (i.e. 'biological') with published efficacy shown in controlled prospective studies in atopic dermatitis. A number of other target molecules is currently addressed in clinical studies with blocking antibodies against target molecules of Th2 polarized inflammation in atopic dermatitis (e.g. interleukins 13, 22, 31, thymic stromal lymphopoetin). Inhibiting phospodiesterase-4, chemoattractant receptor-homologous molecule 2, the histamine-4 receptor, or the neurokine-1 receptor may lead to the approval of novel 'small drugs' for a specific treatment of atopic dermatitis. Antifungals may be helpful in the variant of head and neck dermatitis associated with sensitizations against Malassezia species. Induction of specific immune tolerance (e.g. with allergen-specific immunotherapy) should be further studied in terms of the management of atopic dermatitis because available clinical studies resulted in inconsistent results on the skin condition.\nSUMMARY: Current studies with new substances for the systemic treatment of atopic dermatitis have tremendous implications for the future management of atopic dermatitis.","container-title":"Current Opinion in Allergy and Clinical Immunology","DOI":"10.1097/ACI.0000000000000199","ISSN":"1473-6322","issue":"5","journalAbbreviation":"Curr Opin Allergy Clin Immunol","language":"eng","note":"PMID: 26308331","page":"446-452","source":"PubMed","title":"Current novel approaches in systemic therapy of atopic dermatitis: specific inhibition of cutaneous Th2 polarized inflammation and itch","title-short":"Current novel approaches in systemic therapy of atopic dermatitis","volume":"15","author":[{"family":"Werfel","given":"Thomas"},{"family":"Biedermann","given":"Tilo"}],"issued":{"date-parts":[["2015",10]]}}}],"schema":"https://github.com/citation-style-language/schema/raw/master/csl-citation.json"} </w:instrText>
      </w:r>
      <w:r w:rsidR="00613AEB" w:rsidRPr="00F941E3">
        <w:rPr>
          <w:rFonts w:ascii="Arial" w:hAnsi="Arial" w:cs="Arial"/>
          <w:color w:val="000000" w:themeColor="text1"/>
          <w:sz w:val="24"/>
          <w:szCs w:val="24"/>
          <w:lang w:val="en-US"/>
        </w:rPr>
        <w:fldChar w:fldCharType="separate"/>
      </w:r>
      <w:r w:rsidR="00B63015" w:rsidRPr="00F941E3">
        <w:rPr>
          <w:rFonts w:ascii="Arial" w:hAnsi="Arial" w:cs="Arial"/>
          <w:color w:val="000000" w:themeColor="text1"/>
          <w:sz w:val="24"/>
          <w:lang w:val="en-US"/>
        </w:rPr>
        <w:t>(Catalan-Serra and Brenna, 2018; Léger et al., 2016; Werfel and Biedermann, 2015)</w:t>
      </w:r>
      <w:r w:rsidR="00613AEB" w:rsidRPr="00F941E3">
        <w:rPr>
          <w:rFonts w:ascii="Arial" w:hAnsi="Arial" w:cs="Arial"/>
          <w:color w:val="000000" w:themeColor="text1"/>
          <w:sz w:val="24"/>
          <w:szCs w:val="24"/>
          <w:lang w:val="en-US"/>
        </w:rPr>
        <w:fldChar w:fldCharType="end"/>
      </w:r>
      <w:r w:rsidR="00E33E26" w:rsidRPr="00F941E3">
        <w:rPr>
          <w:rFonts w:ascii="Arial" w:hAnsi="Arial" w:cs="Arial"/>
          <w:color w:val="000000" w:themeColor="text1"/>
          <w:sz w:val="24"/>
          <w:szCs w:val="24"/>
          <w:lang w:val="en-US"/>
        </w:rPr>
        <w:t xml:space="preserve">, </w:t>
      </w:r>
      <w:r w:rsidR="00421E95" w:rsidRPr="00F941E3">
        <w:rPr>
          <w:rFonts w:ascii="Arial" w:hAnsi="Arial" w:cs="Arial"/>
          <w:color w:val="000000" w:themeColor="text1"/>
          <w:sz w:val="24"/>
          <w:szCs w:val="24"/>
          <w:lang w:val="en-US"/>
        </w:rPr>
        <w:t>people affected by these conditions</w:t>
      </w:r>
      <w:r w:rsidR="006D57FE" w:rsidRPr="00F941E3">
        <w:rPr>
          <w:rFonts w:ascii="Arial" w:hAnsi="Arial" w:cs="Arial"/>
          <w:color w:val="000000" w:themeColor="text1"/>
          <w:sz w:val="24"/>
          <w:szCs w:val="24"/>
          <w:lang w:val="en-US"/>
        </w:rPr>
        <w:t xml:space="preserve"> may </w:t>
      </w:r>
      <w:r w:rsidR="000C6213" w:rsidRPr="00F941E3">
        <w:rPr>
          <w:rFonts w:ascii="Arial" w:hAnsi="Arial" w:cs="Arial"/>
          <w:color w:val="000000" w:themeColor="text1"/>
          <w:sz w:val="24"/>
          <w:szCs w:val="24"/>
          <w:lang w:val="en-US"/>
        </w:rPr>
        <w:t xml:space="preserve">display a disrupted immunological response </w:t>
      </w:r>
      <w:r w:rsidR="00714572" w:rsidRPr="00F941E3">
        <w:rPr>
          <w:rFonts w:ascii="Arial" w:hAnsi="Arial" w:cs="Arial"/>
          <w:color w:val="000000" w:themeColor="text1"/>
          <w:sz w:val="24"/>
          <w:szCs w:val="24"/>
          <w:lang w:val="en-US"/>
        </w:rPr>
        <w:t xml:space="preserve">when exposed to a pathogen, </w:t>
      </w:r>
      <w:r w:rsidR="000C6213" w:rsidRPr="00F941E3">
        <w:rPr>
          <w:rFonts w:ascii="Arial" w:hAnsi="Arial" w:cs="Arial"/>
          <w:color w:val="000000" w:themeColor="text1"/>
          <w:sz w:val="24"/>
          <w:szCs w:val="24"/>
          <w:lang w:val="en-US"/>
        </w:rPr>
        <w:t xml:space="preserve">and may </w:t>
      </w:r>
      <w:r w:rsidR="006D57FE" w:rsidRPr="00F941E3">
        <w:rPr>
          <w:rFonts w:ascii="Arial" w:hAnsi="Arial" w:cs="Arial"/>
          <w:color w:val="000000" w:themeColor="text1"/>
          <w:sz w:val="24"/>
          <w:szCs w:val="24"/>
          <w:lang w:val="en-US"/>
        </w:rPr>
        <w:t xml:space="preserve">be </w:t>
      </w:r>
      <w:r w:rsidR="00421E95" w:rsidRPr="00F941E3">
        <w:rPr>
          <w:rFonts w:ascii="Arial" w:hAnsi="Arial" w:cs="Arial"/>
          <w:color w:val="000000" w:themeColor="text1"/>
          <w:sz w:val="24"/>
          <w:szCs w:val="24"/>
          <w:lang w:val="en-US"/>
        </w:rPr>
        <w:t xml:space="preserve">at a particular risk </w:t>
      </w:r>
      <w:r w:rsidR="00D47E1C" w:rsidRPr="00F941E3">
        <w:rPr>
          <w:rFonts w:ascii="Arial" w:hAnsi="Arial" w:cs="Arial"/>
          <w:color w:val="000000" w:themeColor="text1"/>
          <w:sz w:val="24"/>
          <w:szCs w:val="24"/>
          <w:lang w:val="en-US"/>
        </w:rPr>
        <w:t xml:space="preserve">of </w:t>
      </w:r>
      <w:r w:rsidR="006D57FE" w:rsidRPr="00F941E3">
        <w:rPr>
          <w:rFonts w:ascii="Arial" w:hAnsi="Arial" w:cs="Arial"/>
          <w:color w:val="000000" w:themeColor="text1"/>
          <w:sz w:val="24"/>
          <w:szCs w:val="24"/>
          <w:lang w:val="en-US"/>
        </w:rPr>
        <w:t xml:space="preserve">severe </w:t>
      </w:r>
      <w:r w:rsidR="00421E95" w:rsidRPr="00F941E3">
        <w:rPr>
          <w:rFonts w:ascii="Arial" w:hAnsi="Arial" w:cs="Arial"/>
          <w:color w:val="000000" w:themeColor="text1"/>
          <w:sz w:val="24"/>
          <w:szCs w:val="24"/>
          <w:lang w:val="en-US"/>
        </w:rPr>
        <w:t xml:space="preserve">COVID-19 </w:t>
      </w:r>
      <w:r w:rsidR="006D57FE" w:rsidRPr="00F941E3">
        <w:rPr>
          <w:rFonts w:ascii="Arial" w:hAnsi="Arial" w:cs="Arial"/>
          <w:color w:val="000000" w:themeColor="text1"/>
          <w:sz w:val="24"/>
          <w:szCs w:val="24"/>
          <w:lang w:val="en-US"/>
        </w:rPr>
        <w:t xml:space="preserve">and COVID-19 </w:t>
      </w:r>
      <w:r w:rsidR="00421E95" w:rsidRPr="00F941E3">
        <w:rPr>
          <w:rFonts w:ascii="Arial" w:hAnsi="Arial" w:cs="Arial"/>
          <w:color w:val="000000" w:themeColor="text1"/>
          <w:sz w:val="24"/>
          <w:szCs w:val="24"/>
          <w:lang w:val="en-US"/>
        </w:rPr>
        <w:t xml:space="preserve">complications. </w:t>
      </w:r>
      <w:r w:rsidR="00D47E1C" w:rsidRPr="00F941E3">
        <w:rPr>
          <w:rFonts w:ascii="Arial" w:hAnsi="Arial" w:cs="Arial"/>
          <w:color w:val="000000" w:themeColor="text1"/>
          <w:sz w:val="24"/>
          <w:szCs w:val="24"/>
          <w:lang w:val="en-US"/>
        </w:rPr>
        <w:t>Furthermore</w:t>
      </w:r>
      <w:r w:rsidR="003F62A8" w:rsidRPr="00F941E3">
        <w:rPr>
          <w:rFonts w:ascii="Arial" w:hAnsi="Arial" w:cs="Arial"/>
          <w:color w:val="000000" w:themeColor="text1"/>
          <w:sz w:val="24"/>
          <w:szCs w:val="24"/>
          <w:lang w:val="en-US"/>
        </w:rPr>
        <w:t xml:space="preserve">, </w:t>
      </w:r>
      <w:r w:rsidR="00B71F79" w:rsidRPr="00F941E3">
        <w:rPr>
          <w:rFonts w:ascii="Arial" w:hAnsi="Arial" w:cs="Arial"/>
          <w:color w:val="000000" w:themeColor="text1"/>
          <w:sz w:val="24"/>
          <w:szCs w:val="24"/>
          <w:lang w:val="en-US"/>
        </w:rPr>
        <w:t xml:space="preserve">there is some evidence showing that both </w:t>
      </w:r>
      <w:r w:rsidR="003F62A8" w:rsidRPr="00F941E3">
        <w:rPr>
          <w:rFonts w:ascii="Arial" w:hAnsi="Arial" w:cs="Arial"/>
          <w:color w:val="000000" w:themeColor="text1"/>
          <w:sz w:val="24"/>
          <w:szCs w:val="24"/>
          <w:lang w:val="en-US"/>
        </w:rPr>
        <w:t xml:space="preserve">diabetes </w:t>
      </w:r>
      <w:r w:rsidR="00DA64B6" w:rsidRPr="00F941E3">
        <w:rPr>
          <w:rFonts w:ascii="Arial" w:hAnsi="Arial" w:cs="Arial"/>
          <w:color w:val="000000" w:themeColor="text1"/>
          <w:sz w:val="24"/>
          <w:szCs w:val="24"/>
          <w:lang w:val="en-US"/>
        </w:rPr>
        <w:t xml:space="preserve">mellitus </w:t>
      </w:r>
      <w:r w:rsidR="003F62A8" w:rsidRPr="00F941E3">
        <w:rPr>
          <w:rFonts w:ascii="Arial" w:hAnsi="Arial" w:cs="Arial"/>
          <w:color w:val="000000" w:themeColor="text1"/>
          <w:sz w:val="24"/>
          <w:szCs w:val="24"/>
          <w:lang w:val="en-US"/>
        </w:rPr>
        <w:t>and hypertension</w:t>
      </w:r>
      <w:r w:rsidR="006B21D3" w:rsidRPr="00F941E3">
        <w:rPr>
          <w:rFonts w:ascii="Arial" w:hAnsi="Arial" w:cs="Arial"/>
          <w:color w:val="000000" w:themeColor="text1"/>
          <w:sz w:val="24"/>
          <w:szCs w:val="24"/>
          <w:lang w:val="en-US"/>
        </w:rPr>
        <w:t xml:space="preserve"> are associated with severe COVID-19 and related complications</w:t>
      </w:r>
      <w:r w:rsidR="00FA0D05" w:rsidRPr="00F941E3">
        <w:rPr>
          <w:rFonts w:ascii="Arial" w:hAnsi="Arial" w:cs="Arial"/>
          <w:color w:val="000000" w:themeColor="text1"/>
          <w:sz w:val="24"/>
          <w:szCs w:val="24"/>
          <w:lang w:val="en-US"/>
        </w:rPr>
        <w:t xml:space="preserve"> </w:t>
      </w:r>
      <w:r w:rsidR="00CF5C63" w:rsidRPr="00F941E3">
        <w:rPr>
          <w:rFonts w:ascii="Arial" w:hAnsi="Arial" w:cs="Arial"/>
          <w:color w:val="000000" w:themeColor="text1"/>
          <w:sz w:val="24"/>
          <w:szCs w:val="24"/>
          <w:lang w:val="en-US"/>
        </w:rPr>
        <w:fldChar w:fldCharType="begin"/>
      </w:r>
      <w:r w:rsidR="00D50691" w:rsidRPr="00F941E3">
        <w:rPr>
          <w:rFonts w:ascii="Arial" w:hAnsi="Arial" w:cs="Arial"/>
          <w:color w:val="000000" w:themeColor="text1"/>
          <w:sz w:val="24"/>
          <w:szCs w:val="24"/>
          <w:lang w:val="en-US"/>
        </w:rPr>
        <w:instrText xml:space="preserve"> ADDIN ZOTERO_ITEM CSL_CITATION {"citationID":"Hy7uzF83","properties":{"formattedCitation":"(Abdi et al., 2020; Lippi et al., 2020)","plainCitation":"(Abdi et al., 2020; Lippi et al., 2020)","noteIndex":0},"citationItems":[{"id":20909,"uris":["http://zotero.org/users/local/hhPVnw6l/items/PLMP2PFD"],"uri":["http://zotero.org/users/local/hhPVnw6l/items/PLMP2PFD"],"itemData":{"id":20909,"type":"article-journal","abstract":"BACKGROUND: COVID-19 pneumonia is a newly recognized illness that is spreading rapidly around the world and causes many disability and deaths. Some diseases, for instance diabetes, is continuously suggested as a risk factor which contributes to the severity and mortality of COVID-19. However, to date, there are no comprehensive studies aiming to explain the exact relationship between diabetes and COVID-19. Thus, this study aims to summarize the evidence about diabetes and COVID-19 outbreak through a systematic review and meta-analysis approach.\nMETHOD: A literature review was implemented within databases of Scopus, PubMed, Science direct, and Web of science. Observational reviews, case-report, and case-series studies that assessed the diabetes in COVID-19 patients, were included. Data extraction and assessment were guided by PRISMA checklist.\nFINDINGS: Some studies suggest that there were no significant differences in symptoms between patients who suffered from both diabetes and COVID-19 and those who only suffered COVID-19. In the subsequent meta-analysis 14.5% of the subjects were diabetic patient. These clients have poor ARDS prognosis, severe symptoms, and the death rate is higher among COVID-19 patients. In addition, it is suggested the diabetic patients will be treated with antibiotics, antivirals, and HCQ.\nCONCLUSION: The results of this study show that diabetes is a risk factor - and contributes to the severity and mortality of patients with COVID-19. This paper also provides recommendations and guidelines for which could be useful for prevention and treatment of diabetic patients affected by COVID-19.","container-title":"Diabetes Research and Clinical Practice","DOI":"10.1016/j.diabres.2020.108347","ISSN":"1872-8227","journalAbbreviation":"Diabetes Res Clin Pract","language":"eng","note":"PMID: 32711003\nPMCID: PMC7375314","page":"108347","source":"PubMed","title":"Diabetes and COVID-19: A systematic review on the current evidences","title-short":"Diabetes and COVID-19","volume":"166","author":[{"family":"Abdi","given":"Alireza"},{"family":"Jalilian","given":"Milad"},{"family":"Sarbarzeh","given":"Pegah Ahmadi"},{"family":"Vlaisavljevic","given":"Zeljko"}],"issued":{"date-parts":[["2020",8]]}}},{"id":20912,"uris":["http://zotero.org/users/local/hhPVnw6l/items/HIPB33HG"],"uri":["http://zotero.org/users/local/hhPVnw6l/items/HIPB33HG"],"itemData":{"id":20912,"type":"article-journal","abstract":"INTRODUCTION: As the outbreak of coronavirus disease 2019 (COVID</w:instrText>
      </w:r>
      <w:r w:rsidR="00D50691" w:rsidRPr="00F941E3">
        <w:rPr>
          <w:rFonts w:ascii="Cambria Math" w:hAnsi="Cambria Math" w:cs="Cambria Math"/>
          <w:color w:val="000000" w:themeColor="text1"/>
          <w:sz w:val="24"/>
          <w:szCs w:val="24"/>
          <w:lang w:val="en-US"/>
        </w:rPr>
        <w:instrText>‑</w:instrText>
      </w:r>
      <w:r w:rsidR="00D50691" w:rsidRPr="00F941E3">
        <w:rPr>
          <w:rFonts w:ascii="Arial" w:hAnsi="Arial" w:cs="Arial"/>
          <w:color w:val="000000" w:themeColor="text1"/>
          <w:sz w:val="24"/>
          <w:szCs w:val="24"/>
          <w:lang w:val="en-US"/>
        </w:rPr>
        <w:instrText>19) was recognized, the clinical predictors of severe or fatal course of the disease should be identified to enable risk stratification and to allocate limited resources optimally. Hypertension has been widely reported to be associated with increased disease severity; however, some studies reported different findings.\nOBJECTIVES: The study aimed to evaluate the association between hypertension and severe and fatal COVID</w:instrText>
      </w:r>
      <w:r w:rsidR="00D50691" w:rsidRPr="00F941E3">
        <w:rPr>
          <w:rFonts w:ascii="Cambria Math" w:hAnsi="Cambria Math" w:cs="Cambria Math"/>
          <w:color w:val="000000" w:themeColor="text1"/>
          <w:sz w:val="24"/>
          <w:szCs w:val="24"/>
          <w:lang w:val="en-US"/>
        </w:rPr>
        <w:instrText>‑</w:instrText>
      </w:r>
      <w:r w:rsidR="00D50691" w:rsidRPr="00F941E3">
        <w:rPr>
          <w:rFonts w:ascii="Arial" w:hAnsi="Arial" w:cs="Arial"/>
          <w:color w:val="000000" w:themeColor="text1"/>
          <w:sz w:val="24"/>
          <w:szCs w:val="24"/>
          <w:lang w:val="en-US"/>
        </w:rPr>
        <w:instrText>19.\nPATIENTS AND METHODS: The Scopus, Medline, and Web of Science databases were searched to identify studies reporting the rate of hypertensive patients in the population diagnosed with severe or nonsevere COVID</w:instrText>
      </w:r>
      <w:r w:rsidR="00D50691" w:rsidRPr="00F941E3">
        <w:rPr>
          <w:rFonts w:ascii="Cambria Math" w:hAnsi="Cambria Math" w:cs="Cambria Math"/>
          <w:color w:val="000000" w:themeColor="text1"/>
          <w:sz w:val="24"/>
          <w:szCs w:val="24"/>
          <w:lang w:val="en-US"/>
        </w:rPr>
        <w:instrText>‑</w:instrText>
      </w:r>
      <w:r w:rsidR="00D50691" w:rsidRPr="00F941E3">
        <w:rPr>
          <w:rFonts w:ascii="Arial" w:hAnsi="Arial" w:cs="Arial"/>
          <w:color w:val="000000" w:themeColor="text1"/>
          <w:sz w:val="24"/>
          <w:szCs w:val="24"/>
          <w:lang w:val="en-US"/>
        </w:rPr>
        <w:instrText>19 or in COVID-19 survivors and nonsurvivors. The obtained data were pooled into a meta</w:instrText>
      </w:r>
      <w:r w:rsidR="00D50691" w:rsidRPr="00F941E3">
        <w:rPr>
          <w:rFonts w:ascii="Cambria Math" w:hAnsi="Cambria Math" w:cs="Cambria Math"/>
          <w:color w:val="000000" w:themeColor="text1"/>
          <w:sz w:val="24"/>
          <w:szCs w:val="24"/>
          <w:lang w:val="en-US"/>
        </w:rPr>
        <w:instrText>‑</w:instrText>
      </w:r>
      <w:r w:rsidR="00D50691" w:rsidRPr="00F941E3">
        <w:rPr>
          <w:rFonts w:ascii="Arial" w:hAnsi="Arial" w:cs="Arial"/>
          <w:color w:val="000000" w:themeColor="text1"/>
          <w:sz w:val="24"/>
          <w:szCs w:val="24"/>
          <w:lang w:val="en-US"/>
        </w:rPr>
        <w:instrText>analysis to calculate odds ratios (ORs) with 95% CIs.\nRESULTS: Hypertension was associated with a nearly 2.5</w:instrText>
      </w:r>
      <w:r w:rsidR="00D50691" w:rsidRPr="00F941E3">
        <w:rPr>
          <w:rFonts w:ascii="Cambria Math" w:hAnsi="Cambria Math" w:cs="Cambria Math"/>
          <w:color w:val="000000" w:themeColor="text1"/>
          <w:sz w:val="24"/>
          <w:szCs w:val="24"/>
          <w:lang w:val="en-US"/>
        </w:rPr>
        <w:instrText>‑</w:instrText>
      </w:r>
      <w:r w:rsidR="00D50691" w:rsidRPr="00F941E3">
        <w:rPr>
          <w:rFonts w:ascii="Arial" w:hAnsi="Arial" w:cs="Arial"/>
          <w:color w:val="000000" w:themeColor="text1"/>
          <w:sz w:val="24"/>
          <w:szCs w:val="24"/>
          <w:lang w:val="en-US"/>
        </w:rPr>
        <w:instrText>fold increased risk of severe COVID</w:instrText>
      </w:r>
      <w:r w:rsidR="00D50691" w:rsidRPr="00F941E3">
        <w:rPr>
          <w:rFonts w:ascii="Cambria Math" w:hAnsi="Cambria Math" w:cs="Cambria Math"/>
          <w:color w:val="000000" w:themeColor="text1"/>
          <w:sz w:val="24"/>
          <w:szCs w:val="24"/>
          <w:lang w:val="en-US"/>
        </w:rPr>
        <w:instrText>‑</w:instrText>
      </w:r>
      <w:r w:rsidR="00D50691" w:rsidRPr="00F941E3">
        <w:rPr>
          <w:rFonts w:ascii="Arial" w:hAnsi="Arial" w:cs="Arial"/>
          <w:color w:val="000000" w:themeColor="text1"/>
          <w:sz w:val="24"/>
          <w:szCs w:val="24"/>
          <w:lang w:val="en-US"/>
        </w:rPr>
        <w:instrText>19 (OR, 2.49; 95% CI, 1.98-3.12; I2 = 24%), as well as with a similarly significant higher mortality risk (OR, 2.42; 95% CI, 1.51-3.90; I2 = 0%). In a meta</w:instrText>
      </w:r>
      <w:r w:rsidR="00D50691" w:rsidRPr="00F941E3">
        <w:rPr>
          <w:rFonts w:ascii="Cambria Math" w:hAnsi="Cambria Math" w:cs="Cambria Math"/>
          <w:color w:val="000000" w:themeColor="text1"/>
          <w:sz w:val="24"/>
          <w:szCs w:val="24"/>
          <w:lang w:val="en-US"/>
        </w:rPr>
        <w:instrText>‑</w:instrText>
      </w:r>
      <w:r w:rsidR="00D50691" w:rsidRPr="00F941E3">
        <w:rPr>
          <w:rFonts w:ascii="Arial" w:hAnsi="Arial" w:cs="Arial"/>
          <w:color w:val="000000" w:themeColor="text1"/>
          <w:sz w:val="24"/>
          <w:szCs w:val="24"/>
          <w:lang w:val="en-US"/>
        </w:rPr>
        <w:instrText>regression analysis, a correlation was observed between an increase in the mean age of patients with severe COVID</w:instrText>
      </w:r>
      <w:r w:rsidR="00D50691" w:rsidRPr="00F941E3">
        <w:rPr>
          <w:rFonts w:ascii="Cambria Math" w:hAnsi="Cambria Math" w:cs="Cambria Math"/>
          <w:color w:val="000000" w:themeColor="text1"/>
          <w:sz w:val="24"/>
          <w:szCs w:val="24"/>
          <w:lang w:val="en-US"/>
        </w:rPr>
        <w:instrText>‑</w:instrText>
      </w:r>
      <w:r w:rsidR="00D50691" w:rsidRPr="00F941E3">
        <w:rPr>
          <w:rFonts w:ascii="Arial" w:hAnsi="Arial" w:cs="Arial"/>
          <w:color w:val="000000" w:themeColor="text1"/>
          <w:sz w:val="24"/>
          <w:szCs w:val="24"/>
          <w:lang w:val="en-US"/>
        </w:rPr>
        <w:instrText>19 and an increased log OR of hypertension and COVID-19 severity (P = 0.03).\nCONCLUSIONS: This pooled analysis of the current literature would suggest that hypertension may be associated with an up to 2.5</w:instrText>
      </w:r>
      <w:r w:rsidR="00D50691" w:rsidRPr="00F941E3">
        <w:rPr>
          <w:rFonts w:ascii="Cambria Math" w:hAnsi="Cambria Math" w:cs="Cambria Math"/>
          <w:color w:val="000000" w:themeColor="text1"/>
          <w:sz w:val="24"/>
          <w:szCs w:val="24"/>
          <w:lang w:val="en-US"/>
        </w:rPr>
        <w:instrText>‑</w:instrText>
      </w:r>
      <w:r w:rsidR="00D50691" w:rsidRPr="00F941E3">
        <w:rPr>
          <w:rFonts w:ascii="Arial" w:hAnsi="Arial" w:cs="Arial"/>
          <w:color w:val="000000" w:themeColor="text1"/>
          <w:sz w:val="24"/>
          <w:szCs w:val="24"/>
          <w:lang w:val="en-US"/>
        </w:rPr>
        <w:instrText>fold higher risk of severe or fatal COVID</w:instrText>
      </w:r>
      <w:r w:rsidR="00D50691" w:rsidRPr="00F941E3">
        <w:rPr>
          <w:rFonts w:ascii="Cambria Math" w:hAnsi="Cambria Math" w:cs="Cambria Math"/>
          <w:color w:val="000000" w:themeColor="text1"/>
          <w:sz w:val="24"/>
          <w:szCs w:val="24"/>
          <w:lang w:val="en-US"/>
        </w:rPr>
        <w:instrText>‑</w:instrText>
      </w:r>
      <w:r w:rsidR="00D50691" w:rsidRPr="00F941E3">
        <w:rPr>
          <w:rFonts w:ascii="Arial" w:hAnsi="Arial" w:cs="Arial"/>
          <w:color w:val="000000" w:themeColor="text1"/>
          <w:sz w:val="24"/>
          <w:szCs w:val="24"/>
          <w:lang w:val="en-US"/>
        </w:rPr>
        <w:instrText xml:space="preserve">19, especially in older individuals.","container-title":"Polish Archives of Internal Medicine","DOI":"10.20452/pamw.15272","ISSN":"1897-9483","issue":"4","journalAbbreviation":"Pol Arch Intern Med","language":"eng","note":"PMID: 32231171","page":"304-309","source":"PubMed","title":"Hypertension in patients with coronavirus disease 2019 (COVID-19): a pooled analysis","title-short":"Hypertension in patients with coronavirus disease 2019 (COVID-19)","volume":"130","author":[{"family":"Lippi","given":"Giuseppe"},{"family":"Wong","given":"Johnny"},{"family":"Henry","given":"Brandon M."}],"issued":{"date-parts":[["2020",4,30]]}}}],"schema":"https://github.com/citation-style-language/schema/raw/master/csl-citation.json"} </w:instrText>
      </w:r>
      <w:r w:rsidR="00CF5C63" w:rsidRPr="00F941E3">
        <w:rPr>
          <w:rFonts w:ascii="Arial" w:hAnsi="Arial" w:cs="Arial"/>
          <w:color w:val="000000" w:themeColor="text1"/>
          <w:sz w:val="24"/>
          <w:szCs w:val="24"/>
          <w:lang w:val="en-US"/>
        </w:rPr>
        <w:fldChar w:fldCharType="separate"/>
      </w:r>
      <w:r w:rsidR="00D50691" w:rsidRPr="00F941E3">
        <w:rPr>
          <w:rFonts w:ascii="Arial" w:hAnsi="Arial" w:cs="Arial"/>
          <w:noProof/>
          <w:color w:val="000000" w:themeColor="text1"/>
          <w:sz w:val="24"/>
          <w:szCs w:val="24"/>
          <w:lang w:val="en-US"/>
        </w:rPr>
        <w:t>(Abdi et al., 2020; Lippi et al., 2020)</w:t>
      </w:r>
      <w:r w:rsidR="00CF5C63" w:rsidRPr="00F941E3">
        <w:rPr>
          <w:rFonts w:ascii="Arial" w:hAnsi="Arial" w:cs="Arial"/>
          <w:color w:val="000000" w:themeColor="text1"/>
          <w:sz w:val="24"/>
          <w:szCs w:val="24"/>
          <w:lang w:val="en-US"/>
        </w:rPr>
        <w:fldChar w:fldCharType="end"/>
      </w:r>
      <w:r w:rsidR="006B21D3" w:rsidRPr="00F941E3">
        <w:rPr>
          <w:rFonts w:ascii="Arial" w:hAnsi="Arial" w:cs="Arial"/>
          <w:color w:val="000000" w:themeColor="text1"/>
          <w:sz w:val="24"/>
          <w:szCs w:val="24"/>
          <w:lang w:val="en-US"/>
        </w:rPr>
        <w:t xml:space="preserve">, </w:t>
      </w:r>
      <w:r w:rsidR="005045B9" w:rsidRPr="00F941E3">
        <w:rPr>
          <w:rFonts w:ascii="Arial" w:hAnsi="Arial" w:cs="Arial"/>
          <w:color w:val="000000" w:themeColor="text1"/>
          <w:sz w:val="24"/>
          <w:szCs w:val="24"/>
          <w:lang w:val="en-US"/>
        </w:rPr>
        <w:t>suggesting that</w:t>
      </w:r>
      <w:r w:rsidR="006B21D3" w:rsidRPr="00F941E3">
        <w:rPr>
          <w:rFonts w:ascii="Arial" w:hAnsi="Arial" w:cs="Arial"/>
          <w:color w:val="000000" w:themeColor="text1"/>
          <w:sz w:val="24"/>
          <w:szCs w:val="24"/>
          <w:lang w:val="en-US"/>
        </w:rPr>
        <w:t xml:space="preserve"> these diseases could </w:t>
      </w:r>
      <w:r w:rsidR="008D3343" w:rsidRPr="00F941E3">
        <w:rPr>
          <w:rFonts w:ascii="Arial" w:hAnsi="Arial" w:cs="Arial"/>
          <w:color w:val="000000" w:themeColor="text1"/>
          <w:sz w:val="24"/>
          <w:szCs w:val="24"/>
          <w:lang w:val="en-US"/>
        </w:rPr>
        <w:t>have lon</w:t>
      </w:r>
      <w:r w:rsidR="00A7517B" w:rsidRPr="00F941E3">
        <w:rPr>
          <w:rFonts w:ascii="Arial" w:hAnsi="Arial" w:cs="Arial"/>
          <w:color w:val="000000" w:themeColor="text1"/>
          <w:sz w:val="24"/>
          <w:szCs w:val="24"/>
          <w:lang w:val="en-US"/>
        </w:rPr>
        <w:t>g-</w:t>
      </w:r>
      <w:r w:rsidR="008D3343" w:rsidRPr="00F941E3">
        <w:rPr>
          <w:rFonts w:ascii="Arial" w:hAnsi="Arial" w:cs="Arial"/>
          <w:color w:val="000000" w:themeColor="text1"/>
          <w:sz w:val="24"/>
          <w:szCs w:val="24"/>
          <w:lang w:val="en-US"/>
        </w:rPr>
        <w:t xml:space="preserve">lasting </w:t>
      </w:r>
      <w:r w:rsidR="00554BAA" w:rsidRPr="00F941E3">
        <w:rPr>
          <w:rFonts w:ascii="Arial" w:hAnsi="Arial" w:cs="Arial"/>
          <w:color w:val="000000" w:themeColor="text1"/>
          <w:sz w:val="24"/>
          <w:szCs w:val="24"/>
          <w:lang w:val="en-US"/>
        </w:rPr>
        <w:t>effects on the ability to work following</w:t>
      </w:r>
      <w:r w:rsidR="00AC6640" w:rsidRPr="00F941E3">
        <w:rPr>
          <w:rFonts w:ascii="Arial" w:hAnsi="Arial" w:cs="Arial"/>
          <w:color w:val="000000" w:themeColor="text1"/>
          <w:sz w:val="24"/>
          <w:szCs w:val="24"/>
          <w:lang w:val="en-US"/>
        </w:rPr>
        <w:t xml:space="preserve"> </w:t>
      </w:r>
      <w:r w:rsidR="006B21D3" w:rsidRPr="00F941E3">
        <w:rPr>
          <w:rFonts w:ascii="Arial" w:hAnsi="Arial" w:cs="Arial"/>
          <w:color w:val="000000" w:themeColor="text1"/>
          <w:sz w:val="24"/>
          <w:szCs w:val="24"/>
          <w:lang w:val="en-US"/>
        </w:rPr>
        <w:t xml:space="preserve">the diagnosis of COVID-19. Finally, there was a significant association </w:t>
      </w:r>
      <w:r w:rsidR="00D47E1C" w:rsidRPr="00F941E3">
        <w:rPr>
          <w:rFonts w:ascii="Arial" w:hAnsi="Arial" w:cs="Arial"/>
          <w:color w:val="000000" w:themeColor="text1"/>
          <w:sz w:val="24"/>
          <w:szCs w:val="24"/>
          <w:lang w:val="en-US"/>
        </w:rPr>
        <w:t xml:space="preserve">between </w:t>
      </w:r>
      <w:r w:rsidR="006B21D3" w:rsidRPr="00F941E3">
        <w:rPr>
          <w:rFonts w:ascii="Arial" w:hAnsi="Arial" w:cs="Arial"/>
          <w:color w:val="000000" w:themeColor="text1"/>
          <w:sz w:val="24"/>
          <w:szCs w:val="24"/>
          <w:lang w:val="en-US"/>
        </w:rPr>
        <w:t>reaction to severe stress</w:t>
      </w:r>
      <w:r w:rsidR="00D838B1" w:rsidRPr="00F941E3">
        <w:rPr>
          <w:rFonts w:ascii="Arial" w:hAnsi="Arial" w:cs="Arial"/>
          <w:color w:val="000000" w:themeColor="text1"/>
          <w:sz w:val="24"/>
          <w:szCs w:val="24"/>
          <w:lang w:val="en-US"/>
        </w:rPr>
        <w:t>,</w:t>
      </w:r>
      <w:r w:rsidR="006B21D3" w:rsidRPr="00F941E3">
        <w:rPr>
          <w:rFonts w:ascii="Arial" w:hAnsi="Arial" w:cs="Arial"/>
          <w:color w:val="000000" w:themeColor="text1"/>
          <w:sz w:val="24"/>
          <w:szCs w:val="24"/>
          <w:lang w:val="en-US"/>
        </w:rPr>
        <w:t xml:space="preserve"> and adjustment disorders </w:t>
      </w:r>
      <w:r w:rsidR="00D47E1C" w:rsidRPr="00F941E3">
        <w:rPr>
          <w:rFonts w:ascii="Arial" w:hAnsi="Arial" w:cs="Arial"/>
          <w:color w:val="000000" w:themeColor="text1"/>
          <w:sz w:val="24"/>
          <w:szCs w:val="24"/>
          <w:lang w:val="en-US"/>
        </w:rPr>
        <w:t xml:space="preserve">and </w:t>
      </w:r>
      <w:r w:rsidR="006B21D3" w:rsidRPr="00F941E3">
        <w:rPr>
          <w:rFonts w:ascii="Arial" w:hAnsi="Arial" w:cs="Arial"/>
          <w:color w:val="000000" w:themeColor="text1"/>
          <w:sz w:val="24"/>
          <w:szCs w:val="24"/>
          <w:lang w:val="en-US"/>
        </w:rPr>
        <w:t>long</w:t>
      </w:r>
      <w:r w:rsidR="00D47E1C" w:rsidRPr="00F941E3">
        <w:rPr>
          <w:rFonts w:ascii="Arial" w:hAnsi="Arial" w:cs="Arial"/>
          <w:color w:val="000000" w:themeColor="text1"/>
          <w:sz w:val="24"/>
          <w:szCs w:val="24"/>
          <w:lang w:val="en-US"/>
        </w:rPr>
        <w:t>-term</w:t>
      </w:r>
      <w:r w:rsidR="006B21D3" w:rsidRPr="00F941E3">
        <w:rPr>
          <w:rFonts w:ascii="Arial" w:hAnsi="Arial" w:cs="Arial"/>
          <w:color w:val="000000" w:themeColor="text1"/>
          <w:sz w:val="24"/>
          <w:szCs w:val="24"/>
          <w:lang w:val="en-US"/>
        </w:rPr>
        <w:t xml:space="preserve"> sick leave.</w:t>
      </w:r>
      <w:r w:rsidR="00EF304D" w:rsidRPr="00F941E3">
        <w:rPr>
          <w:rFonts w:ascii="Arial" w:hAnsi="Arial" w:cs="Arial"/>
          <w:color w:val="000000" w:themeColor="text1"/>
          <w:sz w:val="24"/>
          <w:szCs w:val="24"/>
          <w:lang w:val="en-US"/>
        </w:rPr>
        <w:t xml:space="preserve"> One hypothesis </w:t>
      </w:r>
      <w:r w:rsidR="00933272" w:rsidRPr="00F941E3">
        <w:rPr>
          <w:rFonts w:ascii="Arial" w:hAnsi="Arial" w:cs="Arial"/>
          <w:color w:val="000000" w:themeColor="text1"/>
          <w:sz w:val="24"/>
          <w:szCs w:val="24"/>
          <w:lang w:val="en-US"/>
        </w:rPr>
        <w:t xml:space="preserve">is that individuals with this psychiatric condition </w:t>
      </w:r>
      <w:r w:rsidR="00C64F13" w:rsidRPr="00F941E3">
        <w:rPr>
          <w:rFonts w:ascii="Arial" w:hAnsi="Arial" w:cs="Arial"/>
          <w:color w:val="000000" w:themeColor="text1"/>
          <w:sz w:val="24"/>
          <w:szCs w:val="24"/>
          <w:lang w:val="en-US"/>
        </w:rPr>
        <w:t xml:space="preserve">may </w:t>
      </w:r>
      <w:r w:rsidR="00933272" w:rsidRPr="00F941E3">
        <w:rPr>
          <w:rFonts w:ascii="Arial" w:hAnsi="Arial" w:cs="Arial"/>
          <w:color w:val="000000" w:themeColor="text1"/>
          <w:sz w:val="24"/>
          <w:szCs w:val="24"/>
          <w:lang w:val="en-US"/>
        </w:rPr>
        <w:t xml:space="preserve">have more </w:t>
      </w:r>
      <w:r w:rsidR="00D47E1C" w:rsidRPr="00F941E3">
        <w:rPr>
          <w:rFonts w:ascii="Arial" w:hAnsi="Arial" w:cs="Arial"/>
          <w:color w:val="000000" w:themeColor="text1"/>
          <w:sz w:val="24"/>
          <w:szCs w:val="24"/>
          <w:lang w:val="en-US"/>
        </w:rPr>
        <w:t xml:space="preserve">difficulty </w:t>
      </w:r>
      <w:r w:rsidR="00933272" w:rsidRPr="00F941E3">
        <w:rPr>
          <w:rFonts w:ascii="Arial" w:hAnsi="Arial" w:cs="Arial"/>
          <w:color w:val="000000" w:themeColor="text1"/>
          <w:sz w:val="24"/>
          <w:szCs w:val="24"/>
          <w:lang w:val="en-US"/>
        </w:rPr>
        <w:t>adjusting to the diagnosis of COVID-19</w:t>
      </w:r>
      <w:r w:rsidR="00FC7DA6" w:rsidRPr="00F941E3">
        <w:rPr>
          <w:rFonts w:ascii="Arial" w:hAnsi="Arial" w:cs="Arial"/>
          <w:color w:val="000000" w:themeColor="text1"/>
          <w:sz w:val="24"/>
          <w:szCs w:val="24"/>
          <w:lang w:val="en-US"/>
        </w:rPr>
        <w:t xml:space="preserve"> </w:t>
      </w:r>
      <w:r w:rsidR="00D47E1C" w:rsidRPr="00F941E3">
        <w:rPr>
          <w:rFonts w:ascii="Arial" w:hAnsi="Arial" w:cs="Arial"/>
          <w:color w:val="000000" w:themeColor="text1"/>
          <w:sz w:val="24"/>
          <w:szCs w:val="24"/>
          <w:lang w:val="en-US"/>
        </w:rPr>
        <w:t>than</w:t>
      </w:r>
      <w:r w:rsidR="00FC7DA6" w:rsidRPr="00F941E3">
        <w:rPr>
          <w:rFonts w:ascii="Arial" w:hAnsi="Arial" w:cs="Arial"/>
          <w:color w:val="000000" w:themeColor="text1"/>
          <w:sz w:val="24"/>
          <w:szCs w:val="24"/>
          <w:lang w:val="en-US"/>
        </w:rPr>
        <w:t xml:space="preserve"> the general population</w:t>
      </w:r>
      <w:r w:rsidR="00C64F13" w:rsidRPr="00F941E3">
        <w:rPr>
          <w:rFonts w:ascii="Arial" w:hAnsi="Arial" w:cs="Arial"/>
          <w:color w:val="000000" w:themeColor="text1"/>
          <w:sz w:val="24"/>
          <w:szCs w:val="24"/>
          <w:lang w:val="en-US"/>
        </w:rPr>
        <w:t xml:space="preserve">, resulting in a delayed return to work after the acute phase of </w:t>
      </w:r>
      <w:r w:rsidR="00D47E1C" w:rsidRPr="00F941E3">
        <w:rPr>
          <w:rFonts w:ascii="Arial" w:hAnsi="Arial" w:cs="Arial"/>
          <w:color w:val="000000" w:themeColor="text1"/>
          <w:sz w:val="24"/>
          <w:szCs w:val="24"/>
          <w:lang w:val="en-US"/>
        </w:rPr>
        <w:t xml:space="preserve">the </w:t>
      </w:r>
      <w:r w:rsidR="00C64F13" w:rsidRPr="00F941E3">
        <w:rPr>
          <w:rFonts w:ascii="Arial" w:hAnsi="Arial" w:cs="Arial"/>
          <w:color w:val="000000" w:themeColor="text1"/>
          <w:sz w:val="24"/>
          <w:szCs w:val="24"/>
          <w:lang w:val="en-US"/>
        </w:rPr>
        <w:t>disease.</w:t>
      </w:r>
      <w:r w:rsidR="006B21D3" w:rsidRPr="00F941E3">
        <w:rPr>
          <w:rFonts w:ascii="Arial" w:hAnsi="Arial" w:cs="Arial"/>
          <w:color w:val="000000" w:themeColor="text1"/>
          <w:sz w:val="24"/>
          <w:szCs w:val="24"/>
          <w:lang w:val="en-US"/>
        </w:rPr>
        <w:t xml:space="preserve"> </w:t>
      </w:r>
    </w:p>
    <w:p w14:paraId="783374A3" w14:textId="690E8B59" w:rsidR="00C64F13" w:rsidRPr="00F941E3" w:rsidRDefault="00C64F13" w:rsidP="00BC4D0A">
      <w:pPr>
        <w:spacing w:line="480" w:lineRule="auto"/>
        <w:jc w:val="both"/>
        <w:rPr>
          <w:rFonts w:ascii="Arial" w:hAnsi="Arial" w:cs="Arial"/>
          <w:color w:val="000000" w:themeColor="text1"/>
          <w:sz w:val="24"/>
          <w:szCs w:val="24"/>
          <w:lang w:val="en-US"/>
        </w:rPr>
      </w:pPr>
    </w:p>
    <w:p w14:paraId="6E04B22A" w14:textId="71811515" w:rsidR="00C64F13" w:rsidRPr="00F941E3" w:rsidRDefault="00C64F13" w:rsidP="006702BC">
      <w:pPr>
        <w:pStyle w:val="Heading2"/>
        <w:rPr>
          <w:lang w:val="en-US"/>
        </w:rPr>
      </w:pPr>
      <w:r w:rsidRPr="00F941E3">
        <w:rPr>
          <w:lang w:val="en-US"/>
        </w:rPr>
        <w:lastRenderedPageBreak/>
        <w:t>Public health implications and directions for future research</w:t>
      </w:r>
    </w:p>
    <w:p w14:paraId="173150E8" w14:textId="7E9DDFFD" w:rsidR="00853CA7" w:rsidRPr="00F941E3" w:rsidRDefault="00C64F13"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Based on the findings of this study, </w:t>
      </w:r>
      <w:proofErr w:type="gramStart"/>
      <w:r w:rsidRPr="00F941E3">
        <w:rPr>
          <w:rFonts w:ascii="Arial" w:hAnsi="Arial" w:cs="Arial"/>
          <w:color w:val="000000" w:themeColor="text1"/>
          <w:sz w:val="24"/>
          <w:szCs w:val="24"/>
          <w:lang w:val="en-US"/>
        </w:rPr>
        <w:t>the vast majority of</w:t>
      </w:r>
      <w:proofErr w:type="gramEnd"/>
      <w:r w:rsidRPr="00F941E3">
        <w:rPr>
          <w:rFonts w:ascii="Arial" w:hAnsi="Arial" w:cs="Arial"/>
          <w:color w:val="000000" w:themeColor="text1"/>
          <w:sz w:val="24"/>
          <w:szCs w:val="24"/>
          <w:lang w:val="en-US"/>
        </w:rPr>
        <w:t xml:space="preserve"> working-age adults followed in general practices in Germany return</w:t>
      </w:r>
      <w:r w:rsidR="00B36B6B" w:rsidRPr="00F941E3">
        <w:rPr>
          <w:rFonts w:ascii="Arial" w:hAnsi="Arial" w:cs="Arial"/>
          <w:color w:val="000000" w:themeColor="text1"/>
          <w:sz w:val="24"/>
          <w:szCs w:val="24"/>
          <w:lang w:val="en-US"/>
        </w:rPr>
        <w:t>ed</w:t>
      </w:r>
      <w:r w:rsidRPr="00F941E3">
        <w:rPr>
          <w:rFonts w:ascii="Arial" w:hAnsi="Arial" w:cs="Arial"/>
          <w:color w:val="000000" w:themeColor="text1"/>
          <w:sz w:val="24"/>
          <w:szCs w:val="24"/>
          <w:lang w:val="en-US"/>
        </w:rPr>
        <w:t xml:space="preserve"> to work in the month following the</w:t>
      </w:r>
      <w:r w:rsidR="00D47E1C" w:rsidRPr="00F941E3">
        <w:rPr>
          <w:rFonts w:ascii="Arial" w:hAnsi="Arial" w:cs="Arial"/>
          <w:color w:val="000000" w:themeColor="text1"/>
          <w:sz w:val="24"/>
          <w:szCs w:val="24"/>
          <w:lang w:val="en-US"/>
        </w:rPr>
        <w:t>ir</w:t>
      </w:r>
      <w:r w:rsidRPr="00F941E3">
        <w:rPr>
          <w:rFonts w:ascii="Arial" w:hAnsi="Arial" w:cs="Arial"/>
          <w:color w:val="000000" w:themeColor="text1"/>
          <w:sz w:val="24"/>
          <w:szCs w:val="24"/>
          <w:lang w:val="en-US"/>
        </w:rPr>
        <w:t xml:space="preserve"> diagnosis of COVID-19. </w:t>
      </w:r>
      <w:r w:rsidR="008A7438" w:rsidRPr="00F941E3">
        <w:rPr>
          <w:rFonts w:ascii="Arial" w:hAnsi="Arial" w:cs="Arial"/>
          <w:color w:val="000000" w:themeColor="text1"/>
          <w:sz w:val="24"/>
          <w:szCs w:val="24"/>
          <w:lang w:val="en-US"/>
        </w:rPr>
        <w:t xml:space="preserve">Nonetheless, </w:t>
      </w:r>
      <w:r w:rsidR="00D47E1C" w:rsidRPr="00F941E3">
        <w:rPr>
          <w:rFonts w:ascii="Arial" w:hAnsi="Arial" w:cs="Arial"/>
          <w:color w:val="000000" w:themeColor="text1"/>
          <w:sz w:val="24"/>
          <w:szCs w:val="24"/>
          <w:lang w:val="en-US"/>
        </w:rPr>
        <w:t xml:space="preserve">barriers to the </w:t>
      </w:r>
      <w:r w:rsidR="00CA7139" w:rsidRPr="00F941E3">
        <w:rPr>
          <w:rFonts w:ascii="Arial" w:hAnsi="Arial" w:cs="Arial"/>
          <w:color w:val="000000" w:themeColor="text1"/>
          <w:sz w:val="24"/>
          <w:szCs w:val="24"/>
          <w:lang w:val="en-US"/>
        </w:rPr>
        <w:t>return to work should be identified</w:t>
      </w:r>
      <w:r w:rsidR="008A7438" w:rsidRPr="00F941E3">
        <w:rPr>
          <w:rFonts w:ascii="Arial" w:hAnsi="Arial" w:cs="Arial"/>
          <w:color w:val="000000" w:themeColor="text1"/>
          <w:sz w:val="24"/>
          <w:szCs w:val="24"/>
          <w:lang w:val="en-US"/>
        </w:rPr>
        <w:t xml:space="preserve"> in people on long</w:t>
      </w:r>
      <w:r w:rsidR="00D47E1C" w:rsidRPr="00F941E3">
        <w:rPr>
          <w:rFonts w:ascii="Arial" w:hAnsi="Arial" w:cs="Arial"/>
          <w:color w:val="000000" w:themeColor="text1"/>
          <w:sz w:val="24"/>
          <w:szCs w:val="24"/>
          <w:lang w:val="en-US"/>
        </w:rPr>
        <w:t>-term</w:t>
      </w:r>
      <w:r w:rsidR="008A7438" w:rsidRPr="00F941E3">
        <w:rPr>
          <w:rFonts w:ascii="Arial" w:hAnsi="Arial" w:cs="Arial"/>
          <w:color w:val="000000" w:themeColor="text1"/>
          <w:sz w:val="24"/>
          <w:szCs w:val="24"/>
          <w:lang w:val="en-US"/>
        </w:rPr>
        <w:t xml:space="preserve"> sick leave</w:t>
      </w:r>
      <w:r w:rsidR="00CA7139" w:rsidRPr="00F941E3">
        <w:rPr>
          <w:rFonts w:ascii="Arial" w:hAnsi="Arial" w:cs="Arial"/>
          <w:color w:val="000000" w:themeColor="text1"/>
          <w:sz w:val="24"/>
          <w:szCs w:val="24"/>
          <w:lang w:val="en-US"/>
        </w:rPr>
        <w:t>, and public health measures reducing these barriers should be implemented</w:t>
      </w:r>
      <w:r w:rsidR="009219B3" w:rsidRPr="00F941E3">
        <w:rPr>
          <w:rFonts w:ascii="Arial" w:hAnsi="Arial" w:cs="Arial"/>
          <w:color w:val="000000" w:themeColor="text1"/>
          <w:sz w:val="24"/>
          <w:szCs w:val="24"/>
          <w:lang w:val="en-US"/>
        </w:rPr>
        <w:t xml:space="preserve">. These measures may include the possibility to work from home </w:t>
      </w:r>
      <w:r w:rsidR="00D47E1C" w:rsidRPr="00F941E3">
        <w:rPr>
          <w:rFonts w:ascii="Arial" w:hAnsi="Arial" w:cs="Arial"/>
          <w:color w:val="000000" w:themeColor="text1"/>
          <w:sz w:val="24"/>
          <w:szCs w:val="24"/>
          <w:lang w:val="en-US"/>
        </w:rPr>
        <w:t xml:space="preserve">or to </w:t>
      </w:r>
      <w:r w:rsidR="009B621E" w:rsidRPr="00F941E3">
        <w:rPr>
          <w:rFonts w:ascii="Arial" w:hAnsi="Arial" w:cs="Arial"/>
          <w:color w:val="000000" w:themeColor="text1"/>
          <w:sz w:val="24"/>
          <w:szCs w:val="24"/>
          <w:lang w:val="en-US"/>
        </w:rPr>
        <w:t>work flexible hours. In terms of future research</w:t>
      </w:r>
      <w:r w:rsidR="00221579" w:rsidRPr="00F941E3">
        <w:rPr>
          <w:rFonts w:ascii="Arial" w:hAnsi="Arial" w:cs="Arial"/>
          <w:color w:val="000000" w:themeColor="text1"/>
          <w:sz w:val="24"/>
          <w:szCs w:val="24"/>
          <w:lang w:val="en-US"/>
        </w:rPr>
        <w:t xml:space="preserve">, </w:t>
      </w:r>
      <w:r w:rsidR="00EE4008" w:rsidRPr="00F941E3">
        <w:rPr>
          <w:rFonts w:ascii="Arial" w:hAnsi="Arial" w:cs="Arial"/>
          <w:color w:val="000000" w:themeColor="text1"/>
          <w:sz w:val="24"/>
          <w:szCs w:val="24"/>
          <w:lang w:val="en-US"/>
        </w:rPr>
        <w:t>long</w:t>
      </w:r>
      <w:r w:rsidR="00D47E1C" w:rsidRPr="00F941E3">
        <w:rPr>
          <w:rFonts w:ascii="Arial" w:hAnsi="Arial" w:cs="Arial"/>
          <w:color w:val="000000" w:themeColor="text1"/>
          <w:sz w:val="24"/>
          <w:szCs w:val="24"/>
          <w:lang w:val="en-US"/>
        </w:rPr>
        <w:t>-term</w:t>
      </w:r>
      <w:r w:rsidR="00EE4008" w:rsidRPr="00F941E3">
        <w:rPr>
          <w:rFonts w:ascii="Arial" w:hAnsi="Arial" w:cs="Arial"/>
          <w:color w:val="000000" w:themeColor="text1"/>
          <w:sz w:val="24"/>
          <w:szCs w:val="24"/>
          <w:lang w:val="en-US"/>
        </w:rPr>
        <w:t xml:space="preserve"> sick leave </w:t>
      </w:r>
      <w:r w:rsidR="007A5F53" w:rsidRPr="00F941E3">
        <w:rPr>
          <w:rFonts w:ascii="Arial" w:hAnsi="Arial" w:cs="Arial"/>
          <w:color w:val="000000" w:themeColor="text1"/>
          <w:sz w:val="24"/>
          <w:szCs w:val="24"/>
          <w:lang w:val="en-US"/>
        </w:rPr>
        <w:t xml:space="preserve">in adults </w:t>
      </w:r>
      <w:r w:rsidR="00F94154" w:rsidRPr="00F941E3">
        <w:rPr>
          <w:rFonts w:ascii="Arial" w:hAnsi="Arial" w:cs="Arial"/>
          <w:color w:val="000000" w:themeColor="text1"/>
          <w:sz w:val="24"/>
          <w:szCs w:val="24"/>
          <w:lang w:val="en-US"/>
        </w:rPr>
        <w:t xml:space="preserve">with COVID-19 </w:t>
      </w:r>
      <w:r w:rsidR="00EE4008" w:rsidRPr="00F941E3">
        <w:rPr>
          <w:rFonts w:ascii="Arial" w:hAnsi="Arial" w:cs="Arial"/>
          <w:color w:val="000000" w:themeColor="text1"/>
          <w:sz w:val="24"/>
          <w:szCs w:val="24"/>
          <w:lang w:val="en-US"/>
        </w:rPr>
        <w:t>shoul</w:t>
      </w:r>
      <w:r w:rsidR="00F94154" w:rsidRPr="00F941E3">
        <w:rPr>
          <w:rFonts w:ascii="Arial" w:hAnsi="Arial" w:cs="Arial"/>
          <w:color w:val="000000" w:themeColor="text1"/>
          <w:sz w:val="24"/>
          <w:szCs w:val="24"/>
          <w:lang w:val="en-US"/>
        </w:rPr>
        <w:t xml:space="preserve">d be studied in </w:t>
      </w:r>
      <w:r w:rsidR="00D47E1C" w:rsidRPr="00F941E3">
        <w:rPr>
          <w:rFonts w:ascii="Arial" w:hAnsi="Arial" w:cs="Arial"/>
          <w:color w:val="000000" w:themeColor="text1"/>
          <w:sz w:val="24"/>
          <w:szCs w:val="24"/>
          <w:lang w:val="en-US"/>
        </w:rPr>
        <w:t xml:space="preserve">various </w:t>
      </w:r>
      <w:r w:rsidR="00F94154" w:rsidRPr="00F941E3">
        <w:rPr>
          <w:rFonts w:ascii="Arial" w:hAnsi="Arial" w:cs="Arial"/>
          <w:color w:val="000000" w:themeColor="text1"/>
          <w:sz w:val="24"/>
          <w:szCs w:val="24"/>
          <w:lang w:val="en-US"/>
        </w:rPr>
        <w:t xml:space="preserve">other </w:t>
      </w:r>
      <w:r w:rsidR="00FB000B" w:rsidRPr="00F941E3">
        <w:rPr>
          <w:rFonts w:ascii="Arial" w:hAnsi="Arial" w:cs="Arial"/>
          <w:color w:val="000000" w:themeColor="text1"/>
          <w:sz w:val="24"/>
          <w:szCs w:val="24"/>
          <w:lang w:val="en-US"/>
        </w:rPr>
        <w:t xml:space="preserve">settings and countries. In addition, </w:t>
      </w:r>
      <w:r w:rsidR="00D47E1C" w:rsidRPr="00F941E3">
        <w:rPr>
          <w:rFonts w:ascii="Arial" w:hAnsi="Arial" w:cs="Arial"/>
          <w:color w:val="000000" w:themeColor="text1"/>
          <w:sz w:val="24"/>
          <w:szCs w:val="24"/>
          <w:lang w:val="en-US"/>
        </w:rPr>
        <w:t xml:space="preserve">further </w:t>
      </w:r>
      <w:r w:rsidR="008E2922" w:rsidRPr="00F941E3">
        <w:rPr>
          <w:rFonts w:ascii="Arial" w:hAnsi="Arial" w:cs="Arial"/>
          <w:color w:val="000000" w:themeColor="text1"/>
          <w:sz w:val="24"/>
          <w:szCs w:val="24"/>
          <w:lang w:val="en-US"/>
        </w:rPr>
        <w:t xml:space="preserve">studies are needed to gain a better understanding of the factors </w:t>
      </w:r>
      <w:r w:rsidR="00D47E1C" w:rsidRPr="00F941E3">
        <w:rPr>
          <w:rFonts w:ascii="Arial" w:hAnsi="Arial" w:cs="Arial"/>
          <w:color w:val="000000" w:themeColor="text1"/>
          <w:sz w:val="24"/>
          <w:szCs w:val="24"/>
          <w:lang w:val="en-US"/>
        </w:rPr>
        <w:t xml:space="preserve">that </w:t>
      </w:r>
      <w:r w:rsidR="00C7251E" w:rsidRPr="00F941E3">
        <w:rPr>
          <w:rFonts w:ascii="Arial" w:hAnsi="Arial" w:cs="Arial"/>
          <w:color w:val="000000" w:themeColor="text1"/>
          <w:sz w:val="24"/>
          <w:szCs w:val="24"/>
          <w:lang w:val="en-US"/>
        </w:rPr>
        <w:t>significantly impact the odds of long</w:t>
      </w:r>
      <w:r w:rsidR="00D47E1C" w:rsidRPr="00F941E3">
        <w:rPr>
          <w:rFonts w:ascii="Arial" w:hAnsi="Arial" w:cs="Arial"/>
          <w:color w:val="000000" w:themeColor="text1"/>
          <w:sz w:val="24"/>
          <w:szCs w:val="24"/>
          <w:lang w:val="en-US"/>
        </w:rPr>
        <w:t>-term</w:t>
      </w:r>
      <w:r w:rsidR="00C7251E" w:rsidRPr="00F941E3">
        <w:rPr>
          <w:rFonts w:ascii="Arial" w:hAnsi="Arial" w:cs="Arial"/>
          <w:color w:val="000000" w:themeColor="text1"/>
          <w:sz w:val="24"/>
          <w:szCs w:val="24"/>
          <w:lang w:val="en-US"/>
        </w:rPr>
        <w:t xml:space="preserve"> sick leave.</w:t>
      </w:r>
    </w:p>
    <w:p w14:paraId="4056EE3F" w14:textId="61FECD29" w:rsidR="00C7251E" w:rsidRPr="00F941E3" w:rsidRDefault="00C7251E" w:rsidP="00BC4D0A">
      <w:pPr>
        <w:spacing w:line="480" w:lineRule="auto"/>
        <w:jc w:val="both"/>
        <w:rPr>
          <w:rFonts w:ascii="Arial" w:hAnsi="Arial" w:cs="Arial"/>
          <w:color w:val="000000" w:themeColor="text1"/>
          <w:sz w:val="24"/>
          <w:szCs w:val="24"/>
          <w:lang w:val="en-US"/>
        </w:rPr>
      </w:pPr>
    </w:p>
    <w:p w14:paraId="07119BC7" w14:textId="2B988707" w:rsidR="00C7251E" w:rsidRPr="00F941E3" w:rsidRDefault="00C7251E" w:rsidP="006702BC">
      <w:pPr>
        <w:pStyle w:val="Heading2"/>
        <w:rPr>
          <w:lang w:val="en-US"/>
        </w:rPr>
      </w:pPr>
      <w:r w:rsidRPr="00F941E3">
        <w:rPr>
          <w:lang w:val="en-US"/>
        </w:rPr>
        <w:t xml:space="preserve">Strengths and </w:t>
      </w:r>
      <w:r w:rsidR="003D2FA3" w:rsidRPr="00F941E3">
        <w:rPr>
          <w:lang w:val="en-US"/>
        </w:rPr>
        <w:t xml:space="preserve">limitations </w:t>
      </w:r>
    </w:p>
    <w:p w14:paraId="1580D1D7" w14:textId="509DF4C9" w:rsidR="003D2FA3" w:rsidRPr="00F941E3" w:rsidRDefault="003D2FA3"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The large sample size and the use of data collected </w:t>
      </w:r>
      <w:r w:rsidR="00C47079" w:rsidRPr="00F941E3">
        <w:rPr>
          <w:rFonts w:ascii="Arial" w:hAnsi="Arial" w:cs="Arial"/>
          <w:color w:val="000000" w:themeColor="text1"/>
          <w:sz w:val="24"/>
          <w:szCs w:val="24"/>
          <w:lang w:val="en-US"/>
        </w:rPr>
        <w:t xml:space="preserve">in general practices are two major strengths of this study. </w:t>
      </w:r>
      <w:r w:rsidR="006E075F" w:rsidRPr="00F941E3">
        <w:rPr>
          <w:rFonts w:ascii="Arial" w:hAnsi="Arial" w:cs="Arial"/>
          <w:color w:val="000000" w:themeColor="text1"/>
          <w:sz w:val="24"/>
          <w:szCs w:val="24"/>
          <w:lang w:val="en-US"/>
        </w:rPr>
        <w:t xml:space="preserve">However, this study </w:t>
      </w:r>
      <w:r w:rsidR="004E0450" w:rsidRPr="00F941E3">
        <w:rPr>
          <w:rFonts w:ascii="Arial" w:hAnsi="Arial" w:cs="Arial"/>
          <w:color w:val="000000" w:themeColor="text1"/>
          <w:sz w:val="24"/>
          <w:szCs w:val="24"/>
          <w:lang w:val="en-US"/>
        </w:rPr>
        <w:t xml:space="preserve">is </w:t>
      </w:r>
      <w:r w:rsidR="006E075F" w:rsidRPr="00F941E3">
        <w:rPr>
          <w:rFonts w:ascii="Arial" w:hAnsi="Arial" w:cs="Arial"/>
          <w:color w:val="000000" w:themeColor="text1"/>
          <w:sz w:val="24"/>
          <w:szCs w:val="24"/>
          <w:lang w:val="en-US"/>
        </w:rPr>
        <w:t xml:space="preserve">also </w:t>
      </w:r>
      <w:r w:rsidR="004E0450" w:rsidRPr="00F941E3">
        <w:rPr>
          <w:rFonts w:ascii="Arial" w:hAnsi="Arial" w:cs="Arial"/>
          <w:color w:val="000000" w:themeColor="text1"/>
          <w:sz w:val="24"/>
          <w:szCs w:val="24"/>
          <w:lang w:val="en-US"/>
        </w:rPr>
        <w:t xml:space="preserve">subject to </w:t>
      </w:r>
      <w:r w:rsidR="006E075F" w:rsidRPr="00F941E3">
        <w:rPr>
          <w:rFonts w:ascii="Arial" w:hAnsi="Arial" w:cs="Arial"/>
          <w:color w:val="000000" w:themeColor="text1"/>
          <w:sz w:val="24"/>
          <w:szCs w:val="24"/>
          <w:lang w:val="en-US"/>
        </w:rPr>
        <w:t xml:space="preserve">several limitations, </w:t>
      </w:r>
      <w:r w:rsidR="004E0450" w:rsidRPr="00F941E3">
        <w:rPr>
          <w:rFonts w:ascii="Arial" w:hAnsi="Arial" w:cs="Arial"/>
          <w:color w:val="000000" w:themeColor="text1"/>
          <w:sz w:val="24"/>
          <w:szCs w:val="24"/>
          <w:lang w:val="en-US"/>
        </w:rPr>
        <w:t>which</w:t>
      </w:r>
      <w:r w:rsidR="006E075F" w:rsidRPr="00F941E3">
        <w:rPr>
          <w:rFonts w:ascii="Arial" w:hAnsi="Arial" w:cs="Arial"/>
          <w:color w:val="000000" w:themeColor="text1"/>
          <w:sz w:val="24"/>
          <w:szCs w:val="24"/>
          <w:lang w:val="en-US"/>
        </w:rPr>
        <w:t xml:space="preserve"> should be acknowledged </w:t>
      </w:r>
      <w:r w:rsidR="00535AEB" w:rsidRPr="00F941E3">
        <w:rPr>
          <w:rFonts w:ascii="Arial" w:hAnsi="Arial" w:cs="Arial"/>
          <w:color w:val="000000" w:themeColor="text1"/>
          <w:sz w:val="24"/>
          <w:szCs w:val="24"/>
          <w:lang w:val="en-US"/>
        </w:rPr>
        <w:t xml:space="preserve">at this point. First, </w:t>
      </w:r>
      <w:r w:rsidR="001F7B80" w:rsidRPr="00F941E3">
        <w:rPr>
          <w:rFonts w:ascii="Arial" w:hAnsi="Arial" w:cs="Arial"/>
          <w:color w:val="000000" w:themeColor="text1"/>
          <w:sz w:val="24"/>
          <w:szCs w:val="24"/>
          <w:lang w:val="en-US"/>
        </w:rPr>
        <w:t xml:space="preserve">sick </w:t>
      </w:r>
      <w:r w:rsidR="00127353" w:rsidRPr="00F941E3">
        <w:rPr>
          <w:rFonts w:ascii="Arial" w:hAnsi="Arial" w:cs="Arial"/>
          <w:color w:val="000000" w:themeColor="text1"/>
          <w:sz w:val="24"/>
          <w:szCs w:val="24"/>
          <w:lang w:val="en-US"/>
        </w:rPr>
        <w:t xml:space="preserve">leave </w:t>
      </w:r>
      <w:r w:rsidR="00D33AC8" w:rsidRPr="00F941E3">
        <w:rPr>
          <w:rFonts w:ascii="Arial" w:hAnsi="Arial" w:cs="Arial"/>
          <w:color w:val="000000" w:themeColor="text1"/>
          <w:sz w:val="24"/>
          <w:szCs w:val="24"/>
          <w:lang w:val="en-US"/>
        </w:rPr>
        <w:t xml:space="preserve">may have </w:t>
      </w:r>
      <w:r w:rsidR="00B62414" w:rsidRPr="00F941E3">
        <w:rPr>
          <w:rFonts w:ascii="Arial" w:hAnsi="Arial" w:cs="Arial"/>
          <w:color w:val="000000" w:themeColor="text1"/>
          <w:sz w:val="24"/>
          <w:szCs w:val="24"/>
          <w:lang w:val="en-US"/>
        </w:rPr>
        <w:t xml:space="preserve">been </w:t>
      </w:r>
      <w:r w:rsidR="00872A72" w:rsidRPr="00F941E3">
        <w:rPr>
          <w:rFonts w:ascii="Arial" w:hAnsi="Arial" w:cs="Arial"/>
          <w:color w:val="000000" w:themeColor="text1"/>
          <w:sz w:val="24"/>
          <w:szCs w:val="24"/>
          <w:lang w:val="en-US"/>
        </w:rPr>
        <w:t>i</w:t>
      </w:r>
      <w:r w:rsidR="007D15E0" w:rsidRPr="00F941E3">
        <w:rPr>
          <w:rFonts w:ascii="Arial" w:hAnsi="Arial" w:cs="Arial"/>
          <w:color w:val="000000" w:themeColor="text1"/>
          <w:sz w:val="24"/>
          <w:szCs w:val="24"/>
          <w:lang w:val="en-US"/>
        </w:rPr>
        <w:t>nitiated</w:t>
      </w:r>
      <w:r w:rsidR="00B62414" w:rsidRPr="00F941E3">
        <w:rPr>
          <w:rFonts w:ascii="Arial" w:hAnsi="Arial" w:cs="Arial"/>
          <w:color w:val="000000" w:themeColor="text1"/>
          <w:sz w:val="24"/>
          <w:szCs w:val="24"/>
          <w:lang w:val="en-US"/>
        </w:rPr>
        <w:t xml:space="preserve"> </w:t>
      </w:r>
      <w:r w:rsidR="00942520" w:rsidRPr="00F941E3">
        <w:rPr>
          <w:rFonts w:ascii="Arial" w:hAnsi="Arial" w:cs="Arial"/>
          <w:color w:val="000000" w:themeColor="text1"/>
          <w:sz w:val="24"/>
          <w:szCs w:val="24"/>
          <w:lang w:val="en-US"/>
        </w:rPr>
        <w:t xml:space="preserve">in other settings (e.g., </w:t>
      </w:r>
      <w:r w:rsidR="0055639B" w:rsidRPr="00F941E3">
        <w:rPr>
          <w:rFonts w:ascii="Arial" w:hAnsi="Arial" w:cs="Arial"/>
          <w:color w:val="000000" w:themeColor="text1"/>
          <w:sz w:val="24"/>
          <w:szCs w:val="24"/>
          <w:lang w:val="en-US"/>
        </w:rPr>
        <w:t>p</w:t>
      </w:r>
      <w:r w:rsidR="008F73EC" w:rsidRPr="00F941E3">
        <w:rPr>
          <w:rFonts w:ascii="Arial" w:hAnsi="Arial" w:cs="Arial"/>
          <w:color w:val="000000" w:themeColor="text1"/>
          <w:sz w:val="24"/>
          <w:szCs w:val="24"/>
          <w:lang w:val="en-US"/>
        </w:rPr>
        <w:t xml:space="preserve">ulmonology </w:t>
      </w:r>
      <w:r w:rsidR="00942520" w:rsidRPr="00F941E3">
        <w:rPr>
          <w:rFonts w:ascii="Arial" w:hAnsi="Arial" w:cs="Arial"/>
          <w:color w:val="000000" w:themeColor="text1"/>
          <w:sz w:val="24"/>
          <w:szCs w:val="24"/>
          <w:lang w:val="en-US"/>
        </w:rPr>
        <w:t>practices and hospitals),</w:t>
      </w:r>
      <w:r w:rsidR="002870CE" w:rsidRPr="00F941E3">
        <w:rPr>
          <w:rFonts w:ascii="Arial" w:hAnsi="Arial" w:cs="Arial"/>
          <w:color w:val="000000" w:themeColor="text1"/>
          <w:sz w:val="24"/>
          <w:szCs w:val="24"/>
          <w:lang w:val="en-US"/>
        </w:rPr>
        <w:t xml:space="preserve"> and</w:t>
      </w:r>
      <w:r w:rsidR="00592B15" w:rsidRPr="00F941E3">
        <w:rPr>
          <w:rFonts w:ascii="Arial" w:hAnsi="Arial" w:cs="Arial"/>
          <w:color w:val="000000" w:themeColor="text1"/>
          <w:sz w:val="24"/>
          <w:szCs w:val="24"/>
          <w:lang w:val="en-US"/>
        </w:rPr>
        <w:t xml:space="preserve"> sick leave-related data may have </w:t>
      </w:r>
      <w:r w:rsidR="00A316F4" w:rsidRPr="00F941E3">
        <w:rPr>
          <w:rFonts w:ascii="Arial" w:hAnsi="Arial" w:cs="Arial"/>
          <w:color w:val="000000" w:themeColor="text1"/>
          <w:sz w:val="24"/>
          <w:szCs w:val="24"/>
          <w:lang w:val="en-US"/>
        </w:rPr>
        <w:t>been undocumented in</w:t>
      </w:r>
      <w:r w:rsidR="00D007D6" w:rsidRPr="00F941E3">
        <w:rPr>
          <w:rFonts w:ascii="Arial" w:hAnsi="Arial" w:cs="Arial"/>
          <w:color w:val="000000" w:themeColor="text1"/>
          <w:sz w:val="24"/>
          <w:szCs w:val="24"/>
          <w:lang w:val="en-US"/>
        </w:rPr>
        <w:t xml:space="preserve"> some</w:t>
      </w:r>
      <w:r w:rsidR="00A316F4" w:rsidRPr="00F941E3">
        <w:rPr>
          <w:rFonts w:ascii="Arial" w:hAnsi="Arial" w:cs="Arial"/>
          <w:color w:val="000000" w:themeColor="text1"/>
          <w:sz w:val="24"/>
          <w:szCs w:val="24"/>
          <w:lang w:val="en-US"/>
        </w:rPr>
        <w:t xml:space="preserve"> general practices, </w:t>
      </w:r>
      <w:r w:rsidR="00F0584E" w:rsidRPr="00F941E3">
        <w:rPr>
          <w:rFonts w:ascii="Arial" w:hAnsi="Arial" w:cs="Arial"/>
          <w:color w:val="000000" w:themeColor="text1"/>
          <w:sz w:val="24"/>
          <w:szCs w:val="24"/>
          <w:lang w:val="en-US"/>
        </w:rPr>
        <w:t>indirectly leading</w:t>
      </w:r>
      <w:r w:rsidR="00562409" w:rsidRPr="00F941E3">
        <w:rPr>
          <w:rFonts w:ascii="Arial" w:hAnsi="Arial" w:cs="Arial"/>
          <w:color w:val="000000" w:themeColor="text1"/>
          <w:sz w:val="24"/>
          <w:szCs w:val="24"/>
          <w:lang w:val="en-US"/>
        </w:rPr>
        <w:t xml:space="preserve"> to an underestimation of the prevalence of long</w:t>
      </w:r>
      <w:r w:rsidR="004E0450" w:rsidRPr="00F941E3">
        <w:rPr>
          <w:rFonts w:ascii="Arial" w:hAnsi="Arial" w:cs="Arial"/>
          <w:color w:val="000000" w:themeColor="text1"/>
          <w:sz w:val="24"/>
          <w:szCs w:val="24"/>
          <w:lang w:val="en-US"/>
        </w:rPr>
        <w:t>-term</w:t>
      </w:r>
      <w:r w:rsidR="00562409" w:rsidRPr="00F941E3">
        <w:rPr>
          <w:rFonts w:ascii="Arial" w:hAnsi="Arial" w:cs="Arial"/>
          <w:color w:val="000000" w:themeColor="text1"/>
          <w:sz w:val="24"/>
          <w:szCs w:val="24"/>
          <w:lang w:val="en-US"/>
        </w:rPr>
        <w:t xml:space="preserve"> sick leave.</w:t>
      </w:r>
      <w:r w:rsidR="002D3B80" w:rsidRPr="00F941E3">
        <w:rPr>
          <w:rFonts w:ascii="Arial" w:hAnsi="Arial" w:cs="Arial"/>
          <w:color w:val="000000" w:themeColor="text1"/>
          <w:sz w:val="24"/>
          <w:szCs w:val="24"/>
          <w:lang w:val="en-US"/>
        </w:rPr>
        <w:t xml:space="preserve"> Second, there is no consensus on the definition of long</w:t>
      </w:r>
      <w:r w:rsidR="004E0450" w:rsidRPr="00F941E3">
        <w:rPr>
          <w:rFonts w:ascii="Arial" w:hAnsi="Arial" w:cs="Arial"/>
          <w:color w:val="000000" w:themeColor="text1"/>
          <w:sz w:val="24"/>
          <w:szCs w:val="24"/>
          <w:lang w:val="en-US"/>
        </w:rPr>
        <w:t>-term</w:t>
      </w:r>
      <w:r w:rsidR="002D3B80" w:rsidRPr="00F941E3">
        <w:rPr>
          <w:rFonts w:ascii="Arial" w:hAnsi="Arial" w:cs="Arial"/>
          <w:color w:val="000000" w:themeColor="text1"/>
          <w:sz w:val="24"/>
          <w:szCs w:val="24"/>
          <w:lang w:val="en-US"/>
        </w:rPr>
        <w:t xml:space="preserve"> sick leave, and the use of a cutoff of four weeks </w:t>
      </w:r>
      <w:r w:rsidR="00F272A9" w:rsidRPr="00F941E3">
        <w:rPr>
          <w:rFonts w:ascii="Arial" w:hAnsi="Arial" w:cs="Arial"/>
          <w:color w:val="000000" w:themeColor="text1"/>
          <w:sz w:val="24"/>
          <w:szCs w:val="24"/>
          <w:lang w:val="en-US"/>
        </w:rPr>
        <w:t xml:space="preserve">may have impacted the results of this study. Third, no information </w:t>
      </w:r>
      <w:r w:rsidR="004E0450" w:rsidRPr="00F941E3">
        <w:rPr>
          <w:rFonts w:ascii="Arial" w:hAnsi="Arial" w:cs="Arial"/>
          <w:color w:val="000000" w:themeColor="text1"/>
          <w:sz w:val="24"/>
          <w:szCs w:val="24"/>
          <w:lang w:val="en-US"/>
        </w:rPr>
        <w:t xml:space="preserve">was available </w:t>
      </w:r>
      <w:r w:rsidR="00F272A9" w:rsidRPr="00F941E3">
        <w:rPr>
          <w:rFonts w:ascii="Arial" w:hAnsi="Arial" w:cs="Arial"/>
          <w:color w:val="000000" w:themeColor="text1"/>
          <w:sz w:val="24"/>
          <w:szCs w:val="24"/>
          <w:lang w:val="en-US"/>
        </w:rPr>
        <w:t xml:space="preserve">on </w:t>
      </w:r>
      <w:r w:rsidR="00564CED" w:rsidRPr="00F941E3">
        <w:rPr>
          <w:rFonts w:ascii="Arial" w:hAnsi="Arial" w:cs="Arial"/>
          <w:color w:val="000000" w:themeColor="text1"/>
          <w:sz w:val="24"/>
          <w:szCs w:val="24"/>
          <w:lang w:val="en-US"/>
        </w:rPr>
        <w:t xml:space="preserve">COVID-19 </w:t>
      </w:r>
      <w:r w:rsidR="0008170F" w:rsidRPr="00F941E3">
        <w:rPr>
          <w:rFonts w:ascii="Arial" w:hAnsi="Arial" w:cs="Arial"/>
          <w:color w:val="000000" w:themeColor="text1"/>
          <w:sz w:val="24"/>
          <w:szCs w:val="24"/>
          <w:lang w:val="en-US"/>
        </w:rPr>
        <w:t>severity and COVID-19 complications</w:t>
      </w:r>
      <w:r w:rsidR="00564CED" w:rsidRPr="00F941E3">
        <w:rPr>
          <w:rFonts w:ascii="Arial" w:hAnsi="Arial" w:cs="Arial"/>
          <w:color w:val="000000" w:themeColor="text1"/>
          <w:sz w:val="24"/>
          <w:szCs w:val="24"/>
          <w:lang w:val="en-US"/>
        </w:rPr>
        <w:t xml:space="preserve">, although these variables </w:t>
      </w:r>
      <w:r w:rsidR="00AD3951" w:rsidRPr="00F941E3">
        <w:rPr>
          <w:rFonts w:ascii="Arial" w:hAnsi="Arial" w:cs="Arial"/>
          <w:color w:val="000000" w:themeColor="text1"/>
          <w:sz w:val="24"/>
          <w:szCs w:val="24"/>
          <w:lang w:val="en-US"/>
        </w:rPr>
        <w:t xml:space="preserve">likely </w:t>
      </w:r>
      <w:r w:rsidR="004E0450" w:rsidRPr="00F941E3">
        <w:rPr>
          <w:rFonts w:ascii="Arial" w:hAnsi="Arial" w:cs="Arial"/>
          <w:color w:val="000000" w:themeColor="text1"/>
          <w:sz w:val="24"/>
          <w:szCs w:val="24"/>
          <w:lang w:val="en-US"/>
        </w:rPr>
        <w:t xml:space="preserve">help </w:t>
      </w:r>
      <w:r w:rsidR="00AD3951" w:rsidRPr="00F941E3">
        <w:rPr>
          <w:rFonts w:ascii="Arial" w:hAnsi="Arial" w:cs="Arial"/>
          <w:color w:val="000000" w:themeColor="text1"/>
          <w:sz w:val="24"/>
          <w:szCs w:val="24"/>
          <w:lang w:val="en-US"/>
        </w:rPr>
        <w:t xml:space="preserve">predict the odds of </w:t>
      </w:r>
      <w:r w:rsidR="004E0450" w:rsidRPr="00F941E3">
        <w:rPr>
          <w:rFonts w:ascii="Arial" w:hAnsi="Arial" w:cs="Arial"/>
          <w:color w:val="000000" w:themeColor="text1"/>
          <w:sz w:val="24"/>
          <w:szCs w:val="24"/>
          <w:lang w:val="en-US"/>
        </w:rPr>
        <w:t>taking</w:t>
      </w:r>
      <w:r w:rsidR="00AD3951" w:rsidRPr="00F941E3">
        <w:rPr>
          <w:rFonts w:ascii="Arial" w:hAnsi="Arial" w:cs="Arial"/>
          <w:color w:val="000000" w:themeColor="text1"/>
          <w:sz w:val="24"/>
          <w:szCs w:val="24"/>
          <w:lang w:val="en-US"/>
        </w:rPr>
        <w:t xml:space="preserve"> long</w:t>
      </w:r>
      <w:r w:rsidR="004E0450" w:rsidRPr="00F941E3">
        <w:rPr>
          <w:rFonts w:ascii="Arial" w:hAnsi="Arial" w:cs="Arial"/>
          <w:color w:val="000000" w:themeColor="text1"/>
          <w:sz w:val="24"/>
          <w:szCs w:val="24"/>
          <w:lang w:val="en-US"/>
        </w:rPr>
        <w:t>-term</w:t>
      </w:r>
      <w:r w:rsidR="00AD3951" w:rsidRPr="00F941E3">
        <w:rPr>
          <w:rFonts w:ascii="Arial" w:hAnsi="Arial" w:cs="Arial"/>
          <w:color w:val="000000" w:themeColor="text1"/>
          <w:sz w:val="24"/>
          <w:szCs w:val="24"/>
          <w:lang w:val="en-US"/>
        </w:rPr>
        <w:t xml:space="preserve"> sick leave. </w:t>
      </w:r>
    </w:p>
    <w:p w14:paraId="6E0EAF76" w14:textId="446E285F" w:rsidR="00AD3951" w:rsidRPr="00F941E3" w:rsidRDefault="00AD3951" w:rsidP="00BC4D0A">
      <w:pPr>
        <w:spacing w:line="480" w:lineRule="auto"/>
        <w:jc w:val="both"/>
        <w:rPr>
          <w:rFonts w:ascii="Arial" w:hAnsi="Arial" w:cs="Arial"/>
          <w:color w:val="000000" w:themeColor="text1"/>
          <w:sz w:val="24"/>
          <w:szCs w:val="24"/>
          <w:lang w:val="en-US"/>
        </w:rPr>
      </w:pPr>
    </w:p>
    <w:p w14:paraId="510F8A92" w14:textId="41C8F142" w:rsidR="00AD3951" w:rsidRPr="00F941E3" w:rsidRDefault="00AD3951" w:rsidP="006702BC">
      <w:pPr>
        <w:pStyle w:val="Heading1"/>
        <w:rPr>
          <w:lang w:val="en-US"/>
        </w:rPr>
      </w:pPr>
      <w:r w:rsidRPr="00F941E3">
        <w:rPr>
          <w:lang w:val="en-US"/>
        </w:rPr>
        <w:lastRenderedPageBreak/>
        <w:t>Conclusion</w:t>
      </w:r>
    </w:p>
    <w:p w14:paraId="561DF96A" w14:textId="56C4A89F" w:rsidR="00AD3951" w:rsidRPr="00F941E3" w:rsidRDefault="00AD3951"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The pre</w:t>
      </w:r>
      <w:r w:rsidR="00EC75B2" w:rsidRPr="00F941E3">
        <w:rPr>
          <w:rFonts w:ascii="Arial" w:hAnsi="Arial" w:cs="Arial"/>
          <w:color w:val="000000" w:themeColor="text1"/>
          <w:sz w:val="24"/>
          <w:szCs w:val="24"/>
          <w:lang w:val="en-US"/>
        </w:rPr>
        <w:t xml:space="preserve">valence of long sick leave was around </w:t>
      </w:r>
      <w:r w:rsidR="00410422" w:rsidRPr="00F941E3">
        <w:rPr>
          <w:rFonts w:ascii="Arial" w:hAnsi="Arial" w:cs="Arial"/>
          <w:color w:val="000000" w:themeColor="text1"/>
          <w:sz w:val="24"/>
          <w:szCs w:val="24"/>
          <w:lang w:val="en-US"/>
        </w:rPr>
        <w:t>6</w:t>
      </w:r>
      <w:r w:rsidR="00EC75B2" w:rsidRPr="00F941E3">
        <w:rPr>
          <w:rFonts w:ascii="Arial" w:hAnsi="Arial" w:cs="Arial"/>
          <w:color w:val="000000" w:themeColor="text1"/>
          <w:sz w:val="24"/>
          <w:szCs w:val="24"/>
          <w:lang w:val="en-US"/>
        </w:rPr>
        <w:t>% in this sample of approximately</w:t>
      </w:r>
      <w:r w:rsidR="00410422" w:rsidRPr="00F941E3">
        <w:rPr>
          <w:rFonts w:ascii="Arial" w:hAnsi="Arial" w:cs="Arial"/>
          <w:color w:val="000000" w:themeColor="text1"/>
          <w:sz w:val="24"/>
          <w:szCs w:val="24"/>
          <w:lang w:val="en-US"/>
        </w:rPr>
        <w:t xml:space="preserve"> 31,000 COVID-19</w:t>
      </w:r>
      <w:r w:rsidR="00EC75B2" w:rsidRPr="00F941E3">
        <w:rPr>
          <w:rFonts w:ascii="Arial" w:hAnsi="Arial" w:cs="Arial"/>
          <w:color w:val="000000" w:themeColor="text1"/>
          <w:sz w:val="24"/>
          <w:szCs w:val="24"/>
          <w:lang w:val="en-US"/>
        </w:rPr>
        <w:t xml:space="preserve"> </w:t>
      </w:r>
      <w:r w:rsidR="00410422" w:rsidRPr="00F941E3">
        <w:rPr>
          <w:rFonts w:ascii="Arial" w:hAnsi="Arial" w:cs="Arial"/>
          <w:color w:val="000000" w:themeColor="text1"/>
          <w:sz w:val="24"/>
          <w:szCs w:val="24"/>
          <w:lang w:val="en-US"/>
        </w:rPr>
        <w:t>patients followed in general practices in Germany</w:t>
      </w:r>
      <w:r w:rsidR="00015E64" w:rsidRPr="00F941E3">
        <w:rPr>
          <w:rFonts w:ascii="Arial" w:hAnsi="Arial" w:cs="Arial"/>
          <w:color w:val="000000" w:themeColor="text1"/>
          <w:sz w:val="24"/>
          <w:szCs w:val="24"/>
          <w:lang w:val="en-US"/>
        </w:rPr>
        <w:t>. Sex, age</w:t>
      </w:r>
      <w:r w:rsidR="00A111AD" w:rsidRPr="00F941E3">
        <w:rPr>
          <w:rFonts w:ascii="Arial" w:hAnsi="Arial" w:cs="Arial"/>
          <w:color w:val="000000" w:themeColor="text1"/>
          <w:sz w:val="24"/>
          <w:szCs w:val="24"/>
          <w:lang w:val="en-US"/>
        </w:rPr>
        <w:t>,</w:t>
      </w:r>
      <w:r w:rsidR="005703AC" w:rsidRPr="00F941E3">
        <w:rPr>
          <w:rFonts w:ascii="Arial" w:hAnsi="Arial" w:cs="Arial"/>
          <w:color w:val="000000" w:themeColor="text1"/>
          <w:sz w:val="24"/>
          <w:szCs w:val="24"/>
          <w:lang w:val="en-US"/>
        </w:rPr>
        <w:t xml:space="preserve"> and several disorders (i.e., noninfective enteritis and colitis, reaction to severe stress, and adjustment disorders, atopic dermatitis, mononeuropathies, reflux diseases, diabetes mellitus, and hypertension) were significantly associated with the risk of long</w:t>
      </w:r>
      <w:r w:rsidR="004E0450" w:rsidRPr="00F941E3">
        <w:rPr>
          <w:rFonts w:ascii="Arial" w:hAnsi="Arial" w:cs="Arial"/>
          <w:color w:val="000000" w:themeColor="text1"/>
          <w:sz w:val="24"/>
          <w:szCs w:val="24"/>
          <w:lang w:val="en-US"/>
        </w:rPr>
        <w:t>-term</w:t>
      </w:r>
      <w:r w:rsidR="005703AC" w:rsidRPr="00F941E3">
        <w:rPr>
          <w:rFonts w:ascii="Arial" w:hAnsi="Arial" w:cs="Arial"/>
          <w:color w:val="000000" w:themeColor="text1"/>
          <w:sz w:val="24"/>
          <w:szCs w:val="24"/>
          <w:lang w:val="en-US"/>
        </w:rPr>
        <w:t xml:space="preserve"> sick leave.</w:t>
      </w:r>
      <w:r w:rsidR="00EC25F9" w:rsidRPr="00F941E3">
        <w:rPr>
          <w:rFonts w:ascii="Arial" w:hAnsi="Arial" w:cs="Arial"/>
          <w:color w:val="000000" w:themeColor="text1"/>
          <w:sz w:val="24"/>
          <w:szCs w:val="24"/>
          <w:lang w:val="en-US"/>
        </w:rPr>
        <w:t xml:space="preserve"> </w:t>
      </w:r>
      <w:r w:rsidR="004E0450" w:rsidRPr="00F941E3">
        <w:rPr>
          <w:rFonts w:ascii="Arial" w:hAnsi="Arial" w:cs="Arial"/>
          <w:color w:val="000000" w:themeColor="text1"/>
          <w:sz w:val="24"/>
          <w:szCs w:val="24"/>
          <w:lang w:val="en-US"/>
        </w:rPr>
        <w:t xml:space="preserve">Further </w:t>
      </w:r>
      <w:r w:rsidR="00E800C6" w:rsidRPr="00F941E3">
        <w:rPr>
          <w:rFonts w:ascii="Arial" w:hAnsi="Arial" w:cs="Arial"/>
          <w:color w:val="000000" w:themeColor="text1"/>
          <w:sz w:val="24"/>
          <w:szCs w:val="24"/>
          <w:lang w:val="en-US"/>
        </w:rPr>
        <w:t>research</w:t>
      </w:r>
      <w:r w:rsidR="00EC25F9" w:rsidRPr="00F941E3">
        <w:rPr>
          <w:rFonts w:ascii="Arial" w:hAnsi="Arial" w:cs="Arial"/>
          <w:color w:val="000000" w:themeColor="text1"/>
          <w:sz w:val="24"/>
          <w:szCs w:val="24"/>
          <w:lang w:val="en-US"/>
        </w:rPr>
        <w:t xml:space="preserve"> </w:t>
      </w:r>
      <w:r w:rsidR="00E800C6" w:rsidRPr="00F941E3">
        <w:rPr>
          <w:rFonts w:ascii="Arial" w:hAnsi="Arial" w:cs="Arial"/>
          <w:color w:val="000000" w:themeColor="text1"/>
          <w:sz w:val="24"/>
          <w:szCs w:val="24"/>
          <w:lang w:val="en-US"/>
        </w:rPr>
        <w:t>is</w:t>
      </w:r>
      <w:r w:rsidR="00EC25F9" w:rsidRPr="00F941E3">
        <w:rPr>
          <w:rFonts w:ascii="Arial" w:hAnsi="Arial" w:cs="Arial"/>
          <w:color w:val="000000" w:themeColor="text1"/>
          <w:sz w:val="24"/>
          <w:szCs w:val="24"/>
          <w:lang w:val="en-US"/>
        </w:rPr>
        <w:t xml:space="preserve"> warranted </w:t>
      </w:r>
      <w:r w:rsidR="00E800C6" w:rsidRPr="00F941E3">
        <w:rPr>
          <w:rFonts w:ascii="Arial" w:hAnsi="Arial" w:cs="Arial"/>
          <w:color w:val="000000" w:themeColor="text1"/>
          <w:sz w:val="24"/>
          <w:szCs w:val="24"/>
          <w:lang w:val="en-US"/>
        </w:rPr>
        <w:t>to corroborate or in</w:t>
      </w:r>
      <w:r w:rsidR="004D4133" w:rsidRPr="00F941E3">
        <w:rPr>
          <w:rFonts w:ascii="Arial" w:hAnsi="Arial" w:cs="Arial"/>
          <w:color w:val="000000" w:themeColor="text1"/>
          <w:sz w:val="24"/>
          <w:szCs w:val="24"/>
          <w:lang w:val="en-US"/>
        </w:rPr>
        <w:t xml:space="preserve">validate the study results in other settings and </w:t>
      </w:r>
      <w:r w:rsidR="009444A9" w:rsidRPr="00F941E3">
        <w:rPr>
          <w:rFonts w:ascii="Arial" w:hAnsi="Arial" w:cs="Arial"/>
          <w:color w:val="000000" w:themeColor="text1"/>
          <w:sz w:val="24"/>
          <w:szCs w:val="24"/>
          <w:lang w:val="en-US"/>
        </w:rPr>
        <w:t>countries.</w:t>
      </w:r>
    </w:p>
    <w:p w14:paraId="64DB3518" w14:textId="4890D68D" w:rsidR="00223B19" w:rsidRPr="00F941E3" w:rsidRDefault="00223B19" w:rsidP="00BC4D0A">
      <w:pPr>
        <w:spacing w:line="480" w:lineRule="auto"/>
        <w:jc w:val="both"/>
        <w:rPr>
          <w:rFonts w:ascii="Arial" w:hAnsi="Arial" w:cs="Arial"/>
          <w:color w:val="000000" w:themeColor="text1"/>
          <w:sz w:val="24"/>
          <w:szCs w:val="24"/>
          <w:lang w:val="en-US"/>
        </w:rPr>
      </w:pPr>
    </w:p>
    <w:p w14:paraId="11264618" w14:textId="5185C14A" w:rsidR="00223B19" w:rsidRPr="00F941E3" w:rsidRDefault="00223B19" w:rsidP="006702BC">
      <w:pPr>
        <w:pStyle w:val="Heading1"/>
        <w:rPr>
          <w:lang w:val="en-US"/>
        </w:rPr>
      </w:pPr>
      <w:bookmarkStart w:id="2" w:name="_Hlk75792255"/>
      <w:r w:rsidRPr="00F941E3">
        <w:rPr>
          <w:lang w:val="en-US"/>
        </w:rPr>
        <w:t>Conflict</w:t>
      </w:r>
      <w:r w:rsidR="004E0450" w:rsidRPr="00F941E3">
        <w:rPr>
          <w:lang w:val="en-US"/>
        </w:rPr>
        <w:t>s</w:t>
      </w:r>
      <w:r w:rsidRPr="00F941E3">
        <w:rPr>
          <w:lang w:val="en-US"/>
        </w:rPr>
        <w:t xml:space="preserve"> of interest</w:t>
      </w:r>
    </w:p>
    <w:p w14:paraId="045BC417" w14:textId="2F1D8530" w:rsidR="00223B19" w:rsidRPr="00F941E3" w:rsidRDefault="00223B19" w:rsidP="00223B19">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The authors declare no competing financial interests.</w:t>
      </w:r>
    </w:p>
    <w:p w14:paraId="4F7E50C4" w14:textId="77777777" w:rsidR="00223B19" w:rsidRPr="00F941E3" w:rsidRDefault="00223B19" w:rsidP="00223B19">
      <w:pPr>
        <w:spacing w:line="480" w:lineRule="auto"/>
        <w:jc w:val="both"/>
        <w:rPr>
          <w:rFonts w:ascii="Arial" w:hAnsi="Arial" w:cs="Arial"/>
          <w:color w:val="000000" w:themeColor="text1"/>
          <w:sz w:val="24"/>
          <w:szCs w:val="24"/>
          <w:lang w:val="en-US"/>
        </w:rPr>
      </w:pPr>
    </w:p>
    <w:p w14:paraId="3BED41B3" w14:textId="4D6FAFF1" w:rsidR="00223B19" w:rsidRPr="00F941E3" w:rsidRDefault="00223B19" w:rsidP="006702BC">
      <w:pPr>
        <w:pStyle w:val="Heading1"/>
        <w:rPr>
          <w:lang w:val="en-US"/>
        </w:rPr>
      </w:pPr>
      <w:r w:rsidRPr="00F941E3">
        <w:rPr>
          <w:lang w:val="en-US"/>
        </w:rPr>
        <w:t>Funding</w:t>
      </w:r>
      <w:r w:rsidR="00791B1E">
        <w:rPr>
          <w:lang w:val="en-US"/>
        </w:rPr>
        <w:t xml:space="preserve"> source</w:t>
      </w:r>
    </w:p>
    <w:p w14:paraId="17FE4958" w14:textId="0EC49EBF" w:rsidR="00223B19" w:rsidRDefault="00223B19" w:rsidP="00223B19">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This research did not receive any specific grant</w:t>
      </w:r>
      <w:r w:rsidR="004E0450" w:rsidRPr="00F941E3">
        <w:rPr>
          <w:rFonts w:ascii="Arial" w:hAnsi="Arial" w:cs="Arial"/>
          <w:color w:val="000000" w:themeColor="text1"/>
          <w:sz w:val="24"/>
          <w:szCs w:val="24"/>
          <w:lang w:val="en-US"/>
        </w:rPr>
        <w:t>s</w:t>
      </w:r>
      <w:r w:rsidRPr="00F941E3">
        <w:rPr>
          <w:rFonts w:ascii="Arial" w:hAnsi="Arial" w:cs="Arial"/>
          <w:color w:val="000000" w:themeColor="text1"/>
          <w:sz w:val="24"/>
          <w:szCs w:val="24"/>
          <w:lang w:val="en-US"/>
        </w:rPr>
        <w:t xml:space="preserve"> from funding agencies in the public, commercial, or not-for-profit sectors.</w:t>
      </w:r>
    </w:p>
    <w:p w14:paraId="280AC8E6" w14:textId="77777777" w:rsidR="00791B1E" w:rsidRDefault="00791B1E" w:rsidP="00223B19">
      <w:pPr>
        <w:spacing w:line="480" w:lineRule="auto"/>
        <w:jc w:val="both"/>
        <w:rPr>
          <w:rFonts w:ascii="Arial" w:hAnsi="Arial" w:cs="Arial"/>
          <w:color w:val="000000" w:themeColor="text1"/>
          <w:sz w:val="24"/>
          <w:szCs w:val="24"/>
          <w:lang w:val="en-US"/>
        </w:rPr>
      </w:pPr>
    </w:p>
    <w:p w14:paraId="1DD06A6B" w14:textId="35CCD999" w:rsidR="00791B1E" w:rsidRPr="00F941E3" w:rsidRDefault="00791B1E" w:rsidP="006702BC">
      <w:pPr>
        <w:pStyle w:val="Heading1"/>
        <w:rPr>
          <w:lang w:val="en-US"/>
        </w:rPr>
      </w:pPr>
      <w:r>
        <w:rPr>
          <w:lang w:val="en-US"/>
        </w:rPr>
        <w:t>Ethical approval</w:t>
      </w:r>
    </w:p>
    <w:p w14:paraId="3980DF78" w14:textId="77777777" w:rsidR="00791B1E" w:rsidRPr="00791B1E" w:rsidRDefault="00791B1E" w:rsidP="00791B1E">
      <w:pPr>
        <w:spacing w:line="480" w:lineRule="auto"/>
        <w:jc w:val="both"/>
        <w:rPr>
          <w:rFonts w:ascii="Arial" w:hAnsi="Arial" w:cs="Arial"/>
          <w:color w:val="000000" w:themeColor="text1"/>
          <w:sz w:val="24"/>
          <w:szCs w:val="24"/>
          <w:lang w:val="en-US"/>
        </w:rPr>
      </w:pPr>
      <w:r w:rsidRPr="00791B1E">
        <w:rPr>
          <w:rFonts w:ascii="Arial" w:hAnsi="Arial" w:cs="Arial"/>
          <w:color w:val="000000" w:themeColor="text1"/>
          <w:sz w:val="24"/>
          <w:szCs w:val="24"/>
          <w:lang w:val="en-US"/>
        </w:rPr>
        <w:t xml:space="preserve">German law allows the use of anonymous electronic medical records for research purposes under certain conditions. According to this </w:t>
      </w:r>
      <w:proofErr w:type="gramStart"/>
      <w:r w:rsidRPr="00791B1E">
        <w:rPr>
          <w:rFonts w:ascii="Arial" w:hAnsi="Arial" w:cs="Arial"/>
          <w:color w:val="000000" w:themeColor="text1"/>
          <w:sz w:val="24"/>
          <w:szCs w:val="24"/>
          <w:lang w:val="en-US"/>
        </w:rPr>
        <w:t>legislation,  it</w:t>
      </w:r>
      <w:proofErr w:type="gramEnd"/>
      <w:r w:rsidRPr="00791B1E">
        <w:rPr>
          <w:rFonts w:ascii="Arial" w:hAnsi="Arial" w:cs="Arial"/>
          <w:color w:val="000000" w:themeColor="text1"/>
          <w:sz w:val="24"/>
          <w:szCs w:val="24"/>
          <w:lang w:val="en-US"/>
        </w:rPr>
        <w:t xml:space="preserve"> is not necessary to obtain informed consent from patients or approval from a medical ethics committee for this type of observational study that contains no directly identifiable data.</w:t>
      </w:r>
    </w:p>
    <w:p w14:paraId="13F13ECD" w14:textId="358D02D1" w:rsidR="00791B1E" w:rsidRDefault="00791B1E" w:rsidP="00791B1E">
      <w:pPr>
        <w:spacing w:line="480" w:lineRule="auto"/>
        <w:jc w:val="both"/>
        <w:rPr>
          <w:rFonts w:ascii="Arial" w:hAnsi="Arial" w:cs="Arial"/>
          <w:color w:val="000000" w:themeColor="text1"/>
          <w:sz w:val="24"/>
          <w:szCs w:val="24"/>
          <w:lang w:val="en-US"/>
        </w:rPr>
      </w:pPr>
      <w:r w:rsidRPr="00791B1E">
        <w:rPr>
          <w:rFonts w:ascii="Arial" w:hAnsi="Arial" w:cs="Arial"/>
          <w:color w:val="000000" w:themeColor="text1"/>
          <w:sz w:val="24"/>
          <w:szCs w:val="24"/>
          <w:lang w:val="en-US"/>
        </w:rPr>
        <w:t>Because patients were only queried as aggregates and no protected health information was available for queries, no Institutional Review Board approval was required for the use of this database or the completion of this study.</w:t>
      </w:r>
    </w:p>
    <w:p w14:paraId="7DB1CD43" w14:textId="77777777" w:rsidR="00791B1E" w:rsidRPr="00791B1E" w:rsidRDefault="00791B1E" w:rsidP="00791B1E">
      <w:pPr>
        <w:spacing w:line="480" w:lineRule="auto"/>
        <w:jc w:val="both"/>
        <w:rPr>
          <w:rFonts w:ascii="Arial" w:hAnsi="Arial" w:cs="Arial"/>
          <w:color w:val="000000" w:themeColor="text1"/>
          <w:sz w:val="24"/>
          <w:szCs w:val="24"/>
          <w:lang w:val="en-US"/>
        </w:rPr>
      </w:pPr>
    </w:p>
    <w:p w14:paraId="57BA8CF1" w14:textId="77777777" w:rsidR="00223B19" w:rsidRPr="00F941E3" w:rsidRDefault="00223B19" w:rsidP="006702BC">
      <w:pPr>
        <w:pStyle w:val="Heading1"/>
        <w:rPr>
          <w:lang w:val="en-US"/>
        </w:rPr>
      </w:pPr>
      <w:r w:rsidRPr="00F941E3">
        <w:rPr>
          <w:lang w:val="en-US"/>
        </w:rPr>
        <w:t>Author contributions</w:t>
      </w:r>
    </w:p>
    <w:p w14:paraId="7783AA39" w14:textId="291C6C2B" w:rsidR="00223B19" w:rsidRDefault="00223B19" w:rsidP="00BC4D0A">
      <w:pPr>
        <w:spacing w:line="480" w:lineRule="auto"/>
        <w:jc w:val="both"/>
        <w:rPr>
          <w:rFonts w:ascii="Arial" w:hAnsi="Arial" w:cs="Arial"/>
          <w:color w:val="000000" w:themeColor="text1"/>
          <w:sz w:val="24"/>
          <w:szCs w:val="24"/>
          <w:lang w:val="en-US"/>
        </w:rPr>
      </w:pPr>
      <w:r w:rsidRPr="00F941E3">
        <w:rPr>
          <w:rFonts w:ascii="Arial" w:hAnsi="Arial" w:cs="Arial"/>
          <w:color w:val="000000" w:themeColor="text1"/>
          <w:sz w:val="24"/>
          <w:szCs w:val="24"/>
          <w:lang w:val="en-US"/>
        </w:rPr>
        <w:t xml:space="preserve">Louis Jacob contributed to the design of the study, managed the literature searches, wrote the first draft of the manuscript, and corrected the manuscript. </w:t>
      </w:r>
      <w:r w:rsidR="00D10033" w:rsidRPr="00F941E3">
        <w:rPr>
          <w:rFonts w:ascii="Arial" w:hAnsi="Arial" w:cs="Arial"/>
          <w:color w:val="000000" w:themeColor="text1"/>
          <w:sz w:val="24"/>
          <w:szCs w:val="24"/>
          <w:lang w:val="en-US"/>
        </w:rPr>
        <w:t xml:space="preserve">Ai </w:t>
      </w:r>
      <w:proofErr w:type="spellStart"/>
      <w:r w:rsidR="00D10033" w:rsidRPr="00F941E3">
        <w:rPr>
          <w:rFonts w:ascii="Arial" w:hAnsi="Arial" w:cs="Arial"/>
          <w:color w:val="000000" w:themeColor="text1"/>
          <w:sz w:val="24"/>
          <w:szCs w:val="24"/>
          <w:lang w:val="en-US"/>
        </w:rPr>
        <w:t>Koyanagi</w:t>
      </w:r>
      <w:proofErr w:type="spellEnd"/>
      <w:r w:rsidR="00D10033" w:rsidRPr="00F941E3">
        <w:rPr>
          <w:rFonts w:ascii="Arial" w:hAnsi="Arial" w:cs="Arial"/>
          <w:color w:val="000000" w:themeColor="text1"/>
          <w:sz w:val="24"/>
          <w:szCs w:val="24"/>
          <w:lang w:val="en-US"/>
        </w:rPr>
        <w:t xml:space="preserve">, Lee Smith, Christian </w:t>
      </w:r>
      <w:proofErr w:type="spellStart"/>
      <w:r w:rsidR="00D10033" w:rsidRPr="00F941E3">
        <w:rPr>
          <w:rFonts w:ascii="Arial" w:hAnsi="Arial" w:cs="Arial"/>
          <w:color w:val="000000" w:themeColor="text1"/>
          <w:sz w:val="24"/>
          <w:szCs w:val="24"/>
          <w:lang w:val="en-US"/>
        </w:rPr>
        <w:t>Tanislav</w:t>
      </w:r>
      <w:proofErr w:type="spellEnd"/>
      <w:r w:rsidR="005F02BD" w:rsidRPr="00F941E3">
        <w:rPr>
          <w:rFonts w:ascii="Arial" w:hAnsi="Arial" w:cs="Arial"/>
          <w:color w:val="000000" w:themeColor="text1"/>
          <w:sz w:val="24"/>
          <w:szCs w:val="24"/>
          <w:lang w:val="en-US"/>
        </w:rPr>
        <w:t>,</w:t>
      </w:r>
      <w:r w:rsidR="00D10033" w:rsidRPr="00F941E3">
        <w:rPr>
          <w:rFonts w:ascii="Arial" w:hAnsi="Arial" w:cs="Arial"/>
          <w:color w:val="000000" w:themeColor="text1"/>
          <w:sz w:val="24"/>
          <w:szCs w:val="24"/>
          <w:lang w:val="en-US"/>
        </w:rPr>
        <w:t xml:space="preserve"> </w:t>
      </w:r>
      <w:r w:rsidR="000E67DB">
        <w:rPr>
          <w:rFonts w:ascii="Arial" w:hAnsi="Arial" w:cs="Arial"/>
          <w:color w:val="000000" w:themeColor="text1"/>
          <w:sz w:val="24"/>
          <w:szCs w:val="24"/>
          <w:lang w:val="en-US"/>
        </w:rPr>
        <w:t xml:space="preserve">Susanne van der Beck, </w:t>
      </w:r>
      <w:r w:rsidR="00D10033" w:rsidRPr="00F941E3">
        <w:rPr>
          <w:rFonts w:ascii="Arial" w:hAnsi="Arial" w:cs="Arial"/>
          <w:color w:val="000000" w:themeColor="text1"/>
          <w:sz w:val="24"/>
          <w:szCs w:val="24"/>
          <w:lang w:val="en-US"/>
        </w:rPr>
        <w:t xml:space="preserve">and Marcel Konrad corrected the manuscript. </w:t>
      </w:r>
      <w:r w:rsidR="005F02BD" w:rsidRPr="00F941E3">
        <w:rPr>
          <w:rFonts w:ascii="Arial" w:hAnsi="Arial" w:cs="Arial"/>
          <w:color w:val="000000" w:themeColor="text1"/>
          <w:sz w:val="24"/>
          <w:szCs w:val="24"/>
          <w:lang w:val="en-US"/>
        </w:rPr>
        <w:t xml:space="preserve">Karel </w:t>
      </w:r>
      <w:proofErr w:type="spellStart"/>
      <w:r w:rsidR="005F02BD" w:rsidRPr="00F941E3">
        <w:rPr>
          <w:rFonts w:ascii="Arial" w:hAnsi="Arial" w:cs="Arial"/>
          <w:color w:val="000000" w:themeColor="text1"/>
          <w:sz w:val="24"/>
          <w:szCs w:val="24"/>
          <w:lang w:val="en-US"/>
        </w:rPr>
        <w:t>Kostev</w:t>
      </w:r>
      <w:proofErr w:type="spellEnd"/>
      <w:r w:rsidR="005F02BD" w:rsidRPr="00F941E3">
        <w:rPr>
          <w:rFonts w:ascii="Arial" w:hAnsi="Arial" w:cs="Arial"/>
          <w:color w:val="000000" w:themeColor="text1"/>
          <w:sz w:val="24"/>
          <w:szCs w:val="24"/>
          <w:lang w:val="en-US"/>
        </w:rPr>
        <w:t xml:space="preserve"> contributed to the design of the study, performed the statistical analyses, and corrected the manuscript. </w:t>
      </w:r>
      <w:r w:rsidRPr="00F941E3">
        <w:rPr>
          <w:rFonts w:ascii="Arial" w:hAnsi="Arial" w:cs="Arial"/>
          <w:color w:val="000000" w:themeColor="text1"/>
          <w:sz w:val="24"/>
          <w:szCs w:val="24"/>
          <w:lang w:val="en-US"/>
        </w:rPr>
        <w:t>All authors contributed to and have approved the final manuscript.</w:t>
      </w:r>
    </w:p>
    <w:bookmarkEnd w:id="2"/>
    <w:p w14:paraId="426E6598" w14:textId="77777777" w:rsidR="00791B1E" w:rsidRPr="00F941E3" w:rsidRDefault="00791B1E" w:rsidP="00BC4D0A">
      <w:pPr>
        <w:spacing w:line="480" w:lineRule="auto"/>
        <w:jc w:val="both"/>
        <w:rPr>
          <w:rFonts w:ascii="Arial" w:hAnsi="Arial" w:cs="Arial"/>
          <w:color w:val="000000" w:themeColor="text1"/>
          <w:sz w:val="24"/>
          <w:szCs w:val="24"/>
          <w:lang w:val="en-US"/>
        </w:rPr>
      </w:pPr>
    </w:p>
    <w:p w14:paraId="35845FD4" w14:textId="20E5F194" w:rsidR="00006765" w:rsidRPr="00F941E3" w:rsidRDefault="004F2E4F" w:rsidP="006702BC">
      <w:pPr>
        <w:pStyle w:val="Heading1"/>
        <w:rPr>
          <w:lang w:val="en-US"/>
        </w:rPr>
      </w:pPr>
      <w:r w:rsidRPr="00F941E3">
        <w:rPr>
          <w:lang w:val="en-US"/>
        </w:rPr>
        <w:t>References</w:t>
      </w:r>
    </w:p>
    <w:p w14:paraId="527ED1FE" w14:textId="664AD922" w:rsidR="004F2E4F" w:rsidRPr="00F941E3" w:rsidRDefault="004F2E4F" w:rsidP="00FB3226">
      <w:pPr>
        <w:spacing w:line="480" w:lineRule="auto"/>
        <w:rPr>
          <w:rFonts w:ascii="Arial" w:hAnsi="Arial" w:cs="Arial"/>
          <w:color w:val="000000" w:themeColor="text1"/>
          <w:sz w:val="24"/>
          <w:szCs w:val="24"/>
          <w:lang w:val="en-US"/>
        </w:rPr>
      </w:pPr>
    </w:p>
    <w:p w14:paraId="07F1DFB4" w14:textId="77777777" w:rsidR="00B63015" w:rsidRPr="00F941E3" w:rsidRDefault="004F2E4F" w:rsidP="00FB3226">
      <w:pPr>
        <w:pStyle w:val="Literaturverzeichnis1"/>
        <w:spacing w:line="480" w:lineRule="auto"/>
        <w:rPr>
          <w:lang w:val="fr-FR"/>
        </w:rPr>
      </w:pPr>
      <w:r w:rsidRPr="00F941E3">
        <w:rPr>
          <w:rFonts w:asciiTheme="minorHAnsi" w:hAnsiTheme="minorHAnsi" w:cstheme="minorBidi"/>
          <w:sz w:val="22"/>
          <w:szCs w:val="22"/>
        </w:rPr>
        <w:fldChar w:fldCharType="begin"/>
      </w:r>
      <w:r w:rsidR="00D50691" w:rsidRPr="00F941E3">
        <w:instrText xml:space="preserve"> ADDIN ZOTERO_BIBL {"uncited":[],"omitted":[],"custom":[]} CSL_BIBLIOGRAPHY </w:instrText>
      </w:r>
      <w:r w:rsidRPr="00F941E3">
        <w:rPr>
          <w:rFonts w:asciiTheme="minorHAnsi" w:hAnsiTheme="minorHAnsi" w:cstheme="minorBidi"/>
          <w:sz w:val="22"/>
          <w:szCs w:val="22"/>
        </w:rPr>
        <w:fldChar w:fldCharType="separate"/>
      </w:r>
      <w:r w:rsidR="00B63015" w:rsidRPr="00F941E3">
        <w:t xml:space="preserve">Abdi A, Jalilian M, Sarbarzeh PA, Vlaisavljevic Z. Diabetes and COVID-19: A systematic review on the current evidences. </w:t>
      </w:r>
      <w:r w:rsidR="00B63015" w:rsidRPr="00F941E3">
        <w:rPr>
          <w:lang w:val="fr-FR"/>
        </w:rPr>
        <w:t>Diabetes Res Clin Pract 2020;166:108347. https://doi.org/10.1016/j.diabres.2020.108347.</w:t>
      </w:r>
    </w:p>
    <w:p w14:paraId="651FBAE1" w14:textId="77777777" w:rsidR="00B63015" w:rsidRPr="00F941E3" w:rsidRDefault="00B63015" w:rsidP="00FB3226">
      <w:pPr>
        <w:pStyle w:val="Literaturverzeichnis1"/>
        <w:spacing w:line="480" w:lineRule="auto"/>
      </w:pPr>
      <w:r w:rsidRPr="00F941E3">
        <w:rPr>
          <w:lang w:val="fr-FR"/>
        </w:rPr>
        <w:t xml:space="preserve">Alquézar-Arbé A, Piñera P, Jacob J, Martín A, Jiménez S, Llorens P, et al. </w:t>
      </w:r>
      <w:r w:rsidRPr="00F941E3">
        <w:t>Impact of the COVID-19 pandemic on hospital emergency departments: results of a survey of departments in 2020 - the Spanish ENCOVUR study. Emergencias 2020;32:320–31.</w:t>
      </w:r>
    </w:p>
    <w:p w14:paraId="0D513650" w14:textId="77777777" w:rsidR="00B63015" w:rsidRPr="00F941E3" w:rsidRDefault="00B63015" w:rsidP="00FB3226">
      <w:pPr>
        <w:pStyle w:val="Literaturverzeichnis1"/>
        <w:spacing w:line="480" w:lineRule="auto"/>
      </w:pPr>
      <w:r w:rsidRPr="00F941E3">
        <w:t>Busse R, Blümel M. Germany: Health system review. Health Syst Transit 2014;16:1–296, xxi.</w:t>
      </w:r>
    </w:p>
    <w:p w14:paraId="7F9D561A" w14:textId="77777777" w:rsidR="00B63015" w:rsidRPr="00F941E3" w:rsidRDefault="00B63015" w:rsidP="00FB3226">
      <w:pPr>
        <w:pStyle w:val="Literaturverzeichnis1"/>
        <w:spacing w:line="480" w:lineRule="auto"/>
        <w:rPr>
          <w:lang w:val="fr-FR"/>
        </w:rPr>
      </w:pPr>
      <w:r w:rsidRPr="00F941E3">
        <w:rPr>
          <w:lang w:val="fr-FR"/>
        </w:rPr>
        <w:t xml:space="preserve">Calvo-Bonacho E, Catalina-Romero C, Fernández-Labandera C, Fernández-Meseguer A, González-Quintela A, Martínez-Muñoz P, et al. </w:t>
      </w:r>
      <w:r w:rsidRPr="00F941E3">
        <w:t xml:space="preserve">COVID-19 and Sick Leave: An Analysis of the Ibermutua Cohort of Over 1,651,305 Spanish Workers in the First Trimester of 2020. </w:t>
      </w:r>
      <w:r w:rsidRPr="00F941E3">
        <w:rPr>
          <w:lang w:val="fr-FR"/>
        </w:rPr>
        <w:t>Front Public Health 2020;8:580546. https://doi.org/10.3389/fpubh.2020.580546.</w:t>
      </w:r>
    </w:p>
    <w:p w14:paraId="51FD28BE" w14:textId="77777777" w:rsidR="00B63015" w:rsidRPr="00F941E3" w:rsidRDefault="00B63015" w:rsidP="00FB3226">
      <w:pPr>
        <w:pStyle w:val="Literaturverzeichnis1"/>
        <w:spacing w:line="480" w:lineRule="auto"/>
      </w:pPr>
      <w:r w:rsidRPr="00F941E3">
        <w:rPr>
          <w:lang w:val="fr-FR"/>
        </w:rPr>
        <w:lastRenderedPageBreak/>
        <w:t xml:space="preserve">Carvalho-Schneider C, Laurent E, Lemaignen A, Beaufils E, Bourbao-Tournois C, Laribi S, et al. </w:t>
      </w:r>
      <w:r w:rsidRPr="00F941E3">
        <w:t>Follow-up of adults with noncritical COVID-19 two months after symptom onset. Clin Microbiol Infect 2021;27:258–63. https://doi.org/10.1016/j.cmi.2020.09.052.</w:t>
      </w:r>
    </w:p>
    <w:p w14:paraId="7810E041" w14:textId="77777777" w:rsidR="00B63015" w:rsidRPr="00F941E3" w:rsidRDefault="00B63015" w:rsidP="00FB3226">
      <w:pPr>
        <w:pStyle w:val="Literaturverzeichnis1"/>
        <w:spacing w:line="480" w:lineRule="auto"/>
      </w:pPr>
      <w:r w:rsidRPr="00F941E3">
        <w:t>Catalan-Serra I, Brenna Ø. Immunotherapy in inflammatory bowel disease: Novel and emerging treatments. Hum Vaccin Immunother 2018;14:2597–611. https://doi.org/10.1080/21645515.2018.1461297.</w:t>
      </w:r>
    </w:p>
    <w:p w14:paraId="3A7818A5" w14:textId="77777777" w:rsidR="00B63015" w:rsidRPr="00F941E3" w:rsidRDefault="00B63015" w:rsidP="00FB3226">
      <w:pPr>
        <w:pStyle w:val="Literaturverzeichnis1"/>
        <w:spacing w:line="480" w:lineRule="auto"/>
      </w:pPr>
      <w:r w:rsidRPr="00F941E3">
        <w:t>COVIDSurg Collaborative. COVID-19-related absence among surgeons: development of an international surgical workforce prediction model. BJS Open 2021;5. https://doi.org/10.1093/bjsopen/zraa021.</w:t>
      </w:r>
    </w:p>
    <w:p w14:paraId="2C5655AC" w14:textId="77777777" w:rsidR="00B63015" w:rsidRPr="00F941E3" w:rsidRDefault="00B63015" w:rsidP="00FB3226">
      <w:pPr>
        <w:pStyle w:val="Literaturverzeichnis1"/>
        <w:spacing w:line="480" w:lineRule="auto"/>
      </w:pPr>
      <w:r w:rsidRPr="00F941E3">
        <w:t>Cucinotta D, Vanelli M. WHO Declares COVID-19 a Pandemic. Acta Biomed 2020;91:157–60. https://doi.org/10.23750/abm.v91i1.9397.</w:t>
      </w:r>
    </w:p>
    <w:p w14:paraId="07217843" w14:textId="77777777" w:rsidR="00B63015" w:rsidRPr="00F941E3" w:rsidRDefault="00B63015" w:rsidP="00FB3226">
      <w:pPr>
        <w:pStyle w:val="Literaturverzeichnis1"/>
        <w:spacing w:line="480" w:lineRule="auto"/>
      </w:pPr>
      <w:r w:rsidRPr="00F941E3">
        <w:t>Elzinga S, Murdock BJ, Guo K, Hayes JM, Tabbey MA, Hur J, et al. Toll-like receptors and inflammation in metabolic neuropathy; a role in early versus late disease? Exp Neurol 2019;320:112967. https://doi.org/10.1016/j.expneurol.2019.112967.</w:t>
      </w:r>
    </w:p>
    <w:p w14:paraId="2A0F4E79" w14:textId="77777777" w:rsidR="00B63015" w:rsidRPr="00F941E3" w:rsidRDefault="00B63015" w:rsidP="00FB3226">
      <w:pPr>
        <w:pStyle w:val="Literaturverzeichnis1"/>
        <w:spacing w:line="480" w:lineRule="auto"/>
      </w:pPr>
      <w:r w:rsidRPr="00F941E3">
        <w:t>Groenewold MR, Burrer SL, Ahmed F, Uzicanin A, Free H, Luckhaupt SE. Increases in Health-Related Workplace Absenteeism Among Workers in Essential Critical Infrastructure Occupations During the COVID-19 Pandemic - United States, March-April 2020. MMWR Morb Mortal Wkly Rep 2020;69:853–8. https://doi.org/10.15585/mmwr.mm6927a1.</w:t>
      </w:r>
    </w:p>
    <w:p w14:paraId="28425146" w14:textId="77777777" w:rsidR="00B63015" w:rsidRPr="00F941E3" w:rsidRDefault="00B63015" w:rsidP="00FB3226">
      <w:pPr>
        <w:pStyle w:val="Literaturverzeichnis1"/>
        <w:spacing w:line="480" w:lineRule="auto"/>
      </w:pPr>
      <w:r w:rsidRPr="00F941E3">
        <w:t>Khorasanee R, Grundy T, Isted A, Breeze R. The effects of COVID-19 on sickness of medical staff across departments: A single centre experience. Clin Med (Lond) 2021;21:e150–4. https://doi.org/10.7861/clinmed.2020-0547.</w:t>
      </w:r>
    </w:p>
    <w:p w14:paraId="1334B1B1" w14:textId="77777777" w:rsidR="00B63015" w:rsidRPr="00F941E3" w:rsidRDefault="00B63015" w:rsidP="00FB3226">
      <w:pPr>
        <w:pStyle w:val="Literaturverzeichnis1"/>
        <w:spacing w:line="480" w:lineRule="auto"/>
      </w:pPr>
      <w:r w:rsidRPr="00F941E3">
        <w:t>Lee SH, Kwon JE, Cho M-L. Immunological pathogenesis of inflammatory bowel disease. Intest Res 2018;16:26–42. https://doi.org/10.5217/ir.2018.16.1.26.</w:t>
      </w:r>
    </w:p>
    <w:p w14:paraId="67917CCF" w14:textId="77777777" w:rsidR="00B63015" w:rsidRPr="00F941E3" w:rsidRDefault="00B63015" w:rsidP="00FB3226">
      <w:pPr>
        <w:pStyle w:val="Literaturverzeichnis1"/>
        <w:spacing w:line="480" w:lineRule="auto"/>
      </w:pPr>
      <w:r w:rsidRPr="00F941E3">
        <w:lastRenderedPageBreak/>
        <w:t>Léger J-M, Guimarães-Costa R, Muntean C. Immunotherapy in Peripheral Neuropathies. Neurotherapeutics 2016;13:96–107. https://doi.org/10.1007/s13311-015-0401-7.</w:t>
      </w:r>
    </w:p>
    <w:p w14:paraId="536E032A" w14:textId="77777777" w:rsidR="00B63015" w:rsidRPr="00F941E3" w:rsidRDefault="00B63015" w:rsidP="00FB3226">
      <w:pPr>
        <w:pStyle w:val="Literaturverzeichnis1"/>
        <w:spacing w:line="480" w:lineRule="auto"/>
      </w:pPr>
      <w:r w:rsidRPr="00F941E3">
        <w:t>Lippi G, Wong J, Henry BM. Hypertension in patients with coronavirus disease 2019 (COVID-19): a pooled analysis. Pol Arch Intern Med 2020;130:304–9. https://doi.org/10.20452/pamw.15272.</w:t>
      </w:r>
    </w:p>
    <w:p w14:paraId="3E7C46AA" w14:textId="77777777" w:rsidR="00B63015" w:rsidRPr="00F941E3" w:rsidRDefault="00B63015" w:rsidP="00FB3226">
      <w:pPr>
        <w:pStyle w:val="Literaturverzeichnis1"/>
        <w:spacing w:line="480" w:lineRule="auto"/>
      </w:pPr>
      <w:r w:rsidRPr="00F941E3">
        <w:t>Merkin R, Kruger A, Bhardwaj G, Kajita GR, Shapiro L, Galen BT. Internal Medicine Resident Work Absence During the COVID-19 Pandemic at a Large Academic Medical Center in New York City. J Grad Med Educ 2020;12:682–5. https://doi.org/10.4300/JGME-D-20-00657.1.</w:t>
      </w:r>
    </w:p>
    <w:p w14:paraId="40AFAA85" w14:textId="77777777" w:rsidR="00B63015" w:rsidRPr="00F941E3" w:rsidRDefault="00B63015" w:rsidP="00FB3226">
      <w:pPr>
        <w:pStyle w:val="Literaturverzeichnis1"/>
        <w:spacing w:line="480" w:lineRule="auto"/>
      </w:pPr>
      <w:r w:rsidRPr="00F941E3">
        <w:t>Miraglia del Giudice M, Decimo F, Leonardi S, Maioello N, Amelio R, Capasso A, et al. Immune dysregulation in atopic dermatitis. Allergy Asthma Proc 2006;27:451–5. https://doi.org/10.2500/aap.2006.27.2887.</w:t>
      </w:r>
    </w:p>
    <w:p w14:paraId="2E2D8416" w14:textId="77777777" w:rsidR="00B63015" w:rsidRPr="00F941E3" w:rsidRDefault="00B63015" w:rsidP="00FB3226">
      <w:pPr>
        <w:pStyle w:val="Literaturverzeichnis1"/>
        <w:spacing w:line="480" w:lineRule="auto"/>
      </w:pPr>
      <w:r w:rsidRPr="00F941E3">
        <w:t>Pavli A, Theodoridou M, Maltezou HC. Post-COVID syndrome: Incidence, clinical spectrum, and challenges for primary healthcare professionals. Arch Med Res 2021. https://doi.org/10.1016/j.arcmed.2021.03.010.</w:t>
      </w:r>
    </w:p>
    <w:p w14:paraId="23311CAE" w14:textId="77777777" w:rsidR="00B63015" w:rsidRPr="00F941E3" w:rsidRDefault="00B63015" w:rsidP="00FB3226">
      <w:pPr>
        <w:pStyle w:val="Literaturverzeichnis1"/>
        <w:spacing w:line="480" w:lineRule="auto"/>
        <w:rPr>
          <w:lang w:val="de-DE"/>
        </w:rPr>
      </w:pPr>
      <w:r w:rsidRPr="00F941E3">
        <w:t xml:space="preserve">Pizarro-Pennarolli C, Sánchez-Rojas C, Torres-Castro R, Vera-Uribe R, Sanchez-Ramirez DC, Vasconcello-Castillo L, et al. Assessment of activities of daily living in patients post COVID-19: a systematic review. </w:t>
      </w:r>
      <w:r w:rsidRPr="00F941E3">
        <w:rPr>
          <w:lang w:val="de-DE"/>
        </w:rPr>
        <w:t>PeerJ 2021;9. https://doi.org/10.7717/peerj.11026.</w:t>
      </w:r>
    </w:p>
    <w:p w14:paraId="2E260D23" w14:textId="77777777" w:rsidR="00B63015" w:rsidRPr="00F941E3" w:rsidRDefault="00B63015" w:rsidP="00FB3226">
      <w:pPr>
        <w:pStyle w:val="Literaturverzeichnis1"/>
        <w:spacing w:line="480" w:lineRule="auto"/>
      </w:pPr>
      <w:r w:rsidRPr="00F941E3">
        <w:rPr>
          <w:lang w:val="de-DE"/>
        </w:rPr>
        <w:t xml:space="preserve">Prezant DJ, Zeig-Owens R, Schwartz T, Liu Y, Hurwitz K, Beecher S, et al. </w:t>
      </w:r>
      <w:r w:rsidRPr="00F941E3">
        <w:t>Medical Leave Associated With COVID-19 Among Emergency Medical System Responders and Firefighters in New York City. JAMA Netw Open 2020;3. https://doi.org/10.1001/jamanetworkopen.2020.16094.</w:t>
      </w:r>
    </w:p>
    <w:p w14:paraId="04D2CDF6" w14:textId="77777777" w:rsidR="00B63015" w:rsidRPr="00F941E3" w:rsidRDefault="00B63015" w:rsidP="00FB3226">
      <w:pPr>
        <w:pStyle w:val="Literaturverzeichnis1"/>
        <w:spacing w:line="480" w:lineRule="auto"/>
      </w:pPr>
      <w:r w:rsidRPr="00F941E3">
        <w:lastRenderedPageBreak/>
        <w:t>Rathmann W, Bongaerts B, Carius H-J, Kruppert S, Kostev K. Basic characteristics and representativeness of the German Disease Analyzer database. Int J Clin Pharmacol Ther 2018;56:459–66. https://doi.org/10.5414/CP203320.</w:t>
      </w:r>
    </w:p>
    <w:p w14:paraId="26340C78" w14:textId="77777777" w:rsidR="00B63015" w:rsidRPr="00F941E3" w:rsidRDefault="00B63015" w:rsidP="00FB3226">
      <w:pPr>
        <w:pStyle w:val="Literaturverzeichnis1"/>
        <w:spacing w:line="480" w:lineRule="auto"/>
      </w:pPr>
      <w:r w:rsidRPr="00F941E3">
        <w:t>Rieder F, Biancani P, Harnett K, Yerian L, Falk GW. Inflammatory mediators in gastroesophageal reflux disease: impact on esophageal motility, fibrosis, and carcinogenesis. Am J Physiol Gastrointest Liver Physiol 2010;298:G571-581. https://doi.org/10.1152/ajpgi.00454.2009.</w:t>
      </w:r>
    </w:p>
    <w:p w14:paraId="35CF109D" w14:textId="77777777" w:rsidR="00B63015" w:rsidRPr="00F941E3" w:rsidRDefault="00B63015" w:rsidP="00FB3226">
      <w:pPr>
        <w:pStyle w:val="Literaturverzeichnis1"/>
        <w:spacing w:line="480" w:lineRule="auto"/>
      </w:pPr>
      <w:r w:rsidRPr="00F941E3">
        <w:rPr>
          <w:lang w:val="fr-FR"/>
        </w:rPr>
        <w:t xml:space="preserve">da Rosa Mesquita R, Francelino Silva Junior LC, Santos Santana FM, Farias de Oliveira T, Campos Alcântara R, Monteiro Arnozo G, et al. </w:t>
      </w:r>
      <w:r w:rsidRPr="00F941E3">
        <w:t>Clinical manifestations of COVID-19 in the general population: systematic review. Wien Klin Wochenschr 2020:1–6. https://doi.org/10.1007/s00508-020-01760-4.</w:t>
      </w:r>
    </w:p>
    <w:p w14:paraId="63BD39A4" w14:textId="77777777" w:rsidR="00B63015" w:rsidRPr="00F941E3" w:rsidRDefault="00B63015" w:rsidP="00FB3226">
      <w:pPr>
        <w:pStyle w:val="Literaturverzeichnis1"/>
        <w:spacing w:line="480" w:lineRule="auto"/>
        <w:rPr>
          <w:lang w:val="fr-FR"/>
        </w:rPr>
      </w:pPr>
      <w:r w:rsidRPr="00F941E3">
        <w:t xml:space="preserve">Suárez-García I, Martínez de Aramayona López MJ, Sáez Vicente A, Lobo Abascal P. SARS-CoV-2 infection among healthcare workers in a hospital in Madrid, Spain. </w:t>
      </w:r>
      <w:r w:rsidRPr="00F941E3">
        <w:rPr>
          <w:lang w:val="fr-FR"/>
        </w:rPr>
        <w:t>J Hosp Infect 2020;106:357–63. https://doi.org/10.1016/j.jhin.2020.07.020.</w:t>
      </w:r>
    </w:p>
    <w:p w14:paraId="6D5923EA" w14:textId="77777777" w:rsidR="00B63015" w:rsidRPr="00F941E3" w:rsidRDefault="00B63015" w:rsidP="00FB3226">
      <w:pPr>
        <w:pStyle w:val="Literaturverzeichnis1"/>
        <w:spacing w:line="480" w:lineRule="auto"/>
        <w:rPr>
          <w:lang w:val="fr-FR"/>
        </w:rPr>
      </w:pPr>
      <w:r w:rsidRPr="00F941E3">
        <w:rPr>
          <w:lang w:val="fr-FR"/>
        </w:rPr>
        <w:t xml:space="preserve">Tanji Y, Sawada S, Watanabe T, Mita T, Kobayashi Y, Murakami T, et al. </w:t>
      </w:r>
      <w:r w:rsidRPr="00F941E3">
        <w:t xml:space="preserve">Impact of COVID-19 pandemic on glycemic control among outpatients with type 2 diabetes in Japan: A hospital-based survey from a country without lockdown. </w:t>
      </w:r>
      <w:r w:rsidRPr="00F941E3">
        <w:rPr>
          <w:lang w:val="fr-FR"/>
        </w:rPr>
        <w:t>Diabetes Res Clin Pract 2021;176:108840. https://doi.org/10.1016/j.diabres.2021.108840.</w:t>
      </w:r>
    </w:p>
    <w:p w14:paraId="0FC3B1F6" w14:textId="77777777" w:rsidR="00B63015" w:rsidRPr="00F941E3" w:rsidRDefault="00B63015" w:rsidP="00FB3226">
      <w:pPr>
        <w:pStyle w:val="Literaturverzeichnis1"/>
        <w:spacing w:line="480" w:lineRule="auto"/>
      </w:pPr>
      <w:r w:rsidRPr="00F941E3">
        <w:rPr>
          <w:lang w:val="fr-FR"/>
        </w:rPr>
        <w:t xml:space="preserve">Tiruneh SA, Tesema ZT, Azanaw MM, Angaw DA. </w:t>
      </w:r>
      <w:r w:rsidRPr="00F941E3">
        <w:t>The effect of age on the incidence of COVID-19 complications: a systematic review and meta-analysis. Syst Rev 2021;10:80. https://doi.org/10.1186/s13643-021-01636-2.</w:t>
      </w:r>
    </w:p>
    <w:p w14:paraId="618ED7D9" w14:textId="77777777" w:rsidR="00B63015" w:rsidRPr="00F941E3" w:rsidRDefault="00B63015" w:rsidP="00FB3226">
      <w:pPr>
        <w:pStyle w:val="Literaturverzeichnis1"/>
        <w:spacing w:line="480" w:lineRule="auto"/>
      </w:pPr>
      <w:r w:rsidRPr="00F941E3">
        <w:t>Townsend L, Dyer AH, Jones K, Dunne J, Mooney A, Gaffney F, et al. Persistent fatigue following SARS-CoV-2 infection is common and independent of severity of initial infection. PLoS One 2020;15. https://doi.org/10.1371/journal.pone.0240784.</w:t>
      </w:r>
    </w:p>
    <w:p w14:paraId="3FFB837D" w14:textId="77777777" w:rsidR="00B63015" w:rsidRPr="00F941E3" w:rsidRDefault="00B63015" w:rsidP="00FB3226">
      <w:pPr>
        <w:pStyle w:val="Literaturverzeichnis1"/>
        <w:spacing w:line="480" w:lineRule="auto"/>
      </w:pPr>
      <w:r w:rsidRPr="00F941E3">
        <w:lastRenderedPageBreak/>
        <w:t>Vahidy FS, Pan AP, Ahnstedt H, Munshi Y, Choi HA, Tiruneh Y, et al. Sex differences in susceptibility, severity, and outcomes of coronavirus disease 2019: Cross-sectional analysis from a diverse US metropolitan area. PLoS One 2021;16:e0245556. https://doi.org/10.1371/journal.pone.0245556.</w:t>
      </w:r>
    </w:p>
    <w:p w14:paraId="2EF01C37" w14:textId="77777777" w:rsidR="00B63015" w:rsidRPr="00F941E3" w:rsidRDefault="00B63015" w:rsidP="00FB3226">
      <w:pPr>
        <w:pStyle w:val="Literaturverzeichnis1"/>
        <w:spacing w:line="480" w:lineRule="auto"/>
      </w:pPr>
      <w:r w:rsidRPr="00F941E3">
        <w:t>Werfel T, Biedermann T. Current novel approaches in systemic therapy of atopic dermatitis: specific inhibition of cutaneous Th2 polarized inflammation and itch. Curr Opin Allergy Clin Immunol 2015;15:446–52. https://doi.org/10.1097/ACI.0000000000000199.</w:t>
      </w:r>
    </w:p>
    <w:p w14:paraId="4C774099" w14:textId="77777777" w:rsidR="00B63015" w:rsidRPr="00F941E3" w:rsidRDefault="00B63015" w:rsidP="00FB3226">
      <w:pPr>
        <w:pStyle w:val="Literaturverzeichnis1"/>
        <w:spacing w:line="480" w:lineRule="auto"/>
      </w:pPr>
      <w:r w:rsidRPr="00F941E3">
        <w:t>World Health Organization. WHO Coronavirus (COVID-19) Dashboard 2021. https://covid19.who.int/.</w:t>
      </w:r>
    </w:p>
    <w:p w14:paraId="15F60686" w14:textId="77777777" w:rsidR="00B63015" w:rsidRPr="00F941E3" w:rsidRDefault="00B63015" w:rsidP="00FB3226">
      <w:pPr>
        <w:pStyle w:val="Literaturverzeichnis1"/>
        <w:spacing w:line="480" w:lineRule="auto"/>
        <w:rPr>
          <w:lang w:val="fr-FR"/>
        </w:rPr>
      </w:pPr>
      <w:r w:rsidRPr="00F941E3">
        <w:rPr>
          <w:lang w:val="fr-FR"/>
        </w:rPr>
        <w:t xml:space="preserve">Xiong J, Lipsitz O, Nasri F, Lui LMW, Gill H, Phan L, et al. </w:t>
      </w:r>
      <w:r w:rsidRPr="00F941E3">
        <w:t xml:space="preserve">Impact of COVID-19 pandemic on mental health in the general population: A systematic review. </w:t>
      </w:r>
      <w:r w:rsidRPr="00F941E3">
        <w:rPr>
          <w:lang w:val="fr-FR"/>
        </w:rPr>
        <w:t>J Affect Disord 2020;277:55–64. https://doi.org/10.1016/j.jad.2020.08.001.</w:t>
      </w:r>
    </w:p>
    <w:p w14:paraId="1A650D76" w14:textId="77777777" w:rsidR="00B63015" w:rsidRPr="00F941E3" w:rsidRDefault="00B63015" w:rsidP="00FB3226">
      <w:pPr>
        <w:pStyle w:val="Literaturverzeichnis1"/>
        <w:spacing w:line="480" w:lineRule="auto"/>
      </w:pPr>
      <w:r w:rsidRPr="00F941E3">
        <w:rPr>
          <w:lang w:val="fr-FR"/>
        </w:rPr>
        <w:t xml:space="preserve">Zu ZY, Jiang MD, Xu PP, Chen W, Ni QQ, Lu GM, et al. </w:t>
      </w:r>
      <w:r w:rsidRPr="00F941E3">
        <w:t>Coronavirus Disease 2019 (COVID-19): A Perspective from China. Radiology 2020;296:E15–25. https://doi.org/10.1148/radiol.2020200490.</w:t>
      </w:r>
    </w:p>
    <w:p w14:paraId="6078E1B7" w14:textId="12D4E96F" w:rsidR="00E0518F" w:rsidRPr="00F941E3" w:rsidRDefault="004F2E4F" w:rsidP="00FB3226">
      <w:pPr>
        <w:spacing w:line="480" w:lineRule="auto"/>
        <w:rPr>
          <w:rFonts w:ascii="Arial" w:hAnsi="Arial" w:cs="Arial"/>
          <w:color w:val="000000" w:themeColor="text1"/>
          <w:sz w:val="24"/>
          <w:szCs w:val="24"/>
          <w:lang w:val="en-US"/>
        </w:rPr>
      </w:pPr>
      <w:r w:rsidRPr="00F941E3">
        <w:rPr>
          <w:rFonts w:ascii="Arial" w:hAnsi="Arial" w:cs="Arial"/>
          <w:color w:val="000000" w:themeColor="text1"/>
          <w:sz w:val="24"/>
          <w:szCs w:val="24"/>
          <w:lang w:val="en-US"/>
        </w:rPr>
        <w:fldChar w:fldCharType="end"/>
      </w:r>
    </w:p>
    <w:p w14:paraId="54DA78A6" w14:textId="77777777" w:rsidR="00E0518F" w:rsidRPr="00F941E3" w:rsidRDefault="00E0518F" w:rsidP="00FB3226">
      <w:pPr>
        <w:spacing w:line="480" w:lineRule="auto"/>
        <w:rPr>
          <w:rFonts w:ascii="Arial" w:hAnsi="Arial" w:cs="Arial"/>
          <w:color w:val="000000" w:themeColor="text1"/>
          <w:sz w:val="24"/>
          <w:szCs w:val="24"/>
          <w:lang w:val="en-US"/>
        </w:rPr>
      </w:pPr>
      <w:r w:rsidRPr="00F941E3">
        <w:rPr>
          <w:rFonts w:ascii="Arial" w:hAnsi="Arial" w:cs="Arial"/>
          <w:color w:val="000000" w:themeColor="text1"/>
          <w:sz w:val="24"/>
          <w:szCs w:val="24"/>
          <w:lang w:val="en-US"/>
        </w:rPr>
        <w:br w:type="page"/>
      </w:r>
    </w:p>
    <w:p w14:paraId="4F429A69" w14:textId="77777777" w:rsidR="00257069" w:rsidRDefault="00257069" w:rsidP="00257069">
      <w:pPr>
        <w:pStyle w:val="Heading1"/>
        <w:rPr>
          <w:lang w:val="en-US" w:eastAsia="en-US"/>
        </w:rPr>
      </w:pPr>
      <w:r>
        <w:rPr>
          <w:lang w:val="en-US" w:eastAsia="en-US"/>
        </w:rPr>
        <w:lastRenderedPageBreak/>
        <w:t>Tables and Figures</w:t>
      </w:r>
    </w:p>
    <w:p w14:paraId="36CEDEC6" w14:textId="6574DCAC" w:rsidR="00803681" w:rsidRPr="00F941E3" w:rsidRDefault="002F5172" w:rsidP="00E0518F">
      <w:pPr>
        <w:spacing w:line="360" w:lineRule="auto"/>
        <w:jc w:val="both"/>
        <w:rPr>
          <w:rFonts w:ascii="Arial" w:hAnsi="Arial" w:cs="Arial"/>
          <w:b/>
          <w:color w:val="000000" w:themeColor="text1"/>
          <w:sz w:val="24"/>
          <w:szCs w:val="24"/>
          <w:lang w:val="en-US" w:eastAsia="en-US"/>
        </w:rPr>
      </w:pPr>
      <w:r w:rsidRPr="00F941E3">
        <w:rPr>
          <w:rFonts w:ascii="Arial" w:hAnsi="Arial" w:cs="Arial"/>
          <w:b/>
          <w:noProof/>
          <w:color w:val="000000" w:themeColor="text1"/>
          <w:sz w:val="24"/>
          <w:szCs w:val="24"/>
          <w:lang w:val="en-GB" w:eastAsia="en-GB"/>
        </w:rPr>
        <w:drawing>
          <wp:inline distT="0" distB="0" distL="0" distR="0" wp14:anchorId="305C8EBB" wp14:editId="03BA7FF0">
            <wp:extent cx="4457700" cy="6172200"/>
            <wp:effectExtent l="0" t="0" r="0" b="0"/>
            <wp:docPr id="2" name="Image 2" descr="Three step flow diagram. &#10;&#10;Box one: &quot;Patients with at least one visit to one of 1,255 general practices in Germany between March 2020 and February 2021. N = 2,864,341&quot;&#10;&#10;Box two: &quot;Patients diagnosed with COVID-19. N = 46,050&quot;&#10;&#10;Box three: &quot;Patients in the age range 18-65 years and with a statutory health insurance. N = 30,950&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Three step flow diagram. &#10;&#10;Box one: &quot;Patients with at least one visit to one of 1,255 general practices in Germany between March 2020 and February 2021. N = 2,864,341&quot;&#10;&#10;Box two: &quot;Patients diagnosed with COVID-19. N = 46,050&quot;&#10;&#10;Box three: &quot;Patients in the age range 18-65 years and with a statutory health insurance. N = 30,950&quot;"/>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57700" cy="6172200"/>
                    </a:xfrm>
                    <a:prstGeom prst="rect">
                      <a:avLst/>
                    </a:prstGeom>
                  </pic:spPr>
                </pic:pic>
              </a:graphicData>
            </a:graphic>
          </wp:inline>
        </w:drawing>
      </w:r>
    </w:p>
    <w:p w14:paraId="6B7684EE" w14:textId="23FCDD9F" w:rsidR="007E08AE" w:rsidRPr="00F941E3" w:rsidRDefault="007E08AE" w:rsidP="00E0518F">
      <w:pPr>
        <w:spacing w:line="360" w:lineRule="auto"/>
        <w:jc w:val="both"/>
        <w:rPr>
          <w:rFonts w:ascii="Arial" w:hAnsi="Arial" w:cs="Arial"/>
          <w:b/>
          <w:color w:val="000000" w:themeColor="text1"/>
          <w:sz w:val="24"/>
          <w:szCs w:val="24"/>
          <w:lang w:val="en-US" w:eastAsia="en-US"/>
        </w:rPr>
      </w:pPr>
      <w:r w:rsidRPr="00F941E3">
        <w:rPr>
          <w:rFonts w:ascii="Arial" w:hAnsi="Arial" w:cs="Arial"/>
          <w:b/>
          <w:color w:val="000000" w:themeColor="text1"/>
          <w:sz w:val="24"/>
          <w:szCs w:val="24"/>
          <w:lang w:val="en-US" w:eastAsia="en-US"/>
        </w:rPr>
        <w:t xml:space="preserve">Figure 1. </w:t>
      </w:r>
      <w:r w:rsidR="008C19FD" w:rsidRPr="00F941E3">
        <w:rPr>
          <w:rFonts w:ascii="Arial" w:hAnsi="Arial" w:cs="Arial"/>
          <w:bCs/>
          <w:color w:val="000000" w:themeColor="text1"/>
          <w:sz w:val="24"/>
          <w:szCs w:val="24"/>
          <w:lang w:val="en-US" w:eastAsia="en-US"/>
        </w:rPr>
        <w:t>Selection of study patients</w:t>
      </w:r>
    </w:p>
    <w:p w14:paraId="0E7DE982" w14:textId="77777777" w:rsidR="007E08AE" w:rsidRPr="00F941E3" w:rsidRDefault="007E08AE">
      <w:pPr>
        <w:rPr>
          <w:rFonts w:ascii="Arial" w:hAnsi="Arial" w:cs="Arial"/>
          <w:b/>
          <w:color w:val="000000" w:themeColor="text1"/>
          <w:sz w:val="24"/>
          <w:szCs w:val="24"/>
          <w:lang w:val="en-US" w:eastAsia="en-US"/>
        </w:rPr>
      </w:pPr>
      <w:r w:rsidRPr="00F941E3">
        <w:rPr>
          <w:rFonts w:ascii="Arial" w:hAnsi="Arial" w:cs="Arial"/>
          <w:b/>
          <w:color w:val="000000" w:themeColor="text1"/>
          <w:sz w:val="24"/>
          <w:szCs w:val="24"/>
          <w:lang w:val="en-US" w:eastAsia="en-US"/>
        </w:rPr>
        <w:br w:type="page"/>
      </w:r>
    </w:p>
    <w:p w14:paraId="02F64D74" w14:textId="0418350A" w:rsidR="00E0518F" w:rsidRPr="00F941E3" w:rsidRDefault="00E0518F" w:rsidP="00E0518F">
      <w:pPr>
        <w:spacing w:line="360" w:lineRule="auto"/>
        <w:jc w:val="both"/>
        <w:rPr>
          <w:rFonts w:ascii="Arial" w:eastAsia="Times New Roman" w:hAnsi="Arial" w:cs="Arial"/>
          <w:color w:val="000000" w:themeColor="text1"/>
          <w:sz w:val="24"/>
          <w:szCs w:val="24"/>
          <w:lang w:val="en-US" w:eastAsia="de-DE"/>
        </w:rPr>
      </w:pPr>
      <w:r w:rsidRPr="00F941E3">
        <w:rPr>
          <w:rFonts w:ascii="Arial" w:hAnsi="Arial" w:cs="Arial"/>
          <w:b/>
          <w:color w:val="000000" w:themeColor="text1"/>
          <w:sz w:val="24"/>
          <w:szCs w:val="24"/>
          <w:lang w:val="en-US" w:eastAsia="en-US"/>
        </w:rPr>
        <w:lastRenderedPageBreak/>
        <w:t xml:space="preserve">Table 1. </w:t>
      </w:r>
      <w:r w:rsidRPr="00F941E3">
        <w:rPr>
          <w:rFonts w:ascii="Arial" w:hAnsi="Arial" w:cs="Arial"/>
          <w:color w:val="000000" w:themeColor="text1"/>
          <w:sz w:val="24"/>
          <w:szCs w:val="24"/>
          <w:lang w:val="en-US" w:eastAsia="en-US"/>
        </w:rPr>
        <w:t>Demographic and clinical characteristics</w:t>
      </w:r>
      <w:r w:rsidR="005769A7" w:rsidRPr="00F941E3">
        <w:rPr>
          <w:rFonts w:ascii="Arial" w:hAnsi="Arial" w:cs="Arial"/>
          <w:color w:val="000000" w:themeColor="text1"/>
          <w:sz w:val="24"/>
          <w:szCs w:val="24"/>
          <w:lang w:val="en-US" w:eastAsia="en-US"/>
        </w:rPr>
        <w:t xml:space="preserve"> of the study population</w:t>
      </w:r>
      <w:r w:rsidR="00145073" w:rsidRPr="00F941E3">
        <w:rPr>
          <w:rFonts w:ascii="Arial" w:hAnsi="Arial" w:cs="Arial"/>
          <w:color w:val="000000" w:themeColor="text1"/>
          <w:sz w:val="24"/>
          <w:szCs w:val="24"/>
          <w:lang w:val="en-US" w:eastAsia="en-US"/>
        </w:rPr>
        <w:t xml:space="preserve"> (N = 30,9</w:t>
      </w:r>
      <w:r w:rsidR="00530728" w:rsidRPr="00F941E3">
        <w:rPr>
          <w:rFonts w:ascii="Arial" w:hAnsi="Arial" w:cs="Arial"/>
          <w:color w:val="000000" w:themeColor="text1"/>
          <w:sz w:val="24"/>
          <w:szCs w:val="24"/>
          <w:lang w:val="en-US" w:eastAsia="en-US"/>
        </w:rPr>
        <w:t>50</w:t>
      </w:r>
      <w:r w:rsidR="00145073" w:rsidRPr="00F941E3">
        <w:rPr>
          <w:rFonts w:ascii="Arial" w:hAnsi="Arial" w:cs="Arial"/>
          <w:color w:val="000000" w:themeColor="text1"/>
          <w:sz w:val="24"/>
          <w:szCs w:val="24"/>
          <w:lang w:val="en-US" w:eastAsia="en-US"/>
        </w:rPr>
        <w:t>)</w:t>
      </w:r>
      <w:r w:rsidR="005769A7" w:rsidRPr="00F941E3">
        <w:rPr>
          <w:rFonts w:ascii="Arial" w:hAnsi="Arial" w:cs="Arial"/>
          <w:color w:val="000000" w:themeColor="text1"/>
          <w:sz w:val="24"/>
          <w:szCs w:val="24"/>
          <w:lang w:val="en-US" w:eastAsia="en-US"/>
        </w:rPr>
        <w:t xml:space="preserve"> </w:t>
      </w:r>
    </w:p>
    <w:tbl>
      <w:tblPr>
        <w:tblStyle w:val="Gitternetztabelle1hell2"/>
        <w:tblW w:w="8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Procedure Logistic: Odds Ratios"/>
      </w:tblPr>
      <w:tblGrid>
        <w:gridCol w:w="6858"/>
        <w:gridCol w:w="1401"/>
      </w:tblGrid>
      <w:tr w:rsidR="00F941E3" w:rsidRPr="00F941E3" w14:paraId="68D7D723" w14:textId="77777777" w:rsidTr="00D04AF5">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single" w:sz="4" w:space="0" w:color="auto"/>
              <w:bottom w:val="single" w:sz="4" w:space="0" w:color="auto"/>
            </w:tcBorders>
            <w:noWrap/>
            <w:hideMark/>
          </w:tcPr>
          <w:p w14:paraId="3E061848" w14:textId="77777777" w:rsidR="00E0518F" w:rsidRPr="00F941E3" w:rsidRDefault="00E0518F" w:rsidP="00E0518F">
            <w:pPr>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Variable</w:t>
            </w:r>
          </w:p>
        </w:tc>
        <w:tc>
          <w:tcPr>
            <w:tcW w:w="1401" w:type="dxa"/>
            <w:tcBorders>
              <w:top w:val="single" w:sz="4" w:space="0" w:color="auto"/>
              <w:bottom w:val="single" w:sz="4" w:space="0" w:color="auto"/>
            </w:tcBorders>
          </w:tcPr>
          <w:p w14:paraId="10BE1FD5" w14:textId="14722992" w:rsidR="00E0518F" w:rsidRPr="00F941E3" w:rsidRDefault="00145073" w:rsidP="0014507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Value</w:t>
            </w:r>
          </w:p>
        </w:tc>
      </w:tr>
      <w:tr w:rsidR="00F941E3" w:rsidRPr="00F941E3" w14:paraId="1EB7EFE2" w14:textId="77777777" w:rsidTr="00D04AF5">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single" w:sz="4" w:space="0" w:color="auto"/>
            </w:tcBorders>
            <w:noWrap/>
            <w:vAlign w:val="center"/>
          </w:tcPr>
          <w:p w14:paraId="3B6552BA" w14:textId="7294BB56" w:rsidR="00E0518F" w:rsidRPr="00F941E3" w:rsidRDefault="00D77563" w:rsidP="00E0518F">
            <w:pPr>
              <w:rPr>
                <w:rFonts w:ascii="Arial" w:eastAsia="Times New Roman" w:hAnsi="Arial" w:cs="Arial"/>
                <w:b w:val="0"/>
                <w:bCs w:val="0"/>
                <w:i/>
                <w:iCs/>
                <w:color w:val="000000" w:themeColor="text1"/>
                <w:sz w:val="20"/>
                <w:szCs w:val="20"/>
                <w:lang w:val="en-US" w:eastAsia="de-DE"/>
              </w:rPr>
            </w:pPr>
            <w:r w:rsidRPr="00F941E3">
              <w:rPr>
                <w:rFonts w:ascii="Arial" w:eastAsia="Times New Roman" w:hAnsi="Arial" w:cs="Arial"/>
                <w:b w:val="0"/>
                <w:bCs w:val="0"/>
                <w:i/>
                <w:iCs/>
                <w:color w:val="000000" w:themeColor="text1"/>
                <w:sz w:val="20"/>
                <w:szCs w:val="20"/>
                <w:lang w:val="en-US" w:eastAsia="de-DE"/>
              </w:rPr>
              <w:t>Sex</w:t>
            </w:r>
          </w:p>
        </w:tc>
        <w:tc>
          <w:tcPr>
            <w:tcW w:w="1401" w:type="dxa"/>
            <w:tcBorders>
              <w:top w:val="single" w:sz="4" w:space="0" w:color="auto"/>
            </w:tcBorders>
          </w:tcPr>
          <w:p w14:paraId="39236A75" w14:textId="431C8D97" w:rsidR="00E0518F" w:rsidRPr="00F941E3" w:rsidRDefault="00E0518F"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p>
        </w:tc>
      </w:tr>
      <w:tr w:rsidR="00F941E3" w:rsidRPr="00F941E3" w14:paraId="06B5721E"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DFD74F7" w14:textId="5561FF1B" w:rsidR="00D77563" w:rsidRPr="00F941E3" w:rsidRDefault="00D77563" w:rsidP="00E0518F">
            <w:pPr>
              <w:rPr>
                <w:rFonts w:ascii="Arial" w:eastAsia="Times New Roman" w:hAnsi="Arial" w:cs="Arial"/>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Women</w:t>
            </w:r>
          </w:p>
        </w:tc>
        <w:tc>
          <w:tcPr>
            <w:tcW w:w="1401" w:type="dxa"/>
          </w:tcPr>
          <w:p w14:paraId="4F7CEDA3" w14:textId="0F37444D" w:rsidR="00D77563" w:rsidRPr="00F941E3" w:rsidRDefault="00D77563"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51.7</w:t>
            </w:r>
          </w:p>
        </w:tc>
      </w:tr>
      <w:tr w:rsidR="00F941E3" w:rsidRPr="00F941E3" w14:paraId="213136A7"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72A2D0AD" w14:textId="20D90865" w:rsidR="00D36984" w:rsidRPr="00F941E3" w:rsidRDefault="00D36984" w:rsidP="00E0518F">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Men</w:t>
            </w:r>
          </w:p>
        </w:tc>
        <w:tc>
          <w:tcPr>
            <w:tcW w:w="1401" w:type="dxa"/>
          </w:tcPr>
          <w:p w14:paraId="6B2C6525" w14:textId="4CD86951" w:rsidR="00D36984" w:rsidRPr="00F941E3" w:rsidRDefault="00D36984"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48.3</w:t>
            </w:r>
          </w:p>
        </w:tc>
      </w:tr>
      <w:tr w:rsidR="00F941E3" w:rsidRPr="00F941E3" w14:paraId="4BB7D814"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4A5DC64" w14:textId="73DB91CB" w:rsidR="006A675E" w:rsidRPr="00F941E3" w:rsidRDefault="006A675E" w:rsidP="00E0518F">
            <w:pPr>
              <w:rPr>
                <w:rFonts w:ascii="Arial" w:eastAsia="Times New Roman" w:hAnsi="Arial" w:cs="Arial"/>
                <w:b w:val="0"/>
                <w:bCs w:val="0"/>
                <w:i/>
                <w:iCs/>
                <w:color w:val="000000" w:themeColor="text1"/>
                <w:sz w:val="20"/>
                <w:szCs w:val="20"/>
                <w:lang w:val="en-US" w:eastAsia="de-DE"/>
              </w:rPr>
            </w:pPr>
            <w:r w:rsidRPr="00F941E3">
              <w:rPr>
                <w:rFonts w:ascii="Arial" w:eastAsia="Times New Roman" w:hAnsi="Arial" w:cs="Arial"/>
                <w:b w:val="0"/>
                <w:bCs w:val="0"/>
                <w:i/>
                <w:iCs/>
                <w:color w:val="000000" w:themeColor="text1"/>
                <w:sz w:val="20"/>
                <w:szCs w:val="20"/>
                <w:lang w:val="en-US" w:eastAsia="de-DE"/>
              </w:rPr>
              <w:t>Age (in years)</w:t>
            </w:r>
          </w:p>
        </w:tc>
        <w:tc>
          <w:tcPr>
            <w:tcW w:w="1401" w:type="dxa"/>
          </w:tcPr>
          <w:p w14:paraId="6A048D91" w14:textId="77777777" w:rsidR="006A675E" w:rsidRPr="00F941E3" w:rsidRDefault="006A675E"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p>
        </w:tc>
      </w:tr>
      <w:tr w:rsidR="00F941E3" w:rsidRPr="00F941E3" w14:paraId="057D0205"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4E278BC5" w14:textId="1D1C8AE3" w:rsidR="005969B0" w:rsidRPr="00F941E3" w:rsidRDefault="00497CDB" w:rsidP="00E0518F">
            <w:pPr>
              <w:rPr>
                <w:rFonts w:ascii="Arial" w:eastAsia="Times New Roman" w:hAnsi="Arial" w:cs="Arial"/>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Mean (standard deviation)</w:t>
            </w:r>
          </w:p>
        </w:tc>
        <w:tc>
          <w:tcPr>
            <w:tcW w:w="1401" w:type="dxa"/>
          </w:tcPr>
          <w:p w14:paraId="5E29D27E" w14:textId="6002C5B7" w:rsidR="006A675E" w:rsidRPr="00F941E3" w:rsidRDefault="00C466AB"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41.5 (13.0)</w:t>
            </w:r>
          </w:p>
        </w:tc>
      </w:tr>
      <w:tr w:rsidR="00F941E3" w:rsidRPr="00F941E3" w14:paraId="3B7EF844"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2B54463" w14:textId="61E60B21" w:rsidR="003F4196" w:rsidRPr="00F941E3" w:rsidRDefault="003F4196" w:rsidP="00E0518F">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18-25</w:t>
            </w:r>
          </w:p>
        </w:tc>
        <w:tc>
          <w:tcPr>
            <w:tcW w:w="1401" w:type="dxa"/>
          </w:tcPr>
          <w:p w14:paraId="7F0D478D" w14:textId="773C82B0" w:rsidR="003F4196" w:rsidRPr="00F941E3" w:rsidRDefault="00C466AB"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14.3</w:t>
            </w:r>
          </w:p>
        </w:tc>
      </w:tr>
      <w:tr w:rsidR="00F941E3" w:rsidRPr="00F941E3" w14:paraId="2892736A"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69BE7E33" w14:textId="3AFD1416" w:rsidR="003F4196" w:rsidRPr="00F941E3" w:rsidRDefault="003F4196" w:rsidP="00E0518F">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26-35</w:t>
            </w:r>
          </w:p>
        </w:tc>
        <w:tc>
          <w:tcPr>
            <w:tcW w:w="1401" w:type="dxa"/>
          </w:tcPr>
          <w:p w14:paraId="4BFC493C" w14:textId="042656FD" w:rsidR="003F4196" w:rsidRPr="00F941E3" w:rsidRDefault="00C466AB"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22.5</w:t>
            </w:r>
          </w:p>
        </w:tc>
      </w:tr>
      <w:tr w:rsidR="00F941E3" w:rsidRPr="00F941E3" w14:paraId="49CCB266"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4C0A83D3" w14:textId="77615A7E" w:rsidR="00BA5A04" w:rsidRPr="00F941E3" w:rsidRDefault="00BA5A04" w:rsidP="00E0518F">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36-45</w:t>
            </w:r>
          </w:p>
        </w:tc>
        <w:tc>
          <w:tcPr>
            <w:tcW w:w="1401" w:type="dxa"/>
          </w:tcPr>
          <w:p w14:paraId="4A701B1B" w14:textId="15894034" w:rsidR="00BA5A04" w:rsidRPr="00F941E3" w:rsidRDefault="00C466AB"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21.6</w:t>
            </w:r>
          </w:p>
        </w:tc>
      </w:tr>
      <w:tr w:rsidR="00F941E3" w:rsidRPr="00F941E3" w14:paraId="3C1CDF77"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6260A06C" w14:textId="0B2BA968" w:rsidR="003F4196" w:rsidRPr="00F941E3" w:rsidRDefault="003F4196" w:rsidP="00E0518F">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46-55</w:t>
            </w:r>
          </w:p>
        </w:tc>
        <w:tc>
          <w:tcPr>
            <w:tcW w:w="1401" w:type="dxa"/>
          </w:tcPr>
          <w:p w14:paraId="2FF744F3" w14:textId="0BC53F39" w:rsidR="003F4196" w:rsidRPr="00F941E3" w:rsidRDefault="00C466AB"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23.2</w:t>
            </w:r>
          </w:p>
        </w:tc>
      </w:tr>
      <w:tr w:rsidR="00F941E3" w:rsidRPr="00F941E3" w14:paraId="015BB490"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503C717A" w14:textId="7222C853" w:rsidR="003F4196" w:rsidRPr="00F941E3" w:rsidRDefault="003F4196" w:rsidP="00E0518F">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56-65</w:t>
            </w:r>
          </w:p>
        </w:tc>
        <w:tc>
          <w:tcPr>
            <w:tcW w:w="1401" w:type="dxa"/>
          </w:tcPr>
          <w:p w14:paraId="39DA28CB" w14:textId="2707702D" w:rsidR="003F4196" w:rsidRPr="00F941E3" w:rsidRDefault="00C466AB"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18.4</w:t>
            </w:r>
          </w:p>
        </w:tc>
      </w:tr>
      <w:tr w:rsidR="00F941E3" w:rsidRPr="00F941E3" w14:paraId="1C3196AD"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540DB9B7" w14:textId="3A2FDAA6" w:rsidR="003F4196" w:rsidRPr="00F941E3" w:rsidRDefault="003F4196" w:rsidP="00E0518F">
            <w:pPr>
              <w:rPr>
                <w:rFonts w:ascii="Arial" w:eastAsia="Times New Roman" w:hAnsi="Arial" w:cs="Arial"/>
                <w:color w:val="000000" w:themeColor="text1"/>
                <w:sz w:val="20"/>
                <w:szCs w:val="20"/>
                <w:lang w:val="en-US" w:eastAsia="de-DE"/>
              </w:rPr>
            </w:pPr>
            <w:r w:rsidRPr="00F941E3">
              <w:rPr>
                <w:rFonts w:ascii="Arial" w:eastAsia="Times New Roman" w:hAnsi="Arial" w:cs="Arial"/>
                <w:b w:val="0"/>
                <w:bCs w:val="0"/>
                <w:i/>
                <w:iCs/>
                <w:color w:val="000000" w:themeColor="text1"/>
                <w:sz w:val="20"/>
                <w:szCs w:val="20"/>
                <w:lang w:val="en-US" w:eastAsia="de-DE"/>
              </w:rPr>
              <w:t>Disorders</w:t>
            </w:r>
            <w:r w:rsidR="00D04AF5" w:rsidRPr="00F941E3">
              <w:rPr>
                <w:rFonts w:ascii="Arial" w:eastAsia="Times New Roman" w:hAnsi="Arial" w:cs="Arial"/>
                <w:b w:val="0"/>
                <w:bCs w:val="0"/>
                <w:i/>
                <w:iCs/>
                <w:color w:val="000000" w:themeColor="text1"/>
                <w:sz w:val="20"/>
                <w:szCs w:val="20"/>
                <w:lang w:val="en-US" w:eastAsia="de-DE"/>
              </w:rPr>
              <w:t xml:space="preserve"> diagnosed within </w:t>
            </w:r>
            <w:r w:rsidR="00BB632D" w:rsidRPr="00F941E3">
              <w:rPr>
                <w:rFonts w:ascii="Arial" w:eastAsia="Times New Roman" w:hAnsi="Arial" w:cs="Arial"/>
                <w:b w:val="0"/>
                <w:bCs w:val="0"/>
                <w:i/>
                <w:iCs/>
                <w:color w:val="000000" w:themeColor="text1"/>
                <w:sz w:val="20"/>
                <w:szCs w:val="20"/>
                <w:lang w:val="en-US" w:eastAsia="de-DE"/>
              </w:rPr>
              <w:t>12</w:t>
            </w:r>
            <w:r w:rsidR="00D04AF5" w:rsidRPr="00F941E3">
              <w:rPr>
                <w:rFonts w:ascii="Arial" w:eastAsia="Times New Roman" w:hAnsi="Arial" w:cs="Arial"/>
                <w:b w:val="0"/>
                <w:bCs w:val="0"/>
                <w:i/>
                <w:iCs/>
                <w:color w:val="000000" w:themeColor="text1"/>
                <w:sz w:val="20"/>
                <w:szCs w:val="20"/>
                <w:lang w:val="en-US" w:eastAsia="de-DE"/>
              </w:rPr>
              <w:t xml:space="preserve"> months prior to the diagnosis of COVID-19</w:t>
            </w:r>
          </w:p>
        </w:tc>
        <w:tc>
          <w:tcPr>
            <w:tcW w:w="1401" w:type="dxa"/>
          </w:tcPr>
          <w:p w14:paraId="2D9A86C9" w14:textId="77777777" w:rsidR="003F4196" w:rsidRPr="00F941E3" w:rsidRDefault="003F4196"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p>
        </w:tc>
      </w:tr>
      <w:tr w:rsidR="00F941E3" w:rsidRPr="00F941E3" w14:paraId="7900ABD1"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2723B464" w14:textId="52DF86B9" w:rsidR="002055E1" w:rsidRPr="00F941E3" w:rsidRDefault="002055E1"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Hypertension</w:t>
            </w:r>
          </w:p>
        </w:tc>
        <w:tc>
          <w:tcPr>
            <w:tcW w:w="1401" w:type="dxa"/>
          </w:tcPr>
          <w:p w14:paraId="1FCC3B03" w14:textId="77777777" w:rsidR="002055E1" w:rsidRPr="00F941E3" w:rsidRDefault="002055E1"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13.5</w:t>
            </w:r>
          </w:p>
        </w:tc>
      </w:tr>
      <w:tr w:rsidR="00F941E3" w:rsidRPr="00F941E3" w14:paraId="0B2AE6FE"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249B33D8" w14:textId="31116237" w:rsidR="007F6C05" w:rsidRPr="00F941E3" w:rsidRDefault="007F6C05"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Depression</w:t>
            </w:r>
          </w:p>
        </w:tc>
        <w:tc>
          <w:tcPr>
            <w:tcW w:w="1401" w:type="dxa"/>
          </w:tcPr>
          <w:p w14:paraId="71209CC3" w14:textId="77777777" w:rsidR="007F6C05" w:rsidRPr="00F941E3" w:rsidRDefault="007F6C05"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12.2</w:t>
            </w:r>
          </w:p>
        </w:tc>
      </w:tr>
      <w:tr w:rsidR="00F941E3" w:rsidRPr="00F941E3" w14:paraId="5357EC67"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3DDBFD4" w14:textId="06CE8DE0" w:rsidR="0053622F" w:rsidRPr="00F941E3" w:rsidRDefault="0053622F"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Gastritis and duodenitis</w:t>
            </w:r>
          </w:p>
        </w:tc>
        <w:tc>
          <w:tcPr>
            <w:tcW w:w="1401" w:type="dxa"/>
          </w:tcPr>
          <w:p w14:paraId="6D14D5B8" w14:textId="77777777" w:rsidR="0053622F" w:rsidRPr="00F941E3" w:rsidRDefault="0053622F"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11.7</w:t>
            </w:r>
          </w:p>
        </w:tc>
      </w:tr>
      <w:tr w:rsidR="00F941E3" w:rsidRPr="00F941E3" w14:paraId="6A99B08B"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117A81BA" w14:textId="79E3CB05" w:rsidR="00E0518F" w:rsidRPr="00F941E3" w:rsidRDefault="00E0518F" w:rsidP="00E0518F">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Thyroid gland disorders</w:t>
            </w:r>
            <w:r w:rsidR="00135B06" w:rsidRPr="00F941E3">
              <w:rPr>
                <w:rFonts w:ascii="Arial" w:eastAsia="Times New Roman" w:hAnsi="Arial" w:cs="Arial"/>
                <w:b w:val="0"/>
                <w:bCs w:val="0"/>
                <w:color w:val="000000" w:themeColor="text1"/>
                <w:sz w:val="20"/>
                <w:szCs w:val="20"/>
                <w:lang w:val="en-US" w:eastAsia="de-DE"/>
              </w:rPr>
              <w:t xml:space="preserve"> </w:t>
            </w:r>
          </w:p>
        </w:tc>
        <w:tc>
          <w:tcPr>
            <w:tcW w:w="1401" w:type="dxa"/>
          </w:tcPr>
          <w:p w14:paraId="23CF8122" w14:textId="77777777" w:rsidR="00E0518F" w:rsidRPr="00F941E3" w:rsidRDefault="00E0518F" w:rsidP="00E0518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11.4</w:t>
            </w:r>
          </w:p>
        </w:tc>
      </w:tr>
      <w:tr w:rsidR="00F941E3" w:rsidRPr="00F941E3" w14:paraId="56118E3A"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32F075BB" w14:textId="1ABA8E25" w:rsidR="00135B06" w:rsidRPr="00F941E3" w:rsidRDefault="00135B06"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Atopic dermatitis</w:t>
            </w:r>
          </w:p>
        </w:tc>
        <w:tc>
          <w:tcPr>
            <w:tcW w:w="1401" w:type="dxa"/>
          </w:tcPr>
          <w:p w14:paraId="4DE14499" w14:textId="77777777" w:rsidR="00135B06" w:rsidRPr="00F941E3" w:rsidRDefault="00135B06"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9.5</w:t>
            </w:r>
          </w:p>
        </w:tc>
      </w:tr>
      <w:tr w:rsidR="00F941E3" w:rsidRPr="00F941E3" w14:paraId="58B88783"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1EBD585" w14:textId="7E1B9D6D" w:rsidR="00FC312B" w:rsidRPr="00F941E3" w:rsidRDefault="00FC312B"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Reaction to severe stress, and adjustment disorders</w:t>
            </w:r>
            <w:r w:rsidR="00113D36" w:rsidRPr="00F941E3">
              <w:rPr>
                <w:rFonts w:ascii="Arial" w:eastAsia="Times New Roman" w:hAnsi="Arial" w:cs="Arial"/>
                <w:b w:val="0"/>
                <w:bCs w:val="0"/>
                <w:color w:val="000000" w:themeColor="text1"/>
                <w:sz w:val="20"/>
                <w:szCs w:val="20"/>
                <w:lang w:val="en-US" w:eastAsia="de-DE"/>
              </w:rPr>
              <w:t xml:space="preserve"> </w:t>
            </w:r>
          </w:p>
        </w:tc>
        <w:tc>
          <w:tcPr>
            <w:tcW w:w="1401" w:type="dxa"/>
          </w:tcPr>
          <w:p w14:paraId="4F6B0C02" w14:textId="77777777" w:rsidR="00FC312B" w:rsidRPr="00F941E3" w:rsidRDefault="00FC312B"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9.3</w:t>
            </w:r>
          </w:p>
        </w:tc>
      </w:tr>
      <w:tr w:rsidR="00F941E3" w:rsidRPr="00F941E3" w14:paraId="2B584982"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473610E" w14:textId="4F81B8E2" w:rsidR="00113D36" w:rsidRPr="00F941E3" w:rsidRDefault="00113D36"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 xml:space="preserve">Lipid metabolism disorders </w:t>
            </w:r>
          </w:p>
        </w:tc>
        <w:tc>
          <w:tcPr>
            <w:tcW w:w="1401" w:type="dxa"/>
          </w:tcPr>
          <w:p w14:paraId="595EF7E1" w14:textId="77777777" w:rsidR="00113D36" w:rsidRPr="00F941E3" w:rsidRDefault="00113D36"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8.2</w:t>
            </w:r>
          </w:p>
        </w:tc>
      </w:tr>
      <w:tr w:rsidR="00F941E3" w:rsidRPr="00F941E3" w14:paraId="2AF43E98"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58B9253D" w14:textId="587B54ED" w:rsidR="00827A56" w:rsidRPr="00F941E3" w:rsidRDefault="00827A56"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Chronic sinusitis</w:t>
            </w:r>
          </w:p>
        </w:tc>
        <w:tc>
          <w:tcPr>
            <w:tcW w:w="1401" w:type="dxa"/>
          </w:tcPr>
          <w:p w14:paraId="51D67285" w14:textId="77777777" w:rsidR="00827A56" w:rsidRPr="00F941E3" w:rsidRDefault="00827A56"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7.4</w:t>
            </w:r>
          </w:p>
        </w:tc>
      </w:tr>
      <w:tr w:rsidR="00F941E3" w:rsidRPr="00F941E3" w14:paraId="6D41D431"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3E9E93FD" w14:textId="084FDA5F" w:rsidR="00113D36" w:rsidRPr="00F941E3" w:rsidRDefault="00113D36"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 xml:space="preserve">Somatoform disorders </w:t>
            </w:r>
          </w:p>
        </w:tc>
        <w:tc>
          <w:tcPr>
            <w:tcW w:w="1401" w:type="dxa"/>
          </w:tcPr>
          <w:p w14:paraId="64A01B3D" w14:textId="77777777" w:rsidR="00113D36" w:rsidRPr="00F941E3" w:rsidRDefault="00113D36"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7.2</w:t>
            </w:r>
          </w:p>
        </w:tc>
      </w:tr>
      <w:tr w:rsidR="00F941E3" w:rsidRPr="00F941E3" w14:paraId="5C0D6219"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610BB532" w14:textId="4C5C2E33" w:rsidR="00005375" w:rsidRPr="00F941E3" w:rsidRDefault="00005375"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 xml:space="preserve">Sleep disorders </w:t>
            </w:r>
          </w:p>
        </w:tc>
        <w:tc>
          <w:tcPr>
            <w:tcW w:w="1401" w:type="dxa"/>
          </w:tcPr>
          <w:p w14:paraId="193331E2" w14:textId="77777777" w:rsidR="00005375" w:rsidRPr="00F941E3" w:rsidRDefault="00005375"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6.5</w:t>
            </w:r>
          </w:p>
        </w:tc>
      </w:tr>
      <w:tr w:rsidR="00F941E3" w:rsidRPr="00F941E3" w14:paraId="39D58CAF"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72D1D6E5" w14:textId="3A75E2B7" w:rsidR="00117882" w:rsidRPr="00F941E3" w:rsidRDefault="00117882"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Chronic headache</w:t>
            </w:r>
          </w:p>
        </w:tc>
        <w:tc>
          <w:tcPr>
            <w:tcW w:w="1401" w:type="dxa"/>
          </w:tcPr>
          <w:p w14:paraId="772DF9D0" w14:textId="77777777" w:rsidR="00117882" w:rsidRPr="00F941E3" w:rsidRDefault="00117882"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6.4</w:t>
            </w:r>
          </w:p>
        </w:tc>
      </w:tr>
      <w:tr w:rsidR="00F941E3" w:rsidRPr="00F941E3" w14:paraId="77E8ED4F"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7F20DF06" w14:textId="609F73C8" w:rsidR="00117882" w:rsidRPr="00F941E3" w:rsidRDefault="00117882" w:rsidP="007510BA">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 xml:space="preserve">Obesity </w:t>
            </w:r>
          </w:p>
        </w:tc>
        <w:tc>
          <w:tcPr>
            <w:tcW w:w="1401" w:type="dxa"/>
          </w:tcPr>
          <w:p w14:paraId="2B18F7D8" w14:textId="77777777" w:rsidR="00117882" w:rsidRPr="00F941E3" w:rsidRDefault="00117882" w:rsidP="007510B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6.1</w:t>
            </w:r>
          </w:p>
        </w:tc>
      </w:tr>
      <w:tr w:rsidR="00F941E3" w:rsidRPr="00F941E3" w14:paraId="53920CCA"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36DCEE37" w14:textId="035FBB7F" w:rsidR="00C86A74" w:rsidRPr="00F941E3" w:rsidRDefault="00C86A74" w:rsidP="00C86A74">
            <w:pPr>
              <w:rPr>
                <w:rFonts w:ascii="Arial" w:eastAsia="Times New Roman" w:hAnsi="Arial" w:cs="Arial"/>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Osteoarthritis</w:t>
            </w:r>
          </w:p>
        </w:tc>
        <w:tc>
          <w:tcPr>
            <w:tcW w:w="1401" w:type="dxa"/>
          </w:tcPr>
          <w:p w14:paraId="54AB8820" w14:textId="0AA8A4C6"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6.1</w:t>
            </w:r>
          </w:p>
        </w:tc>
      </w:tr>
      <w:tr w:rsidR="00F941E3" w:rsidRPr="00F941E3" w14:paraId="12CA0C5B"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6029B511" w14:textId="319420C3"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 xml:space="preserve">Reflux diseases </w:t>
            </w:r>
          </w:p>
        </w:tc>
        <w:tc>
          <w:tcPr>
            <w:tcW w:w="1401" w:type="dxa"/>
          </w:tcPr>
          <w:p w14:paraId="3B143F38"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6.1</w:t>
            </w:r>
          </w:p>
        </w:tc>
      </w:tr>
      <w:tr w:rsidR="00F941E3" w:rsidRPr="00F941E3" w14:paraId="5726F928"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3EBB88C" w14:textId="261DDE3C"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Asthma</w:t>
            </w:r>
          </w:p>
        </w:tc>
        <w:tc>
          <w:tcPr>
            <w:tcW w:w="1401" w:type="dxa"/>
          </w:tcPr>
          <w:p w14:paraId="05137974"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5.2</w:t>
            </w:r>
          </w:p>
        </w:tc>
      </w:tr>
      <w:tr w:rsidR="00F941E3" w:rsidRPr="00F941E3" w14:paraId="5F83CC99"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2BEA2A52" w14:textId="578886DB"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Allergic rhinitis</w:t>
            </w:r>
          </w:p>
        </w:tc>
        <w:tc>
          <w:tcPr>
            <w:tcW w:w="1401" w:type="dxa"/>
          </w:tcPr>
          <w:p w14:paraId="51666028"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4.7</w:t>
            </w:r>
          </w:p>
        </w:tc>
      </w:tr>
      <w:tr w:rsidR="00F941E3" w:rsidRPr="00F941E3" w14:paraId="6F03B5EF"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F451409" w14:textId="7D0DB172"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Noninfective enteritis and colitis</w:t>
            </w:r>
          </w:p>
        </w:tc>
        <w:tc>
          <w:tcPr>
            <w:tcW w:w="1401" w:type="dxa"/>
          </w:tcPr>
          <w:p w14:paraId="681E5730"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4.6</w:t>
            </w:r>
          </w:p>
        </w:tc>
      </w:tr>
      <w:tr w:rsidR="00F941E3" w:rsidRPr="00F941E3" w14:paraId="5D482234"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CD1E54A" w14:textId="51412810"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 xml:space="preserve">Diabetes mellitus </w:t>
            </w:r>
          </w:p>
        </w:tc>
        <w:tc>
          <w:tcPr>
            <w:tcW w:w="1401" w:type="dxa"/>
          </w:tcPr>
          <w:p w14:paraId="6B55FFED"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4.3</w:t>
            </w:r>
          </w:p>
        </w:tc>
      </w:tr>
      <w:tr w:rsidR="00F941E3" w:rsidRPr="00F941E3" w14:paraId="13522191"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4D3EA642" w14:textId="011A6629"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Phlebitis and thrombosis</w:t>
            </w:r>
          </w:p>
        </w:tc>
        <w:tc>
          <w:tcPr>
            <w:tcW w:w="1401" w:type="dxa"/>
          </w:tcPr>
          <w:p w14:paraId="777D0C69"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4.0</w:t>
            </w:r>
          </w:p>
        </w:tc>
      </w:tr>
      <w:tr w:rsidR="00F941E3" w:rsidRPr="00F941E3" w14:paraId="02260200"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8FFD246" w14:textId="7FFB3B4D"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Cardiac arrhythmias</w:t>
            </w:r>
          </w:p>
        </w:tc>
        <w:tc>
          <w:tcPr>
            <w:tcW w:w="1401" w:type="dxa"/>
          </w:tcPr>
          <w:p w14:paraId="59328505"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3.8</w:t>
            </w:r>
          </w:p>
        </w:tc>
      </w:tr>
      <w:tr w:rsidR="00F941E3" w:rsidRPr="00F941E3" w14:paraId="17F436D0" w14:textId="77777777" w:rsidTr="003A0E02">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7AD72A5D" w14:textId="075A149F"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Anxiety disorders</w:t>
            </w:r>
          </w:p>
        </w:tc>
        <w:tc>
          <w:tcPr>
            <w:tcW w:w="1401" w:type="dxa"/>
          </w:tcPr>
          <w:p w14:paraId="2B813C54"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3.7</w:t>
            </w:r>
          </w:p>
        </w:tc>
      </w:tr>
      <w:tr w:rsidR="00F941E3" w:rsidRPr="00F941E3" w14:paraId="2ED201AC"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1DBDD608" w14:textId="313D4EF8"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Mononeuropathies</w:t>
            </w:r>
          </w:p>
        </w:tc>
        <w:tc>
          <w:tcPr>
            <w:tcW w:w="1401" w:type="dxa"/>
          </w:tcPr>
          <w:p w14:paraId="16C8C248"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3.5</w:t>
            </w:r>
          </w:p>
        </w:tc>
      </w:tr>
      <w:tr w:rsidR="00F941E3" w:rsidRPr="00F941E3" w14:paraId="214541A8" w14:textId="77777777" w:rsidTr="00EF4208">
        <w:trPr>
          <w:trHeight w:val="249"/>
        </w:trPr>
        <w:tc>
          <w:tcPr>
            <w:cnfStyle w:val="001000000000" w:firstRow="0" w:lastRow="0" w:firstColumn="1" w:lastColumn="0" w:oddVBand="0" w:evenVBand="0" w:oddHBand="0" w:evenHBand="0" w:firstRowFirstColumn="0" w:firstRowLastColumn="0" w:lastRowFirstColumn="0" w:lastRowLastColumn="0"/>
            <w:tcW w:w="6858" w:type="dxa"/>
            <w:noWrap/>
            <w:vAlign w:val="center"/>
          </w:tcPr>
          <w:p w14:paraId="0593FE4A" w14:textId="14088E91"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Spondylitis</w:t>
            </w:r>
          </w:p>
        </w:tc>
        <w:tc>
          <w:tcPr>
            <w:tcW w:w="1401" w:type="dxa"/>
          </w:tcPr>
          <w:p w14:paraId="198F15D5"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3.4</w:t>
            </w:r>
          </w:p>
        </w:tc>
      </w:tr>
      <w:tr w:rsidR="00F941E3" w:rsidRPr="00F941E3" w14:paraId="07C47EC1" w14:textId="77777777" w:rsidTr="003A0E02">
        <w:trPr>
          <w:trHeight w:val="249"/>
        </w:trPr>
        <w:tc>
          <w:tcPr>
            <w:cnfStyle w:val="001000000000" w:firstRow="0" w:lastRow="0" w:firstColumn="1" w:lastColumn="0" w:oddVBand="0" w:evenVBand="0" w:oddHBand="0" w:evenHBand="0" w:firstRowFirstColumn="0" w:firstRowLastColumn="0" w:lastRowFirstColumn="0" w:lastRowLastColumn="0"/>
            <w:tcW w:w="6858" w:type="dxa"/>
            <w:tcBorders>
              <w:bottom w:val="single" w:sz="4" w:space="0" w:color="auto"/>
            </w:tcBorders>
            <w:noWrap/>
            <w:vAlign w:val="center"/>
          </w:tcPr>
          <w:p w14:paraId="09EB16DC" w14:textId="05B9AC90" w:rsidR="00C86A74" w:rsidRPr="00F941E3" w:rsidRDefault="00C86A74" w:rsidP="00C86A74">
            <w:pPr>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Vitamin D deficiency</w:t>
            </w:r>
          </w:p>
        </w:tc>
        <w:tc>
          <w:tcPr>
            <w:tcW w:w="1401" w:type="dxa"/>
            <w:tcBorders>
              <w:bottom w:val="single" w:sz="4" w:space="0" w:color="auto"/>
            </w:tcBorders>
          </w:tcPr>
          <w:p w14:paraId="1AD8BC82" w14:textId="77777777" w:rsidR="00C86A74" w:rsidRPr="00F941E3" w:rsidRDefault="00C86A74" w:rsidP="00C86A7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3.0</w:t>
            </w:r>
          </w:p>
        </w:tc>
      </w:tr>
    </w:tbl>
    <w:p w14:paraId="747B8B8A" w14:textId="13551272" w:rsidR="004F2E4F" w:rsidRPr="00F941E3" w:rsidRDefault="00D04AF5" w:rsidP="00D4470D">
      <w:pPr>
        <w:spacing w:line="480" w:lineRule="auto"/>
        <w:rPr>
          <w:rFonts w:ascii="Arial" w:hAnsi="Arial" w:cs="Arial"/>
          <w:color w:val="000000" w:themeColor="text1"/>
          <w:sz w:val="20"/>
          <w:szCs w:val="20"/>
          <w:lang w:val="en-US"/>
        </w:rPr>
      </w:pPr>
      <w:r w:rsidRPr="00F941E3">
        <w:rPr>
          <w:rFonts w:ascii="Arial" w:hAnsi="Arial" w:cs="Arial"/>
          <w:color w:val="000000" w:themeColor="text1"/>
          <w:sz w:val="20"/>
          <w:szCs w:val="20"/>
          <w:lang w:val="en-US"/>
        </w:rPr>
        <w:t xml:space="preserve">Abbreviation: COVID-19 coronavirus disease. </w:t>
      </w:r>
    </w:p>
    <w:p w14:paraId="23CC312E" w14:textId="15EFF62F" w:rsidR="00A53DB5" w:rsidRPr="00F941E3" w:rsidRDefault="00A53DB5">
      <w:pPr>
        <w:rPr>
          <w:rFonts w:ascii="Arial" w:hAnsi="Arial" w:cs="Arial"/>
          <w:color w:val="000000" w:themeColor="text1"/>
          <w:sz w:val="24"/>
          <w:szCs w:val="24"/>
          <w:lang w:val="en-US"/>
        </w:rPr>
      </w:pPr>
      <w:r w:rsidRPr="00F941E3">
        <w:rPr>
          <w:rFonts w:ascii="Arial" w:hAnsi="Arial" w:cs="Arial"/>
          <w:color w:val="000000" w:themeColor="text1"/>
          <w:sz w:val="24"/>
          <w:szCs w:val="24"/>
          <w:lang w:val="en-US"/>
        </w:rPr>
        <w:br w:type="page"/>
      </w:r>
    </w:p>
    <w:p w14:paraId="4CD86FC3" w14:textId="4C18F73D" w:rsidR="00A53DB5" w:rsidRPr="00F941E3" w:rsidRDefault="00A53DB5" w:rsidP="00A53DB5">
      <w:pPr>
        <w:spacing w:line="360" w:lineRule="auto"/>
        <w:jc w:val="both"/>
        <w:rPr>
          <w:rFonts w:ascii="Arial" w:eastAsia="Times New Roman" w:hAnsi="Arial" w:cs="Arial"/>
          <w:color w:val="000000" w:themeColor="text1"/>
          <w:sz w:val="24"/>
          <w:szCs w:val="24"/>
          <w:lang w:val="en-US" w:eastAsia="de-DE"/>
        </w:rPr>
      </w:pPr>
      <w:r w:rsidRPr="00F941E3">
        <w:rPr>
          <w:rFonts w:ascii="Arial" w:hAnsi="Arial" w:cs="Arial"/>
          <w:b/>
          <w:color w:val="000000" w:themeColor="text1"/>
          <w:sz w:val="24"/>
          <w:szCs w:val="24"/>
          <w:lang w:val="en-US"/>
        </w:rPr>
        <w:lastRenderedPageBreak/>
        <w:t xml:space="preserve">Table 2. </w:t>
      </w:r>
      <w:r w:rsidRPr="00F941E3">
        <w:rPr>
          <w:rFonts w:ascii="Arial" w:hAnsi="Arial" w:cs="Arial"/>
          <w:color w:val="000000" w:themeColor="text1"/>
          <w:sz w:val="24"/>
          <w:szCs w:val="24"/>
          <w:lang w:val="en-US"/>
        </w:rPr>
        <w:t xml:space="preserve">Association </w:t>
      </w:r>
      <w:r w:rsidR="00A4069F" w:rsidRPr="00F941E3">
        <w:rPr>
          <w:rFonts w:ascii="Arial" w:hAnsi="Arial" w:cs="Arial"/>
          <w:color w:val="000000" w:themeColor="text1"/>
          <w:sz w:val="24"/>
          <w:szCs w:val="24"/>
          <w:lang w:val="en-US"/>
        </w:rPr>
        <w:t xml:space="preserve">between </w:t>
      </w:r>
      <w:r w:rsidRPr="00F941E3">
        <w:rPr>
          <w:rFonts w:ascii="Arial" w:hAnsi="Arial" w:cs="Arial"/>
          <w:color w:val="000000" w:themeColor="text1"/>
          <w:sz w:val="24"/>
          <w:szCs w:val="24"/>
          <w:lang w:val="en-US"/>
        </w:rPr>
        <w:t xml:space="preserve">demographic and clinical </w:t>
      </w:r>
      <w:r w:rsidR="00981D79" w:rsidRPr="00F941E3">
        <w:rPr>
          <w:rFonts w:ascii="Arial" w:hAnsi="Arial" w:cs="Arial"/>
          <w:color w:val="000000" w:themeColor="text1"/>
          <w:sz w:val="24"/>
          <w:szCs w:val="24"/>
          <w:lang w:val="en-US"/>
        </w:rPr>
        <w:t>variables</w:t>
      </w:r>
      <w:r w:rsidRPr="00F941E3">
        <w:rPr>
          <w:rFonts w:ascii="Arial" w:hAnsi="Arial" w:cs="Arial"/>
          <w:color w:val="000000" w:themeColor="text1"/>
          <w:sz w:val="24"/>
          <w:szCs w:val="24"/>
          <w:lang w:val="en-US"/>
        </w:rPr>
        <w:t xml:space="preserve"> </w:t>
      </w:r>
      <w:r w:rsidR="00A4069F" w:rsidRPr="00F941E3">
        <w:rPr>
          <w:rFonts w:ascii="Arial" w:eastAsia="Times New Roman" w:hAnsi="Arial" w:cs="Arial"/>
          <w:color w:val="000000" w:themeColor="text1"/>
          <w:sz w:val="24"/>
          <w:szCs w:val="24"/>
          <w:lang w:val="en-US" w:eastAsia="de-DE"/>
        </w:rPr>
        <w:t xml:space="preserve">and </w:t>
      </w:r>
      <w:r w:rsidRPr="00F941E3">
        <w:rPr>
          <w:rFonts w:ascii="Arial" w:eastAsia="Times New Roman" w:hAnsi="Arial" w:cs="Arial"/>
          <w:color w:val="000000" w:themeColor="text1"/>
          <w:sz w:val="24"/>
          <w:szCs w:val="24"/>
          <w:lang w:val="en-US" w:eastAsia="de-DE"/>
        </w:rPr>
        <w:t>long</w:t>
      </w:r>
      <w:r w:rsidR="00A4069F" w:rsidRPr="00F941E3">
        <w:rPr>
          <w:rFonts w:ascii="Arial" w:eastAsia="Times New Roman" w:hAnsi="Arial" w:cs="Arial"/>
          <w:color w:val="000000" w:themeColor="text1"/>
          <w:sz w:val="24"/>
          <w:szCs w:val="24"/>
          <w:lang w:val="en-US" w:eastAsia="de-DE"/>
        </w:rPr>
        <w:t>-term</w:t>
      </w:r>
      <w:r w:rsidRPr="00F941E3">
        <w:rPr>
          <w:rFonts w:ascii="Arial" w:eastAsia="Times New Roman" w:hAnsi="Arial" w:cs="Arial"/>
          <w:color w:val="000000" w:themeColor="text1"/>
          <w:sz w:val="24"/>
          <w:szCs w:val="24"/>
          <w:lang w:val="en-US" w:eastAsia="de-DE"/>
        </w:rPr>
        <w:t xml:space="preserve"> sick leave in COVID-19 patients followed in general practices in Germany</w:t>
      </w:r>
    </w:p>
    <w:tbl>
      <w:tblPr>
        <w:tblStyle w:val="Gitternetztabelle1hell2"/>
        <w:tblW w:w="91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Procedure Logistic: Odds Ratios"/>
      </w:tblPr>
      <w:tblGrid>
        <w:gridCol w:w="4220"/>
        <w:gridCol w:w="33"/>
        <w:gridCol w:w="1876"/>
        <w:gridCol w:w="1701"/>
        <w:gridCol w:w="283"/>
        <w:gridCol w:w="992"/>
      </w:tblGrid>
      <w:tr w:rsidR="00F941E3" w:rsidRPr="00F941E3" w14:paraId="50E93416" w14:textId="77777777" w:rsidTr="00773EE2">
        <w:trPr>
          <w:cnfStyle w:val="100000000000" w:firstRow="1" w:lastRow="0" w:firstColumn="0" w:lastColumn="0" w:oddVBand="0" w:evenVBand="0" w:oddHBand="0"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4253" w:type="dxa"/>
            <w:gridSpan w:val="2"/>
            <w:tcBorders>
              <w:top w:val="single" w:sz="4" w:space="0" w:color="auto"/>
              <w:bottom w:val="single" w:sz="4" w:space="0" w:color="auto"/>
            </w:tcBorders>
            <w:noWrap/>
            <w:hideMark/>
          </w:tcPr>
          <w:p w14:paraId="264475CA" w14:textId="77777777" w:rsidR="00A53DB5" w:rsidRPr="00F941E3" w:rsidRDefault="00A53DB5" w:rsidP="00773EE2">
            <w:pPr>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Variable</w:t>
            </w:r>
          </w:p>
        </w:tc>
        <w:tc>
          <w:tcPr>
            <w:tcW w:w="1876" w:type="dxa"/>
            <w:tcBorders>
              <w:top w:val="single" w:sz="4" w:space="0" w:color="auto"/>
              <w:bottom w:val="single" w:sz="4" w:space="0" w:color="auto"/>
            </w:tcBorders>
          </w:tcPr>
          <w:p w14:paraId="2B679A14" w14:textId="68F48592" w:rsidR="00A53DB5" w:rsidRPr="00F941E3" w:rsidRDefault="00A53DB5" w:rsidP="00773EE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 xml:space="preserve">Proportion of patients </w:t>
            </w:r>
            <w:r w:rsidR="00981D79" w:rsidRPr="00F941E3">
              <w:rPr>
                <w:rFonts w:ascii="Arial" w:eastAsia="Times New Roman" w:hAnsi="Arial" w:cs="Arial"/>
                <w:color w:val="000000" w:themeColor="text1"/>
                <w:sz w:val="20"/>
                <w:szCs w:val="20"/>
                <w:lang w:val="en-US" w:eastAsia="de-DE"/>
              </w:rPr>
              <w:t>on long</w:t>
            </w:r>
            <w:r w:rsidR="00A4069F" w:rsidRPr="00F941E3">
              <w:rPr>
                <w:rFonts w:ascii="Arial" w:eastAsia="Times New Roman" w:hAnsi="Arial" w:cs="Arial"/>
                <w:color w:val="000000" w:themeColor="text1"/>
                <w:sz w:val="20"/>
                <w:szCs w:val="20"/>
                <w:lang w:val="en-US" w:eastAsia="de-DE"/>
              </w:rPr>
              <w:t>-term</w:t>
            </w:r>
            <w:r w:rsidR="00981D79" w:rsidRPr="00F941E3">
              <w:rPr>
                <w:rFonts w:ascii="Arial" w:eastAsia="Times New Roman" w:hAnsi="Arial" w:cs="Arial"/>
                <w:color w:val="000000" w:themeColor="text1"/>
                <w:sz w:val="20"/>
                <w:szCs w:val="20"/>
                <w:lang w:val="en-US" w:eastAsia="de-DE"/>
              </w:rPr>
              <w:t xml:space="preserve"> sick leave</w:t>
            </w:r>
            <w:r w:rsidRPr="00F941E3">
              <w:rPr>
                <w:rFonts w:ascii="Arial" w:eastAsia="Times New Roman" w:hAnsi="Arial" w:cs="Arial"/>
                <w:color w:val="000000" w:themeColor="text1"/>
                <w:sz w:val="20"/>
                <w:szCs w:val="20"/>
                <w:lang w:val="en-US" w:eastAsia="de-DE"/>
              </w:rPr>
              <w:t xml:space="preserve"> (%)</w:t>
            </w:r>
          </w:p>
        </w:tc>
        <w:tc>
          <w:tcPr>
            <w:tcW w:w="1701" w:type="dxa"/>
            <w:tcBorders>
              <w:top w:val="single" w:sz="4" w:space="0" w:color="auto"/>
              <w:bottom w:val="single" w:sz="4" w:space="0" w:color="auto"/>
            </w:tcBorders>
          </w:tcPr>
          <w:p w14:paraId="408EC6FC" w14:textId="4E7DBA8D" w:rsidR="00A53DB5" w:rsidRPr="00F941E3" w:rsidRDefault="00981D79" w:rsidP="00773EE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OR</w:t>
            </w:r>
            <w:r w:rsidR="00A53DB5" w:rsidRPr="00F941E3">
              <w:rPr>
                <w:rFonts w:ascii="Arial" w:eastAsia="Times New Roman" w:hAnsi="Arial" w:cs="Arial"/>
                <w:color w:val="000000" w:themeColor="text1"/>
                <w:sz w:val="20"/>
                <w:szCs w:val="20"/>
                <w:lang w:val="en-US" w:eastAsia="de-DE"/>
              </w:rPr>
              <w:t xml:space="preserve"> (95% CI)</w:t>
            </w:r>
          </w:p>
        </w:tc>
        <w:tc>
          <w:tcPr>
            <w:tcW w:w="1275" w:type="dxa"/>
            <w:gridSpan w:val="2"/>
            <w:tcBorders>
              <w:top w:val="single" w:sz="4" w:space="0" w:color="auto"/>
              <w:bottom w:val="single" w:sz="4" w:space="0" w:color="auto"/>
            </w:tcBorders>
          </w:tcPr>
          <w:p w14:paraId="40748398" w14:textId="3FEF300D" w:rsidR="00A53DB5" w:rsidRPr="00F941E3" w:rsidRDefault="00981D79" w:rsidP="00773EE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P</w:t>
            </w:r>
            <w:r w:rsidR="00A53DB5" w:rsidRPr="00F941E3">
              <w:rPr>
                <w:rFonts w:ascii="Arial" w:eastAsia="Times New Roman" w:hAnsi="Arial" w:cs="Arial"/>
                <w:color w:val="000000" w:themeColor="text1"/>
                <w:sz w:val="20"/>
                <w:szCs w:val="20"/>
                <w:lang w:val="en-US" w:eastAsia="de-DE"/>
              </w:rPr>
              <w:t>-value</w:t>
            </w:r>
          </w:p>
        </w:tc>
      </w:tr>
      <w:tr w:rsidR="00F941E3" w:rsidRPr="00F941E3" w14:paraId="767604D9"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1D800FFA" w14:textId="77777777" w:rsidR="00A53DB5" w:rsidRPr="00F941E3" w:rsidRDefault="00A53DB5" w:rsidP="00773EE2">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Total</w:t>
            </w:r>
          </w:p>
        </w:tc>
        <w:tc>
          <w:tcPr>
            <w:tcW w:w="1909" w:type="dxa"/>
            <w:gridSpan w:val="2"/>
            <w:vAlign w:val="center"/>
          </w:tcPr>
          <w:p w14:paraId="54F1B772" w14:textId="77777777" w:rsidR="00A53DB5" w:rsidRPr="00F941E3" w:rsidRDefault="00A53DB5" w:rsidP="00773EE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bCs/>
                <w:color w:val="000000" w:themeColor="text1"/>
                <w:sz w:val="20"/>
                <w:szCs w:val="20"/>
                <w:lang w:val="en-US" w:eastAsia="de-DE"/>
              </w:rPr>
              <w:t>5.8</w:t>
            </w:r>
          </w:p>
        </w:tc>
        <w:tc>
          <w:tcPr>
            <w:tcW w:w="1984" w:type="dxa"/>
            <w:gridSpan w:val="2"/>
            <w:vAlign w:val="center"/>
          </w:tcPr>
          <w:p w14:paraId="58177125" w14:textId="77777777" w:rsidR="00A53DB5" w:rsidRPr="00F941E3" w:rsidRDefault="00A53DB5" w:rsidP="00773EE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p>
        </w:tc>
        <w:tc>
          <w:tcPr>
            <w:tcW w:w="992" w:type="dxa"/>
            <w:vAlign w:val="center"/>
          </w:tcPr>
          <w:p w14:paraId="165C8564" w14:textId="77777777" w:rsidR="00A53DB5" w:rsidRPr="00F941E3" w:rsidRDefault="00A53DB5" w:rsidP="00773EE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p>
        </w:tc>
      </w:tr>
      <w:tr w:rsidR="00F941E3" w:rsidRPr="00F941E3" w14:paraId="553877CE" w14:textId="77777777" w:rsidTr="00D41E61">
        <w:trPr>
          <w:trHeight w:val="263"/>
          <w:jc w:val="center"/>
        </w:trPr>
        <w:tc>
          <w:tcPr>
            <w:cnfStyle w:val="001000000000" w:firstRow="0" w:lastRow="0" w:firstColumn="1" w:lastColumn="0" w:oddVBand="0" w:evenVBand="0" w:oddHBand="0" w:evenHBand="0" w:firstRowFirstColumn="0" w:firstRowLastColumn="0" w:lastRowFirstColumn="0" w:lastRowLastColumn="0"/>
            <w:tcW w:w="9105" w:type="dxa"/>
            <w:gridSpan w:val="6"/>
            <w:noWrap/>
            <w:vAlign w:val="center"/>
          </w:tcPr>
          <w:p w14:paraId="4D79D04A" w14:textId="162DD77C" w:rsidR="003D4F25" w:rsidRPr="00F941E3" w:rsidRDefault="003D4F25" w:rsidP="003D4F25">
            <w:pPr>
              <w:spacing w:line="276" w:lineRule="auto"/>
              <w:rPr>
                <w:rFonts w:ascii="Arial" w:eastAsia="Times New Roman" w:hAnsi="Arial" w:cs="Arial"/>
                <w:bCs w:val="0"/>
                <w:color w:val="000000" w:themeColor="text1"/>
                <w:sz w:val="20"/>
                <w:szCs w:val="20"/>
                <w:lang w:val="en-US" w:eastAsia="de-DE"/>
              </w:rPr>
            </w:pPr>
            <w:r w:rsidRPr="00F941E3">
              <w:rPr>
                <w:rFonts w:ascii="Arial" w:eastAsia="Times New Roman" w:hAnsi="Arial" w:cs="Arial"/>
                <w:b w:val="0"/>
                <w:bCs w:val="0"/>
                <w:i/>
                <w:iCs/>
                <w:color w:val="000000" w:themeColor="text1"/>
                <w:sz w:val="20"/>
                <w:szCs w:val="20"/>
                <w:lang w:val="en-US" w:eastAsia="de-DE"/>
              </w:rPr>
              <w:t>Sex</w:t>
            </w:r>
          </w:p>
        </w:tc>
      </w:tr>
      <w:tr w:rsidR="00F941E3" w:rsidRPr="00F941E3" w14:paraId="65D391D2"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6CF4B630" w14:textId="4B19CABE" w:rsidR="000532AF" w:rsidRPr="00F941E3" w:rsidRDefault="000532AF" w:rsidP="000532AF">
            <w:pPr>
              <w:spacing w:line="276" w:lineRule="auto"/>
              <w:rPr>
                <w:rFonts w:ascii="Arial" w:eastAsia="Times New Roman" w:hAnsi="Arial" w:cs="Arial"/>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Female</w:t>
            </w:r>
          </w:p>
        </w:tc>
        <w:tc>
          <w:tcPr>
            <w:tcW w:w="1909" w:type="dxa"/>
            <w:gridSpan w:val="2"/>
            <w:vAlign w:val="center"/>
          </w:tcPr>
          <w:p w14:paraId="02FE3857" w14:textId="52300C2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 xml:space="preserve">6.5 </w:t>
            </w:r>
          </w:p>
        </w:tc>
        <w:tc>
          <w:tcPr>
            <w:tcW w:w="1984" w:type="dxa"/>
            <w:gridSpan w:val="2"/>
            <w:vAlign w:val="center"/>
          </w:tcPr>
          <w:p w14:paraId="6DC42078" w14:textId="184F1AD3"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1.19 (1.07-1.31)</w:t>
            </w:r>
          </w:p>
        </w:tc>
        <w:tc>
          <w:tcPr>
            <w:tcW w:w="992" w:type="dxa"/>
            <w:vAlign w:val="center"/>
          </w:tcPr>
          <w:p w14:paraId="181E84A6" w14:textId="2DC4BE49"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&lt;0.001</w:t>
            </w:r>
          </w:p>
        </w:tc>
      </w:tr>
      <w:tr w:rsidR="00F941E3" w:rsidRPr="00F941E3" w14:paraId="2E5C1FD1"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73165AD6" w14:textId="54F49A7B" w:rsidR="000532AF" w:rsidRPr="00F941E3" w:rsidRDefault="000532AF" w:rsidP="000532AF">
            <w:pPr>
              <w:spacing w:line="276" w:lineRule="auto"/>
              <w:rPr>
                <w:rFonts w:ascii="Arial" w:eastAsia="Times New Roman" w:hAnsi="Arial" w:cs="Arial"/>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Male</w:t>
            </w:r>
          </w:p>
        </w:tc>
        <w:tc>
          <w:tcPr>
            <w:tcW w:w="1909" w:type="dxa"/>
            <w:gridSpan w:val="2"/>
            <w:vAlign w:val="center"/>
          </w:tcPr>
          <w:p w14:paraId="3BA7A8D2" w14:textId="6A49A44F"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 xml:space="preserve"> 5.1</w:t>
            </w:r>
          </w:p>
        </w:tc>
        <w:tc>
          <w:tcPr>
            <w:tcW w:w="1984" w:type="dxa"/>
            <w:gridSpan w:val="2"/>
            <w:vAlign w:val="center"/>
          </w:tcPr>
          <w:p w14:paraId="2A045B7A" w14:textId="26316881"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bCs/>
                <w:color w:val="000000" w:themeColor="text1"/>
                <w:sz w:val="20"/>
                <w:szCs w:val="20"/>
                <w:lang w:val="en-US" w:eastAsia="de-DE"/>
              </w:rPr>
              <w:t>Reference</w:t>
            </w:r>
          </w:p>
        </w:tc>
        <w:tc>
          <w:tcPr>
            <w:tcW w:w="992" w:type="dxa"/>
            <w:vAlign w:val="center"/>
          </w:tcPr>
          <w:p w14:paraId="04363356"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p>
        </w:tc>
      </w:tr>
      <w:tr w:rsidR="00F941E3" w:rsidRPr="00F941E3" w14:paraId="78E13258"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79937EA9" w14:textId="0EEE4470" w:rsidR="000532AF" w:rsidRPr="00F941E3" w:rsidRDefault="000532AF" w:rsidP="000532AF">
            <w:pPr>
              <w:spacing w:line="276" w:lineRule="auto"/>
              <w:rPr>
                <w:rFonts w:ascii="Arial" w:eastAsia="Times New Roman" w:hAnsi="Arial" w:cs="Arial"/>
                <w:b w:val="0"/>
                <w:bCs w:val="0"/>
                <w:i/>
                <w:iCs/>
                <w:color w:val="000000" w:themeColor="text1"/>
                <w:sz w:val="20"/>
                <w:szCs w:val="20"/>
                <w:lang w:val="en-US" w:eastAsia="de-DE"/>
              </w:rPr>
            </w:pPr>
            <w:r w:rsidRPr="00F941E3">
              <w:rPr>
                <w:rFonts w:ascii="Arial" w:eastAsia="Times New Roman" w:hAnsi="Arial" w:cs="Arial"/>
                <w:b w:val="0"/>
                <w:bCs w:val="0"/>
                <w:i/>
                <w:iCs/>
                <w:color w:val="000000" w:themeColor="text1"/>
                <w:sz w:val="20"/>
                <w:szCs w:val="20"/>
                <w:lang w:val="en-US" w:eastAsia="de-DE"/>
              </w:rPr>
              <w:t>Age (in years)</w:t>
            </w:r>
          </w:p>
        </w:tc>
        <w:tc>
          <w:tcPr>
            <w:tcW w:w="1909" w:type="dxa"/>
            <w:gridSpan w:val="2"/>
            <w:vAlign w:val="center"/>
          </w:tcPr>
          <w:p w14:paraId="2A6F1B66"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p>
        </w:tc>
        <w:tc>
          <w:tcPr>
            <w:tcW w:w="1984" w:type="dxa"/>
            <w:gridSpan w:val="2"/>
            <w:vAlign w:val="center"/>
          </w:tcPr>
          <w:p w14:paraId="037AD13B"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p>
        </w:tc>
        <w:tc>
          <w:tcPr>
            <w:tcW w:w="992" w:type="dxa"/>
            <w:vAlign w:val="center"/>
          </w:tcPr>
          <w:p w14:paraId="19B96841"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p>
        </w:tc>
      </w:tr>
      <w:tr w:rsidR="00F941E3" w:rsidRPr="00F941E3" w14:paraId="50C818AA"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28A4E987" w14:textId="77777777" w:rsidR="000532AF" w:rsidRPr="00F941E3" w:rsidRDefault="000532AF" w:rsidP="000532AF">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Age 18-25</w:t>
            </w:r>
          </w:p>
        </w:tc>
        <w:tc>
          <w:tcPr>
            <w:tcW w:w="1909" w:type="dxa"/>
            <w:gridSpan w:val="2"/>
            <w:vAlign w:val="center"/>
          </w:tcPr>
          <w:p w14:paraId="599F9AB6"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bCs/>
                <w:color w:val="000000" w:themeColor="text1"/>
                <w:sz w:val="20"/>
                <w:szCs w:val="20"/>
                <w:lang w:val="en-US" w:eastAsia="de-DE"/>
              </w:rPr>
              <w:t>2.6</w:t>
            </w:r>
          </w:p>
        </w:tc>
        <w:tc>
          <w:tcPr>
            <w:tcW w:w="1984" w:type="dxa"/>
            <w:gridSpan w:val="2"/>
            <w:vAlign w:val="center"/>
          </w:tcPr>
          <w:p w14:paraId="5AFF1A92"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bCs/>
                <w:color w:val="000000" w:themeColor="text1"/>
                <w:sz w:val="20"/>
                <w:szCs w:val="20"/>
                <w:lang w:val="en-US" w:eastAsia="de-DE"/>
              </w:rPr>
              <w:t>Reference</w:t>
            </w:r>
          </w:p>
        </w:tc>
        <w:tc>
          <w:tcPr>
            <w:tcW w:w="992" w:type="dxa"/>
            <w:vAlign w:val="center"/>
          </w:tcPr>
          <w:p w14:paraId="07AB46CF"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p>
        </w:tc>
      </w:tr>
      <w:tr w:rsidR="00F941E3" w:rsidRPr="00F941E3" w14:paraId="76F1EFA8"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276704B5" w14:textId="77777777" w:rsidR="000532AF" w:rsidRPr="00F941E3" w:rsidRDefault="000532AF" w:rsidP="000532AF">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Age 26-35</w:t>
            </w:r>
          </w:p>
        </w:tc>
        <w:tc>
          <w:tcPr>
            <w:tcW w:w="1909" w:type="dxa"/>
            <w:gridSpan w:val="2"/>
            <w:vAlign w:val="center"/>
          </w:tcPr>
          <w:p w14:paraId="362C4A27"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2.9</w:t>
            </w:r>
          </w:p>
        </w:tc>
        <w:tc>
          <w:tcPr>
            <w:tcW w:w="1984" w:type="dxa"/>
            <w:gridSpan w:val="2"/>
            <w:vAlign w:val="center"/>
          </w:tcPr>
          <w:p w14:paraId="5C258F0F"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bCs/>
                <w:color w:val="000000" w:themeColor="text1"/>
                <w:sz w:val="20"/>
                <w:szCs w:val="20"/>
                <w:lang w:val="en-US" w:eastAsia="de-DE"/>
              </w:rPr>
              <w:t>1.10 (0.87-1.39)</w:t>
            </w:r>
          </w:p>
        </w:tc>
        <w:tc>
          <w:tcPr>
            <w:tcW w:w="992" w:type="dxa"/>
            <w:vAlign w:val="center"/>
          </w:tcPr>
          <w:p w14:paraId="27EE2AF0"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0.429</w:t>
            </w:r>
          </w:p>
        </w:tc>
      </w:tr>
      <w:tr w:rsidR="00F941E3" w:rsidRPr="00F941E3" w14:paraId="0145BACC"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3A840242" w14:textId="77777777" w:rsidR="000532AF" w:rsidRPr="00F941E3" w:rsidRDefault="000532AF" w:rsidP="000532AF">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Age 36-45</w:t>
            </w:r>
          </w:p>
        </w:tc>
        <w:tc>
          <w:tcPr>
            <w:tcW w:w="1909" w:type="dxa"/>
            <w:gridSpan w:val="2"/>
            <w:vAlign w:val="center"/>
          </w:tcPr>
          <w:p w14:paraId="75576C20"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5.1</w:t>
            </w:r>
          </w:p>
        </w:tc>
        <w:tc>
          <w:tcPr>
            <w:tcW w:w="1984" w:type="dxa"/>
            <w:gridSpan w:val="2"/>
            <w:vAlign w:val="center"/>
          </w:tcPr>
          <w:p w14:paraId="35DBF2C6"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1.84 (1.48-2.29)</w:t>
            </w:r>
          </w:p>
        </w:tc>
        <w:tc>
          <w:tcPr>
            <w:tcW w:w="992" w:type="dxa"/>
          </w:tcPr>
          <w:p w14:paraId="51FD662D"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&lt;0.001</w:t>
            </w:r>
          </w:p>
        </w:tc>
      </w:tr>
      <w:tr w:rsidR="00F941E3" w:rsidRPr="00F941E3" w14:paraId="71B7A1DF"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6B1BCD8B" w14:textId="77777777" w:rsidR="000532AF" w:rsidRPr="00F941E3" w:rsidRDefault="000532AF" w:rsidP="000532AF">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Age 46-55</w:t>
            </w:r>
          </w:p>
        </w:tc>
        <w:tc>
          <w:tcPr>
            <w:tcW w:w="1909" w:type="dxa"/>
            <w:gridSpan w:val="2"/>
            <w:vAlign w:val="center"/>
          </w:tcPr>
          <w:p w14:paraId="24A9387F"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7.5</w:t>
            </w:r>
          </w:p>
        </w:tc>
        <w:tc>
          <w:tcPr>
            <w:tcW w:w="1984" w:type="dxa"/>
            <w:gridSpan w:val="2"/>
            <w:vAlign w:val="center"/>
          </w:tcPr>
          <w:p w14:paraId="0AE92DD7"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2.68 (2.17-3.29)</w:t>
            </w:r>
          </w:p>
        </w:tc>
        <w:tc>
          <w:tcPr>
            <w:tcW w:w="992" w:type="dxa"/>
          </w:tcPr>
          <w:p w14:paraId="2E905272"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&lt;0.001</w:t>
            </w:r>
          </w:p>
        </w:tc>
      </w:tr>
      <w:tr w:rsidR="00F941E3" w:rsidRPr="00F941E3" w14:paraId="45A347C7"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2CC9ECA3" w14:textId="77777777" w:rsidR="000532AF" w:rsidRPr="00F941E3" w:rsidRDefault="000532AF" w:rsidP="000532AF">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Age 56-65</w:t>
            </w:r>
          </w:p>
        </w:tc>
        <w:tc>
          <w:tcPr>
            <w:tcW w:w="1909" w:type="dxa"/>
            <w:gridSpan w:val="2"/>
            <w:vAlign w:val="center"/>
          </w:tcPr>
          <w:p w14:paraId="5987F02C"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10.7</w:t>
            </w:r>
          </w:p>
        </w:tc>
        <w:tc>
          <w:tcPr>
            <w:tcW w:w="1984" w:type="dxa"/>
            <w:gridSpan w:val="2"/>
            <w:vAlign w:val="center"/>
          </w:tcPr>
          <w:p w14:paraId="4F15A259"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3.71 (3.01-4.58)</w:t>
            </w:r>
          </w:p>
        </w:tc>
        <w:tc>
          <w:tcPr>
            <w:tcW w:w="992" w:type="dxa"/>
            <w:vAlign w:val="center"/>
          </w:tcPr>
          <w:p w14:paraId="0C020C6C"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&lt;0.001</w:t>
            </w:r>
          </w:p>
        </w:tc>
      </w:tr>
      <w:tr w:rsidR="00F941E3" w:rsidRPr="00F941E3" w14:paraId="2F11BEB1" w14:textId="77777777" w:rsidTr="006A205D">
        <w:trPr>
          <w:trHeight w:val="263"/>
          <w:jc w:val="center"/>
        </w:trPr>
        <w:tc>
          <w:tcPr>
            <w:cnfStyle w:val="001000000000" w:firstRow="0" w:lastRow="0" w:firstColumn="1" w:lastColumn="0" w:oddVBand="0" w:evenVBand="0" w:oddHBand="0" w:evenHBand="0" w:firstRowFirstColumn="0" w:firstRowLastColumn="0" w:lastRowFirstColumn="0" w:lastRowLastColumn="0"/>
            <w:tcW w:w="9105" w:type="dxa"/>
            <w:gridSpan w:val="6"/>
            <w:noWrap/>
            <w:vAlign w:val="center"/>
          </w:tcPr>
          <w:p w14:paraId="3534363E" w14:textId="42B65D02" w:rsidR="000532AF" w:rsidRPr="00F941E3" w:rsidRDefault="000532AF" w:rsidP="000532AF">
            <w:pPr>
              <w:spacing w:line="276" w:lineRule="auto"/>
              <w:rPr>
                <w:rFonts w:ascii="Arial" w:eastAsia="Times New Roman" w:hAnsi="Arial" w:cs="Arial"/>
                <w:color w:val="000000" w:themeColor="text1"/>
                <w:sz w:val="20"/>
                <w:szCs w:val="20"/>
                <w:lang w:val="en-US" w:eastAsia="de-DE"/>
              </w:rPr>
            </w:pPr>
            <w:r w:rsidRPr="00F941E3">
              <w:rPr>
                <w:rFonts w:ascii="Arial" w:eastAsia="Times New Roman" w:hAnsi="Arial" w:cs="Arial"/>
                <w:b w:val="0"/>
                <w:bCs w:val="0"/>
                <w:i/>
                <w:iCs/>
                <w:color w:val="000000" w:themeColor="text1"/>
                <w:sz w:val="20"/>
                <w:szCs w:val="20"/>
                <w:lang w:val="en-US" w:eastAsia="de-DE"/>
              </w:rPr>
              <w:t xml:space="preserve">Disorders diagnosed within </w:t>
            </w:r>
            <w:r w:rsidR="00BB632D" w:rsidRPr="00F941E3">
              <w:rPr>
                <w:rFonts w:ascii="Arial" w:eastAsia="Times New Roman" w:hAnsi="Arial" w:cs="Arial"/>
                <w:b w:val="0"/>
                <w:bCs w:val="0"/>
                <w:i/>
                <w:iCs/>
                <w:color w:val="000000" w:themeColor="text1"/>
                <w:sz w:val="20"/>
                <w:szCs w:val="20"/>
                <w:lang w:val="en-US" w:eastAsia="de-DE"/>
              </w:rPr>
              <w:t>12</w:t>
            </w:r>
            <w:r w:rsidRPr="00F941E3">
              <w:rPr>
                <w:rFonts w:ascii="Arial" w:eastAsia="Times New Roman" w:hAnsi="Arial" w:cs="Arial"/>
                <w:b w:val="0"/>
                <w:bCs w:val="0"/>
                <w:i/>
                <w:iCs/>
                <w:color w:val="000000" w:themeColor="text1"/>
                <w:sz w:val="20"/>
                <w:szCs w:val="20"/>
                <w:lang w:val="en-US" w:eastAsia="de-DE"/>
              </w:rPr>
              <w:t xml:space="preserve"> months prior to the diagnosis of COVID-19</w:t>
            </w:r>
            <w:r w:rsidRPr="00F941E3">
              <w:rPr>
                <w:rFonts w:ascii="Arial" w:eastAsia="Times New Roman" w:hAnsi="Arial" w:cs="Arial"/>
                <w:b w:val="0"/>
                <w:bCs w:val="0"/>
                <w:i/>
                <w:iCs/>
                <w:color w:val="000000" w:themeColor="text1"/>
                <w:sz w:val="20"/>
                <w:szCs w:val="20"/>
                <w:vertAlign w:val="superscript"/>
                <w:lang w:val="en-US" w:eastAsia="de-DE"/>
              </w:rPr>
              <w:t>a</w:t>
            </w:r>
          </w:p>
        </w:tc>
      </w:tr>
      <w:tr w:rsidR="00F941E3" w:rsidRPr="00F941E3" w14:paraId="514FE8FE"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4F3D851E" w14:textId="77777777" w:rsidR="000532AF" w:rsidRPr="00F941E3" w:rsidRDefault="000532AF" w:rsidP="000532AF">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Noninfective enteritis and colitis </w:t>
            </w:r>
          </w:p>
        </w:tc>
        <w:tc>
          <w:tcPr>
            <w:tcW w:w="1909" w:type="dxa"/>
            <w:gridSpan w:val="2"/>
            <w:vAlign w:val="center"/>
          </w:tcPr>
          <w:p w14:paraId="0628B74E"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12.3</w:t>
            </w:r>
          </w:p>
        </w:tc>
        <w:tc>
          <w:tcPr>
            <w:tcW w:w="1984" w:type="dxa"/>
            <w:gridSpan w:val="2"/>
            <w:vAlign w:val="center"/>
          </w:tcPr>
          <w:p w14:paraId="630CD1EC"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2.02 (1.70-2.40)</w:t>
            </w:r>
          </w:p>
        </w:tc>
        <w:tc>
          <w:tcPr>
            <w:tcW w:w="992" w:type="dxa"/>
            <w:vAlign w:val="center"/>
          </w:tcPr>
          <w:p w14:paraId="7DDE397A"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&lt;0.001</w:t>
            </w:r>
          </w:p>
        </w:tc>
      </w:tr>
      <w:tr w:rsidR="00F941E3" w:rsidRPr="00F941E3" w14:paraId="4496D905"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01AA32DE" w14:textId="77777777" w:rsidR="000532AF" w:rsidRPr="00F941E3" w:rsidRDefault="000532AF" w:rsidP="000532AF">
            <w:pPr>
              <w:spacing w:line="276" w:lineRule="auto"/>
              <w:rPr>
                <w:rFonts w:ascii="Arial" w:eastAsia="Times New Roman" w:hAnsi="Arial" w:cs="Arial"/>
                <w:bCs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Reaction to severe stress, and adjustment disorders </w:t>
            </w:r>
          </w:p>
        </w:tc>
        <w:tc>
          <w:tcPr>
            <w:tcW w:w="1909" w:type="dxa"/>
            <w:gridSpan w:val="2"/>
            <w:vAlign w:val="center"/>
          </w:tcPr>
          <w:p w14:paraId="796E12E9"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11.6</w:t>
            </w:r>
          </w:p>
        </w:tc>
        <w:tc>
          <w:tcPr>
            <w:tcW w:w="1984" w:type="dxa"/>
            <w:gridSpan w:val="2"/>
            <w:vAlign w:val="center"/>
          </w:tcPr>
          <w:p w14:paraId="0ED8718E"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1.68 (1.46-1.92)</w:t>
            </w:r>
          </w:p>
        </w:tc>
        <w:tc>
          <w:tcPr>
            <w:tcW w:w="992" w:type="dxa"/>
            <w:vAlign w:val="center"/>
          </w:tcPr>
          <w:p w14:paraId="20890BCF" w14:textId="77777777" w:rsidR="000532AF" w:rsidRPr="00F941E3" w:rsidRDefault="000532AF" w:rsidP="000532A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&lt;0.001</w:t>
            </w:r>
          </w:p>
        </w:tc>
      </w:tr>
      <w:tr w:rsidR="00F941E3" w:rsidRPr="00F941E3" w14:paraId="63FF4FDA"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428BAC73" w14:textId="7BEA49F0" w:rsidR="0056122F" w:rsidRPr="00F941E3" w:rsidRDefault="0056122F" w:rsidP="0056122F">
            <w:pPr>
              <w:spacing w:line="276" w:lineRule="auto"/>
              <w:rPr>
                <w:rFonts w:ascii="Arial" w:eastAsia="Times New Roman" w:hAnsi="Arial" w:cs="Arial"/>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Atopic dermatitis</w:t>
            </w:r>
          </w:p>
        </w:tc>
        <w:tc>
          <w:tcPr>
            <w:tcW w:w="1909" w:type="dxa"/>
            <w:gridSpan w:val="2"/>
            <w:vAlign w:val="center"/>
          </w:tcPr>
          <w:p w14:paraId="0363961E" w14:textId="66237292"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9.2</w:t>
            </w:r>
          </w:p>
        </w:tc>
        <w:tc>
          <w:tcPr>
            <w:tcW w:w="1984" w:type="dxa"/>
            <w:gridSpan w:val="2"/>
            <w:vAlign w:val="center"/>
          </w:tcPr>
          <w:p w14:paraId="1E82A450" w14:textId="78EF4AF0"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1.27 (1.10-1.47)</w:t>
            </w:r>
          </w:p>
        </w:tc>
        <w:tc>
          <w:tcPr>
            <w:tcW w:w="992" w:type="dxa"/>
            <w:vAlign w:val="center"/>
          </w:tcPr>
          <w:p w14:paraId="14E6595F" w14:textId="0F1ADBB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0.001</w:t>
            </w:r>
          </w:p>
        </w:tc>
      </w:tr>
      <w:tr w:rsidR="00F941E3" w:rsidRPr="00F941E3" w14:paraId="2A1F5988"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6A105FF8" w14:textId="77777777" w:rsidR="0056122F" w:rsidRPr="00F941E3" w:rsidRDefault="0056122F" w:rsidP="0056122F">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Mononeuropathies </w:t>
            </w:r>
          </w:p>
        </w:tc>
        <w:tc>
          <w:tcPr>
            <w:tcW w:w="1909" w:type="dxa"/>
            <w:gridSpan w:val="2"/>
            <w:vAlign w:val="center"/>
          </w:tcPr>
          <w:p w14:paraId="113E8E0E"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11.1</w:t>
            </w:r>
          </w:p>
        </w:tc>
        <w:tc>
          <w:tcPr>
            <w:tcW w:w="1984" w:type="dxa"/>
            <w:gridSpan w:val="2"/>
            <w:vAlign w:val="center"/>
          </w:tcPr>
          <w:p w14:paraId="27DC6436"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1.27 (1.04-1.57)</w:t>
            </w:r>
          </w:p>
        </w:tc>
        <w:tc>
          <w:tcPr>
            <w:tcW w:w="992" w:type="dxa"/>
            <w:vAlign w:val="center"/>
          </w:tcPr>
          <w:p w14:paraId="4CFD3D24"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0.022</w:t>
            </w:r>
          </w:p>
        </w:tc>
      </w:tr>
      <w:tr w:rsidR="00F941E3" w:rsidRPr="00F941E3" w14:paraId="0FD07653"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53" w:type="dxa"/>
            <w:gridSpan w:val="2"/>
            <w:noWrap/>
            <w:vAlign w:val="center"/>
          </w:tcPr>
          <w:p w14:paraId="424C78D6" w14:textId="77777777" w:rsidR="0056122F" w:rsidRPr="00F941E3" w:rsidRDefault="0056122F" w:rsidP="0056122F">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Reflux diseases </w:t>
            </w:r>
          </w:p>
        </w:tc>
        <w:tc>
          <w:tcPr>
            <w:tcW w:w="1876" w:type="dxa"/>
            <w:vAlign w:val="center"/>
          </w:tcPr>
          <w:p w14:paraId="0AC483E2"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11.2</w:t>
            </w:r>
          </w:p>
        </w:tc>
        <w:tc>
          <w:tcPr>
            <w:tcW w:w="1984" w:type="dxa"/>
            <w:gridSpan w:val="2"/>
            <w:vAlign w:val="center"/>
          </w:tcPr>
          <w:p w14:paraId="30043C49"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1.24 (1.05-1.47)</w:t>
            </w:r>
          </w:p>
        </w:tc>
        <w:tc>
          <w:tcPr>
            <w:tcW w:w="992" w:type="dxa"/>
            <w:vAlign w:val="center"/>
          </w:tcPr>
          <w:p w14:paraId="2D89856D"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0.013</w:t>
            </w:r>
          </w:p>
        </w:tc>
      </w:tr>
      <w:tr w:rsidR="00F941E3" w:rsidRPr="00F941E3" w14:paraId="2DE7D453"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4B580BD1" w14:textId="77777777" w:rsidR="0056122F" w:rsidRPr="00F941E3" w:rsidRDefault="0056122F" w:rsidP="0056122F">
            <w:pPr>
              <w:spacing w:line="276" w:lineRule="auto"/>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 xml:space="preserve">Diabetes mellitus </w:t>
            </w:r>
          </w:p>
        </w:tc>
        <w:tc>
          <w:tcPr>
            <w:tcW w:w="1909" w:type="dxa"/>
            <w:gridSpan w:val="2"/>
            <w:vAlign w:val="center"/>
          </w:tcPr>
          <w:p w14:paraId="0BCA3D93"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11.3</w:t>
            </w:r>
          </w:p>
        </w:tc>
        <w:tc>
          <w:tcPr>
            <w:tcW w:w="1984" w:type="dxa"/>
            <w:gridSpan w:val="2"/>
            <w:vAlign w:val="center"/>
          </w:tcPr>
          <w:p w14:paraId="68A8F269"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1.21 (1.00-1.48)</w:t>
            </w:r>
          </w:p>
        </w:tc>
        <w:tc>
          <w:tcPr>
            <w:tcW w:w="992" w:type="dxa"/>
            <w:vAlign w:val="center"/>
          </w:tcPr>
          <w:p w14:paraId="3468A752"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0.048</w:t>
            </w:r>
          </w:p>
        </w:tc>
      </w:tr>
      <w:tr w:rsidR="00F941E3" w:rsidRPr="00F941E3" w14:paraId="697E58F1"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53" w:type="dxa"/>
            <w:gridSpan w:val="2"/>
            <w:noWrap/>
            <w:vAlign w:val="center"/>
          </w:tcPr>
          <w:p w14:paraId="31C93E55" w14:textId="77777777" w:rsidR="0056122F" w:rsidRPr="00F941E3" w:rsidRDefault="0056122F" w:rsidP="0056122F">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Spondylitis </w:t>
            </w:r>
          </w:p>
        </w:tc>
        <w:tc>
          <w:tcPr>
            <w:tcW w:w="1876" w:type="dxa"/>
            <w:vAlign w:val="center"/>
          </w:tcPr>
          <w:p w14:paraId="106915FA"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12.3</w:t>
            </w:r>
          </w:p>
        </w:tc>
        <w:tc>
          <w:tcPr>
            <w:tcW w:w="1984" w:type="dxa"/>
            <w:gridSpan w:val="2"/>
            <w:vAlign w:val="center"/>
          </w:tcPr>
          <w:p w14:paraId="2A7CDC28"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1.21 (0.99-1.49)</w:t>
            </w:r>
          </w:p>
        </w:tc>
        <w:tc>
          <w:tcPr>
            <w:tcW w:w="992" w:type="dxa"/>
            <w:vAlign w:val="center"/>
          </w:tcPr>
          <w:p w14:paraId="1316B730" w14:textId="77777777" w:rsidR="0056122F" w:rsidRPr="00F941E3" w:rsidRDefault="0056122F" w:rsidP="0056122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0.063</w:t>
            </w:r>
          </w:p>
        </w:tc>
      </w:tr>
      <w:tr w:rsidR="00F941E3" w:rsidRPr="00F941E3" w14:paraId="07514D6E"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53" w:type="dxa"/>
            <w:gridSpan w:val="2"/>
            <w:noWrap/>
            <w:vAlign w:val="center"/>
          </w:tcPr>
          <w:p w14:paraId="3A299E0D" w14:textId="65D332E8" w:rsidR="003C3FCC" w:rsidRPr="00F941E3" w:rsidRDefault="003C3FCC" w:rsidP="003C3FCC">
            <w:pPr>
              <w:spacing w:line="276" w:lineRule="auto"/>
              <w:rPr>
                <w:rFonts w:ascii="Arial" w:eastAsia="Times New Roman" w:hAnsi="Arial" w:cs="Arial"/>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Hypertension </w:t>
            </w:r>
          </w:p>
        </w:tc>
        <w:tc>
          <w:tcPr>
            <w:tcW w:w="1876" w:type="dxa"/>
            <w:vAlign w:val="center"/>
          </w:tcPr>
          <w:p w14:paraId="69A122AD" w14:textId="7254DF46"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10.5</w:t>
            </w:r>
          </w:p>
        </w:tc>
        <w:tc>
          <w:tcPr>
            <w:tcW w:w="1984" w:type="dxa"/>
            <w:gridSpan w:val="2"/>
            <w:vAlign w:val="center"/>
          </w:tcPr>
          <w:p w14:paraId="65BC2B66" w14:textId="3D06655C"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1.19 (1.04-1.36)</w:t>
            </w:r>
          </w:p>
        </w:tc>
        <w:tc>
          <w:tcPr>
            <w:tcW w:w="992" w:type="dxa"/>
            <w:vAlign w:val="center"/>
          </w:tcPr>
          <w:p w14:paraId="7ED9DF1D" w14:textId="396B47AC"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0.010</w:t>
            </w:r>
          </w:p>
        </w:tc>
      </w:tr>
      <w:tr w:rsidR="00F941E3" w:rsidRPr="00F941E3" w14:paraId="23B04A7E"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2F2711B5" w14:textId="77777777" w:rsidR="003C3FCC" w:rsidRPr="00F941E3" w:rsidRDefault="003C3FCC" w:rsidP="003C3FCC">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Chronic headache </w:t>
            </w:r>
          </w:p>
        </w:tc>
        <w:tc>
          <w:tcPr>
            <w:tcW w:w="1909" w:type="dxa"/>
            <w:gridSpan w:val="2"/>
            <w:vAlign w:val="center"/>
          </w:tcPr>
          <w:p w14:paraId="08DF25C6"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8.2</w:t>
            </w:r>
          </w:p>
        </w:tc>
        <w:tc>
          <w:tcPr>
            <w:tcW w:w="1984" w:type="dxa"/>
            <w:gridSpan w:val="2"/>
            <w:vAlign w:val="center"/>
          </w:tcPr>
          <w:p w14:paraId="73B8C84F"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1.19 (1.00-1.42)</w:t>
            </w:r>
          </w:p>
        </w:tc>
        <w:tc>
          <w:tcPr>
            <w:tcW w:w="992" w:type="dxa"/>
            <w:vAlign w:val="center"/>
          </w:tcPr>
          <w:p w14:paraId="12E9856C"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0.056</w:t>
            </w:r>
          </w:p>
        </w:tc>
      </w:tr>
      <w:tr w:rsidR="00F941E3" w:rsidRPr="00F941E3" w14:paraId="1C07F481"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603E23F9" w14:textId="77777777" w:rsidR="003C3FCC" w:rsidRPr="00F941E3" w:rsidRDefault="003C3FCC" w:rsidP="003C3FCC">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Phlebitis and thrombosis</w:t>
            </w:r>
          </w:p>
        </w:tc>
        <w:tc>
          <w:tcPr>
            <w:tcW w:w="1909" w:type="dxa"/>
            <w:gridSpan w:val="2"/>
            <w:vAlign w:val="center"/>
          </w:tcPr>
          <w:p w14:paraId="4AF6EDF5"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11.0</w:t>
            </w:r>
          </w:p>
        </w:tc>
        <w:tc>
          <w:tcPr>
            <w:tcW w:w="1984" w:type="dxa"/>
            <w:gridSpan w:val="2"/>
            <w:vAlign w:val="center"/>
          </w:tcPr>
          <w:p w14:paraId="7E13BC6C"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1.17 (0.96-1.42)</w:t>
            </w:r>
          </w:p>
        </w:tc>
        <w:tc>
          <w:tcPr>
            <w:tcW w:w="992" w:type="dxa"/>
            <w:vAlign w:val="center"/>
          </w:tcPr>
          <w:p w14:paraId="56307511"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0.114</w:t>
            </w:r>
          </w:p>
        </w:tc>
      </w:tr>
      <w:tr w:rsidR="00F941E3" w:rsidRPr="00F941E3" w14:paraId="7D3938C1"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783BBED8" w14:textId="77777777" w:rsidR="003C3FCC" w:rsidRPr="00F941E3" w:rsidRDefault="003C3FCC" w:rsidP="003C3FCC">
            <w:pPr>
              <w:spacing w:line="276" w:lineRule="auto"/>
              <w:rPr>
                <w:rFonts w:ascii="Arial" w:eastAsia="Times New Roman" w:hAnsi="Arial" w:cs="Arial"/>
                <w:bCs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Somatoform disorders</w:t>
            </w:r>
          </w:p>
        </w:tc>
        <w:tc>
          <w:tcPr>
            <w:tcW w:w="1909" w:type="dxa"/>
            <w:gridSpan w:val="2"/>
            <w:vAlign w:val="center"/>
          </w:tcPr>
          <w:p w14:paraId="27155756"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9.9</w:t>
            </w:r>
          </w:p>
        </w:tc>
        <w:tc>
          <w:tcPr>
            <w:tcW w:w="1984" w:type="dxa"/>
            <w:gridSpan w:val="2"/>
            <w:vAlign w:val="center"/>
          </w:tcPr>
          <w:p w14:paraId="78C4433F"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1.13 (0.96-1.34)</w:t>
            </w:r>
          </w:p>
        </w:tc>
        <w:tc>
          <w:tcPr>
            <w:tcW w:w="992" w:type="dxa"/>
            <w:vAlign w:val="center"/>
          </w:tcPr>
          <w:p w14:paraId="1C54D341"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0.132</w:t>
            </w:r>
          </w:p>
        </w:tc>
      </w:tr>
      <w:tr w:rsidR="00F941E3" w:rsidRPr="00F941E3" w14:paraId="444CB9FC"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174343A5" w14:textId="77777777" w:rsidR="003C3FCC" w:rsidRPr="00F941E3" w:rsidRDefault="003C3FCC" w:rsidP="003C3FCC">
            <w:pPr>
              <w:spacing w:line="276" w:lineRule="auto"/>
              <w:rPr>
                <w:rFonts w:ascii="Arial" w:eastAsia="Times New Roman" w:hAnsi="Arial" w:cs="Arial"/>
                <w:bCs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Sleep disorders</w:t>
            </w:r>
          </w:p>
        </w:tc>
        <w:tc>
          <w:tcPr>
            <w:tcW w:w="1909" w:type="dxa"/>
            <w:gridSpan w:val="2"/>
            <w:vAlign w:val="center"/>
          </w:tcPr>
          <w:p w14:paraId="0A86CA6A"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10.1</w:t>
            </w:r>
          </w:p>
        </w:tc>
        <w:tc>
          <w:tcPr>
            <w:tcW w:w="1984" w:type="dxa"/>
            <w:gridSpan w:val="2"/>
            <w:vAlign w:val="center"/>
          </w:tcPr>
          <w:p w14:paraId="70100432"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1.11 (0.94-1.32)</w:t>
            </w:r>
          </w:p>
        </w:tc>
        <w:tc>
          <w:tcPr>
            <w:tcW w:w="992" w:type="dxa"/>
            <w:vAlign w:val="center"/>
          </w:tcPr>
          <w:p w14:paraId="317DDB24" w14:textId="77777777" w:rsidR="003C3FCC" w:rsidRPr="00F941E3" w:rsidRDefault="003C3FCC" w:rsidP="003C3FC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0.218</w:t>
            </w:r>
          </w:p>
        </w:tc>
      </w:tr>
      <w:tr w:rsidR="00F941E3" w:rsidRPr="00F941E3" w14:paraId="387AC5B2"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2DEE8E6E" w14:textId="6AF0971E" w:rsidR="00F55C62" w:rsidRPr="00F941E3" w:rsidRDefault="00F55C62" w:rsidP="00F55C62">
            <w:pPr>
              <w:spacing w:line="276" w:lineRule="auto"/>
              <w:rPr>
                <w:rFonts w:ascii="Arial" w:eastAsia="Times New Roman" w:hAnsi="Arial" w:cs="Arial"/>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Chronic sinusitis </w:t>
            </w:r>
          </w:p>
        </w:tc>
        <w:tc>
          <w:tcPr>
            <w:tcW w:w="1909" w:type="dxa"/>
            <w:gridSpan w:val="2"/>
            <w:vAlign w:val="center"/>
          </w:tcPr>
          <w:p w14:paraId="33DAE3DC" w14:textId="2AE2588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7.7</w:t>
            </w:r>
          </w:p>
        </w:tc>
        <w:tc>
          <w:tcPr>
            <w:tcW w:w="1984" w:type="dxa"/>
            <w:gridSpan w:val="2"/>
            <w:vAlign w:val="center"/>
          </w:tcPr>
          <w:p w14:paraId="6F644DDA" w14:textId="486B0BFC"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1.11 (0.94-1.32)</w:t>
            </w:r>
          </w:p>
        </w:tc>
        <w:tc>
          <w:tcPr>
            <w:tcW w:w="992" w:type="dxa"/>
            <w:vAlign w:val="center"/>
          </w:tcPr>
          <w:p w14:paraId="760BA9B7" w14:textId="4DB78D53"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0.218</w:t>
            </w:r>
          </w:p>
        </w:tc>
      </w:tr>
      <w:tr w:rsidR="00F941E3" w:rsidRPr="00F941E3" w14:paraId="6627A686"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53" w:type="dxa"/>
            <w:gridSpan w:val="2"/>
            <w:noWrap/>
            <w:vAlign w:val="center"/>
          </w:tcPr>
          <w:p w14:paraId="4E87E471" w14:textId="77777777" w:rsidR="00F55C62" w:rsidRPr="00F941E3" w:rsidRDefault="00F55C62" w:rsidP="00F55C62">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Allergic rhinitis</w:t>
            </w:r>
          </w:p>
        </w:tc>
        <w:tc>
          <w:tcPr>
            <w:tcW w:w="1876" w:type="dxa"/>
            <w:vAlign w:val="center"/>
          </w:tcPr>
          <w:p w14:paraId="4E53B278"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7.6</w:t>
            </w:r>
          </w:p>
        </w:tc>
        <w:tc>
          <w:tcPr>
            <w:tcW w:w="1984" w:type="dxa"/>
            <w:gridSpan w:val="2"/>
            <w:vAlign w:val="center"/>
          </w:tcPr>
          <w:p w14:paraId="7BF28340"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1.11 (0.89-1.37)</w:t>
            </w:r>
          </w:p>
        </w:tc>
        <w:tc>
          <w:tcPr>
            <w:tcW w:w="992" w:type="dxa"/>
            <w:vAlign w:val="center"/>
          </w:tcPr>
          <w:p w14:paraId="21A23067"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0.360</w:t>
            </w:r>
          </w:p>
        </w:tc>
      </w:tr>
      <w:tr w:rsidR="00F941E3" w:rsidRPr="00F941E3" w14:paraId="19BD7288"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1142F8F4" w14:textId="15DBF1DD" w:rsidR="00F55C62" w:rsidRPr="00F941E3" w:rsidRDefault="00F55C62" w:rsidP="00F55C62">
            <w:pPr>
              <w:spacing w:line="276" w:lineRule="auto"/>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 xml:space="preserve">Obesity </w:t>
            </w:r>
          </w:p>
        </w:tc>
        <w:tc>
          <w:tcPr>
            <w:tcW w:w="1909" w:type="dxa"/>
            <w:gridSpan w:val="2"/>
            <w:vAlign w:val="center"/>
          </w:tcPr>
          <w:p w14:paraId="51555FF0"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9.1</w:t>
            </w:r>
          </w:p>
        </w:tc>
        <w:tc>
          <w:tcPr>
            <w:tcW w:w="1984" w:type="dxa"/>
            <w:gridSpan w:val="2"/>
            <w:vAlign w:val="center"/>
          </w:tcPr>
          <w:p w14:paraId="534E55F9"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1.08 (0.90-1.29)</w:t>
            </w:r>
          </w:p>
        </w:tc>
        <w:tc>
          <w:tcPr>
            <w:tcW w:w="992" w:type="dxa"/>
            <w:vAlign w:val="center"/>
          </w:tcPr>
          <w:p w14:paraId="7F451ED9"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0.433</w:t>
            </w:r>
          </w:p>
        </w:tc>
      </w:tr>
      <w:tr w:rsidR="00F941E3" w:rsidRPr="00F941E3" w14:paraId="24068239"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53" w:type="dxa"/>
            <w:gridSpan w:val="2"/>
            <w:noWrap/>
            <w:vAlign w:val="center"/>
          </w:tcPr>
          <w:p w14:paraId="13DF7D16" w14:textId="77777777" w:rsidR="00F55C62" w:rsidRPr="00F941E3" w:rsidRDefault="00F55C62" w:rsidP="00F55C62">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Asthma </w:t>
            </w:r>
          </w:p>
        </w:tc>
        <w:tc>
          <w:tcPr>
            <w:tcW w:w="1876" w:type="dxa"/>
            <w:vAlign w:val="center"/>
          </w:tcPr>
          <w:p w14:paraId="7FCE78E0"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8.8</w:t>
            </w:r>
          </w:p>
        </w:tc>
        <w:tc>
          <w:tcPr>
            <w:tcW w:w="1984" w:type="dxa"/>
            <w:gridSpan w:val="2"/>
            <w:vAlign w:val="center"/>
          </w:tcPr>
          <w:p w14:paraId="2F0018F2"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1.06 (0.87-1.30)</w:t>
            </w:r>
          </w:p>
        </w:tc>
        <w:tc>
          <w:tcPr>
            <w:tcW w:w="992" w:type="dxa"/>
            <w:vAlign w:val="center"/>
          </w:tcPr>
          <w:p w14:paraId="31C9C139"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0.540</w:t>
            </w:r>
          </w:p>
        </w:tc>
      </w:tr>
      <w:tr w:rsidR="00F941E3" w:rsidRPr="00F941E3" w14:paraId="23450DC6"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28BE885E" w14:textId="77777777" w:rsidR="00F55C62" w:rsidRPr="00F941E3" w:rsidRDefault="00F55C62" w:rsidP="00F55C62">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Depression </w:t>
            </w:r>
          </w:p>
        </w:tc>
        <w:tc>
          <w:tcPr>
            <w:tcW w:w="1909" w:type="dxa"/>
            <w:gridSpan w:val="2"/>
            <w:vAlign w:val="center"/>
          </w:tcPr>
          <w:p w14:paraId="308258D0"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8.6</w:t>
            </w:r>
          </w:p>
        </w:tc>
        <w:tc>
          <w:tcPr>
            <w:tcW w:w="1984" w:type="dxa"/>
            <w:gridSpan w:val="2"/>
            <w:vAlign w:val="center"/>
          </w:tcPr>
          <w:p w14:paraId="1395F52A"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1.05 (0.91-1.21)</w:t>
            </w:r>
          </w:p>
        </w:tc>
        <w:tc>
          <w:tcPr>
            <w:tcW w:w="992" w:type="dxa"/>
            <w:vAlign w:val="center"/>
          </w:tcPr>
          <w:p w14:paraId="7AEAF850"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0.506</w:t>
            </w:r>
          </w:p>
        </w:tc>
      </w:tr>
      <w:tr w:rsidR="00F941E3" w:rsidRPr="00F941E3" w14:paraId="36D549AF"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53" w:type="dxa"/>
            <w:gridSpan w:val="2"/>
            <w:noWrap/>
            <w:vAlign w:val="center"/>
          </w:tcPr>
          <w:p w14:paraId="2B2E3062" w14:textId="77777777" w:rsidR="00F55C62" w:rsidRPr="00F941E3" w:rsidRDefault="00F55C62" w:rsidP="00F55C62">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Gastritis and duodenitis </w:t>
            </w:r>
          </w:p>
        </w:tc>
        <w:tc>
          <w:tcPr>
            <w:tcW w:w="1876" w:type="dxa"/>
            <w:vAlign w:val="center"/>
          </w:tcPr>
          <w:p w14:paraId="2602F612"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8.1</w:t>
            </w:r>
          </w:p>
        </w:tc>
        <w:tc>
          <w:tcPr>
            <w:tcW w:w="1984" w:type="dxa"/>
            <w:gridSpan w:val="2"/>
            <w:vAlign w:val="center"/>
          </w:tcPr>
          <w:p w14:paraId="5AA6DB8A"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1.05 (0.91-1.21)</w:t>
            </w:r>
          </w:p>
        </w:tc>
        <w:tc>
          <w:tcPr>
            <w:tcW w:w="992" w:type="dxa"/>
            <w:vAlign w:val="center"/>
          </w:tcPr>
          <w:p w14:paraId="4E413684"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0.534</w:t>
            </w:r>
          </w:p>
        </w:tc>
      </w:tr>
      <w:tr w:rsidR="00F941E3" w:rsidRPr="00F941E3" w14:paraId="77559796"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2F788F59" w14:textId="20EDF677" w:rsidR="00F55C62" w:rsidRPr="00F941E3" w:rsidRDefault="00F55C62" w:rsidP="00F55C62">
            <w:pPr>
              <w:spacing w:line="276" w:lineRule="auto"/>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 xml:space="preserve">Lipid metabolism disorders </w:t>
            </w:r>
          </w:p>
        </w:tc>
        <w:tc>
          <w:tcPr>
            <w:tcW w:w="1909" w:type="dxa"/>
            <w:gridSpan w:val="2"/>
            <w:vAlign w:val="center"/>
          </w:tcPr>
          <w:p w14:paraId="3F201BD4"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9.9</w:t>
            </w:r>
          </w:p>
        </w:tc>
        <w:tc>
          <w:tcPr>
            <w:tcW w:w="1984" w:type="dxa"/>
            <w:gridSpan w:val="2"/>
            <w:vAlign w:val="center"/>
          </w:tcPr>
          <w:p w14:paraId="4DD86D54"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1.04 (0.89-1.21)</w:t>
            </w:r>
          </w:p>
        </w:tc>
        <w:tc>
          <w:tcPr>
            <w:tcW w:w="992" w:type="dxa"/>
            <w:vAlign w:val="center"/>
          </w:tcPr>
          <w:p w14:paraId="02E71D24" w14:textId="77777777"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0.638</w:t>
            </w:r>
          </w:p>
        </w:tc>
      </w:tr>
      <w:tr w:rsidR="00F941E3" w:rsidRPr="00F941E3" w14:paraId="1BA18948" w14:textId="77777777" w:rsidTr="005A102A">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6A920BCF" w14:textId="70027298" w:rsidR="00F55C62" w:rsidRPr="00F941E3" w:rsidRDefault="00F55C62" w:rsidP="00F55C62">
            <w:pPr>
              <w:spacing w:line="276" w:lineRule="auto"/>
              <w:rPr>
                <w:rFonts w:ascii="Arial" w:eastAsia="Times New Roman" w:hAnsi="Arial" w:cs="Arial"/>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Vitamin D deficiency</w:t>
            </w:r>
          </w:p>
        </w:tc>
        <w:tc>
          <w:tcPr>
            <w:tcW w:w="1909" w:type="dxa"/>
            <w:gridSpan w:val="2"/>
            <w:vAlign w:val="center"/>
          </w:tcPr>
          <w:p w14:paraId="7FDBECB8" w14:textId="28F31C25"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8.9</w:t>
            </w:r>
          </w:p>
        </w:tc>
        <w:tc>
          <w:tcPr>
            <w:tcW w:w="1984" w:type="dxa"/>
            <w:gridSpan w:val="2"/>
            <w:vAlign w:val="center"/>
          </w:tcPr>
          <w:p w14:paraId="33155DF5" w14:textId="118B72B6"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1.03 (0.81-1.31)</w:t>
            </w:r>
          </w:p>
        </w:tc>
        <w:tc>
          <w:tcPr>
            <w:tcW w:w="992" w:type="dxa"/>
            <w:vAlign w:val="center"/>
          </w:tcPr>
          <w:p w14:paraId="55C25772" w14:textId="2DBC7D98" w:rsidR="00F55C62" w:rsidRPr="00F941E3" w:rsidRDefault="00F55C62" w:rsidP="00F55C6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0.823</w:t>
            </w:r>
          </w:p>
        </w:tc>
      </w:tr>
      <w:tr w:rsidR="00F941E3" w:rsidRPr="00F941E3" w14:paraId="0295BE00"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7F6D4770" w14:textId="3FFE8C18" w:rsidR="00B568CD" w:rsidRPr="00F941E3" w:rsidRDefault="00B568CD" w:rsidP="00B568CD">
            <w:pPr>
              <w:spacing w:line="276" w:lineRule="auto"/>
              <w:rPr>
                <w:rFonts w:ascii="Arial" w:eastAsia="Times New Roman" w:hAnsi="Arial" w:cs="Arial"/>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Osteoarthritis </w:t>
            </w:r>
          </w:p>
        </w:tc>
        <w:tc>
          <w:tcPr>
            <w:tcW w:w="1909" w:type="dxa"/>
            <w:gridSpan w:val="2"/>
            <w:vAlign w:val="center"/>
          </w:tcPr>
          <w:p w14:paraId="1E5A8FD9" w14:textId="235144D2"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11.2</w:t>
            </w:r>
          </w:p>
        </w:tc>
        <w:tc>
          <w:tcPr>
            <w:tcW w:w="1984" w:type="dxa"/>
            <w:gridSpan w:val="2"/>
            <w:vAlign w:val="center"/>
          </w:tcPr>
          <w:p w14:paraId="134D2A90" w14:textId="7FC9E66E"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1.02 (0.87-1.21)</w:t>
            </w:r>
          </w:p>
        </w:tc>
        <w:tc>
          <w:tcPr>
            <w:tcW w:w="992" w:type="dxa"/>
            <w:vAlign w:val="center"/>
          </w:tcPr>
          <w:p w14:paraId="126688AB" w14:textId="7F9A085D"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0.784</w:t>
            </w:r>
          </w:p>
        </w:tc>
      </w:tr>
      <w:tr w:rsidR="00F941E3" w:rsidRPr="00F941E3" w14:paraId="6E2E3928"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noWrap/>
            <w:vAlign w:val="center"/>
          </w:tcPr>
          <w:p w14:paraId="29A54776" w14:textId="312BF00D" w:rsidR="00B568CD" w:rsidRPr="00F941E3" w:rsidRDefault="00B568CD" w:rsidP="00B568CD">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Cardiac arrhythmias </w:t>
            </w:r>
          </w:p>
        </w:tc>
        <w:tc>
          <w:tcPr>
            <w:tcW w:w="1909" w:type="dxa"/>
            <w:gridSpan w:val="2"/>
            <w:vAlign w:val="center"/>
          </w:tcPr>
          <w:p w14:paraId="44B34EE9" w14:textId="7DA4E987"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8.4</w:t>
            </w:r>
          </w:p>
        </w:tc>
        <w:tc>
          <w:tcPr>
            <w:tcW w:w="1984" w:type="dxa"/>
            <w:gridSpan w:val="2"/>
            <w:vAlign w:val="center"/>
          </w:tcPr>
          <w:p w14:paraId="2DE720B4" w14:textId="3A9FD2D5"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1.02 (0.81-1.27)</w:t>
            </w:r>
          </w:p>
        </w:tc>
        <w:tc>
          <w:tcPr>
            <w:tcW w:w="992" w:type="dxa"/>
            <w:vAlign w:val="center"/>
          </w:tcPr>
          <w:p w14:paraId="16DE6DFD" w14:textId="206819B6"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0.892</w:t>
            </w:r>
          </w:p>
        </w:tc>
      </w:tr>
      <w:tr w:rsidR="00F941E3" w:rsidRPr="00F941E3" w14:paraId="42E88196" w14:textId="77777777" w:rsidTr="00773EE2">
        <w:trPr>
          <w:trHeight w:val="263"/>
          <w:jc w:val="center"/>
        </w:trPr>
        <w:tc>
          <w:tcPr>
            <w:cnfStyle w:val="001000000000" w:firstRow="0" w:lastRow="0" w:firstColumn="1" w:lastColumn="0" w:oddVBand="0" w:evenVBand="0" w:oddHBand="0" w:evenHBand="0" w:firstRowFirstColumn="0" w:firstRowLastColumn="0" w:lastRowFirstColumn="0" w:lastRowLastColumn="0"/>
            <w:tcW w:w="4253" w:type="dxa"/>
            <w:gridSpan w:val="2"/>
            <w:noWrap/>
            <w:vAlign w:val="center"/>
          </w:tcPr>
          <w:p w14:paraId="652CDBDF" w14:textId="2A0128FC" w:rsidR="00B568CD" w:rsidRPr="00F941E3" w:rsidRDefault="00B568CD" w:rsidP="00B568CD">
            <w:pPr>
              <w:spacing w:line="276" w:lineRule="auto"/>
              <w:rPr>
                <w:rFonts w:ascii="Arial" w:eastAsia="Times New Roman" w:hAnsi="Arial" w:cs="Arial"/>
                <w:b w:val="0"/>
                <w:color w:val="000000" w:themeColor="text1"/>
                <w:sz w:val="20"/>
                <w:szCs w:val="20"/>
                <w:lang w:val="en-US" w:eastAsia="de-DE"/>
              </w:rPr>
            </w:pPr>
            <w:r w:rsidRPr="00F941E3">
              <w:rPr>
                <w:rFonts w:ascii="Arial" w:eastAsia="Times New Roman" w:hAnsi="Arial" w:cs="Arial"/>
                <w:b w:val="0"/>
                <w:color w:val="000000" w:themeColor="text1"/>
                <w:sz w:val="20"/>
                <w:szCs w:val="20"/>
                <w:lang w:val="en-US" w:eastAsia="de-DE"/>
              </w:rPr>
              <w:t xml:space="preserve">Anxiety disorders </w:t>
            </w:r>
          </w:p>
        </w:tc>
        <w:tc>
          <w:tcPr>
            <w:tcW w:w="1876" w:type="dxa"/>
            <w:vAlign w:val="center"/>
          </w:tcPr>
          <w:p w14:paraId="04FBF26D" w14:textId="098E1475"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bCs/>
                <w:color w:val="000000" w:themeColor="text1"/>
                <w:sz w:val="20"/>
                <w:szCs w:val="20"/>
                <w:lang w:val="en-US" w:eastAsia="de-DE"/>
              </w:rPr>
              <w:t>8.8</w:t>
            </w:r>
          </w:p>
        </w:tc>
        <w:tc>
          <w:tcPr>
            <w:tcW w:w="1984" w:type="dxa"/>
            <w:gridSpan w:val="2"/>
            <w:vAlign w:val="center"/>
          </w:tcPr>
          <w:p w14:paraId="508FEF1A" w14:textId="2AB375DE"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bCs/>
                <w:color w:val="000000" w:themeColor="text1"/>
                <w:sz w:val="20"/>
                <w:szCs w:val="20"/>
                <w:lang w:val="en-US" w:eastAsia="de-DE"/>
              </w:rPr>
              <w:t>1.02 (0.73-1.15)</w:t>
            </w:r>
          </w:p>
        </w:tc>
        <w:tc>
          <w:tcPr>
            <w:tcW w:w="992" w:type="dxa"/>
            <w:vAlign w:val="center"/>
          </w:tcPr>
          <w:p w14:paraId="3CD4986E" w14:textId="41BD8351"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bCs/>
                <w:color w:val="000000" w:themeColor="text1"/>
                <w:sz w:val="20"/>
                <w:szCs w:val="20"/>
                <w:lang w:val="en-US" w:eastAsia="de-DE"/>
              </w:rPr>
              <w:t>0.469</w:t>
            </w:r>
          </w:p>
        </w:tc>
      </w:tr>
      <w:tr w:rsidR="00F941E3" w:rsidRPr="00F941E3" w14:paraId="70659021" w14:textId="77777777" w:rsidTr="005A102A">
        <w:trPr>
          <w:trHeight w:val="263"/>
          <w:jc w:val="center"/>
        </w:trPr>
        <w:tc>
          <w:tcPr>
            <w:cnfStyle w:val="001000000000" w:firstRow="0" w:lastRow="0" w:firstColumn="1" w:lastColumn="0" w:oddVBand="0" w:evenVBand="0" w:oddHBand="0" w:evenHBand="0" w:firstRowFirstColumn="0" w:firstRowLastColumn="0" w:lastRowFirstColumn="0" w:lastRowLastColumn="0"/>
            <w:tcW w:w="4220" w:type="dxa"/>
            <w:tcBorders>
              <w:bottom w:val="single" w:sz="4" w:space="0" w:color="auto"/>
            </w:tcBorders>
            <w:noWrap/>
            <w:vAlign w:val="center"/>
          </w:tcPr>
          <w:p w14:paraId="57A2B891" w14:textId="77777777" w:rsidR="00B568CD" w:rsidRPr="00F941E3" w:rsidRDefault="00B568CD" w:rsidP="00B568CD">
            <w:pPr>
              <w:spacing w:line="276" w:lineRule="auto"/>
              <w:rPr>
                <w:rFonts w:ascii="Arial" w:eastAsia="Times New Roman" w:hAnsi="Arial" w:cs="Arial"/>
                <w:b w:val="0"/>
                <w:bCs w:val="0"/>
                <w:color w:val="000000" w:themeColor="text1"/>
                <w:sz w:val="20"/>
                <w:szCs w:val="20"/>
                <w:lang w:val="en-US" w:eastAsia="de-DE"/>
              </w:rPr>
            </w:pPr>
            <w:r w:rsidRPr="00F941E3">
              <w:rPr>
                <w:rFonts w:ascii="Arial" w:eastAsia="Times New Roman" w:hAnsi="Arial" w:cs="Arial"/>
                <w:b w:val="0"/>
                <w:bCs w:val="0"/>
                <w:color w:val="000000" w:themeColor="text1"/>
                <w:sz w:val="20"/>
                <w:szCs w:val="20"/>
                <w:lang w:val="en-US" w:eastAsia="de-DE"/>
              </w:rPr>
              <w:t xml:space="preserve">Thyroid gland disorders </w:t>
            </w:r>
          </w:p>
        </w:tc>
        <w:tc>
          <w:tcPr>
            <w:tcW w:w="1909" w:type="dxa"/>
            <w:gridSpan w:val="2"/>
            <w:tcBorders>
              <w:bottom w:val="single" w:sz="4" w:space="0" w:color="auto"/>
            </w:tcBorders>
            <w:vAlign w:val="center"/>
          </w:tcPr>
          <w:p w14:paraId="188F865E" w14:textId="77777777"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8.1</w:t>
            </w:r>
          </w:p>
        </w:tc>
        <w:tc>
          <w:tcPr>
            <w:tcW w:w="1984" w:type="dxa"/>
            <w:gridSpan w:val="2"/>
            <w:tcBorders>
              <w:bottom w:val="single" w:sz="4" w:space="0" w:color="auto"/>
            </w:tcBorders>
            <w:vAlign w:val="center"/>
          </w:tcPr>
          <w:p w14:paraId="55228902" w14:textId="77777777"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0.99 (0.86-1.14)</w:t>
            </w:r>
          </w:p>
        </w:tc>
        <w:tc>
          <w:tcPr>
            <w:tcW w:w="992" w:type="dxa"/>
            <w:tcBorders>
              <w:bottom w:val="single" w:sz="4" w:space="0" w:color="auto"/>
            </w:tcBorders>
            <w:vAlign w:val="center"/>
          </w:tcPr>
          <w:p w14:paraId="28EEE8CC" w14:textId="1CE567BE" w:rsidR="00B568CD" w:rsidRPr="00F941E3" w:rsidRDefault="00B568CD" w:rsidP="00B568CD">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F941E3">
              <w:rPr>
                <w:rFonts w:ascii="Arial" w:eastAsia="Times New Roman" w:hAnsi="Arial" w:cs="Arial"/>
                <w:color w:val="000000" w:themeColor="text1"/>
                <w:sz w:val="20"/>
                <w:szCs w:val="20"/>
                <w:lang w:val="en-US" w:eastAsia="de-DE"/>
              </w:rPr>
              <w:t>0.910</w:t>
            </w:r>
          </w:p>
        </w:tc>
      </w:tr>
    </w:tbl>
    <w:p w14:paraId="06B460E5" w14:textId="0185B8CA" w:rsidR="007041F5" w:rsidRPr="00F941E3" w:rsidRDefault="007041F5" w:rsidP="00A53DB5">
      <w:pPr>
        <w:jc w:val="both"/>
        <w:rPr>
          <w:rFonts w:ascii="Arial" w:eastAsia="Times New Roman" w:hAnsi="Arial" w:cs="Arial"/>
          <w:bCs/>
          <w:color w:val="000000" w:themeColor="text1"/>
          <w:sz w:val="20"/>
          <w:szCs w:val="20"/>
          <w:lang w:val="en-US" w:eastAsia="de-DE"/>
        </w:rPr>
      </w:pPr>
      <w:r w:rsidRPr="00F941E3">
        <w:rPr>
          <w:rFonts w:ascii="Arial" w:eastAsia="Times New Roman" w:hAnsi="Arial" w:cs="Arial"/>
          <w:bCs/>
          <w:color w:val="000000" w:themeColor="text1"/>
          <w:sz w:val="20"/>
          <w:szCs w:val="20"/>
          <w:lang w:val="en-US" w:eastAsia="de-DE"/>
        </w:rPr>
        <w:t>Abbreviations: CI confidence interval; COVID-19 coronavirus disease; OR odds ratio.</w:t>
      </w:r>
    </w:p>
    <w:p w14:paraId="512C1E30" w14:textId="53EEF4DA" w:rsidR="00981D79" w:rsidRPr="00F941E3" w:rsidRDefault="00981D79" w:rsidP="00A53DB5">
      <w:pPr>
        <w:jc w:val="both"/>
        <w:rPr>
          <w:rFonts w:ascii="Arial" w:hAnsi="Arial" w:cs="Arial"/>
          <w:bCs/>
          <w:color w:val="000000" w:themeColor="text1"/>
          <w:sz w:val="20"/>
          <w:szCs w:val="20"/>
          <w:lang w:val="en-US"/>
        </w:rPr>
      </w:pPr>
      <w:r w:rsidRPr="00F941E3">
        <w:rPr>
          <w:rFonts w:ascii="Arial" w:eastAsia="Times New Roman" w:hAnsi="Arial" w:cs="Arial"/>
          <w:bCs/>
          <w:color w:val="000000" w:themeColor="text1"/>
          <w:sz w:val="20"/>
          <w:szCs w:val="20"/>
          <w:lang w:val="en-US" w:eastAsia="de-DE"/>
        </w:rPr>
        <w:t xml:space="preserve">The adjusted logistic regression model included all demographic and clinical variables displayed in the table. </w:t>
      </w:r>
    </w:p>
    <w:p w14:paraId="38C6019B" w14:textId="020EC686" w:rsidR="00A53DB5" w:rsidRPr="00F941E3" w:rsidRDefault="00981D79" w:rsidP="00A53DB5">
      <w:pPr>
        <w:jc w:val="both"/>
        <w:rPr>
          <w:rFonts w:ascii="Arial" w:hAnsi="Arial" w:cs="Arial"/>
          <w:color w:val="000000" w:themeColor="text1"/>
          <w:sz w:val="20"/>
          <w:szCs w:val="20"/>
          <w:lang w:val="en-US"/>
        </w:rPr>
      </w:pPr>
      <w:r w:rsidRPr="00F941E3">
        <w:rPr>
          <w:rFonts w:ascii="Arial" w:hAnsi="Arial" w:cs="Arial"/>
          <w:color w:val="000000" w:themeColor="text1"/>
          <w:sz w:val="20"/>
          <w:szCs w:val="20"/>
          <w:lang w:val="en-US"/>
        </w:rPr>
        <w:t>Long</w:t>
      </w:r>
      <w:r w:rsidR="00A4069F" w:rsidRPr="00F941E3">
        <w:rPr>
          <w:rFonts w:ascii="Arial" w:hAnsi="Arial" w:cs="Arial"/>
          <w:color w:val="000000" w:themeColor="text1"/>
          <w:sz w:val="20"/>
          <w:szCs w:val="20"/>
          <w:lang w:val="en-US"/>
        </w:rPr>
        <w:t>-term</w:t>
      </w:r>
      <w:r w:rsidRPr="00F941E3">
        <w:rPr>
          <w:rFonts w:ascii="Arial" w:hAnsi="Arial" w:cs="Arial"/>
          <w:color w:val="000000" w:themeColor="text1"/>
          <w:sz w:val="20"/>
          <w:szCs w:val="20"/>
          <w:lang w:val="en-US"/>
        </w:rPr>
        <w:t xml:space="preserve"> sick leave corresponded to sick leave of at least four weeks.</w:t>
      </w:r>
    </w:p>
    <w:p w14:paraId="31C42551" w14:textId="746325F3" w:rsidR="00006765" w:rsidRPr="00F941E3" w:rsidRDefault="000532AF" w:rsidP="00F85661">
      <w:pPr>
        <w:jc w:val="both"/>
        <w:rPr>
          <w:rFonts w:ascii="Arial" w:hAnsi="Arial" w:cs="Arial"/>
          <w:color w:val="000000" w:themeColor="text1"/>
          <w:sz w:val="24"/>
          <w:szCs w:val="24"/>
          <w:lang w:val="en-US"/>
        </w:rPr>
      </w:pPr>
      <w:proofErr w:type="spellStart"/>
      <w:r w:rsidRPr="00F941E3">
        <w:rPr>
          <w:rFonts w:ascii="Arial" w:hAnsi="Arial" w:cs="Arial"/>
          <w:color w:val="000000" w:themeColor="text1"/>
          <w:sz w:val="20"/>
          <w:szCs w:val="20"/>
          <w:vertAlign w:val="superscript"/>
          <w:lang w:val="en-US"/>
        </w:rPr>
        <w:t>a</w:t>
      </w:r>
      <w:proofErr w:type="spellEnd"/>
      <w:r w:rsidRPr="00F941E3">
        <w:rPr>
          <w:rFonts w:ascii="Arial" w:hAnsi="Arial" w:cs="Arial"/>
          <w:color w:val="000000" w:themeColor="text1"/>
          <w:sz w:val="20"/>
          <w:szCs w:val="20"/>
          <w:lang w:val="en-US"/>
        </w:rPr>
        <w:t xml:space="preserve"> </w:t>
      </w:r>
      <w:proofErr w:type="gramStart"/>
      <w:r w:rsidR="00F85661" w:rsidRPr="00F941E3">
        <w:rPr>
          <w:rFonts w:ascii="Arial" w:hAnsi="Arial" w:cs="Arial"/>
          <w:color w:val="000000" w:themeColor="text1"/>
          <w:sz w:val="20"/>
          <w:szCs w:val="20"/>
          <w:lang w:val="en-US"/>
        </w:rPr>
        <w:t>The</w:t>
      </w:r>
      <w:proofErr w:type="gramEnd"/>
      <w:r w:rsidR="00F85661" w:rsidRPr="00F941E3">
        <w:rPr>
          <w:rFonts w:ascii="Arial" w:hAnsi="Arial" w:cs="Arial"/>
          <w:color w:val="000000" w:themeColor="text1"/>
          <w:sz w:val="20"/>
          <w:szCs w:val="20"/>
          <w:lang w:val="en-US"/>
        </w:rPr>
        <w:t xml:space="preserve"> reference column corresponds to patients without the disorder of interest </w:t>
      </w:r>
    </w:p>
    <w:p w14:paraId="443ED43D" w14:textId="77777777" w:rsidR="00666E07" w:rsidRPr="00F941E3" w:rsidRDefault="00666E07" w:rsidP="00D4470D">
      <w:pPr>
        <w:spacing w:line="480" w:lineRule="auto"/>
        <w:rPr>
          <w:rFonts w:ascii="Arial" w:hAnsi="Arial" w:cs="Arial"/>
          <w:color w:val="000000" w:themeColor="text1"/>
          <w:sz w:val="24"/>
          <w:szCs w:val="24"/>
          <w:lang w:val="en-US"/>
        </w:rPr>
      </w:pPr>
    </w:p>
    <w:sectPr w:rsidR="00666E07" w:rsidRPr="00F941E3">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AF8D1" w14:textId="77777777" w:rsidR="0063113D" w:rsidRDefault="0063113D" w:rsidP="00B22723">
      <w:r>
        <w:separator/>
      </w:r>
    </w:p>
  </w:endnote>
  <w:endnote w:type="continuationSeparator" w:id="0">
    <w:p w14:paraId="1D707736" w14:textId="77777777" w:rsidR="0063113D" w:rsidRDefault="0063113D" w:rsidP="00B2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91844516"/>
      <w:docPartObj>
        <w:docPartGallery w:val="Page Numbers (Bottom of Page)"/>
        <w:docPartUnique/>
      </w:docPartObj>
    </w:sdtPr>
    <w:sdtEndPr>
      <w:rPr>
        <w:rStyle w:val="PageNumber"/>
      </w:rPr>
    </w:sdtEndPr>
    <w:sdtContent>
      <w:p w14:paraId="51E1E851" w14:textId="77777777" w:rsidR="00E7293A" w:rsidRDefault="00E7293A" w:rsidP="006171B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9A3E72" w14:textId="77777777" w:rsidR="00E7293A" w:rsidRDefault="00E729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4"/>
        <w:szCs w:val="24"/>
      </w:rPr>
      <w:id w:val="1359925918"/>
      <w:docPartObj>
        <w:docPartGallery w:val="Page Numbers (Bottom of Page)"/>
        <w:docPartUnique/>
      </w:docPartObj>
    </w:sdtPr>
    <w:sdtEndPr>
      <w:rPr>
        <w:rStyle w:val="PageNumber"/>
      </w:rPr>
    </w:sdtEndPr>
    <w:sdtContent>
      <w:p w14:paraId="74CC7F36" w14:textId="77777777" w:rsidR="00E7293A" w:rsidRPr="00513654" w:rsidRDefault="00E7293A" w:rsidP="006171BB">
        <w:pPr>
          <w:pStyle w:val="Footer"/>
          <w:framePr w:wrap="none" w:vAnchor="text" w:hAnchor="margin" w:xAlign="center" w:y="1"/>
          <w:rPr>
            <w:rStyle w:val="PageNumber"/>
            <w:rFonts w:ascii="Arial" w:hAnsi="Arial" w:cs="Arial"/>
            <w:sz w:val="24"/>
            <w:szCs w:val="24"/>
          </w:rPr>
        </w:pPr>
        <w:r w:rsidRPr="00513654">
          <w:rPr>
            <w:rStyle w:val="PageNumber"/>
            <w:rFonts w:ascii="Arial" w:hAnsi="Arial" w:cs="Arial"/>
            <w:sz w:val="24"/>
            <w:szCs w:val="24"/>
          </w:rPr>
          <w:fldChar w:fldCharType="begin"/>
        </w:r>
        <w:r w:rsidRPr="00513654">
          <w:rPr>
            <w:rStyle w:val="PageNumber"/>
            <w:rFonts w:ascii="Arial" w:hAnsi="Arial" w:cs="Arial"/>
            <w:sz w:val="24"/>
            <w:szCs w:val="24"/>
          </w:rPr>
          <w:instrText xml:space="preserve"> PAGE </w:instrText>
        </w:r>
        <w:r w:rsidRPr="00513654">
          <w:rPr>
            <w:rStyle w:val="PageNumber"/>
            <w:rFonts w:ascii="Arial" w:hAnsi="Arial" w:cs="Arial"/>
            <w:sz w:val="24"/>
            <w:szCs w:val="24"/>
          </w:rPr>
          <w:fldChar w:fldCharType="separate"/>
        </w:r>
        <w:r w:rsidR="004646AE">
          <w:rPr>
            <w:rStyle w:val="PageNumber"/>
            <w:rFonts w:ascii="Arial" w:hAnsi="Arial" w:cs="Arial"/>
            <w:noProof/>
            <w:sz w:val="24"/>
            <w:szCs w:val="24"/>
          </w:rPr>
          <w:t>1</w:t>
        </w:r>
        <w:r w:rsidRPr="00513654">
          <w:rPr>
            <w:rStyle w:val="PageNumber"/>
            <w:rFonts w:ascii="Arial" w:hAnsi="Arial" w:cs="Arial"/>
            <w:sz w:val="24"/>
            <w:szCs w:val="24"/>
          </w:rPr>
          <w:fldChar w:fldCharType="end"/>
        </w:r>
      </w:p>
    </w:sdtContent>
  </w:sdt>
  <w:p w14:paraId="6439337A" w14:textId="77777777" w:rsidR="00E7293A" w:rsidRPr="00513654" w:rsidRDefault="00E7293A">
    <w:pPr>
      <w:pStyle w:val="Footer"/>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69AD0" w14:textId="77777777" w:rsidR="0063113D" w:rsidRDefault="0063113D" w:rsidP="00B22723">
      <w:r>
        <w:separator/>
      </w:r>
    </w:p>
  </w:footnote>
  <w:footnote w:type="continuationSeparator" w:id="0">
    <w:p w14:paraId="5DE79875" w14:textId="77777777" w:rsidR="0063113D" w:rsidRDefault="0063113D" w:rsidP="00B227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EA6"/>
    <w:rsid w:val="00005375"/>
    <w:rsid w:val="00006765"/>
    <w:rsid w:val="00010E2D"/>
    <w:rsid w:val="00012CBB"/>
    <w:rsid w:val="000156E0"/>
    <w:rsid w:val="00015E64"/>
    <w:rsid w:val="00025E37"/>
    <w:rsid w:val="00032FA6"/>
    <w:rsid w:val="000446DB"/>
    <w:rsid w:val="00051F09"/>
    <w:rsid w:val="000532AF"/>
    <w:rsid w:val="00060185"/>
    <w:rsid w:val="00063A26"/>
    <w:rsid w:val="00065BB3"/>
    <w:rsid w:val="000738DE"/>
    <w:rsid w:val="00074050"/>
    <w:rsid w:val="00076F9D"/>
    <w:rsid w:val="0008170F"/>
    <w:rsid w:val="00083C55"/>
    <w:rsid w:val="00084CD7"/>
    <w:rsid w:val="000916A8"/>
    <w:rsid w:val="000943A9"/>
    <w:rsid w:val="00094E12"/>
    <w:rsid w:val="00096B13"/>
    <w:rsid w:val="000A475A"/>
    <w:rsid w:val="000B1A65"/>
    <w:rsid w:val="000B2392"/>
    <w:rsid w:val="000B554F"/>
    <w:rsid w:val="000C6112"/>
    <w:rsid w:val="000C6213"/>
    <w:rsid w:val="000D0915"/>
    <w:rsid w:val="000D0969"/>
    <w:rsid w:val="000D2D52"/>
    <w:rsid w:val="000D5646"/>
    <w:rsid w:val="000D7C3E"/>
    <w:rsid w:val="000E00DD"/>
    <w:rsid w:val="000E67DB"/>
    <w:rsid w:val="000E7564"/>
    <w:rsid w:val="000E788B"/>
    <w:rsid w:val="00100242"/>
    <w:rsid w:val="00101C7B"/>
    <w:rsid w:val="00102C42"/>
    <w:rsid w:val="0010468A"/>
    <w:rsid w:val="00107956"/>
    <w:rsid w:val="00113D36"/>
    <w:rsid w:val="0011671E"/>
    <w:rsid w:val="00117882"/>
    <w:rsid w:val="00123255"/>
    <w:rsid w:val="00127353"/>
    <w:rsid w:val="00135B06"/>
    <w:rsid w:val="001368A4"/>
    <w:rsid w:val="00142AE0"/>
    <w:rsid w:val="00145073"/>
    <w:rsid w:val="0014569A"/>
    <w:rsid w:val="00147D20"/>
    <w:rsid w:val="00153B26"/>
    <w:rsid w:val="00154A5D"/>
    <w:rsid w:val="00155786"/>
    <w:rsid w:val="00161180"/>
    <w:rsid w:val="00161481"/>
    <w:rsid w:val="0016175D"/>
    <w:rsid w:val="00161BCA"/>
    <w:rsid w:val="00162DB3"/>
    <w:rsid w:val="00164975"/>
    <w:rsid w:val="0017018D"/>
    <w:rsid w:val="00170F22"/>
    <w:rsid w:val="00173E53"/>
    <w:rsid w:val="00174447"/>
    <w:rsid w:val="00174A97"/>
    <w:rsid w:val="00175E19"/>
    <w:rsid w:val="00177015"/>
    <w:rsid w:val="00177F1E"/>
    <w:rsid w:val="0018237B"/>
    <w:rsid w:val="00183197"/>
    <w:rsid w:val="001916D0"/>
    <w:rsid w:val="00192CB1"/>
    <w:rsid w:val="001A0324"/>
    <w:rsid w:val="001A0965"/>
    <w:rsid w:val="001A324E"/>
    <w:rsid w:val="001A35C0"/>
    <w:rsid w:val="001A4C58"/>
    <w:rsid w:val="001A502A"/>
    <w:rsid w:val="001B5CBA"/>
    <w:rsid w:val="001C10A0"/>
    <w:rsid w:val="001C1BB8"/>
    <w:rsid w:val="001D1EF5"/>
    <w:rsid w:val="001D2A96"/>
    <w:rsid w:val="001D3653"/>
    <w:rsid w:val="001E1096"/>
    <w:rsid w:val="001E3313"/>
    <w:rsid w:val="001F00A3"/>
    <w:rsid w:val="001F2750"/>
    <w:rsid w:val="001F3F81"/>
    <w:rsid w:val="001F7B80"/>
    <w:rsid w:val="00201753"/>
    <w:rsid w:val="00201C3D"/>
    <w:rsid w:val="00202D85"/>
    <w:rsid w:val="002055E1"/>
    <w:rsid w:val="00205E1B"/>
    <w:rsid w:val="0021077A"/>
    <w:rsid w:val="0021245E"/>
    <w:rsid w:val="00214A81"/>
    <w:rsid w:val="00215739"/>
    <w:rsid w:val="002166B4"/>
    <w:rsid w:val="00216FFA"/>
    <w:rsid w:val="002202EA"/>
    <w:rsid w:val="00221579"/>
    <w:rsid w:val="00221C9F"/>
    <w:rsid w:val="00222BCA"/>
    <w:rsid w:val="00223B19"/>
    <w:rsid w:val="00223D42"/>
    <w:rsid w:val="00227DFD"/>
    <w:rsid w:val="00232498"/>
    <w:rsid w:val="002366F7"/>
    <w:rsid w:val="002514B5"/>
    <w:rsid w:val="00257069"/>
    <w:rsid w:val="0026168F"/>
    <w:rsid w:val="002650AE"/>
    <w:rsid w:val="00265193"/>
    <w:rsid w:val="00266E22"/>
    <w:rsid w:val="00267709"/>
    <w:rsid w:val="00267986"/>
    <w:rsid w:val="00275BC5"/>
    <w:rsid w:val="002772C6"/>
    <w:rsid w:val="00281F8B"/>
    <w:rsid w:val="00282A94"/>
    <w:rsid w:val="002870CE"/>
    <w:rsid w:val="00291762"/>
    <w:rsid w:val="0029302D"/>
    <w:rsid w:val="002975EC"/>
    <w:rsid w:val="002A1535"/>
    <w:rsid w:val="002A1E8F"/>
    <w:rsid w:val="002A35D6"/>
    <w:rsid w:val="002A4903"/>
    <w:rsid w:val="002A6474"/>
    <w:rsid w:val="002A69C8"/>
    <w:rsid w:val="002B27D1"/>
    <w:rsid w:val="002C0533"/>
    <w:rsid w:val="002D3B80"/>
    <w:rsid w:val="002E4AA2"/>
    <w:rsid w:val="002E4B0D"/>
    <w:rsid w:val="002E5370"/>
    <w:rsid w:val="002E77CE"/>
    <w:rsid w:val="002F0817"/>
    <w:rsid w:val="002F24ED"/>
    <w:rsid w:val="002F5172"/>
    <w:rsid w:val="002F782D"/>
    <w:rsid w:val="00300B19"/>
    <w:rsid w:val="00311AEB"/>
    <w:rsid w:val="0031258A"/>
    <w:rsid w:val="0031533A"/>
    <w:rsid w:val="00315DEA"/>
    <w:rsid w:val="00315FE1"/>
    <w:rsid w:val="003210C3"/>
    <w:rsid w:val="00324080"/>
    <w:rsid w:val="00324696"/>
    <w:rsid w:val="003431D3"/>
    <w:rsid w:val="00343BA2"/>
    <w:rsid w:val="00343DDD"/>
    <w:rsid w:val="00347808"/>
    <w:rsid w:val="00354989"/>
    <w:rsid w:val="003579EE"/>
    <w:rsid w:val="00360C0E"/>
    <w:rsid w:val="00363CE9"/>
    <w:rsid w:val="003721E6"/>
    <w:rsid w:val="003738A4"/>
    <w:rsid w:val="0037529C"/>
    <w:rsid w:val="003766D2"/>
    <w:rsid w:val="00385487"/>
    <w:rsid w:val="0039540F"/>
    <w:rsid w:val="00397D79"/>
    <w:rsid w:val="003A0C45"/>
    <w:rsid w:val="003A0E02"/>
    <w:rsid w:val="003A3602"/>
    <w:rsid w:val="003A46BD"/>
    <w:rsid w:val="003A4FC8"/>
    <w:rsid w:val="003A6BE6"/>
    <w:rsid w:val="003A7C0B"/>
    <w:rsid w:val="003B2364"/>
    <w:rsid w:val="003B37EE"/>
    <w:rsid w:val="003C3FCC"/>
    <w:rsid w:val="003C5001"/>
    <w:rsid w:val="003D2FA3"/>
    <w:rsid w:val="003D4344"/>
    <w:rsid w:val="003D4BC0"/>
    <w:rsid w:val="003D4F25"/>
    <w:rsid w:val="003D528D"/>
    <w:rsid w:val="003D5419"/>
    <w:rsid w:val="003E2B58"/>
    <w:rsid w:val="003F1EFF"/>
    <w:rsid w:val="003F25EE"/>
    <w:rsid w:val="003F3734"/>
    <w:rsid w:val="003F3A83"/>
    <w:rsid w:val="003F4196"/>
    <w:rsid w:val="003F4681"/>
    <w:rsid w:val="003F4AD8"/>
    <w:rsid w:val="003F5F5A"/>
    <w:rsid w:val="003F62A8"/>
    <w:rsid w:val="003F640D"/>
    <w:rsid w:val="003F7019"/>
    <w:rsid w:val="003F7B45"/>
    <w:rsid w:val="00401D47"/>
    <w:rsid w:val="00406C12"/>
    <w:rsid w:val="00410422"/>
    <w:rsid w:val="00410481"/>
    <w:rsid w:val="00412C28"/>
    <w:rsid w:val="00413B5F"/>
    <w:rsid w:val="00415CC2"/>
    <w:rsid w:val="0041660C"/>
    <w:rsid w:val="00417D8D"/>
    <w:rsid w:val="00421E95"/>
    <w:rsid w:val="0042322D"/>
    <w:rsid w:val="00423A23"/>
    <w:rsid w:val="00427941"/>
    <w:rsid w:val="00433D18"/>
    <w:rsid w:val="00434B5D"/>
    <w:rsid w:val="00434D34"/>
    <w:rsid w:val="00444C2F"/>
    <w:rsid w:val="004537CA"/>
    <w:rsid w:val="0045396D"/>
    <w:rsid w:val="0045501C"/>
    <w:rsid w:val="00455143"/>
    <w:rsid w:val="00455A6E"/>
    <w:rsid w:val="00456C32"/>
    <w:rsid w:val="00463363"/>
    <w:rsid w:val="00463D7F"/>
    <w:rsid w:val="004646AE"/>
    <w:rsid w:val="00464A97"/>
    <w:rsid w:val="00472297"/>
    <w:rsid w:val="00480537"/>
    <w:rsid w:val="004813E8"/>
    <w:rsid w:val="004819A0"/>
    <w:rsid w:val="00486B95"/>
    <w:rsid w:val="004927C2"/>
    <w:rsid w:val="0049595B"/>
    <w:rsid w:val="00497CDB"/>
    <w:rsid w:val="004A03F7"/>
    <w:rsid w:val="004A37CB"/>
    <w:rsid w:val="004A65F8"/>
    <w:rsid w:val="004B432B"/>
    <w:rsid w:val="004C0516"/>
    <w:rsid w:val="004C24C8"/>
    <w:rsid w:val="004D4133"/>
    <w:rsid w:val="004D5123"/>
    <w:rsid w:val="004D7F9F"/>
    <w:rsid w:val="004E002F"/>
    <w:rsid w:val="004E0450"/>
    <w:rsid w:val="004E0529"/>
    <w:rsid w:val="004E0E1F"/>
    <w:rsid w:val="004E1247"/>
    <w:rsid w:val="004E5023"/>
    <w:rsid w:val="004E5E61"/>
    <w:rsid w:val="004E67EB"/>
    <w:rsid w:val="004E711C"/>
    <w:rsid w:val="004E7D79"/>
    <w:rsid w:val="004F2E4F"/>
    <w:rsid w:val="004F3978"/>
    <w:rsid w:val="00502EBB"/>
    <w:rsid w:val="005045B9"/>
    <w:rsid w:val="00513654"/>
    <w:rsid w:val="00515928"/>
    <w:rsid w:val="00516BA2"/>
    <w:rsid w:val="0052380C"/>
    <w:rsid w:val="00524622"/>
    <w:rsid w:val="0052539D"/>
    <w:rsid w:val="005270E7"/>
    <w:rsid w:val="00530728"/>
    <w:rsid w:val="005343C6"/>
    <w:rsid w:val="00534DA5"/>
    <w:rsid w:val="00535AEB"/>
    <w:rsid w:val="0053622F"/>
    <w:rsid w:val="005378B3"/>
    <w:rsid w:val="00540CB8"/>
    <w:rsid w:val="0054582F"/>
    <w:rsid w:val="00546E91"/>
    <w:rsid w:val="00554386"/>
    <w:rsid w:val="00554BAA"/>
    <w:rsid w:val="0055639B"/>
    <w:rsid w:val="00557A91"/>
    <w:rsid w:val="0056122F"/>
    <w:rsid w:val="005613C5"/>
    <w:rsid w:val="00562409"/>
    <w:rsid w:val="00563C80"/>
    <w:rsid w:val="00564CED"/>
    <w:rsid w:val="00567A40"/>
    <w:rsid w:val="005703AC"/>
    <w:rsid w:val="0057294E"/>
    <w:rsid w:val="005769A7"/>
    <w:rsid w:val="00580F9B"/>
    <w:rsid w:val="00582EA6"/>
    <w:rsid w:val="005852A4"/>
    <w:rsid w:val="005923D1"/>
    <w:rsid w:val="00592B15"/>
    <w:rsid w:val="00595949"/>
    <w:rsid w:val="005969B0"/>
    <w:rsid w:val="00597EAF"/>
    <w:rsid w:val="005A009F"/>
    <w:rsid w:val="005A102A"/>
    <w:rsid w:val="005A2549"/>
    <w:rsid w:val="005A70E7"/>
    <w:rsid w:val="005C70B6"/>
    <w:rsid w:val="005C7A02"/>
    <w:rsid w:val="005D41A1"/>
    <w:rsid w:val="005D4B68"/>
    <w:rsid w:val="005D7FF6"/>
    <w:rsid w:val="005E0573"/>
    <w:rsid w:val="005E65CA"/>
    <w:rsid w:val="005E6CE7"/>
    <w:rsid w:val="005E7B7C"/>
    <w:rsid w:val="005F02BD"/>
    <w:rsid w:val="005F0E22"/>
    <w:rsid w:val="005F5274"/>
    <w:rsid w:val="0060073B"/>
    <w:rsid w:val="006014C2"/>
    <w:rsid w:val="00601556"/>
    <w:rsid w:val="00602D8A"/>
    <w:rsid w:val="0060355F"/>
    <w:rsid w:val="0060428C"/>
    <w:rsid w:val="00605B90"/>
    <w:rsid w:val="0060687A"/>
    <w:rsid w:val="00610645"/>
    <w:rsid w:val="00612C55"/>
    <w:rsid w:val="00613AEB"/>
    <w:rsid w:val="006142DA"/>
    <w:rsid w:val="0062125C"/>
    <w:rsid w:val="006212DC"/>
    <w:rsid w:val="006250B4"/>
    <w:rsid w:val="0063113D"/>
    <w:rsid w:val="00631F1E"/>
    <w:rsid w:val="00635519"/>
    <w:rsid w:val="0064090A"/>
    <w:rsid w:val="00651323"/>
    <w:rsid w:val="00656116"/>
    <w:rsid w:val="00662E32"/>
    <w:rsid w:val="00665881"/>
    <w:rsid w:val="00666E07"/>
    <w:rsid w:val="006702BC"/>
    <w:rsid w:val="00670D4E"/>
    <w:rsid w:val="00670FD5"/>
    <w:rsid w:val="006726E2"/>
    <w:rsid w:val="00675E47"/>
    <w:rsid w:val="0067697F"/>
    <w:rsid w:val="00677764"/>
    <w:rsid w:val="006779F3"/>
    <w:rsid w:val="00685476"/>
    <w:rsid w:val="006907E0"/>
    <w:rsid w:val="00693816"/>
    <w:rsid w:val="00693CA2"/>
    <w:rsid w:val="006A115F"/>
    <w:rsid w:val="006A147D"/>
    <w:rsid w:val="006A2FFF"/>
    <w:rsid w:val="006A63FD"/>
    <w:rsid w:val="006A675E"/>
    <w:rsid w:val="006B1A87"/>
    <w:rsid w:val="006B21D3"/>
    <w:rsid w:val="006B31D3"/>
    <w:rsid w:val="006B3D8D"/>
    <w:rsid w:val="006B68FA"/>
    <w:rsid w:val="006D57FE"/>
    <w:rsid w:val="006D695A"/>
    <w:rsid w:val="006E075F"/>
    <w:rsid w:val="006E5C70"/>
    <w:rsid w:val="006F0833"/>
    <w:rsid w:val="006F1363"/>
    <w:rsid w:val="006F1908"/>
    <w:rsid w:val="006F1DF9"/>
    <w:rsid w:val="006F3CBB"/>
    <w:rsid w:val="006F6108"/>
    <w:rsid w:val="007041F5"/>
    <w:rsid w:val="007048C4"/>
    <w:rsid w:val="00705400"/>
    <w:rsid w:val="007063E8"/>
    <w:rsid w:val="007067A8"/>
    <w:rsid w:val="00707B09"/>
    <w:rsid w:val="0071027E"/>
    <w:rsid w:val="00713FAD"/>
    <w:rsid w:val="00714572"/>
    <w:rsid w:val="00716D29"/>
    <w:rsid w:val="00723983"/>
    <w:rsid w:val="00725200"/>
    <w:rsid w:val="00745CF7"/>
    <w:rsid w:val="00753A88"/>
    <w:rsid w:val="007571ED"/>
    <w:rsid w:val="007618CF"/>
    <w:rsid w:val="00761DFE"/>
    <w:rsid w:val="00762428"/>
    <w:rsid w:val="00765994"/>
    <w:rsid w:val="0077034C"/>
    <w:rsid w:val="00773EC1"/>
    <w:rsid w:val="00780F35"/>
    <w:rsid w:val="00785397"/>
    <w:rsid w:val="0078723D"/>
    <w:rsid w:val="0079127C"/>
    <w:rsid w:val="00791B1E"/>
    <w:rsid w:val="00792D6F"/>
    <w:rsid w:val="00792E00"/>
    <w:rsid w:val="00795E92"/>
    <w:rsid w:val="007A5F53"/>
    <w:rsid w:val="007B153C"/>
    <w:rsid w:val="007B2B7D"/>
    <w:rsid w:val="007B564E"/>
    <w:rsid w:val="007B5CB7"/>
    <w:rsid w:val="007C55E5"/>
    <w:rsid w:val="007C5E9D"/>
    <w:rsid w:val="007D01FF"/>
    <w:rsid w:val="007D0BF0"/>
    <w:rsid w:val="007D15E0"/>
    <w:rsid w:val="007D3254"/>
    <w:rsid w:val="007D5CFE"/>
    <w:rsid w:val="007E08AE"/>
    <w:rsid w:val="007E0E27"/>
    <w:rsid w:val="007E1DCB"/>
    <w:rsid w:val="007E204B"/>
    <w:rsid w:val="007F19A6"/>
    <w:rsid w:val="007F32E9"/>
    <w:rsid w:val="007F6C05"/>
    <w:rsid w:val="00803681"/>
    <w:rsid w:val="008040AD"/>
    <w:rsid w:val="00812753"/>
    <w:rsid w:val="008151AF"/>
    <w:rsid w:val="00815990"/>
    <w:rsid w:val="008162F3"/>
    <w:rsid w:val="00824E19"/>
    <w:rsid w:val="008266B9"/>
    <w:rsid w:val="00827A56"/>
    <w:rsid w:val="008301B5"/>
    <w:rsid w:val="00830B7A"/>
    <w:rsid w:val="00840007"/>
    <w:rsid w:val="008418BA"/>
    <w:rsid w:val="00850D60"/>
    <w:rsid w:val="00853CA7"/>
    <w:rsid w:val="00855D46"/>
    <w:rsid w:val="00860E03"/>
    <w:rsid w:val="0086359E"/>
    <w:rsid w:val="00865169"/>
    <w:rsid w:val="00867C92"/>
    <w:rsid w:val="00872A72"/>
    <w:rsid w:val="00873427"/>
    <w:rsid w:val="00873B7B"/>
    <w:rsid w:val="008807DA"/>
    <w:rsid w:val="00883550"/>
    <w:rsid w:val="008924FE"/>
    <w:rsid w:val="00892C2C"/>
    <w:rsid w:val="00893C1D"/>
    <w:rsid w:val="00895E8B"/>
    <w:rsid w:val="00896B9D"/>
    <w:rsid w:val="008A7438"/>
    <w:rsid w:val="008B0145"/>
    <w:rsid w:val="008B0F2E"/>
    <w:rsid w:val="008B3453"/>
    <w:rsid w:val="008B39ED"/>
    <w:rsid w:val="008B3D96"/>
    <w:rsid w:val="008B45E3"/>
    <w:rsid w:val="008B76D2"/>
    <w:rsid w:val="008C19FD"/>
    <w:rsid w:val="008C64C3"/>
    <w:rsid w:val="008C67FB"/>
    <w:rsid w:val="008D2C1E"/>
    <w:rsid w:val="008D3343"/>
    <w:rsid w:val="008E1CE1"/>
    <w:rsid w:val="008E22F9"/>
    <w:rsid w:val="008E2922"/>
    <w:rsid w:val="008E6C2E"/>
    <w:rsid w:val="008F1D45"/>
    <w:rsid w:val="008F2387"/>
    <w:rsid w:val="008F2FC3"/>
    <w:rsid w:val="008F5C1B"/>
    <w:rsid w:val="008F73EC"/>
    <w:rsid w:val="009046EB"/>
    <w:rsid w:val="009057AB"/>
    <w:rsid w:val="0091309F"/>
    <w:rsid w:val="009219B3"/>
    <w:rsid w:val="00933272"/>
    <w:rsid w:val="00935F2D"/>
    <w:rsid w:val="0093664F"/>
    <w:rsid w:val="00936884"/>
    <w:rsid w:val="0094190F"/>
    <w:rsid w:val="00942092"/>
    <w:rsid w:val="00942520"/>
    <w:rsid w:val="009444A9"/>
    <w:rsid w:val="009506BC"/>
    <w:rsid w:val="0095191B"/>
    <w:rsid w:val="0095278A"/>
    <w:rsid w:val="009537A3"/>
    <w:rsid w:val="00957104"/>
    <w:rsid w:val="0096227B"/>
    <w:rsid w:val="00962F42"/>
    <w:rsid w:val="009658F1"/>
    <w:rsid w:val="0096693B"/>
    <w:rsid w:val="009715CA"/>
    <w:rsid w:val="00971DFF"/>
    <w:rsid w:val="009739A9"/>
    <w:rsid w:val="00981D79"/>
    <w:rsid w:val="00985331"/>
    <w:rsid w:val="00985D7E"/>
    <w:rsid w:val="00987D71"/>
    <w:rsid w:val="009A270A"/>
    <w:rsid w:val="009A36B4"/>
    <w:rsid w:val="009A3DA9"/>
    <w:rsid w:val="009A4019"/>
    <w:rsid w:val="009A5C32"/>
    <w:rsid w:val="009A5EA9"/>
    <w:rsid w:val="009A662B"/>
    <w:rsid w:val="009B443B"/>
    <w:rsid w:val="009B5FE8"/>
    <w:rsid w:val="009B621E"/>
    <w:rsid w:val="009C32AA"/>
    <w:rsid w:val="009C4B3F"/>
    <w:rsid w:val="009E2BE2"/>
    <w:rsid w:val="009E30D1"/>
    <w:rsid w:val="009F2711"/>
    <w:rsid w:val="009F4C52"/>
    <w:rsid w:val="009F7B25"/>
    <w:rsid w:val="00A0416D"/>
    <w:rsid w:val="00A053E5"/>
    <w:rsid w:val="00A05C9F"/>
    <w:rsid w:val="00A07DCB"/>
    <w:rsid w:val="00A111AD"/>
    <w:rsid w:val="00A118DC"/>
    <w:rsid w:val="00A1280B"/>
    <w:rsid w:val="00A142BC"/>
    <w:rsid w:val="00A161E0"/>
    <w:rsid w:val="00A21C5B"/>
    <w:rsid w:val="00A25FD9"/>
    <w:rsid w:val="00A271CE"/>
    <w:rsid w:val="00A3063D"/>
    <w:rsid w:val="00A316F4"/>
    <w:rsid w:val="00A31FAF"/>
    <w:rsid w:val="00A3507B"/>
    <w:rsid w:val="00A4069F"/>
    <w:rsid w:val="00A43E04"/>
    <w:rsid w:val="00A465D6"/>
    <w:rsid w:val="00A47170"/>
    <w:rsid w:val="00A50671"/>
    <w:rsid w:val="00A50D4E"/>
    <w:rsid w:val="00A53601"/>
    <w:rsid w:val="00A53DB5"/>
    <w:rsid w:val="00A5467A"/>
    <w:rsid w:val="00A652AB"/>
    <w:rsid w:val="00A653EB"/>
    <w:rsid w:val="00A65471"/>
    <w:rsid w:val="00A66C46"/>
    <w:rsid w:val="00A70D18"/>
    <w:rsid w:val="00A74512"/>
    <w:rsid w:val="00A7515E"/>
    <w:rsid w:val="00A7517B"/>
    <w:rsid w:val="00A908D7"/>
    <w:rsid w:val="00A92B9B"/>
    <w:rsid w:val="00A952CC"/>
    <w:rsid w:val="00A96869"/>
    <w:rsid w:val="00A973C1"/>
    <w:rsid w:val="00AA2E9F"/>
    <w:rsid w:val="00AB0D42"/>
    <w:rsid w:val="00AB1FDE"/>
    <w:rsid w:val="00AB2615"/>
    <w:rsid w:val="00AB4575"/>
    <w:rsid w:val="00AC33D1"/>
    <w:rsid w:val="00AC6640"/>
    <w:rsid w:val="00AD1A94"/>
    <w:rsid w:val="00AD26DA"/>
    <w:rsid w:val="00AD3951"/>
    <w:rsid w:val="00AD4C67"/>
    <w:rsid w:val="00AD58CE"/>
    <w:rsid w:val="00AE17B9"/>
    <w:rsid w:val="00AE36A3"/>
    <w:rsid w:val="00AE37AC"/>
    <w:rsid w:val="00AE5733"/>
    <w:rsid w:val="00AE5C9F"/>
    <w:rsid w:val="00AE60CF"/>
    <w:rsid w:val="00AF07E0"/>
    <w:rsid w:val="00AF4621"/>
    <w:rsid w:val="00AF7655"/>
    <w:rsid w:val="00B01986"/>
    <w:rsid w:val="00B026A8"/>
    <w:rsid w:val="00B03087"/>
    <w:rsid w:val="00B0501F"/>
    <w:rsid w:val="00B056B5"/>
    <w:rsid w:val="00B05CA8"/>
    <w:rsid w:val="00B10F90"/>
    <w:rsid w:val="00B129BF"/>
    <w:rsid w:val="00B211FA"/>
    <w:rsid w:val="00B22723"/>
    <w:rsid w:val="00B32C47"/>
    <w:rsid w:val="00B35152"/>
    <w:rsid w:val="00B36B6B"/>
    <w:rsid w:val="00B40DEA"/>
    <w:rsid w:val="00B43489"/>
    <w:rsid w:val="00B46181"/>
    <w:rsid w:val="00B462E3"/>
    <w:rsid w:val="00B47C1E"/>
    <w:rsid w:val="00B50A8A"/>
    <w:rsid w:val="00B527AD"/>
    <w:rsid w:val="00B568CD"/>
    <w:rsid w:val="00B56EA2"/>
    <w:rsid w:val="00B60723"/>
    <w:rsid w:val="00B61214"/>
    <w:rsid w:val="00B62414"/>
    <w:rsid w:val="00B63015"/>
    <w:rsid w:val="00B65DC3"/>
    <w:rsid w:val="00B667DF"/>
    <w:rsid w:val="00B67DB4"/>
    <w:rsid w:val="00B71F79"/>
    <w:rsid w:val="00B72F0E"/>
    <w:rsid w:val="00B87B7A"/>
    <w:rsid w:val="00B90276"/>
    <w:rsid w:val="00B93D58"/>
    <w:rsid w:val="00B94440"/>
    <w:rsid w:val="00B948DE"/>
    <w:rsid w:val="00B97F7F"/>
    <w:rsid w:val="00BA1199"/>
    <w:rsid w:val="00BA4A36"/>
    <w:rsid w:val="00BA5A04"/>
    <w:rsid w:val="00BA5B77"/>
    <w:rsid w:val="00BB1689"/>
    <w:rsid w:val="00BB632D"/>
    <w:rsid w:val="00BC236B"/>
    <w:rsid w:val="00BC636C"/>
    <w:rsid w:val="00BC7563"/>
    <w:rsid w:val="00BE7EBB"/>
    <w:rsid w:val="00BF0493"/>
    <w:rsid w:val="00BF2606"/>
    <w:rsid w:val="00BF631F"/>
    <w:rsid w:val="00BF74EF"/>
    <w:rsid w:val="00C02383"/>
    <w:rsid w:val="00C0596B"/>
    <w:rsid w:val="00C07B64"/>
    <w:rsid w:val="00C106EC"/>
    <w:rsid w:val="00C10F42"/>
    <w:rsid w:val="00C13F4D"/>
    <w:rsid w:val="00C141C6"/>
    <w:rsid w:val="00C21950"/>
    <w:rsid w:val="00C21E79"/>
    <w:rsid w:val="00C26DBF"/>
    <w:rsid w:val="00C30872"/>
    <w:rsid w:val="00C3138B"/>
    <w:rsid w:val="00C3348F"/>
    <w:rsid w:val="00C4133B"/>
    <w:rsid w:val="00C42EB7"/>
    <w:rsid w:val="00C442C8"/>
    <w:rsid w:val="00C466AB"/>
    <w:rsid w:val="00C47079"/>
    <w:rsid w:val="00C53FF9"/>
    <w:rsid w:val="00C549DF"/>
    <w:rsid w:val="00C61174"/>
    <w:rsid w:val="00C62559"/>
    <w:rsid w:val="00C639C1"/>
    <w:rsid w:val="00C64F13"/>
    <w:rsid w:val="00C657F8"/>
    <w:rsid w:val="00C67162"/>
    <w:rsid w:val="00C67C79"/>
    <w:rsid w:val="00C7251E"/>
    <w:rsid w:val="00C772B2"/>
    <w:rsid w:val="00C81197"/>
    <w:rsid w:val="00C86A74"/>
    <w:rsid w:val="00C878C0"/>
    <w:rsid w:val="00C9079E"/>
    <w:rsid w:val="00C91164"/>
    <w:rsid w:val="00C942D4"/>
    <w:rsid w:val="00CA0884"/>
    <w:rsid w:val="00CA12E8"/>
    <w:rsid w:val="00CA3B17"/>
    <w:rsid w:val="00CA4FF1"/>
    <w:rsid w:val="00CA5139"/>
    <w:rsid w:val="00CA58AD"/>
    <w:rsid w:val="00CA7139"/>
    <w:rsid w:val="00CB08B0"/>
    <w:rsid w:val="00CB0BE1"/>
    <w:rsid w:val="00CB312C"/>
    <w:rsid w:val="00CB4276"/>
    <w:rsid w:val="00CB7156"/>
    <w:rsid w:val="00CC18F4"/>
    <w:rsid w:val="00CC3168"/>
    <w:rsid w:val="00CD4926"/>
    <w:rsid w:val="00CE5A32"/>
    <w:rsid w:val="00CE7E08"/>
    <w:rsid w:val="00CF24F3"/>
    <w:rsid w:val="00CF45F6"/>
    <w:rsid w:val="00CF5C63"/>
    <w:rsid w:val="00D007D6"/>
    <w:rsid w:val="00D013AD"/>
    <w:rsid w:val="00D0207D"/>
    <w:rsid w:val="00D04AF5"/>
    <w:rsid w:val="00D06971"/>
    <w:rsid w:val="00D07ED8"/>
    <w:rsid w:val="00D10033"/>
    <w:rsid w:val="00D11BBB"/>
    <w:rsid w:val="00D12207"/>
    <w:rsid w:val="00D124EB"/>
    <w:rsid w:val="00D12885"/>
    <w:rsid w:val="00D1331A"/>
    <w:rsid w:val="00D14EE3"/>
    <w:rsid w:val="00D17A3D"/>
    <w:rsid w:val="00D22CC6"/>
    <w:rsid w:val="00D24A2A"/>
    <w:rsid w:val="00D31B88"/>
    <w:rsid w:val="00D32282"/>
    <w:rsid w:val="00D327D5"/>
    <w:rsid w:val="00D32D5F"/>
    <w:rsid w:val="00D33856"/>
    <w:rsid w:val="00D33AC8"/>
    <w:rsid w:val="00D36984"/>
    <w:rsid w:val="00D37951"/>
    <w:rsid w:val="00D4470D"/>
    <w:rsid w:val="00D46F76"/>
    <w:rsid w:val="00D47E1C"/>
    <w:rsid w:val="00D50691"/>
    <w:rsid w:val="00D51043"/>
    <w:rsid w:val="00D60366"/>
    <w:rsid w:val="00D61DB6"/>
    <w:rsid w:val="00D66B9A"/>
    <w:rsid w:val="00D706B7"/>
    <w:rsid w:val="00D77563"/>
    <w:rsid w:val="00D838B1"/>
    <w:rsid w:val="00D8562E"/>
    <w:rsid w:val="00D87F7A"/>
    <w:rsid w:val="00D90CC1"/>
    <w:rsid w:val="00D9294B"/>
    <w:rsid w:val="00D92A86"/>
    <w:rsid w:val="00D92C42"/>
    <w:rsid w:val="00D93683"/>
    <w:rsid w:val="00DA64B6"/>
    <w:rsid w:val="00DB08D0"/>
    <w:rsid w:val="00DB5226"/>
    <w:rsid w:val="00DB737F"/>
    <w:rsid w:val="00DC4659"/>
    <w:rsid w:val="00DD0CAC"/>
    <w:rsid w:val="00DD1F51"/>
    <w:rsid w:val="00DD3286"/>
    <w:rsid w:val="00DD5359"/>
    <w:rsid w:val="00DD54F1"/>
    <w:rsid w:val="00DE157B"/>
    <w:rsid w:val="00DE694C"/>
    <w:rsid w:val="00DE697F"/>
    <w:rsid w:val="00DE7E7F"/>
    <w:rsid w:val="00DF1709"/>
    <w:rsid w:val="00DF3266"/>
    <w:rsid w:val="00DF3C32"/>
    <w:rsid w:val="00E00447"/>
    <w:rsid w:val="00E025C2"/>
    <w:rsid w:val="00E0518F"/>
    <w:rsid w:val="00E06015"/>
    <w:rsid w:val="00E0762B"/>
    <w:rsid w:val="00E10D8C"/>
    <w:rsid w:val="00E2062E"/>
    <w:rsid w:val="00E20B15"/>
    <w:rsid w:val="00E21FA0"/>
    <w:rsid w:val="00E24D82"/>
    <w:rsid w:val="00E27254"/>
    <w:rsid w:val="00E31912"/>
    <w:rsid w:val="00E33E26"/>
    <w:rsid w:val="00E34628"/>
    <w:rsid w:val="00E373A2"/>
    <w:rsid w:val="00E37593"/>
    <w:rsid w:val="00E37A9C"/>
    <w:rsid w:val="00E37C9A"/>
    <w:rsid w:val="00E406B7"/>
    <w:rsid w:val="00E4278A"/>
    <w:rsid w:val="00E4335E"/>
    <w:rsid w:val="00E46C7E"/>
    <w:rsid w:val="00E54DA4"/>
    <w:rsid w:val="00E57632"/>
    <w:rsid w:val="00E6306D"/>
    <w:rsid w:val="00E7293A"/>
    <w:rsid w:val="00E800C6"/>
    <w:rsid w:val="00E84BFC"/>
    <w:rsid w:val="00E90BFA"/>
    <w:rsid w:val="00E96A4C"/>
    <w:rsid w:val="00EA6883"/>
    <w:rsid w:val="00EA741F"/>
    <w:rsid w:val="00EB2BDF"/>
    <w:rsid w:val="00EC07D9"/>
    <w:rsid w:val="00EC25F9"/>
    <w:rsid w:val="00EC75B2"/>
    <w:rsid w:val="00EC772C"/>
    <w:rsid w:val="00ED12DE"/>
    <w:rsid w:val="00ED3328"/>
    <w:rsid w:val="00EE050A"/>
    <w:rsid w:val="00EE365D"/>
    <w:rsid w:val="00EE4008"/>
    <w:rsid w:val="00EE5A80"/>
    <w:rsid w:val="00EF238F"/>
    <w:rsid w:val="00EF2F42"/>
    <w:rsid w:val="00EF304D"/>
    <w:rsid w:val="00EF4208"/>
    <w:rsid w:val="00EF4783"/>
    <w:rsid w:val="00EF5F07"/>
    <w:rsid w:val="00F0016A"/>
    <w:rsid w:val="00F02546"/>
    <w:rsid w:val="00F038B5"/>
    <w:rsid w:val="00F0584E"/>
    <w:rsid w:val="00F121F8"/>
    <w:rsid w:val="00F272A9"/>
    <w:rsid w:val="00F34102"/>
    <w:rsid w:val="00F3691A"/>
    <w:rsid w:val="00F37700"/>
    <w:rsid w:val="00F4297F"/>
    <w:rsid w:val="00F42D4D"/>
    <w:rsid w:val="00F55BE6"/>
    <w:rsid w:val="00F55C62"/>
    <w:rsid w:val="00F620AE"/>
    <w:rsid w:val="00F6395D"/>
    <w:rsid w:val="00F650B6"/>
    <w:rsid w:val="00F66BF6"/>
    <w:rsid w:val="00F67C03"/>
    <w:rsid w:val="00F73FCA"/>
    <w:rsid w:val="00F75D88"/>
    <w:rsid w:val="00F77D4B"/>
    <w:rsid w:val="00F77D9A"/>
    <w:rsid w:val="00F80C34"/>
    <w:rsid w:val="00F8108A"/>
    <w:rsid w:val="00F85341"/>
    <w:rsid w:val="00F85661"/>
    <w:rsid w:val="00F90912"/>
    <w:rsid w:val="00F94154"/>
    <w:rsid w:val="00F941E3"/>
    <w:rsid w:val="00F952E0"/>
    <w:rsid w:val="00F95A09"/>
    <w:rsid w:val="00FA0D05"/>
    <w:rsid w:val="00FA3B6A"/>
    <w:rsid w:val="00FB000B"/>
    <w:rsid w:val="00FB3226"/>
    <w:rsid w:val="00FB5FB7"/>
    <w:rsid w:val="00FC0357"/>
    <w:rsid w:val="00FC312B"/>
    <w:rsid w:val="00FC5475"/>
    <w:rsid w:val="00FC7DA6"/>
    <w:rsid w:val="00FD2F54"/>
    <w:rsid w:val="00FD3B7B"/>
    <w:rsid w:val="00FD6F17"/>
    <w:rsid w:val="00FE279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1BB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02BC"/>
    <w:pPr>
      <w:keepNext/>
      <w:keepLines/>
      <w:spacing w:before="240" w:line="480" w:lineRule="auto"/>
      <w:outlineLvl w:val="0"/>
    </w:pPr>
    <w:rPr>
      <w:rFonts w:ascii="Arial" w:eastAsiaTheme="majorEastAsia" w:hAnsi="Arial" w:cstheme="majorBidi"/>
      <w:b/>
      <w:sz w:val="24"/>
      <w:szCs w:val="32"/>
    </w:rPr>
  </w:style>
  <w:style w:type="paragraph" w:styleId="Heading2">
    <w:name w:val="heading 2"/>
    <w:basedOn w:val="Normal"/>
    <w:next w:val="Normal"/>
    <w:link w:val="Heading2Char"/>
    <w:uiPriority w:val="9"/>
    <w:unhideWhenUsed/>
    <w:qFormat/>
    <w:rsid w:val="006702BC"/>
    <w:pPr>
      <w:keepNext/>
      <w:keepLines/>
      <w:spacing w:before="40" w:line="480" w:lineRule="auto"/>
      <w:outlineLvl w:val="1"/>
    </w:pPr>
    <w:rPr>
      <w:rFonts w:ascii="Arial" w:eastAsiaTheme="majorEastAsia" w:hAnsi="Arial" w:cstheme="majorBidi"/>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2723"/>
    <w:pPr>
      <w:tabs>
        <w:tab w:val="center" w:pos="4536"/>
        <w:tab w:val="right" w:pos="9072"/>
      </w:tabs>
    </w:pPr>
  </w:style>
  <w:style w:type="character" w:customStyle="1" w:styleId="HeaderChar">
    <w:name w:val="Header Char"/>
    <w:basedOn w:val="DefaultParagraphFont"/>
    <w:link w:val="Header"/>
    <w:uiPriority w:val="99"/>
    <w:rsid w:val="00B22723"/>
  </w:style>
  <w:style w:type="paragraph" w:styleId="Footer">
    <w:name w:val="footer"/>
    <w:basedOn w:val="Normal"/>
    <w:link w:val="FooterChar"/>
    <w:uiPriority w:val="99"/>
    <w:unhideWhenUsed/>
    <w:rsid w:val="00B22723"/>
    <w:pPr>
      <w:tabs>
        <w:tab w:val="center" w:pos="4536"/>
        <w:tab w:val="right" w:pos="9072"/>
      </w:tabs>
    </w:pPr>
  </w:style>
  <w:style w:type="character" w:customStyle="1" w:styleId="FooterChar">
    <w:name w:val="Footer Char"/>
    <w:basedOn w:val="DefaultParagraphFont"/>
    <w:link w:val="Footer"/>
    <w:uiPriority w:val="99"/>
    <w:rsid w:val="00B22723"/>
  </w:style>
  <w:style w:type="character" w:styleId="PageNumber">
    <w:name w:val="page number"/>
    <w:basedOn w:val="DefaultParagraphFont"/>
    <w:uiPriority w:val="99"/>
    <w:semiHidden/>
    <w:unhideWhenUsed/>
    <w:rsid w:val="00E7293A"/>
  </w:style>
  <w:style w:type="character" w:styleId="Hyperlink">
    <w:name w:val="Hyperlink"/>
    <w:basedOn w:val="DefaultParagraphFont"/>
    <w:uiPriority w:val="99"/>
    <w:unhideWhenUsed/>
    <w:rsid w:val="00CE5A32"/>
    <w:rPr>
      <w:color w:val="0563C1" w:themeColor="hyperlink"/>
      <w:u w:val="single"/>
    </w:rPr>
  </w:style>
  <w:style w:type="character" w:customStyle="1" w:styleId="UnresolvedMention1">
    <w:name w:val="Unresolved Mention1"/>
    <w:basedOn w:val="DefaultParagraphFont"/>
    <w:uiPriority w:val="99"/>
    <w:semiHidden/>
    <w:unhideWhenUsed/>
    <w:rsid w:val="00CE5A32"/>
    <w:rPr>
      <w:color w:val="605E5C"/>
      <w:shd w:val="clear" w:color="auto" w:fill="E1DFDD"/>
    </w:rPr>
  </w:style>
  <w:style w:type="character" w:styleId="FollowedHyperlink">
    <w:name w:val="FollowedHyperlink"/>
    <w:basedOn w:val="DefaultParagraphFont"/>
    <w:uiPriority w:val="99"/>
    <w:semiHidden/>
    <w:unhideWhenUsed/>
    <w:rsid w:val="004F2E4F"/>
    <w:rPr>
      <w:color w:val="954F72" w:themeColor="followedHyperlink"/>
      <w:u w:val="single"/>
    </w:rPr>
  </w:style>
  <w:style w:type="paragraph" w:customStyle="1" w:styleId="Bibliographie1">
    <w:name w:val="Bibliographie1"/>
    <w:basedOn w:val="Normal"/>
    <w:link w:val="BibliographyCar"/>
    <w:rsid w:val="004F2E4F"/>
    <w:pPr>
      <w:tabs>
        <w:tab w:val="left" w:pos="380"/>
      </w:tabs>
      <w:spacing w:after="240"/>
      <w:ind w:left="384" w:hanging="384"/>
    </w:pPr>
    <w:rPr>
      <w:rFonts w:ascii="Arial" w:hAnsi="Arial" w:cs="Arial"/>
      <w:sz w:val="24"/>
      <w:szCs w:val="24"/>
      <w:lang w:val="en-US"/>
    </w:rPr>
  </w:style>
  <w:style w:type="character" w:customStyle="1" w:styleId="BibliographyCar">
    <w:name w:val="Bibliography Car"/>
    <w:basedOn w:val="DefaultParagraphFont"/>
    <w:link w:val="Bibliographie1"/>
    <w:rsid w:val="004F2E4F"/>
    <w:rPr>
      <w:rFonts w:ascii="Arial" w:hAnsi="Arial" w:cs="Arial"/>
      <w:sz w:val="24"/>
      <w:szCs w:val="24"/>
      <w:lang w:val="en-US"/>
    </w:rPr>
  </w:style>
  <w:style w:type="table" w:customStyle="1" w:styleId="Gitternetztabelle1hell2">
    <w:name w:val="Gitternetztabelle 1 hell2"/>
    <w:basedOn w:val="TableNormal"/>
    <w:uiPriority w:val="46"/>
    <w:rsid w:val="00E0518F"/>
    <w:rPr>
      <w:rFonts w:eastAsiaTheme="minorHAnsi"/>
      <w:lang w:val="de-DE"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ibliography1">
    <w:name w:val="Bibliography1"/>
    <w:basedOn w:val="Normal"/>
    <w:link w:val="BibliographyCar1"/>
    <w:rsid w:val="00EF5F07"/>
    <w:pPr>
      <w:spacing w:after="240"/>
      <w:jc w:val="both"/>
    </w:pPr>
    <w:rPr>
      <w:rFonts w:ascii="Arial" w:hAnsi="Arial" w:cs="Arial"/>
      <w:noProof/>
      <w:color w:val="000000" w:themeColor="text1"/>
      <w:sz w:val="24"/>
      <w:szCs w:val="24"/>
      <w:lang w:val="en-US"/>
    </w:rPr>
  </w:style>
  <w:style w:type="character" w:customStyle="1" w:styleId="BibliographyCar1">
    <w:name w:val="Bibliography Car1"/>
    <w:basedOn w:val="DefaultParagraphFont"/>
    <w:link w:val="Bibliography1"/>
    <w:rsid w:val="00EF5F07"/>
    <w:rPr>
      <w:rFonts w:ascii="Arial" w:hAnsi="Arial" w:cs="Arial"/>
      <w:noProof/>
      <w:color w:val="000000" w:themeColor="text1"/>
      <w:sz w:val="24"/>
      <w:szCs w:val="24"/>
      <w:lang w:val="en-US"/>
    </w:rPr>
  </w:style>
  <w:style w:type="character" w:styleId="CommentReference">
    <w:name w:val="annotation reference"/>
    <w:basedOn w:val="DefaultParagraphFont"/>
    <w:uiPriority w:val="99"/>
    <w:semiHidden/>
    <w:unhideWhenUsed/>
    <w:rsid w:val="00A4069F"/>
    <w:rPr>
      <w:sz w:val="16"/>
      <w:szCs w:val="16"/>
    </w:rPr>
  </w:style>
  <w:style w:type="paragraph" w:styleId="CommentText">
    <w:name w:val="annotation text"/>
    <w:basedOn w:val="Normal"/>
    <w:link w:val="CommentTextChar"/>
    <w:uiPriority w:val="99"/>
    <w:semiHidden/>
    <w:unhideWhenUsed/>
    <w:rsid w:val="00A4069F"/>
    <w:rPr>
      <w:sz w:val="20"/>
      <w:szCs w:val="20"/>
    </w:rPr>
  </w:style>
  <w:style w:type="character" w:customStyle="1" w:styleId="CommentTextChar">
    <w:name w:val="Comment Text Char"/>
    <w:basedOn w:val="DefaultParagraphFont"/>
    <w:link w:val="CommentText"/>
    <w:uiPriority w:val="99"/>
    <w:semiHidden/>
    <w:rsid w:val="00A4069F"/>
    <w:rPr>
      <w:sz w:val="20"/>
      <w:szCs w:val="20"/>
    </w:rPr>
  </w:style>
  <w:style w:type="paragraph" w:styleId="CommentSubject">
    <w:name w:val="annotation subject"/>
    <w:basedOn w:val="CommentText"/>
    <w:next w:val="CommentText"/>
    <w:link w:val="CommentSubjectChar"/>
    <w:uiPriority w:val="99"/>
    <w:semiHidden/>
    <w:unhideWhenUsed/>
    <w:rsid w:val="00A4069F"/>
    <w:rPr>
      <w:b/>
      <w:bCs/>
    </w:rPr>
  </w:style>
  <w:style w:type="character" w:customStyle="1" w:styleId="CommentSubjectChar">
    <w:name w:val="Comment Subject Char"/>
    <w:basedOn w:val="CommentTextChar"/>
    <w:link w:val="CommentSubject"/>
    <w:uiPriority w:val="99"/>
    <w:semiHidden/>
    <w:rsid w:val="00A4069F"/>
    <w:rPr>
      <w:b/>
      <w:bCs/>
      <w:sz w:val="20"/>
      <w:szCs w:val="20"/>
    </w:rPr>
  </w:style>
  <w:style w:type="paragraph" w:styleId="BalloonText">
    <w:name w:val="Balloon Text"/>
    <w:basedOn w:val="Normal"/>
    <w:link w:val="BalloonTextChar"/>
    <w:uiPriority w:val="99"/>
    <w:semiHidden/>
    <w:unhideWhenUsed/>
    <w:rsid w:val="00F856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661"/>
    <w:rPr>
      <w:rFonts w:ascii="Segoe UI" w:hAnsi="Segoe UI" w:cs="Segoe UI"/>
      <w:sz w:val="18"/>
      <w:szCs w:val="18"/>
    </w:rPr>
  </w:style>
  <w:style w:type="paragraph" w:customStyle="1" w:styleId="Literaturverzeichnis1">
    <w:name w:val="Literaturverzeichnis1"/>
    <w:basedOn w:val="Normal"/>
    <w:link w:val="BibliographyCar2"/>
    <w:rsid w:val="00D50691"/>
    <w:pPr>
      <w:jc w:val="both"/>
    </w:pPr>
    <w:rPr>
      <w:rFonts w:ascii="Arial" w:hAnsi="Arial" w:cs="Arial"/>
      <w:noProof/>
      <w:color w:val="000000" w:themeColor="text1"/>
      <w:sz w:val="24"/>
      <w:szCs w:val="24"/>
      <w:lang w:val="en-US"/>
    </w:rPr>
  </w:style>
  <w:style w:type="character" w:customStyle="1" w:styleId="BibliographyCar2">
    <w:name w:val="Bibliography Car2"/>
    <w:basedOn w:val="DefaultParagraphFont"/>
    <w:link w:val="Literaturverzeichnis1"/>
    <w:rsid w:val="00D50691"/>
    <w:rPr>
      <w:rFonts w:ascii="Arial" w:hAnsi="Arial" w:cs="Arial"/>
      <w:noProof/>
      <w:color w:val="000000" w:themeColor="text1"/>
      <w:sz w:val="24"/>
      <w:szCs w:val="24"/>
      <w:lang w:val="en-US"/>
    </w:rPr>
  </w:style>
  <w:style w:type="paragraph" w:styleId="Title">
    <w:name w:val="Title"/>
    <w:basedOn w:val="Normal"/>
    <w:next w:val="Normal"/>
    <w:link w:val="TitleChar"/>
    <w:uiPriority w:val="10"/>
    <w:qFormat/>
    <w:rsid w:val="006702BC"/>
    <w:pPr>
      <w:spacing w:line="480" w:lineRule="auto"/>
      <w:contextualSpacing/>
      <w:jc w:val="center"/>
    </w:pPr>
    <w:rPr>
      <w:rFonts w:ascii="Arial" w:eastAsiaTheme="majorEastAsia" w:hAnsi="Arial" w:cstheme="majorBidi"/>
      <w:b/>
      <w:spacing w:val="-10"/>
      <w:kern w:val="28"/>
      <w:sz w:val="24"/>
      <w:szCs w:val="56"/>
    </w:rPr>
  </w:style>
  <w:style w:type="character" w:customStyle="1" w:styleId="TitleChar">
    <w:name w:val="Title Char"/>
    <w:basedOn w:val="DefaultParagraphFont"/>
    <w:link w:val="Title"/>
    <w:uiPriority w:val="10"/>
    <w:rsid w:val="006702BC"/>
    <w:rPr>
      <w:rFonts w:ascii="Arial" w:eastAsiaTheme="majorEastAsia" w:hAnsi="Arial" w:cstheme="majorBidi"/>
      <w:b/>
      <w:spacing w:val="-10"/>
      <w:kern w:val="28"/>
      <w:sz w:val="24"/>
      <w:szCs w:val="56"/>
    </w:rPr>
  </w:style>
  <w:style w:type="character" w:customStyle="1" w:styleId="Heading1Char">
    <w:name w:val="Heading 1 Char"/>
    <w:basedOn w:val="DefaultParagraphFont"/>
    <w:link w:val="Heading1"/>
    <w:uiPriority w:val="9"/>
    <w:rsid w:val="006702BC"/>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6702BC"/>
    <w:rPr>
      <w:rFonts w:ascii="Arial" w:eastAsiaTheme="majorEastAsia" w:hAnsi="Arial" w:cstheme="majorBidi"/>
      <w: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544834">
      <w:bodyDiv w:val="1"/>
      <w:marLeft w:val="0"/>
      <w:marRight w:val="0"/>
      <w:marTop w:val="0"/>
      <w:marBottom w:val="0"/>
      <w:divBdr>
        <w:top w:val="none" w:sz="0" w:space="0" w:color="auto"/>
        <w:left w:val="none" w:sz="0" w:space="0" w:color="auto"/>
        <w:bottom w:val="none" w:sz="0" w:space="0" w:color="auto"/>
        <w:right w:val="none" w:sz="0" w:space="0" w:color="auto"/>
      </w:divBdr>
    </w:div>
    <w:div w:id="474103192">
      <w:bodyDiv w:val="1"/>
      <w:marLeft w:val="0"/>
      <w:marRight w:val="0"/>
      <w:marTop w:val="0"/>
      <w:marBottom w:val="0"/>
      <w:divBdr>
        <w:top w:val="none" w:sz="0" w:space="0" w:color="auto"/>
        <w:left w:val="none" w:sz="0" w:space="0" w:color="auto"/>
        <w:bottom w:val="none" w:sz="0" w:space="0" w:color="auto"/>
        <w:right w:val="none" w:sz="0" w:space="0" w:color="auto"/>
      </w:divBdr>
    </w:div>
    <w:div w:id="546524544">
      <w:bodyDiv w:val="1"/>
      <w:marLeft w:val="0"/>
      <w:marRight w:val="0"/>
      <w:marTop w:val="0"/>
      <w:marBottom w:val="0"/>
      <w:divBdr>
        <w:top w:val="none" w:sz="0" w:space="0" w:color="auto"/>
        <w:left w:val="none" w:sz="0" w:space="0" w:color="auto"/>
        <w:bottom w:val="none" w:sz="0" w:space="0" w:color="auto"/>
        <w:right w:val="none" w:sz="0" w:space="0" w:color="auto"/>
      </w:divBdr>
    </w:div>
    <w:div w:id="565264402">
      <w:bodyDiv w:val="1"/>
      <w:marLeft w:val="0"/>
      <w:marRight w:val="0"/>
      <w:marTop w:val="0"/>
      <w:marBottom w:val="0"/>
      <w:divBdr>
        <w:top w:val="none" w:sz="0" w:space="0" w:color="auto"/>
        <w:left w:val="none" w:sz="0" w:space="0" w:color="auto"/>
        <w:bottom w:val="none" w:sz="0" w:space="0" w:color="auto"/>
        <w:right w:val="none" w:sz="0" w:space="0" w:color="auto"/>
      </w:divBdr>
    </w:div>
    <w:div w:id="574827745">
      <w:bodyDiv w:val="1"/>
      <w:marLeft w:val="0"/>
      <w:marRight w:val="0"/>
      <w:marTop w:val="0"/>
      <w:marBottom w:val="0"/>
      <w:divBdr>
        <w:top w:val="none" w:sz="0" w:space="0" w:color="auto"/>
        <w:left w:val="none" w:sz="0" w:space="0" w:color="auto"/>
        <w:bottom w:val="none" w:sz="0" w:space="0" w:color="auto"/>
        <w:right w:val="none" w:sz="0" w:space="0" w:color="auto"/>
      </w:divBdr>
    </w:div>
    <w:div w:id="621151431">
      <w:bodyDiv w:val="1"/>
      <w:marLeft w:val="0"/>
      <w:marRight w:val="0"/>
      <w:marTop w:val="0"/>
      <w:marBottom w:val="0"/>
      <w:divBdr>
        <w:top w:val="none" w:sz="0" w:space="0" w:color="auto"/>
        <w:left w:val="none" w:sz="0" w:space="0" w:color="auto"/>
        <w:bottom w:val="none" w:sz="0" w:space="0" w:color="auto"/>
        <w:right w:val="none" w:sz="0" w:space="0" w:color="auto"/>
      </w:divBdr>
    </w:div>
    <w:div w:id="625694527">
      <w:bodyDiv w:val="1"/>
      <w:marLeft w:val="0"/>
      <w:marRight w:val="0"/>
      <w:marTop w:val="0"/>
      <w:marBottom w:val="0"/>
      <w:divBdr>
        <w:top w:val="none" w:sz="0" w:space="0" w:color="auto"/>
        <w:left w:val="none" w:sz="0" w:space="0" w:color="auto"/>
        <w:bottom w:val="none" w:sz="0" w:space="0" w:color="auto"/>
        <w:right w:val="none" w:sz="0" w:space="0" w:color="auto"/>
      </w:divBdr>
      <w:divsChild>
        <w:div w:id="455877976">
          <w:marLeft w:val="0"/>
          <w:marRight w:val="0"/>
          <w:marTop w:val="0"/>
          <w:marBottom w:val="0"/>
          <w:divBdr>
            <w:top w:val="none" w:sz="0" w:space="0" w:color="auto"/>
            <w:left w:val="none" w:sz="0" w:space="0" w:color="auto"/>
            <w:bottom w:val="none" w:sz="0" w:space="0" w:color="auto"/>
            <w:right w:val="none" w:sz="0" w:space="0" w:color="auto"/>
          </w:divBdr>
          <w:divsChild>
            <w:div w:id="1180510351">
              <w:marLeft w:val="0"/>
              <w:marRight w:val="0"/>
              <w:marTop w:val="0"/>
              <w:marBottom w:val="0"/>
              <w:divBdr>
                <w:top w:val="none" w:sz="0" w:space="0" w:color="auto"/>
                <w:left w:val="none" w:sz="0" w:space="0" w:color="auto"/>
                <w:bottom w:val="none" w:sz="0" w:space="0" w:color="auto"/>
                <w:right w:val="none" w:sz="0" w:space="0" w:color="auto"/>
              </w:divBdr>
              <w:divsChild>
                <w:div w:id="74496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380519">
      <w:bodyDiv w:val="1"/>
      <w:marLeft w:val="0"/>
      <w:marRight w:val="0"/>
      <w:marTop w:val="0"/>
      <w:marBottom w:val="0"/>
      <w:divBdr>
        <w:top w:val="none" w:sz="0" w:space="0" w:color="auto"/>
        <w:left w:val="none" w:sz="0" w:space="0" w:color="auto"/>
        <w:bottom w:val="none" w:sz="0" w:space="0" w:color="auto"/>
        <w:right w:val="none" w:sz="0" w:space="0" w:color="auto"/>
      </w:divBdr>
    </w:div>
    <w:div w:id="881281612">
      <w:bodyDiv w:val="1"/>
      <w:marLeft w:val="0"/>
      <w:marRight w:val="0"/>
      <w:marTop w:val="0"/>
      <w:marBottom w:val="0"/>
      <w:divBdr>
        <w:top w:val="none" w:sz="0" w:space="0" w:color="auto"/>
        <w:left w:val="none" w:sz="0" w:space="0" w:color="auto"/>
        <w:bottom w:val="none" w:sz="0" w:space="0" w:color="auto"/>
        <w:right w:val="none" w:sz="0" w:space="0" w:color="auto"/>
      </w:divBdr>
    </w:div>
    <w:div w:id="890849465">
      <w:bodyDiv w:val="1"/>
      <w:marLeft w:val="0"/>
      <w:marRight w:val="0"/>
      <w:marTop w:val="0"/>
      <w:marBottom w:val="0"/>
      <w:divBdr>
        <w:top w:val="none" w:sz="0" w:space="0" w:color="auto"/>
        <w:left w:val="none" w:sz="0" w:space="0" w:color="auto"/>
        <w:bottom w:val="none" w:sz="0" w:space="0" w:color="auto"/>
        <w:right w:val="none" w:sz="0" w:space="0" w:color="auto"/>
      </w:divBdr>
    </w:div>
    <w:div w:id="920607029">
      <w:bodyDiv w:val="1"/>
      <w:marLeft w:val="0"/>
      <w:marRight w:val="0"/>
      <w:marTop w:val="0"/>
      <w:marBottom w:val="0"/>
      <w:divBdr>
        <w:top w:val="none" w:sz="0" w:space="0" w:color="auto"/>
        <w:left w:val="none" w:sz="0" w:space="0" w:color="auto"/>
        <w:bottom w:val="none" w:sz="0" w:space="0" w:color="auto"/>
        <w:right w:val="none" w:sz="0" w:space="0" w:color="auto"/>
      </w:divBdr>
    </w:div>
    <w:div w:id="1134328156">
      <w:bodyDiv w:val="1"/>
      <w:marLeft w:val="0"/>
      <w:marRight w:val="0"/>
      <w:marTop w:val="0"/>
      <w:marBottom w:val="0"/>
      <w:divBdr>
        <w:top w:val="none" w:sz="0" w:space="0" w:color="auto"/>
        <w:left w:val="none" w:sz="0" w:space="0" w:color="auto"/>
        <w:bottom w:val="none" w:sz="0" w:space="0" w:color="auto"/>
        <w:right w:val="none" w:sz="0" w:space="0" w:color="auto"/>
      </w:divBdr>
    </w:div>
    <w:div w:id="1232890531">
      <w:bodyDiv w:val="1"/>
      <w:marLeft w:val="0"/>
      <w:marRight w:val="0"/>
      <w:marTop w:val="0"/>
      <w:marBottom w:val="0"/>
      <w:divBdr>
        <w:top w:val="none" w:sz="0" w:space="0" w:color="auto"/>
        <w:left w:val="none" w:sz="0" w:space="0" w:color="auto"/>
        <w:bottom w:val="none" w:sz="0" w:space="0" w:color="auto"/>
        <w:right w:val="none" w:sz="0" w:space="0" w:color="auto"/>
      </w:divBdr>
    </w:div>
    <w:div w:id="1242132843">
      <w:bodyDiv w:val="1"/>
      <w:marLeft w:val="0"/>
      <w:marRight w:val="0"/>
      <w:marTop w:val="0"/>
      <w:marBottom w:val="0"/>
      <w:divBdr>
        <w:top w:val="none" w:sz="0" w:space="0" w:color="auto"/>
        <w:left w:val="none" w:sz="0" w:space="0" w:color="auto"/>
        <w:bottom w:val="none" w:sz="0" w:space="0" w:color="auto"/>
        <w:right w:val="none" w:sz="0" w:space="0" w:color="auto"/>
      </w:divBdr>
    </w:div>
    <w:div w:id="1262253915">
      <w:bodyDiv w:val="1"/>
      <w:marLeft w:val="0"/>
      <w:marRight w:val="0"/>
      <w:marTop w:val="0"/>
      <w:marBottom w:val="0"/>
      <w:divBdr>
        <w:top w:val="none" w:sz="0" w:space="0" w:color="auto"/>
        <w:left w:val="none" w:sz="0" w:space="0" w:color="auto"/>
        <w:bottom w:val="none" w:sz="0" w:space="0" w:color="auto"/>
        <w:right w:val="none" w:sz="0" w:space="0" w:color="auto"/>
      </w:divBdr>
    </w:div>
    <w:div w:id="1452237476">
      <w:bodyDiv w:val="1"/>
      <w:marLeft w:val="0"/>
      <w:marRight w:val="0"/>
      <w:marTop w:val="0"/>
      <w:marBottom w:val="0"/>
      <w:divBdr>
        <w:top w:val="none" w:sz="0" w:space="0" w:color="auto"/>
        <w:left w:val="none" w:sz="0" w:space="0" w:color="auto"/>
        <w:bottom w:val="none" w:sz="0" w:space="0" w:color="auto"/>
        <w:right w:val="none" w:sz="0" w:space="0" w:color="auto"/>
      </w:divBdr>
    </w:div>
    <w:div w:id="1499420613">
      <w:bodyDiv w:val="1"/>
      <w:marLeft w:val="0"/>
      <w:marRight w:val="0"/>
      <w:marTop w:val="0"/>
      <w:marBottom w:val="0"/>
      <w:divBdr>
        <w:top w:val="none" w:sz="0" w:space="0" w:color="auto"/>
        <w:left w:val="none" w:sz="0" w:space="0" w:color="auto"/>
        <w:bottom w:val="none" w:sz="0" w:space="0" w:color="auto"/>
        <w:right w:val="none" w:sz="0" w:space="0" w:color="auto"/>
      </w:divBdr>
    </w:div>
    <w:div w:id="1594128079">
      <w:bodyDiv w:val="1"/>
      <w:marLeft w:val="0"/>
      <w:marRight w:val="0"/>
      <w:marTop w:val="0"/>
      <w:marBottom w:val="0"/>
      <w:divBdr>
        <w:top w:val="none" w:sz="0" w:space="0" w:color="auto"/>
        <w:left w:val="none" w:sz="0" w:space="0" w:color="auto"/>
        <w:bottom w:val="none" w:sz="0" w:space="0" w:color="auto"/>
        <w:right w:val="none" w:sz="0" w:space="0" w:color="auto"/>
      </w:divBdr>
    </w:div>
    <w:div w:id="1679193083">
      <w:bodyDiv w:val="1"/>
      <w:marLeft w:val="0"/>
      <w:marRight w:val="0"/>
      <w:marTop w:val="0"/>
      <w:marBottom w:val="0"/>
      <w:divBdr>
        <w:top w:val="none" w:sz="0" w:space="0" w:color="auto"/>
        <w:left w:val="none" w:sz="0" w:space="0" w:color="auto"/>
        <w:bottom w:val="none" w:sz="0" w:space="0" w:color="auto"/>
        <w:right w:val="none" w:sz="0" w:space="0" w:color="auto"/>
      </w:divBdr>
    </w:div>
    <w:div w:id="1869640146">
      <w:bodyDiv w:val="1"/>
      <w:marLeft w:val="0"/>
      <w:marRight w:val="0"/>
      <w:marTop w:val="0"/>
      <w:marBottom w:val="0"/>
      <w:divBdr>
        <w:top w:val="none" w:sz="0" w:space="0" w:color="auto"/>
        <w:left w:val="none" w:sz="0" w:space="0" w:color="auto"/>
        <w:bottom w:val="none" w:sz="0" w:space="0" w:color="auto"/>
        <w:right w:val="none" w:sz="0" w:space="0" w:color="auto"/>
      </w:divBdr>
    </w:div>
    <w:div w:id="190822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18812</Words>
  <Characters>107235</Characters>
  <Application>Microsoft Office Word</Application>
  <DocSecurity>0</DocSecurity>
  <Lines>893</Lines>
  <Paragraphs>251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125796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2021-06-29T13:42:00Z</dcterms:created>
  <dcterms:modified xsi:type="dcterms:W3CDTF">2021-07-01T08:51:00Z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id="oYqhicvk"/&gt;&lt;style id="http://www.zotero.org/styles/international-journal-of-infectious-diseases" hasBibliography="1" bibliographyStyleHasBeenSet="1"/&gt;&lt;prefs&gt;&lt;pref name="fieldType" value="Field"</vt:lpwstr>
  </property>
  <property fmtid="{D5CDD505-2E9C-101B-9397-08002B2CF9AE}" pid="3" name="ZOTERO_PREF_2">
    <vt:lpwstr>/&gt;&lt;/prefs&gt;&lt;/data&gt;</vt:lpwstr>
  </property>
</Properties>
</file>