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DC8A1" w14:textId="77777777" w:rsidR="002E74E8" w:rsidRPr="00BD3832" w:rsidRDefault="002E74E8" w:rsidP="00BD3832">
      <w:pPr>
        <w:pStyle w:val="Articletitle"/>
        <w:jc w:val="center"/>
      </w:pPr>
      <w:r w:rsidRPr="00BD3832">
        <w:t>Predictors of parental knowledge on health effect of tobacco and parental perceptions on tobacco control measures at household level in selected urban residential areas of Dhaka city, Bangladesh</w:t>
      </w:r>
    </w:p>
    <w:p w14:paraId="46D69DFB" w14:textId="77777777" w:rsidR="00CB05C5" w:rsidRPr="00BD3832" w:rsidRDefault="00CB05C5" w:rsidP="00BD3832">
      <w:pPr>
        <w:pStyle w:val="Heading1"/>
      </w:pPr>
      <w:r w:rsidRPr="00BD3832">
        <w:t>Abstract</w:t>
      </w:r>
    </w:p>
    <w:p w14:paraId="327789B1" w14:textId="16454C69" w:rsidR="009D5C9D" w:rsidRPr="00BD3832" w:rsidRDefault="00CB05C5" w:rsidP="009D5C9D">
      <w:pPr>
        <w:pStyle w:val="Keywords"/>
        <w:jc w:val="both"/>
      </w:pPr>
      <w:r w:rsidRPr="00BD3832">
        <w:t>The study aimed to investigate the parental knowledge and perceptions of health effects and tobacco control measures at househo</w:t>
      </w:r>
      <w:r w:rsidR="00FF4372" w:rsidRPr="00BD3832">
        <w:t xml:space="preserve">lds in Dhaka city, Bangladesh. </w:t>
      </w:r>
      <w:r w:rsidRPr="00BD3832">
        <w:t xml:space="preserve">From 1,436 tobacco-using parents, 400 participants were selected for the cross-sectional survey involving probability-proportional-sampling. Overall knowledge and perceptions were scored. </w:t>
      </w:r>
      <w:r w:rsidR="00DD7E26" w:rsidRPr="00BD3832">
        <w:t xml:space="preserve">Multiple </w:t>
      </w:r>
      <w:r w:rsidRPr="00BD3832">
        <w:t>logi</w:t>
      </w:r>
      <w:r w:rsidR="00FF4372" w:rsidRPr="00BD3832">
        <w:t xml:space="preserve">stic regression was performed. </w:t>
      </w:r>
      <w:r w:rsidRPr="00BD3832">
        <w:t xml:space="preserve">There were 19.8% of parents who had good knowledge on the health effects of tobacco and 40.8% had positive perception on home initiatives of tobacco control measures. </w:t>
      </w:r>
      <w:r w:rsidR="00DC3E8E" w:rsidRPr="00BD3832">
        <w:t>Knowledge of overall tobacco effects on health (</w:t>
      </w:r>
      <w:r w:rsidR="00DC3E8E" w:rsidRPr="00BD3832">
        <w:rPr>
          <w:i/>
        </w:rPr>
        <w:t xml:space="preserve">AOR </w:t>
      </w:r>
      <w:r w:rsidR="00DC3E8E" w:rsidRPr="00BD3832">
        <w:t xml:space="preserve">=20.92, </w:t>
      </w:r>
      <w:r w:rsidR="00116C41" w:rsidRPr="00BD3832">
        <w:t xml:space="preserve">95% CI = </w:t>
      </w:r>
      <w:r w:rsidR="00DC3E8E" w:rsidRPr="00BD3832">
        <w:t>2.60-167.83), asthma (AOR = 0.29,</w:t>
      </w:r>
      <w:r w:rsidR="00116C41" w:rsidRPr="00BD3832">
        <w:t xml:space="preserve"> 95% CI = 0.17</w:t>
      </w:r>
      <w:r w:rsidR="00DC3E8E" w:rsidRPr="00BD3832">
        <w:t xml:space="preserve">-0.49), infertility (AOR = 0.43, </w:t>
      </w:r>
      <w:r w:rsidR="00116C41" w:rsidRPr="00BD3832">
        <w:t xml:space="preserve">95% CI = </w:t>
      </w:r>
      <w:r w:rsidR="00DC3E8E" w:rsidRPr="00BD3832">
        <w:t xml:space="preserve">0.24-0.77) and pre-eclampsia (AOR = 0.36, </w:t>
      </w:r>
      <w:r w:rsidR="00116C41" w:rsidRPr="00BD3832">
        <w:t xml:space="preserve">95% CI = </w:t>
      </w:r>
      <w:r w:rsidR="00DC3E8E" w:rsidRPr="00BD3832">
        <w:t>0.14-0.90) were significantly increased the odds of parents good knowledge.</w:t>
      </w:r>
      <w:r w:rsidR="004D1F74" w:rsidRPr="00BD3832">
        <w:t xml:space="preserve"> </w:t>
      </w:r>
      <w:r w:rsidR="00185C36" w:rsidRPr="00BD3832">
        <w:t>Whereas</w:t>
      </w:r>
      <w:r w:rsidR="004D1F74" w:rsidRPr="00BD3832">
        <w:t>,</w:t>
      </w:r>
      <w:r w:rsidR="00BC0C06" w:rsidRPr="00BD3832">
        <w:t xml:space="preserve"> living in the </w:t>
      </w:r>
      <w:r w:rsidRPr="00BD3832">
        <w:t>joint family (</w:t>
      </w:r>
      <w:r w:rsidR="005B0BBF" w:rsidRPr="00BD3832">
        <w:t>AOR =</w:t>
      </w:r>
      <w:r w:rsidR="00116C41" w:rsidRPr="00BD3832">
        <w:t xml:space="preserve">3.10, 95% CI = </w:t>
      </w:r>
      <w:r w:rsidR="0029476D" w:rsidRPr="00BD3832">
        <w:t xml:space="preserve">1.88-5.13) </w:t>
      </w:r>
      <w:r w:rsidR="00AF6205" w:rsidRPr="00BD3832">
        <w:t>was significantly associated with parental positive perceptions</w:t>
      </w:r>
      <w:r w:rsidR="005F6FD0" w:rsidRPr="00BD3832">
        <w:t xml:space="preserve">. </w:t>
      </w:r>
      <w:r w:rsidRPr="00BD3832">
        <w:t>Advanced education programs need to be developed to improve parental awareness on the adverse health effects of tobacco-use at households.</w:t>
      </w:r>
    </w:p>
    <w:p w14:paraId="2EEA072B" w14:textId="77777777" w:rsidR="00651A7A" w:rsidRPr="00BD3832" w:rsidRDefault="00CB05C5" w:rsidP="00651A7A">
      <w:pPr>
        <w:pStyle w:val="Keywords"/>
        <w:jc w:val="both"/>
      </w:pPr>
      <w:r w:rsidRPr="00BD3832">
        <w:t xml:space="preserve">Keywords: </w:t>
      </w:r>
      <w:r w:rsidR="002B2D2B" w:rsidRPr="00BD3832">
        <w:t xml:space="preserve">Parental </w:t>
      </w:r>
      <w:r w:rsidRPr="00BD3832">
        <w:t>knowledge and perceptions; urban residential areas; tobacco use; tobacco control; health effects.</w:t>
      </w:r>
    </w:p>
    <w:p w14:paraId="6321DB7A" w14:textId="77777777" w:rsidR="00D4090A" w:rsidRPr="00BD3832" w:rsidRDefault="00D4090A" w:rsidP="00BD3832">
      <w:pPr>
        <w:pStyle w:val="Heading1"/>
      </w:pPr>
      <w:r w:rsidRPr="00BD3832">
        <w:t>Introduction</w:t>
      </w:r>
    </w:p>
    <w:p w14:paraId="24EDD5E0" w14:textId="77777777" w:rsidR="00D4090A" w:rsidRPr="00BD3832" w:rsidRDefault="00D4090A" w:rsidP="00D4090A">
      <w:pPr>
        <w:spacing w:before="120" w:after="120"/>
        <w:jc w:val="both"/>
      </w:pPr>
      <w:r w:rsidRPr="00BD3832">
        <w:t xml:space="preserve">Tobacco epidemic is one of the biggest public health threats that the world has ever faced. </w:t>
      </w:r>
      <w:r w:rsidRPr="00BD3832">
        <w:rPr>
          <w:rStyle w:val="fontstyle01"/>
          <w:color w:val="auto"/>
          <w:sz w:val="24"/>
          <w:szCs w:val="24"/>
        </w:rPr>
        <w:t>The World Health Organization (WHO) recently estimated that t</w:t>
      </w:r>
      <w:r w:rsidRPr="00BD3832">
        <w:t>obacco kills more than 8 million people each year globally. More than 7 million of those deaths are the result of direct tobacco use, while around 1.2 million are of non-smokers being exposed to second-hand smoking (World Health Organization [WHO], 2019; WHO, 2015).</w:t>
      </w:r>
    </w:p>
    <w:p w14:paraId="5332C432" w14:textId="77777777" w:rsidR="00D4090A" w:rsidRPr="00BD3832" w:rsidRDefault="00D4090A" w:rsidP="00D4090A">
      <w:pPr>
        <w:autoSpaceDE w:val="0"/>
        <w:autoSpaceDN w:val="0"/>
        <w:adjustRightInd w:val="0"/>
        <w:spacing w:before="120" w:after="120"/>
        <w:jc w:val="both"/>
        <w:rPr>
          <w:rFonts w:eastAsia="AdvTimes"/>
        </w:rPr>
      </w:pPr>
      <w:r w:rsidRPr="00BD3832">
        <w:t>Bangladesh is considered as one of the top ten tobacco-consuming countries with more than 58% of men and 29% of women consume different forms of tobacco (</w:t>
      </w:r>
      <w:r w:rsidRPr="00BD3832">
        <w:rPr>
          <w:shd w:val="clear" w:color="auto" w:fill="FFFFFF"/>
        </w:rPr>
        <w:t xml:space="preserve">Barkat </w:t>
      </w:r>
      <w:r w:rsidR="008B1ECB" w:rsidRPr="00BD3832">
        <w:rPr>
          <w:shd w:val="clear" w:color="auto" w:fill="FFFFFF"/>
        </w:rPr>
        <w:t>et al.</w:t>
      </w:r>
      <w:r w:rsidRPr="00BD3832">
        <w:rPr>
          <w:shd w:val="clear" w:color="auto" w:fill="FFFFFF"/>
        </w:rPr>
        <w:t xml:space="preserve"> </w:t>
      </w:r>
      <w:r w:rsidRPr="00BD3832">
        <w:rPr>
          <w:shd w:val="clear" w:color="auto" w:fill="FFFFFF"/>
        </w:rPr>
        <w:lastRenderedPageBreak/>
        <w:t>2012)</w:t>
      </w:r>
      <w:r w:rsidRPr="00BD3832">
        <w:t xml:space="preserve">. Nearly 42.0% of the youth (age 13 years’ to 15 years) are exposed to second-hand smoke in public places, and 35.0% are exposed to second-hand smoke (SHS) at House Hold (HH) level (WHO, 2009). Bangladesh faces considerable health and economic consequences for high levels of tobacco-use tobacco (Barkat </w:t>
      </w:r>
      <w:r w:rsidR="008B1ECB" w:rsidRPr="00BD3832">
        <w:t>et al.</w:t>
      </w:r>
      <w:r w:rsidRPr="00BD3832">
        <w:t xml:space="preserve"> 2012). Approximately, </w:t>
      </w:r>
      <w:r w:rsidRPr="00BD3832">
        <w:rPr>
          <w:rStyle w:val="st"/>
        </w:rPr>
        <w:t xml:space="preserve">161,000 </w:t>
      </w:r>
      <w:r w:rsidRPr="00BD3832">
        <w:rPr>
          <w:rStyle w:val="Emphasis"/>
          <w:rFonts w:ascii="Times New Roman" w:hAnsi="Times New Roman"/>
          <w:b w:val="0"/>
          <w:i w:val="0"/>
        </w:rPr>
        <w:t>people die</w:t>
      </w:r>
      <w:r w:rsidRPr="00BD3832">
        <w:rPr>
          <w:rStyle w:val="Emphasis"/>
        </w:rPr>
        <w:t xml:space="preserve"> </w:t>
      </w:r>
      <w:r w:rsidRPr="00BD3832">
        <w:rPr>
          <w:rStyle w:val="st"/>
        </w:rPr>
        <w:t>in each year from tobacco consumption related diseases (</w:t>
      </w:r>
      <w:r w:rsidRPr="00BD3832">
        <w:t>Hasan, 2018)</w:t>
      </w:r>
      <w:r w:rsidRPr="00BD3832">
        <w:rPr>
          <w:rStyle w:val="Emphasis"/>
        </w:rPr>
        <w:t xml:space="preserve">. </w:t>
      </w:r>
      <w:r w:rsidRPr="00BD3832">
        <w:t>In particular, s</w:t>
      </w:r>
      <w:r w:rsidRPr="00BD3832">
        <w:rPr>
          <w:rFonts w:eastAsia="AdvTimes"/>
        </w:rPr>
        <w:t xml:space="preserve">moking prevalence is highest in the urban areas of Bangladesh and is gradually increasing with urbanization (Idris </w:t>
      </w:r>
      <w:r w:rsidR="008B1ECB" w:rsidRPr="00BD3832">
        <w:rPr>
          <w:rFonts w:eastAsia="AdvTimes"/>
        </w:rPr>
        <w:t>et al.</w:t>
      </w:r>
      <w:r w:rsidRPr="00BD3832">
        <w:rPr>
          <w:rFonts w:eastAsia="AdvTimes"/>
        </w:rPr>
        <w:t xml:space="preserve"> 2007). </w:t>
      </w:r>
      <w:r w:rsidRPr="00BD3832">
        <w:rPr>
          <w:rStyle w:val="st"/>
        </w:rPr>
        <w:t xml:space="preserve">Dhaka city is the top among </w:t>
      </w:r>
      <w:r w:rsidRPr="00BD3832">
        <w:rPr>
          <w:rStyle w:val="Emphasis"/>
          <w:rFonts w:ascii="Times New Roman" w:hAnsi="Times New Roman"/>
          <w:b w:val="0"/>
          <w:i w:val="0"/>
        </w:rPr>
        <w:t>world's most densely populated and polluted cities</w:t>
      </w:r>
      <w:r w:rsidRPr="00BD3832">
        <w:rPr>
          <w:rStyle w:val="Emphasis"/>
          <w:rFonts w:ascii="Times New Roman" w:hAnsi="Times New Roman"/>
        </w:rPr>
        <w:t xml:space="preserve"> </w:t>
      </w:r>
      <w:r w:rsidRPr="00BD3832">
        <w:rPr>
          <w:rFonts w:eastAsia="AdvTimes"/>
        </w:rPr>
        <w:t>(American Society for Public Administration [ASPA], 2018; Salim, 2018)</w:t>
      </w:r>
      <w:r w:rsidRPr="00BD3832">
        <w:rPr>
          <w:rStyle w:val="Emphasis"/>
        </w:rPr>
        <w:t xml:space="preserve"> </w:t>
      </w:r>
      <w:r w:rsidRPr="00BD3832">
        <w:rPr>
          <w:rFonts w:eastAsia="AdvTimes"/>
        </w:rPr>
        <w:t>for it is continuous increase of passive smoking, and air pollution (ASPA, 2018).</w:t>
      </w:r>
    </w:p>
    <w:p w14:paraId="5D9D997D" w14:textId="77777777" w:rsidR="00D4090A" w:rsidRPr="00BD3832" w:rsidRDefault="00D4090A" w:rsidP="00D4090A">
      <w:pPr>
        <w:autoSpaceDE w:val="0"/>
        <w:autoSpaceDN w:val="0"/>
        <w:adjustRightInd w:val="0"/>
        <w:spacing w:before="120" w:after="120"/>
        <w:jc w:val="both"/>
      </w:pPr>
      <w:r w:rsidRPr="00BD3832">
        <w:rPr>
          <w:rFonts w:eastAsia="FrutigerLTStd-LightCn"/>
        </w:rPr>
        <w:t>WHO-</w:t>
      </w:r>
      <w:r w:rsidRPr="00BD3832">
        <w:t>Framework Convention on Tobacco Control</w:t>
      </w:r>
      <w:r w:rsidRPr="00BD3832">
        <w:rPr>
          <w:rFonts w:eastAsia="FrutigerLTStd-LightCn"/>
        </w:rPr>
        <w:t xml:space="preserve"> (WHO-FCTC) has concluded that 100% of smoke-free environments are the only preventive measure to adequately protect the health of people from the harmful effects of second-hand tobacco smoke (WHO, 2009).</w:t>
      </w:r>
      <w:r w:rsidRPr="00BD3832">
        <w:rPr>
          <w:rFonts w:eastAsia="FrutigerLTStd-LightCn"/>
          <w:vertAlign w:val="superscript"/>
        </w:rPr>
        <w:t xml:space="preserve"> </w:t>
      </w:r>
      <w:r w:rsidRPr="00BD3832">
        <w:t>Many countries have recently issued laws to regulate smoking at HH-level. Bangladesh amended the Tobacco Laws in 2013 to banned smoking in the public places (such as restaurants, roads, bars and workplaces), but not implemented the laws effectively, and there are no even such regulation or control programs to restrict smoking at the HH-level (</w:t>
      </w:r>
      <w:r w:rsidRPr="00BD3832">
        <w:rPr>
          <w:iCs/>
        </w:rPr>
        <w:t>Tobacco Control Laws, 2013)</w:t>
      </w:r>
      <w:r w:rsidRPr="00BD3832">
        <w:t>. Instead, homes remain a site where children and pregnant women are dangerously exposed to environmental tobacco smoke (ETS) (</w:t>
      </w:r>
      <w:r w:rsidRPr="00BD3832">
        <w:rPr>
          <w:rStyle w:val="highwire-citation-author"/>
          <w:bdr w:val="none" w:sz="0" w:space="0" w:color="auto" w:frame="1"/>
          <w:shd w:val="clear" w:color="auto" w:fill="FFFFFF"/>
        </w:rPr>
        <w:t xml:space="preserve">Winickoff </w:t>
      </w:r>
      <w:r w:rsidR="008B1ECB" w:rsidRPr="00BD3832">
        <w:rPr>
          <w:rStyle w:val="highwire-citation-author"/>
          <w:bdr w:val="none" w:sz="0" w:space="0" w:color="auto" w:frame="1"/>
          <w:shd w:val="clear" w:color="auto" w:fill="FFFFFF"/>
        </w:rPr>
        <w:t>et al.</w:t>
      </w:r>
      <w:r w:rsidRPr="00BD3832">
        <w:rPr>
          <w:rStyle w:val="highwire-citation-author"/>
          <w:bdr w:val="none" w:sz="0" w:space="0" w:color="auto" w:frame="1"/>
          <w:shd w:val="clear" w:color="auto" w:fill="FFFFFF"/>
        </w:rPr>
        <w:t xml:space="preserve"> 2009)</w:t>
      </w:r>
      <w:r w:rsidRPr="00BD3832">
        <w:t>.</w:t>
      </w:r>
      <w:r w:rsidRPr="00BD3832">
        <w:rPr>
          <w:vertAlign w:val="superscript"/>
        </w:rPr>
        <w:t xml:space="preserve"> </w:t>
      </w:r>
      <w:r w:rsidRPr="00BD3832">
        <w:t>The combination of tobacco smoke pollutants in indoor environment</w:t>
      </w:r>
      <w:r w:rsidRPr="00BD3832">
        <w:rPr>
          <w:rFonts w:eastAsia="Calibri"/>
        </w:rPr>
        <w:t xml:space="preserve"> has been referred to as</w:t>
      </w:r>
      <w:r w:rsidRPr="00BD3832">
        <w:t xml:space="preserve"> the so-called 'third-hand smoke' (THS) which is a new challenge in the field of tobacco control (</w:t>
      </w:r>
      <w:r w:rsidRPr="00BD3832">
        <w:rPr>
          <w:rFonts w:eastAsia="Calibri"/>
        </w:rPr>
        <w:t xml:space="preserve">Matt </w:t>
      </w:r>
      <w:r w:rsidR="008B1ECB" w:rsidRPr="00BD3832">
        <w:rPr>
          <w:rFonts w:eastAsia="Calibri"/>
        </w:rPr>
        <w:t>et al.</w:t>
      </w:r>
      <w:r w:rsidRPr="00BD3832">
        <w:rPr>
          <w:rFonts w:eastAsia="Calibri"/>
        </w:rPr>
        <w:t xml:space="preserve"> 2011)</w:t>
      </w:r>
      <w:r w:rsidRPr="00BD3832">
        <w:t>.</w:t>
      </w:r>
      <w:r w:rsidRPr="00BD3832">
        <w:rPr>
          <w:vertAlign w:val="superscript"/>
        </w:rPr>
        <w:t xml:space="preserve"> </w:t>
      </w:r>
      <w:r w:rsidRPr="00BD3832">
        <w:t xml:space="preserve">However, parents hardly perceive that indoor surfaces can be a hidden reservoir of THS constituents that could be re-emitted for a long time after the cessation of active </w:t>
      </w:r>
      <w:r w:rsidR="00B3304C" w:rsidRPr="00BD3832">
        <w:t>smoking (</w:t>
      </w:r>
      <w:r w:rsidRPr="00BD3832">
        <w:t xml:space="preserve">Ferrante </w:t>
      </w:r>
      <w:r w:rsidR="008B1ECB" w:rsidRPr="00BD3832">
        <w:t>et al.</w:t>
      </w:r>
      <w:r w:rsidRPr="00BD3832">
        <w:t xml:space="preserve"> 2013).</w:t>
      </w:r>
    </w:p>
    <w:p w14:paraId="02163CC3" w14:textId="77777777" w:rsidR="00D4090A" w:rsidRPr="00BD3832" w:rsidRDefault="00D4090A" w:rsidP="00D4090A">
      <w:pPr>
        <w:autoSpaceDE w:val="0"/>
        <w:autoSpaceDN w:val="0"/>
        <w:adjustRightInd w:val="0"/>
        <w:spacing w:before="120" w:after="120"/>
        <w:jc w:val="both"/>
      </w:pPr>
      <w:r w:rsidRPr="00BD3832">
        <w:rPr>
          <w:rFonts w:eastAsia="AdvTimes"/>
        </w:rPr>
        <w:lastRenderedPageBreak/>
        <w:t xml:space="preserve">Tobacco control measures at HH and community levels have made a significant impact around the world including many US cities </w:t>
      </w:r>
      <w:r w:rsidRPr="00BD3832">
        <w:rPr>
          <w:rFonts w:eastAsia="Calibri"/>
          <w:b/>
          <w:bCs/>
        </w:rPr>
        <w:t>—</w:t>
      </w:r>
      <w:r w:rsidRPr="00BD3832">
        <w:rPr>
          <w:rFonts w:eastAsia="Calibri"/>
        </w:rPr>
        <w:t xml:space="preserve"> regardless of economic status,</w:t>
      </w:r>
      <w:r w:rsidRPr="00BD3832">
        <w:rPr>
          <w:rFonts w:eastAsia="AdvTimes"/>
        </w:rPr>
        <w:t xml:space="preserve"> where tobacco-use at home is not restricted by laws, even (WHO, 2017; </w:t>
      </w:r>
      <w:r w:rsidRPr="00BD3832">
        <w:t>National Center for Chronic Disease Prevention and Health</w:t>
      </w:r>
      <w:r w:rsidRPr="00BD3832">
        <w:tab/>
        <w:t xml:space="preserve"> Promotion [CDC], 2019)</w:t>
      </w:r>
      <w:r w:rsidRPr="00BD3832">
        <w:rPr>
          <w:rFonts w:eastAsia="AdvTimes"/>
        </w:rPr>
        <w:t xml:space="preserve">. </w:t>
      </w:r>
      <w:r w:rsidRPr="00BD3832">
        <w:t xml:space="preserve">However, till today, Bangladesh is in reverse track in terms of familial tobacco control measures. </w:t>
      </w:r>
      <w:r w:rsidRPr="00BD3832">
        <w:rPr>
          <w:rFonts w:eastAsia="AdvTimes"/>
        </w:rPr>
        <w:t>D</w:t>
      </w:r>
      <w:r w:rsidRPr="00BD3832">
        <w:t xml:space="preserve">espite scientific evidence about the harmful effects of smokeless tobacco (SLT), (Rahman </w:t>
      </w:r>
      <w:r w:rsidR="008B1ECB" w:rsidRPr="00BD3832">
        <w:t>et al.</w:t>
      </w:r>
      <w:r w:rsidRPr="00BD3832">
        <w:t xml:space="preserve"> 2015)</w:t>
      </w:r>
      <w:r w:rsidRPr="00BD3832">
        <w:rPr>
          <w:vertAlign w:val="superscript"/>
        </w:rPr>
        <w:t xml:space="preserve">  </w:t>
      </w:r>
      <w:r w:rsidRPr="00BD3832">
        <w:t>people at family-level usually do not perceive that different forms of smokeless products (</w:t>
      </w:r>
      <w:r w:rsidRPr="00BD3832">
        <w:rPr>
          <w:i/>
        </w:rPr>
        <w:t>Zarda, Gul, SadaPata etc.)</w:t>
      </w:r>
      <w:r w:rsidRPr="00BD3832">
        <w:t xml:space="preserve"> are actually tobacco, which have adverse health effects on health (Hasib </w:t>
      </w:r>
      <w:r w:rsidR="008B1ECB" w:rsidRPr="00BD3832">
        <w:t>et al.</w:t>
      </w:r>
      <w:r w:rsidRPr="00BD3832">
        <w:t xml:space="preserve"> 2016).</w:t>
      </w:r>
      <w:r w:rsidRPr="00BD3832">
        <w:rPr>
          <w:vertAlign w:val="superscript"/>
        </w:rPr>
        <w:t xml:space="preserve"> </w:t>
      </w:r>
      <w:r w:rsidRPr="00BD3832">
        <w:t xml:space="preserve">In general, parents may know that tobacco use is harmful but it is usually seen merely as a bad habit and they choose them to indulge in </w:t>
      </w:r>
      <w:r w:rsidRPr="00BD3832">
        <w:rPr>
          <w:rFonts w:eastAsia="FrutigerLTStd-LightCn"/>
        </w:rPr>
        <w:t>(WHO, 2009)</w:t>
      </w:r>
      <w:r w:rsidRPr="00BD3832">
        <w:t>.</w:t>
      </w:r>
      <w:r w:rsidRPr="00BD3832">
        <w:rPr>
          <w:vertAlign w:val="superscript"/>
        </w:rPr>
        <w:t xml:space="preserve"> </w:t>
      </w:r>
      <w:r w:rsidRPr="00BD3832">
        <w:t xml:space="preserve">However, their knowledge and beliefs differ regarding the causation of various specific health effects. People of urban areas are usually more educated and knowledgeable about the consequences of tobacco use, but that does not mean, they are aware of the detrimental impact about tobacco-use atHHs (Haque </w:t>
      </w:r>
      <w:r w:rsidR="008B1ECB" w:rsidRPr="00BD3832">
        <w:t>et al.</w:t>
      </w:r>
      <w:r w:rsidRPr="00BD3832">
        <w:t xml:space="preserve"> 2019).</w:t>
      </w:r>
    </w:p>
    <w:p w14:paraId="2A25AAFB" w14:textId="77777777" w:rsidR="00D4090A" w:rsidRPr="00BD3832" w:rsidRDefault="00D4090A" w:rsidP="00D4090A">
      <w:pPr>
        <w:autoSpaceDE w:val="0"/>
        <w:autoSpaceDN w:val="0"/>
        <w:adjustRightInd w:val="0"/>
        <w:spacing w:before="120" w:after="120"/>
        <w:jc w:val="both"/>
        <w:rPr>
          <w:vertAlign w:val="superscript"/>
        </w:rPr>
      </w:pPr>
      <w:r w:rsidRPr="00BD3832">
        <w:t xml:space="preserve">Previous studies in Bangladesh have shown tobacco-use to be merely part of cultural traditions. Still, there is dearth of research on parental knowledge and perceptions on health effects of tobacco use and tobacco control measures by parents at HH level </w:t>
      </w:r>
      <w:r w:rsidRPr="00BD3832">
        <w:rPr>
          <w:rFonts w:eastAsia="AdvTimes"/>
        </w:rPr>
        <w:t xml:space="preserve">(Idris </w:t>
      </w:r>
      <w:r w:rsidR="008B1ECB" w:rsidRPr="00BD3832">
        <w:rPr>
          <w:rFonts w:eastAsia="AdvTimes"/>
        </w:rPr>
        <w:t>et al.</w:t>
      </w:r>
      <w:r w:rsidRPr="00BD3832">
        <w:rPr>
          <w:rFonts w:eastAsia="AdvTimes"/>
        </w:rPr>
        <w:t xml:space="preserve"> 2007; </w:t>
      </w:r>
      <w:r w:rsidRPr="00BD3832">
        <w:t xml:space="preserve">Rahman </w:t>
      </w:r>
      <w:r w:rsidR="008B1ECB" w:rsidRPr="00BD3832">
        <w:t>et al.</w:t>
      </w:r>
      <w:r w:rsidRPr="00BD3832">
        <w:t xml:space="preserve"> 2015; Simons-Morton and Farhat, 2010; Uddin </w:t>
      </w:r>
      <w:r w:rsidR="008B1ECB" w:rsidRPr="00BD3832">
        <w:t>et al.</w:t>
      </w:r>
      <w:r w:rsidRPr="00BD3832">
        <w:t xml:space="preserve"> 2009). As such, the aim of this research is to explore the status of tobacco-use at home and the prevalence of tobacco-use acceptance at HHs; and to investigate the parental knowledge on the health effect of tobacco-use, and to explore parental perceptions regarding the familial tobacco control measures at the HH-level in urban residential areas of Dhaka city, Bangladesh. </w:t>
      </w:r>
    </w:p>
    <w:p w14:paraId="021D2420" w14:textId="77777777" w:rsidR="00D4090A" w:rsidRPr="00BD3832" w:rsidRDefault="00D4090A" w:rsidP="00BD3832">
      <w:pPr>
        <w:pStyle w:val="Heading1"/>
      </w:pPr>
      <w:r w:rsidRPr="00BD3832">
        <w:lastRenderedPageBreak/>
        <w:t>Materials &amp; Methods</w:t>
      </w:r>
    </w:p>
    <w:p w14:paraId="32FF87F0" w14:textId="77777777" w:rsidR="00D4090A" w:rsidRPr="00BD3832" w:rsidRDefault="00D4090A" w:rsidP="00BD3832">
      <w:pPr>
        <w:pStyle w:val="Heading2"/>
      </w:pPr>
      <w:r w:rsidRPr="00BD3832">
        <w:t>Design and settings</w:t>
      </w:r>
    </w:p>
    <w:p w14:paraId="100ED164" w14:textId="77777777" w:rsidR="00D4090A" w:rsidRPr="00BD3832" w:rsidRDefault="00D4090A" w:rsidP="00D4090A">
      <w:pPr>
        <w:autoSpaceDE w:val="0"/>
        <w:autoSpaceDN w:val="0"/>
        <w:adjustRightInd w:val="0"/>
        <w:spacing w:before="120" w:after="120"/>
        <w:jc w:val="both"/>
      </w:pPr>
      <w:r w:rsidRPr="00BD3832">
        <w:t xml:space="preserve">The data for this cross-sectional study was collected between March and October 2016 from four urban residential areas of Dhaka City. </w:t>
      </w:r>
    </w:p>
    <w:p w14:paraId="2383B396" w14:textId="77777777" w:rsidR="00D4090A" w:rsidRPr="00BD3832" w:rsidRDefault="00D4090A" w:rsidP="00BD3832">
      <w:pPr>
        <w:pStyle w:val="Heading2"/>
      </w:pPr>
      <w:r w:rsidRPr="00BD3832">
        <w:t>Sample</w:t>
      </w:r>
    </w:p>
    <w:p w14:paraId="0E8D3532" w14:textId="77777777" w:rsidR="00D4090A" w:rsidRPr="00BD3832" w:rsidRDefault="00D4090A" w:rsidP="00BD3832">
      <w:pPr>
        <w:pStyle w:val="Heading3"/>
      </w:pPr>
      <w:r w:rsidRPr="00BD3832">
        <w:t>Sample size and inclusion criteria</w:t>
      </w:r>
    </w:p>
    <w:p w14:paraId="2AA97944" w14:textId="46870E48" w:rsidR="001A176B" w:rsidRPr="00BD3832" w:rsidRDefault="00D4090A" w:rsidP="00D4090A">
      <w:pPr>
        <w:spacing w:before="120" w:after="120"/>
        <w:jc w:val="both"/>
      </w:pPr>
      <w:r w:rsidRPr="00BD3832">
        <w:t xml:space="preserve"> A total of 400 participants were recruited in the study. Either of the adult parents (≥18 years) using tobacco products were included in the study whereas, temporary migrants (guests) were excluded. The sample size was calculated using sample size formula </w:t>
      </w:r>
      <m:oMath>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p(1-p)</m:t>
            </m:r>
          </m:num>
          <m:den>
            <m:sSup>
              <m:sSupPr>
                <m:ctrlPr>
                  <w:rPr>
                    <w:rFonts w:ascii="Cambria Math" w:hAnsi="Cambria Math"/>
                    <w:i/>
                  </w:rPr>
                </m:ctrlPr>
              </m:sSupPr>
              <m:e>
                <m:r>
                  <w:rPr>
                    <w:rFonts w:ascii="Cambria Math" w:hAnsi="Cambria Math"/>
                  </w:rPr>
                  <m:t>d</m:t>
                </m:r>
              </m:e>
              <m:sup>
                <m:r>
                  <w:rPr>
                    <w:rFonts w:ascii="Cambria Math" w:hAnsi="Cambria Math"/>
                  </w:rPr>
                  <m:t>2</m:t>
                </m:r>
              </m:sup>
            </m:sSup>
          </m:den>
        </m:f>
      </m:oMath>
      <w:r w:rsidRPr="00BD3832">
        <w:fldChar w:fldCharType="begin"/>
      </w:r>
      <w:r w:rsidRPr="00BD3832">
        <w:instrText xml:space="preserve"> QUOTE </w:instrText>
      </w:r>
      <m:oMath>
        <m:r>
          <m:rPr>
            <m:sty m:val="p"/>
          </m:rPr>
          <w:rPr>
            <w:rFonts w:ascii="Cambria Math" w:hAnsi="Cambria Math"/>
          </w:rPr>
          <m:t>n=</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z</m:t>
                </m:r>
              </m:e>
              <m:sup>
                <m:r>
                  <m:rPr>
                    <m:sty m:val="p"/>
                  </m:rPr>
                  <w:rPr>
                    <w:rFonts w:ascii="Cambria Math" w:hAnsi="Cambria Math"/>
                  </w:rPr>
                  <m:t>2</m:t>
                </m:r>
              </m:sup>
            </m:sSup>
            <m:r>
              <m:rPr>
                <m:sty m:val="p"/>
              </m:rPr>
              <w:rPr>
                <w:rFonts w:ascii="Cambria Math" w:hAnsi="Cambria Math"/>
              </w:rPr>
              <m:t>pq</m:t>
            </m:r>
          </m:num>
          <m:den>
            <m:sSup>
              <m:sSupPr>
                <m:ctrlPr>
                  <w:rPr>
                    <w:rFonts w:ascii="Cambria Math" w:hAnsi="Cambria Math"/>
                    <w:i/>
                  </w:rPr>
                </m:ctrlPr>
              </m:sSupPr>
              <m:e>
                <m:r>
                  <m:rPr>
                    <m:sty m:val="p"/>
                  </m:rPr>
                  <w:rPr>
                    <w:rFonts w:ascii="Cambria Math" w:hAnsi="Cambria Math"/>
                  </w:rPr>
                  <m:t>d</m:t>
                </m:r>
              </m:e>
              <m:sup>
                <m:r>
                  <m:rPr>
                    <m:sty m:val="p"/>
                  </m:rPr>
                  <w:rPr>
                    <w:rFonts w:ascii="Cambria Math" w:hAnsi="Cambria Math"/>
                  </w:rPr>
                  <m:t>2</m:t>
                </m:r>
              </m:sup>
            </m:sSup>
          </m:den>
        </m:f>
      </m:oMath>
      <w:r w:rsidRPr="00BD3832">
        <w:fldChar w:fldCharType="end"/>
      </w:r>
      <w:r w:rsidRPr="00BD3832">
        <w:fldChar w:fldCharType="begin"/>
      </w:r>
      <w:r w:rsidRPr="00BD3832">
        <w:instrText xml:space="preserve"> QUOTE </w:instrText>
      </w:r>
      <m:oMath>
        <m:r>
          <m:rPr>
            <m:sty m:val="p"/>
          </m:rPr>
          <w:rPr>
            <w:rFonts w:ascii="Cambria Math" w:hAnsi="Cambria Math"/>
          </w:rPr>
          <m:t>n=</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z</m:t>
                </m:r>
              </m:e>
              <m:sup>
                <m:r>
                  <m:rPr>
                    <m:sty m:val="p"/>
                  </m:rPr>
                  <w:rPr>
                    <w:rFonts w:ascii="Cambria Math" w:hAnsi="Cambria Math"/>
                  </w:rPr>
                  <m:t>2</m:t>
                </m:r>
              </m:sup>
            </m:sSup>
            <m:r>
              <m:rPr>
                <m:sty m:val="p"/>
              </m:rPr>
              <w:rPr>
                <w:rFonts w:ascii="Cambria Math" w:hAnsi="Cambria Math"/>
              </w:rPr>
              <m:t>pq</m:t>
            </m:r>
          </m:num>
          <m:den>
            <m:sSup>
              <m:sSupPr>
                <m:ctrlPr>
                  <w:rPr>
                    <w:rFonts w:ascii="Cambria Math" w:hAnsi="Cambria Math"/>
                    <w:i/>
                  </w:rPr>
                </m:ctrlPr>
              </m:sSupPr>
              <m:e>
                <m:r>
                  <m:rPr>
                    <m:sty m:val="p"/>
                  </m:rPr>
                  <w:rPr>
                    <w:rFonts w:ascii="Cambria Math" w:hAnsi="Cambria Math"/>
                  </w:rPr>
                  <m:t>d</m:t>
                </m:r>
              </m:e>
              <m:sup>
                <m:r>
                  <m:rPr>
                    <m:sty m:val="p"/>
                  </m:rPr>
                  <w:rPr>
                    <w:rFonts w:ascii="Cambria Math" w:hAnsi="Cambria Math"/>
                  </w:rPr>
                  <m:t>2</m:t>
                </m:r>
              </m:sup>
            </m:sSup>
          </m:den>
        </m:f>
      </m:oMath>
      <w:r w:rsidRPr="00BD3832">
        <w:fldChar w:fldCharType="end"/>
      </w:r>
      <w:r w:rsidRPr="00BD3832">
        <w:t>, where, n = desired sample size, z = 1.96 (at 95% CI), p = p</w:t>
      </w:r>
      <w:r w:rsidRPr="00BD3832">
        <w:rPr>
          <w:bCs/>
        </w:rPr>
        <w:t>revalence of overall current tobacco use (smoking or smokeless) among all adults in urban areas = 38.1%, (4)</w:t>
      </w:r>
      <w:r w:rsidRPr="00BD3832">
        <w:rPr>
          <w:bCs/>
          <w:vertAlign w:val="superscript"/>
        </w:rPr>
        <w:t xml:space="preserve"> </w:t>
      </w:r>
      <w:r w:rsidRPr="00BD3832">
        <w:rPr>
          <w:bCs/>
        </w:rPr>
        <w:t xml:space="preserve">d = </w:t>
      </w:r>
      <w:r w:rsidRPr="00BD3832">
        <w:t xml:space="preserve">precision level (5%). Thus, the calculated sample size found 361, considering 10% non-response rate 400 participants were selected. </w:t>
      </w:r>
    </w:p>
    <w:p w14:paraId="429DF50D" w14:textId="77777777" w:rsidR="00D4090A" w:rsidRPr="00BD3832" w:rsidRDefault="00D4090A" w:rsidP="00BD3832">
      <w:pPr>
        <w:pStyle w:val="Heading3"/>
      </w:pPr>
      <w:r w:rsidRPr="00BD3832">
        <w:t>Sampling strategy</w:t>
      </w:r>
    </w:p>
    <w:p w14:paraId="40CEDB46" w14:textId="77777777" w:rsidR="00D4090A" w:rsidRPr="00BD3832" w:rsidRDefault="00D4090A" w:rsidP="00D4090A">
      <w:pPr>
        <w:spacing w:before="120" w:after="120"/>
        <w:jc w:val="both"/>
      </w:pPr>
      <w:r w:rsidRPr="00BD3832">
        <w:rPr>
          <w:b/>
        </w:rPr>
        <w:t>Figure 1</w:t>
      </w:r>
      <w:r w:rsidRPr="00BD3832">
        <w:t xml:space="preserve"> illustrates the multi-staged </w:t>
      </w:r>
      <w:r w:rsidRPr="00BD3832">
        <w:rPr>
          <w:rFonts w:eastAsia="ScalaLancetPro-Bold"/>
          <w:bCs/>
        </w:rPr>
        <w:t>probability-proportional sampling procedure of the study. At first, four</w:t>
      </w:r>
      <w:r w:rsidRPr="00BD3832">
        <w:t xml:space="preserve"> urban residential areas from Dhaka city were selected purposively </w:t>
      </w:r>
      <w:r w:rsidRPr="00BD3832">
        <w:rPr>
          <w:i/>
        </w:rPr>
        <w:t xml:space="preserve">viz. </w:t>
      </w:r>
      <w:r w:rsidRPr="00BD3832">
        <w:t>Mohammadpur Housing Society and Sector-6, Uttara from North City Corporation, Dhanmondi, and Motijheel colony from South City Corporation. These places were selected to incorporate participants from all four quadrants of Dhaka city</w:t>
      </w:r>
      <w:r w:rsidRPr="00BD3832">
        <w:rPr>
          <w:bCs/>
        </w:rPr>
        <w:t xml:space="preserve"> with emphasizing on the geographical representation of the whole City and to represent a population form recognized residential areas with having adequate city advantages</w:t>
      </w:r>
      <w:r w:rsidRPr="00BD3832">
        <w:t>.</w:t>
      </w:r>
    </w:p>
    <w:p w14:paraId="5ABEE751" w14:textId="77777777" w:rsidR="00D4090A" w:rsidRPr="00BD3832" w:rsidRDefault="00D4090A" w:rsidP="00D4090A">
      <w:pPr>
        <w:spacing w:before="120" w:after="120"/>
        <w:jc w:val="both"/>
        <w:rPr>
          <w:b/>
        </w:rPr>
      </w:pPr>
      <w:r w:rsidRPr="00BD3832">
        <w:rPr>
          <w:b/>
        </w:rPr>
        <w:t>[INSERT FIGURE 1]</w:t>
      </w:r>
    </w:p>
    <w:p w14:paraId="68BCF4ED" w14:textId="77777777" w:rsidR="00D4090A" w:rsidRPr="00BD3832" w:rsidRDefault="00D4090A" w:rsidP="00D4090A">
      <w:pPr>
        <w:spacing w:before="120" w:after="120"/>
        <w:jc w:val="both"/>
      </w:pPr>
      <w:r w:rsidRPr="00BD3832">
        <w:lastRenderedPageBreak/>
        <w:t xml:space="preserve">At the second stage, a list of 3,024 households involving a total population of 11,853 was drawn up from the respective city corporation offices. After a short enumeration survey in the listed HHs, a total of 1,436 tobacco users were drawn up. Probability-proportional-to-size sampling was used to draw out the target population. A list of tobacco user comprising of 297,351,156, and 632 respectively for the four study settings were drawn up. It was used as four single sampling units of tobacco users, and then 400 tobacco using parents (from 400 households) were selected from the list using systematic sampling technique. </w:t>
      </w:r>
    </w:p>
    <w:p w14:paraId="340D1485" w14:textId="77777777" w:rsidR="00D4090A" w:rsidRPr="00BD3832" w:rsidRDefault="00D4090A" w:rsidP="00BD3832">
      <w:pPr>
        <w:pStyle w:val="Heading2"/>
      </w:pPr>
      <w:r w:rsidRPr="00BD3832">
        <w:t>Ethics</w:t>
      </w:r>
    </w:p>
    <w:p w14:paraId="74D905C9" w14:textId="77777777" w:rsidR="00D4090A" w:rsidRPr="00BD3832" w:rsidRDefault="00D4090A" w:rsidP="00D4090A">
      <w:pPr>
        <w:jc w:val="both"/>
      </w:pPr>
      <w:r w:rsidRPr="00BD3832">
        <w:rPr>
          <w:iCs/>
        </w:rPr>
        <w:t xml:space="preserve">The study protocol was approved by the National Research Ethics Committee (NREC) of the Bangladesh Medical Research Council (BMRC) (BMRC/NREC/2016-2019/1429). </w:t>
      </w:r>
      <w:r w:rsidRPr="00BD3832">
        <w:rPr>
          <w:bCs/>
        </w:rPr>
        <w:t>Prior to starting the data collection, the interviewers briefed participants about the background and objectives of the study and informed written consent was obtained from them. The anonymity and confidentiality of the participants were strictly maintained and no incentive was offered.</w:t>
      </w:r>
    </w:p>
    <w:p w14:paraId="44BFD732" w14:textId="77777777" w:rsidR="00D4090A" w:rsidRPr="00BD3832" w:rsidRDefault="00D4090A" w:rsidP="00BD3832">
      <w:pPr>
        <w:pStyle w:val="Heading2"/>
      </w:pPr>
      <w:r w:rsidRPr="00BD3832">
        <w:t xml:space="preserve">Measures </w:t>
      </w:r>
    </w:p>
    <w:p w14:paraId="0EAF77A7" w14:textId="77777777" w:rsidR="00D4090A" w:rsidRPr="00BD3832" w:rsidRDefault="00D4090A" w:rsidP="00D4090A">
      <w:pPr>
        <w:autoSpaceDE w:val="0"/>
        <w:autoSpaceDN w:val="0"/>
        <w:adjustRightInd w:val="0"/>
        <w:jc w:val="both"/>
      </w:pPr>
      <w:r w:rsidRPr="00BD3832">
        <w:rPr>
          <w:rFonts w:eastAsia="Calibri"/>
        </w:rPr>
        <w:t>A</w:t>
      </w:r>
      <w:r w:rsidRPr="00BD3832">
        <w:t xml:space="preserve"> semi-structured questionnaire was formed to gather quantitative data. A pilot study (taking a double pre-test) was conducted using a questionnaire (translated into local language) among non-sample sites in an urban residential area within Dhaka City. The first pre-test recruited 20 eligible participants (25% female), which helped do check the suitability and sequencing of the questions. Problematic and unrealistic questions were revised and edited accordingly. Afterward, using the retest approach at an interval of 3 weeks to 5 weeks, we ran an additional pre-test among 20 participants in similar non-sample settings in order to achieve the construct validation. The Cronbach alpha was </w:t>
      </w:r>
      <w:r w:rsidRPr="00BD3832">
        <w:lastRenderedPageBreak/>
        <w:t>calcu</w:t>
      </w:r>
      <w:r w:rsidRPr="00BD3832">
        <w:softHyphen/>
        <w:t>lated to determine the reliability of the questions and values were 0.774 for the knowl</w:t>
      </w:r>
      <w:r w:rsidRPr="00BD3832">
        <w:softHyphen/>
        <w:t>edge domain, 0.921 for the perception domain.</w:t>
      </w:r>
    </w:p>
    <w:p w14:paraId="7C8DF703" w14:textId="77777777" w:rsidR="00D4090A" w:rsidRPr="00BD3832" w:rsidRDefault="00D4090A" w:rsidP="00D4090A">
      <w:pPr>
        <w:autoSpaceDE w:val="0"/>
        <w:autoSpaceDN w:val="0"/>
        <w:adjustRightInd w:val="0"/>
        <w:jc w:val="both"/>
      </w:pPr>
      <w:r w:rsidRPr="00BD3832">
        <w:rPr>
          <w:rFonts w:eastAsia="Calibri"/>
          <w:bCs/>
        </w:rPr>
        <w:t>Data available in Supplementary Table 1</w:t>
      </w:r>
      <w:r w:rsidRPr="00BD3832">
        <w:rPr>
          <w:rFonts w:eastAsia="Calibri"/>
          <w:b/>
          <w:bCs/>
        </w:rPr>
        <w:t xml:space="preserve"> </w:t>
      </w:r>
      <w:r w:rsidRPr="00BD3832">
        <w:rPr>
          <w:rFonts w:eastAsia="Calibri"/>
          <w:bCs/>
        </w:rPr>
        <w:t xml:space="preserve">shows 4 </w:t>
      </w:r>
      <w:r w:rsidRPr="00BD3832">
        <w:t xml:space="preserve">domains of the questionnaire: A. participants’ socio-demographics; B. status of tobacco-use and its acceptance at HH-level; C. 15-items knowledge questions (Don’t know/Yes) regarding adverse health effects of tobacco-use and D.14-items perceptions questions (Disagree/Agree) on parental tobacco control measures at HHs-level. These knowledge and perceptions questions were </w:t>
      </w:r>
      <w:r w:rsidRPr="00BD3832">
        <w:rPr>
          <w:rFonts w:eastAsia="Calibri"/>
        </w:rPr>
        <w:t>adapted from recent Global Adult Tobacco Survey (GATS) Report for Bangladesh, (</w:t>
      </w:r>
      <w:r w:rsidRPr="00BD3832">
        <w:t>Global adult tobacco survey [GATS], 2017)</w:t>
      </w:r>
      <w:r w:rsidRPr="00BD3832">
        <w:rPr>
          <w:rFonts w:eastAsia="Calibri"/>
          <w:vertAlign w:val="superscript"/>
        </w:rPr>
        <w:t xml:space="preserve"> </w:t>
      </w:r>
      <w:r w:rsidRPr="00BD3832">
        <w:t>WHO tobacco epidemic control questionnaire, (</w:t>
      </w:r>
      <w:r w:rsidRPr="00BD3832">
        <w:rPr>
          <w:rFonts w:eastAsia="AdvTimes"/>
        </w:rPr>
        <w:t>WHO, 2017</w:t>
      </w:r>
      <w:r w:rsidRPr="00BD3832">
        <w:t xml:space="preserve">) and previous relevant studies (WHO, 2009; </w:t>
      </w:r>
      <w:r w:rsidRPr="00BD3832">
        <w:rPr>
          <w:rFonts w:eastAsia="Calibri"/>
        </w:rPr>
        <w:t xml:space="preserve">Matt </w:t>
      </w:r>
      <w:r w:rsidR="008B1ECB" w:rsidRPr="00BD3832">
        <w:rPr>
          <w:rFonts w:eastAsia="Calibri"/>
        </w:rPr>
        <w:t>et al.</w:t>
      </w:r>
      <w:r w:rsidRPr="00BD3832">
        <w:rPr>
          <w:rFonts w:eastAsia="Calibri"/>
        </w:rPr>
        <w:t xml:space="preserve"> 2011; </w:t>
      </w:r>
      <w:r w:rsidRPr="00BD3832">
        <w:rPr>
          <w:rFonts w:eastAsia="AdvTimes"/>
        </w:rPr>
        <w:t xml:space="preserve">WHO, 2017; </w:t>
      </w:r>
      <w:r w:rsidRPr="00BD3832">
        <w:t xml:space="preserve">Rahman </w:t>
      </w:r>
      <w:r w:rsidR="008B1ECB" w:rsidRPr="00BD3832">
        <w:t>et al.</w:t>
      </w:r>
      <w:r w:rsidRPr="00BD3832">
        <w:t xml:space="preserve"> 2015; Hasib </w:t>
      </w:r>
      <w:r w:rsidR="008B1ECB" w:rsidRPr="00BD3832">
        <w:t>et al.</w:t>
      </w:r>
      <w:r w:rsidRPr="00BD3832">
        <w:t xml:space="preserve"> 2016; Haque </w:t>
      </w:r>
      <w:r w:rsidR="008B1ECB" w:rsidRPr="00BD3832">
        <w:t>et al.</w:t>
      </w:r>
      <w:r w:rsidRPr="00BD3832">
        <w:t xml:space="preserve"> 2019; Bhatia </w:t>
      </w:r>
      <w:r w:rsidR="008B1ECB" w:rsidRPr="00BD3832">
        <w:t>et al.</w:t>
      </w:r>
      <w:r w:rsidRPr="00BD3832">
        <w:t xml:space="preserve"> 2014; </w:t>
      </w:r>
      <w:r w:rsidRPr="00BD3832">
        <w:rPr>
          <w:rStyle w:val="element-citation"/>
        </w:rPr>
        <w:t xml:space="preserve">Siahpush </w:t>
      </w:r>
      <w:r w:rsidR="008B1ECB" w:rsidRPr="00BD3832">
        <w:rPr>
          <w:rStyle w:val="element-citation"/>
        </w:rPr>
        <w:t>et al.</w:t>
      </w:r>
      <w:r w:rsidRPr="00BD3832">
        <w:rPr>
          <w:rStyle w:val="element-citation"/>
        </w:rPr>
        <w:t xml:space="preserve"> 2002; </w:t>
      </w:r>
      <w:r w:rsidRPr="00BD3832">
        <w:t xml:space="preserve">Andersen et., 2004; Tsoh </w:t>
      </w:r>
      <w:r w:rsidR="008B1ECB" w:rsidRPr="00BD3832">
        <w:t>et al.</w:t>
      </w:r>
      <w:r w:rsidRPr="00BD3832">
        <w:t xml:space="preserve"> 2011). Overall knowledge level and perceptions was calculated by summing up items scores, and “Don’t know” or “disagree” response was coded as 0 and correct or agree response was coded as 1. The total scores for knowledge ranged from 1 to 15 and for perceptions ranged from 1 to 14 score. A score of less than 50% was considered poor, 50% to 79% moderate/mediocre, and 80% and/or above was considered as good (</w:t>
      </w:r>
      <w:r w:rsidRPr="00BD3832">
        <w:rPr>
          <w:rFonts w:eastAsia="Calibri"/>
        </w:rPr>
        <w:t xml:space="preserve">Fashafsheh </w:t>
      </w:r>
      <w:r w:rsidR="008B1ECB" w:rsidRPr="00BD3832">
        <w:rPr>
          <w:rFonts w:eastAsia="Calibri"/>
        </w:rPr>
        <w:t>et al.</w:t>
      </w:r>
      <w:r w:rsidRPr="00BD3832">
        <w:rPr>
          <w:rFonts w:eastAsia="Calibri"/>
        </w:rPr>
        <w:t xml:space="preserve"> 2015)</w:t>
      </w:r>
      <w:r w:rsidRPr="00BD3832">
        <w:t>.</w:t>
      </w:r>
      <w:r w:rsidRPr="00BD3832">
        <w:rPr>
          <w:vertAlign w:val="superscript"/>
        </w:rPr>
        <w:t xml:space="preserve"> </w:t>
      </w:r>
    </w:p>
    <w:p w14:paraId="6D4A3AE1" w14:textId="77777777" w:rsidR="00D4090A" w:rsidRPr="00BD3832" w:rsidRDefault="00D4090A" w:rsidP="00BD3832">
      <w:pPr>
        <w:pStyle w:val="Heading2"/>
      </w:pPr>
      <w:r w:rsidRPr="00BD3832">
        <w:t>Analysis</w:t>
      </w:r>
    </w:p>
    <w:p w14:paraId="53C1AF44" w14:textId="45B6E283" w:rsidR="00D4090A" w:rsidRPr="00BD3832" w:rsidRDefault="00D4090A" w:rsidP="00D4090A">
      <w:pPr>
        <w:autoSpaceDE w:val="0"/>
        <w:autoSpaceDN w:val="0"/>
        <w:adjustRightInd w:val="0"/>
        <w:jc w:val="both"/>
      </w:pPr>
      <w:r w:rsidRPr="00BD3832">
        <w:t xml:space="preserve">Descriptive statistics, Chi-Square test and </w:t>
      </w:r>
      <w:r w:rsidR="002409CE" w:rsidRPr="00BD3832">
        <w:t xml:space="preserve">simple </w:t>
      </w:r>
      <w:r w:rsidRPr="00BD3832">
        <w:t xml:space="preserve">logistic regression analysis were performed using SPSS version 20 </w:t>
      </w:r>
      <w:r w:rsidRPr="00BD3832">
        <w:rPr>
          <w:iCs/>
        </w:rPr>
        <w:t xml:space="preserve">to explore the factors surrounding </w:t>
      </w:r>
      <w:r w:rsidRPr="00BD3832">
        <w:t xml:space="preserve">parental knowledge and perceptions on health effects and parental tobacco control measures at the HH-level. </w:t>
      </w:r>
      <w:r w:rsidR="00840251" w:rsidRPr="00BD3832">
        <w:rPr>
          <w:iCs/>
        </w:rPr>
        <w:t xml:space="preserve">Multiple </w:t>
      </w:r>
      <w:r w:rsidRPr="00BD3832">
        <w:rPr>
          <w:iCs/>
        </w:rPr>
        <w:t>logistic regression was performed in order to adjust the impact of confounders (such as age, income, education, living status) on the association of potential predictors. Over</w:t>
      </w:r>
      <w:r w:rsidRPr="00BD3832">
        <w:t xml:space="preserve">all knowledge and perceptions scores were used as dependent variables. The </w:t>
      </w:r>
      <w:r w:rsidRPr="00BD3832">
        <w:lastRenderedPageBreak/>
        <w:t xml:space="preserve">knowledge level was categorized as poor (poor-moderate) knowledge and good knowledge, and perceptions level were categorized as poor (poor-moderate) perceptions and good perception. Participants’ socio-demographic characteristics, individual knowledge and perceptions items were used as independent variables, and the findings were interpreted using Odds Ratio (OR) with a 5% level of significance for each category. The prevalence of tobacco-use acceptances at home was calculated by dividing the total number of tobacco accepted in a household (either participant or other family members) with all sample households and only one tobacco user was considered from each HH.  </w:t>
      </w:r>
    </w:p>
    <w:p w14:paraId="486DA256" w14:textId="77777777" w:rsidR="002C2678" w:rsidRPr="00BD3832" w:rsidRDefault="002C2678" w:rsidP="00D4090A">
      <w:pPr>
        <w:autoSpaceDE w:val="0"/>
        <w:autoSpaceDN w:val="0"/>
        <w:adjustRightInd w:val="0"/>
        <w:jc w:val="both"/>
        <w:rPr>
          <w:b/>
        </w:rPr>
      </w:pPr>
    </w:p>
    <w:p w14:paraId="30F9A6E4" w14:textId="77777777" w:rsidR="00D4090A" w:rsidRPr="00BD3832" w:rsidRDefault="00D4090A" w:rsidP="00BD3832">
      <w:pPr>
        <w:pStyle w:val="Heading1"/>
        <w:rPr>
          <w:iCs/>
        </w:rPr>
      </w:pPr>
      <w:r w:rsidRPr="00BD3832">
        <w:t xml:space="preserve">Results </w:t>
      </w:r>
    </w:p>
    <w:p w14:paraId="74845703" w14:textId="77777777" w:rsidR="00D4090A" w:rsidRPr="00BD3832" w:rsidRDefault="00D4090A" w:rsidP="00D4090A">
      <w:pPr>
        <w:pStyle w:val="CommentText"/>
        <w:spacing w:line="480" w:lineRule="auto"/>
        <w:jc w:val="both"/>
        <w:rPr>
          <w:rFonts w:ascii="Times New Roman" w:hAnsi="Times New Roman"/>
          <w:sz w:val="24"/>
          <w:szCs w:val="24"/>
        </w:rPr>
      </w:pPr>
      <w:r w:rsidRPr="00BD3832">
        <w:rPr>
          <w:rFonts w:ascii="Times New Roman" w:hAnsi="Times New Roman"/>
          <w:bCs/>
          <w:sz w:val="24"/>
          <w:szCs w:val="24"/>
        </w:rPr>
        <w:t>The mean age (</w:t>
      </w:r>
      <w:r w:rsidRPr="00BD3832">
        <w:rPr>
          <w:rFonts w:ascii="Times New Roman" w:hAnsi="Times New Roman"/>
          <w:bCs/>
          <w:sz w:val="24"/>
          <w:szCs w:val="24"/>
          <w:lang w:bidi="ar-SA"/>
        </w:rPr>
        <w:t>± SD</w:t>
      </w:r>
      <w:r w:rsidRPr="00BD3832">
        <w:rPr>
          <w:rFonts w:ascii="Times New Roman" w:hAnsi="Times New Roman"/>
          <w:bCs/>
          <w:sz w:val="24"/>
          <w:szCs w:val="24"/>
        </w:rPr>
        <w:t xml:space="preserve">) of participants was </w:t>
      </w:r>
      <w:r w:rsidRPr="00BD3832">
        <w:rPr>
          <w:rFonts w:ascii="Times New Roman" w:hAnsi="Times New Roman"/>
          <w:bCs/>
          <w:sz w:val="24"/>
          <w:szCs w:val="24"/>
          <w:lang w:bidi="ar-SA"/>
        </w:rPr>
        <w:t>30.4 ± 10.4 years. Nearly one-third of the participants aged 30 years or above used tobacco products at the HH-level, which was found highly significant (P</w:t>
      </w:r>
      <w:r w:rsidRPr="00BD3832">
        <w:rPr>
          <w:rFonts w:ascii="Times New Roman" w:hAnsi="Times New Roman"/>
          <w:sz w:val="24"/>
          <w:szCs w:val="24"/>
          <w:lang w:bidi="ar-SA"/>
        </w:rPr>
        <w:t xml:space="preserve">&lt;0.001). </w:t>
      </w:r>
    </w:p>
    <w:p w14:paraId="140AF44C" w14:textId="141C8CD1" w:rsidR="00D4090A" w:rsidRPr="00BD3832" w:rsidRDefault="00D4090A" w:rsidP="00D4090A">
      <w:pPr>
        <w:pStyle w:val="CommentText"/>
        <w:spacing w:line="480" w:lineRule="auto"/>
        <w:jc w:val="both"/>
        <w:rPr>
          <w:rFonts w:ascii="Times New Roman" w:hAnsi="Times New Roman"/>
          <w:sz w:val="24"/>
          <w:szCs w:val="24"/>
        </w:rPr>
      </w:pPr>
      <w:r w:rsidRPr="00BD3832">
        <w:rPr>
          <w:rFonts w:ascii="Times New Roman" w:hAnsi="Times New Roman"/>
          <w:bCs/>
          <w:sz w:val="24"/>
          <w:szCs w:val="24"/>
          <w:lang w:bidi="ar-SA"/>
        </w:rPr>
        <w:t>An overwhelming majority (84.6%) of tobacco users (especially SLT) at HHs in the study areas were female. There was a strong association (P</w:t>
      </w:r>
      <w:r w:rsidRPr="00BD3832">
        <w:rPr>
          <w:rFonts w:ascii="Times New Roman" w:hAnsi="Times New Roman"/>
          <w:sz w:val="24"/>
          <w:szCs w:val="24"/>
          <w:lang w:bidi="ar-SA"/>
        </w:rPr>
        <w:t>&lt;0.001</w:t>
      </w:r>
      <w:r w:rsidRPr="00BD3832">
        <w:rPr>
          <w:rFonts w:ascii="Times New Roman" w:hAnsi="Times New Roman"/>
          <w:bCs/>
          <w:sz w:val="24"/>
          <w:szCs w:val="24"/>
          <w:lang w:bidi="ar-SA"/>
        </w:rPr>
        <w:t xml:space="preserve">) between sex and tobacco use at the HH-level.  Lower and middle educated participants </w:t>
      </w:r>
      <w:r w:rsidRPr="00BD3832">
        <w:rPr>
          <w:rFonts w:ascii="Times New Roman" w:hAnsi="Times New Roman"/>
          <w:sz w:val="24"/>
          <w:szCs w:val="24"/>
        </w:rPr>
        <w:t>(</w:t>
      </w:r>
      <w:r w:rsidRPr="00BD3832">
        <w:rPr>
          <w:rFonts w:ascii="Times New Roman" w:hAnsi="Times New Roman"/>
          <w:bCs/>
          <w:sz w:val="24"/>
          <w:szCs w:val="24"/>
          <w:lang w:bidi="ar-SA"/>
        </w:rPr>
        <w:t>P</w:t>
      </w:r>
      <w:r w:rsidRPr="00BD3832">
        <w:rPr>
          <w:rFonts w:ascii="Times New Roman" w:hAnsi="Times New Roman"/>
          <w:sz w:val="24"/>
          <w:szCs w:val="24"/>
          <w:lang w:bidi="ar-SA"/>
        </w:rPr>
        <w:t>&lt;0.001</w:t>
      </w:r>
      <w:r w:rsidRPr="00BD3832">
        <w:rPr>
          <w:rFonts w:ascii="Times New Roman" w:hAnsi="Times New Roman"/>
          <w:sz w:val="24"/>
          <w:szCs w:val="24"/>
        </w:rPr>
        <w:t xml:space="preserve">) </w:t>
      </w:r>
      <w:r w:rsidRPr="00BD3832">
        <w:rPr>
          <w:rFonts w:ascii="Times New Roman" w:hAnsi="Times New Roman"/>
          <w:bCs/>
          <w:sz w:val="24"/>
          <w:szCs w:val="24"/>
          <w:lang w:bidi="ar-SA"/>
        </w:rPr>
        <w:t xml:space="preserve">as well as </w:t>
      </w:r>
      <w:r w:rsidRPr="00BD3832">
        <w:rPr>
          <w:rFonts w:ascii="Times New Roman" w:hAnsi="Times New Roman"/>
          <w:bCs/>
          <w:strike/>
          <w:sz w:val="24"/>
          <w:szCs w:val="24"/>
          <w:lang w:bidi="ar-SA"/>
        </w:rPr>
        <w:t xml:space="preserve">service </w:t>
      </w:r>
      <w:r w:rsidR="00035165" w:rsidRPr="00BD3832">
        <w:rPr>
          <w:rFonts w:ascii="Times New Roman" w:hAnsi="Times New Roman"/>
          <w:bCs/>
          <w:sz w:val="24"/>
          <w:szCs w:val="24"/>
          <w:lang w:bidi="ar-SA"/>
        </w:rPr>
        <w:t xml:space="preserve">working </w:t>
      </w:r>
      <w:r w:rsidRPr="00BD3832">
        <w:rPr>
          <w:rFonts w:ascii="Times New Roman" w:hAnsi="Times New Roman"/>
          <w:bCs/>
          <w:sz w:val="24"/>
          <w:szCs w:val="24"/>
          <w:lang w:bidi="ar-SA"/>
        </w:rPr>
        <w:t xml:space="preserve">participants </w:t>
      </w:r>
      <w:r w:rsidRPr="00BD3832">
        <w:rPr>
          <w:rFonts w:ascii="Times New Roman" w:hAnsi="Times New Roman"/>
          <w:sz w:val="24"/>
          <w:szCs w:val="24"/>
        </w:rPr>
        <w:t>(</w:t>
      </w:r>
      <w:r w:rsidRPr="00BD3832">
        <w:rPr>
          <w:rFonts w:ascii="Times New Roman" w:hAnsi="Times New Roman"/>
          <w:bCs/>
          <w:sz w:val="24"/>
          <w:szCs w:val="24"/>
          <w:lang w:bidi="ar-SA"/>
        </w:rPr>
        <w:t>P</w:t>
      </w:r>
      <w:r w:rsidRPr="00BD3832">
        <w:rPr>
          <w:rFonts w:ascii="Times New Roman" w:hAnsi="Times New Roman"/>
          <w:sz w:val="24"/>
          <w:szCs w:val="24"/>
          <w:lang w:bidi="ar-SA"/>
        </w:rPr>
        <w:t>&lt;0.001</w:t>
      </w:r>
      <w:r w:rsidRPr="00BD3832">
        <w:rPr>
          <w:rFonts w:ascii="Times New Roman" w:hAnsi="Times New Roman"/>
          <w:sz w:val="24"/>
          <w:szCs w:val="24"/>
        </w:rPr>
        <w:t xml:space="preserve">) </w:t>
      </w:r>
      <w:r w:rsidRPr="00BD3832">
        <w:rPr>
          <w:rFonts w:ascii="Times New Roman" w:hAnsi="Times New Roman"/>
          <w:bCs/>
          <w:sz w:val="24"/>
          <w:szCs w:val="24"/>
          <w:lang w:bidi="ar-SA"/>
        </w:rPr>
        <w:t>were found to be more likely to use tobacco at the HHs than the educated group</w:t>
      </w:r>
      <w:r w:rsidRPr="00BD3832">
        <w:rPr>
          <w:rFonts w:ascii="Times New Roman" w:hAnsi="Times New Roman"/>
          <w:sz w:val="24"/>
          <w:szCs w:val="24"/>
        </w:rPr>
        <w:t xml:space="preserve"> (Table 1).</w:t>
      </w:r>
    </w:p>
    <w:p w14:paraId="034AB1CC" w14:textId="77777777" w:rsidR="00D4090A" w:rsidRPr="00BD3832" w:rsidRDefault="00D4090A" w:rsidP="00D4090A">
      <w:pPr>
        <w:spacing w:after="200"/>
        <w:jc w:val="both"/>
        <w:rPr>
          <w:bCs/>
        </w:rPr>
      </w:pPr>
      <w:r w:rsidRPr="00BD3832">
        <w:rPr>
          <w:b/>
          <w:bCs/>
        </w:rPr>
        <w:t>Figure 2</w:t>
      </w:r>
      <w:r w:rsidRPr="00BD3832">
        <w:rPr>
          <w:bCs/>
        </w:rPr>
        <w:t xml:space="preserve"> shows that over one-fifth (22.0%) of the participants allow smoking tobacco at HHs followed by 7% accepted smokeless tobacco-use at HHs and only 4% allowed both smoking and smokeless use at their HHs. </w:t>
      </w:r>
      <w:r w:rsidR="008725B6" w:rsidRPr="00BD3832">
        <w:rPr>
          <w:bCs/>
        </w:rPr>
        <w:t>The study revealed that overall one-third (33.0%) of the participants accepted any kind of tobacco use at the HH-level.</w:t>
      </w:r>
    </w:p>
    <w:p w14:paraId="63939CB3" w14:textId="540884D0" w:rsidR="00D4090A" w:rsidRPr="00BD3832" w:rsidRDefault="00D4090A" w:rsidP="00D4090A">
      <w:pPr>
        <w:spacing w:after="200"/>
        <w:jc w:val="both"/>
        <w:rPr>
          <w:bCs/>
        </w:rPr>
      </w:pPr>
      <w:r w:rsidRPr="00BD3832">
        <w:rPr>
          <w:bCs/>
        </w:rPr>
        <w:t>Only one-</w:t>
      </w:r>
      <w:r w:rsidR="00F01851" w:rsidRPr="00BD3832">
        <w:rPr>
          <w:bCs/>
        </w:rPr>
        <w:t>fifth</w:t>
      </w:r>
      <w:r w:rsidRPr="00BD3832">
        <w:rPr>
          <w:bCs/>
        </w:rPr>
        <w:t xml:space="preserve"> of the participants (19.8%) had good knowledge and </w:t>
      </w:r>
      <w:r w:rsidR="00FD0552" w:rsidRPr="00BD3832">
        <w:rPr>
          <w:bCs/>
        </w:rPr>
        <w:t xml:space="preserve">40.8% had good </w:t>
      </w:r>
      <w:r w:rsidRPr="00BD3832">
        <w:rPr>
          <w:bCs/>
        </w:rPr>
        <w:t xml:space="preserve">level of </w:t>
      </w:r>
      <w:r w:rsidR="0057052B" w:rsidRPr="00BD3832">
        <w:rPr>
          <w:bCs/>
        </w:rPr>
        <w:t xml:space="preserve">perception </w:t>
      </w:r>
      <w:r w:rsidRPr="00BD3832">
        <w:rPr>
          <w:bCs/>
        </w:rPr>
        <w:t xml:space="preserve">regarding the health effect of tobacco-use </w:t>
      </w:r>
      <w:r w:rsidRPr="00BD3832">
        <w:rPr>
          <w:b/>
          <w:bCs/>
        </w:rPr>
        <w:t>(Table 2)</w:t>
      </w:r>
      <w:r w:rsidRPr="00BD3832">
        <w:rPr>
          <w:bCs/>
        </w:rPr>
        <w:t>.</w:t>
      </w:r>
      <w:r w:rsidR="006E6131" w:rsidRPr="00BD3832">
        <w:t xml:space="preserve"> </w:t>
      </w:r>
      <w:r w:rsidR="00DA669A" w:rsidRPr="00BD3832">
        <w:rPr>
          <w:bCs/>
        </w:rPr>
        <w:t>Similarly,</w:t>
      </w:r>
      <w:r w:rsidR="006E6131" w:rsidRPr="00BD3832">
        <w:rPr>
          <w:bCs/>
        </w:rPr>
        <w:t xml:space="preserve"> one</w:t>
      </w:r>
      <w:r w:rsidR="001E3ECA" w:rsidRPr="00BD3832">
        <w:rPr>
          <w:bCs/>
        </w:rPr>
        <w:t>-</w:t>
      </w:r>
      <w:r w:rsidR="00DA669A" w:rsidRPr="00BD3832">
        <w:rPr>
          <w:bCs/>
        </w:rPr>
        <w:t>fifth</w:t>
      </w:r>
      <w:r w:rsidR="006E6131" w:rsidRPr="00BD3832">
        <w:rPr>
          <w:bCs/>
        </w:rPr>
        <w:t xml:space="preserve"> of </w:t>
      </w:r>
      <w:r w:rsidR="006E6131" w:rsidRPr="00BD3832">
        <w:rPr>
          <w:bCs/>
        </w:rPr>
        <w:lastRenderedPageBreak/>
        <w:t xml:space="preserve">the parents aged below 30 years old </w:t>
      </w:r>
      <w:r w:rsidR="00B840F9" w:rsidRPr="00BD3832">
        <w:rPr>
          <w:bCs/>
        </w:rPr>
        <w:t>had</w:t>
      </w:r>
      <w:r w:rsidR="006E6131" w:rsidRPr="00BD3832">
        <w:rPr>
          <w:bCs/>
        </w:rPr>
        <w:t xml:space="preserve"> good knowledge and around half of the parents of this age </w:t>
      </w:r>
      <w:r w:rsidR="00B840F9" w:rsidRPr="00BD3832">
        <w:rPr>
          <w:bCs/>
        </w:rPr>
        <w:t>had</w:t>
      </w:r>
      <w:r w:rsidR="006E6131" w:rsidRPr="00BD3832">
        <w:rPr>
          <w:bCs/>
        </w:rPr>
        <w:t xml:space="preserve"> good level of perception about the health effects of tobacco-use and parental tobacco control measures at HH-level. Good level of knowledge (20.4%) and perception (41.9%) were found among male participants than the female participants. A considerable percentage of parents who live with family </w:t>
      </w:r>
      <w:r w:rsidR="00B840F9" w:rsidRPr="00BD3832">
        <w:rPr>
          <w:bCs/>
        </w:rPr>
        <w:t>had</w:t>
      </w:r>
      <w:r w:rsidR="006E6131" w:rsidRPr="00BD3832">
        <w:rPr>
          <w:bCs/>
        </w:rPr>
        <w:t xml:space="preserve"> good level of knowledge (20.1%) and perception (41.1%) regarding the health effects of tobacco-use and parental tobacco control measures. Around a quarter of the parents living with joint family poses good level of knowledge (20.6%) and majority (58.9%) of them </w:t>
      </w:r>
      <w:r w:rsidR="00B840F9" w:rsidRPr="00BD3832">
        <w:rPr>
          <w:bCs/>
        </w:rPr>
        <w:t>had</w:t>
      </w:r>
      <w:r w:rsidR="006E6131" w:rsidRPr="00BD3832">
        <w:rPr>
          <w:bCs/>
        </w:rPr>
        <w:t xml:space="preserve"> good level of perception. In addition, higher educated parents</w:t>
      </w:r>
      <w:r w:rsidR="00A369CF" w:rsidRPr="00BD3832">
        <w:rPr>
          <w:bCs/>
        </w:rPr>
        <w:t>’</w:t>
      </w:r>
      <w:r w:rsidR="006E6131" w:rsidRPr="00BD3832">
        <w:rPr>
          <w:bCs/>
        </w:rPr>
        <w:t xml:space="preserve"> level of knowledge (20.2%) and perception (41.2%) </w:t>
      </w:r>
      <w:r w:rsidR="00B840F9" w:rsidRPr="00BD3832">
        <w:rPr>
          <w:bCs/>
        </w:rPr>
        <w:t>were</w:t>
      </w:r>
      <w:r w:rsidR="006E6131" w:rsidRPr="00BD3832">
        <w:rPr>
          <w:bCs/>
        </w:rPr>
        <w:t xml:space="preserve"> </w:t>
      </w:r>
      <w:r w:rsidR="00A369CF" w:rsidRPr="00BD3832">
        <w:rPr>
          <w:bCs/>
        </w:rPr>
        <w:t xml:space="preserve">found </w:t>
      </w:r>
      <w:r w:rsidR="006E6131" w:rsidRPr="00BD3832">
        <w:rPr>
          <w:bCs/>
        </w:rPr>
        <w:t xml:space="preserve">better than the lower educated </w:t>
      </w:r>
      <w:r w:rsidR="00A369CF" w:rsidRPr="00BD3832">
        <w:rPr>
          <w:bCs/>
        </w:rPr>
        <w:t>counterparts</w:t>
      </w:r>
      <w:r w:rsidR="006E6131" w:rsidRPr="00BD3832">
        <w:rPr>
          <w:bCs/>
        </w:rPr>
        <w:t xml:space="preserve">. However, level of good knowledge was </w:t>
      </w:r>
      <w:r w:rsidR="00A369CF" w:rsidRPr="00BD3832">
        <w:rPr>
          <w:bCs/>
        </w:rPr>
        <w:t>indicated</w:t>
      </w:r>
      <w:r w:rsidR="006E6131" w:rsidRPr="00BD3832">
        <w:rPr>
          <w:bCs/>
        </w:rPr>
        <w:t xml:space="preserve"> almost same for the working and non-working parents. Furthermore, 20.5% upper and high income parents </w:t>
      </w:r>
      <w:r w:rsidR="00B840F9" w:rsidRPr="00BD3832">
        <w:rPr>
          <w:bCs/>
        </w:rPr>
        <w:t>had</w:t>
      </w:r>
      <w:r w:rsidR="006E6131" w:rsidRPr="00BD3832">
        <w:rPr>
          <w:bCs/>
        </w:rPr>
        <w:t xml:space="preserve"> good level of knowledge and 40.4% parents of this group </w:t>
      </w:r>
      <w:r w:rsidR="00B840F9" w:rsidRPr="00BD3832">
        <w:rPr>
          <w:bCs/>
        </w:rPr>
        <w:t>had</w:t>
      </w:r>
      <w:r w:rsidR="006E6131" w:rsidRPr="00BD3832">
        <w:rPr>
          <w:bCs/>
        </w:rPr>
        <w:t xml:space="preserve"> good level of knowledge regarding the health effects of tobacco-use and parental tobacco control measures at HH-level.</w:t>
      </w:r>
    </w:p>
    <w:p w14:paraId="30EF64B5" w14:textId="5BDAAE39" w:rsidR="00D7745D" w:rsidRPr="00BD3832" w:rsidRDefault="002409CE" w:rsidP="0079489F">
      <w:pPr>
        <w:autoSpaceDE w:val="0"/>
        <w:autoSpaceDN w:val="0"/>
        <w:adjustRightInd w:val="0"/>
        <w:jc w:val="both"/>
        <w:rPr>
          <w:rFonts w:eastAsia="Calibri"/>
        </w:rPr>
      </w:pPr>
      <w:r w:rsidRPr="00BD3832">
        <w:rPr>
          <w:rFonts w:eastAsia="Calibri"/>
        </w:rPr>
        <w:t xml:space="preserve">Simple </w:t>
      </w:r>
      <w:r w:rsidR="00D4090A" w:rsidRPr="00BD3832">
        <w:rPr>
          <w:rFonts w:eastAsia="Calibri"/>
        </w:rPr>
        <w:t>logistic regression analysis revealed that knowledge on overall health effect of tobacco use,</w:t>
      </w:r>
      <w:r w:rsidR="0082156E" w:rsidRPr="00BD3832">
        <w:t xml:space="preserve"> </w:t>
      </w:r>
      <w:r w:rsidR="0082156E" w:rsidRPr="00BD3832">
        <w:rPr>
          <w:rFonts w:eastAsia="Calibri"/>
        </w:rPr>
        <w:t>tobacco residue can also cause harm at home ground,</w:t>
      </w:r>
      <w:r w:rsidR="00D960D5" w:rsidRPr="00BD3832">
        <w:t xml:space="preserve"> </w:t>
      </w:r>
      <w:r w:rsidR="00D960D5" w:rsidRPr="00BD3832">
        <w:rPr>
          <w:rFonts w:eastAsia="Calibri"/>
        </w:rPr>
        <w:t>chewing tobacco is also harmful for health at home</w:t>
      </w:r>
      <w:r w:rsidR="00D4090A" w:rsidRPr="00BD3832">
        <w:rPr>
          <w:rFonts w:eastAsia="Calibri"/>
        </w:rPr>
        <w:t xml:space="preserve"> </w:t>
      </w:r>
      <w:r w:rsidR="00D4090A" w:rsidRPr="00BD3832">
        <w:rPr>
          <w:bCs/>
        </w:rPr>
        <w:t xml:space="preserve">and specific </w:t>
      </w:r>
      <w:r w:rsidR="002F6F49" w:rsidRPr="00BD3832">
        <w:rPr>
          <w:bCs/>
        </w:rPr>
        <w:t xml:space="preserve">health </w:t>
      </w:r>
      <w:r w:rsidR="00D4090A" w:rsidRPr="00BD3832">
        <w:rPr>
          <w:bCs/>
        </w:rPr>
        <w:t xml:space="preserve">effects like </w:t>
      </w:r>
      <w:r w:rsidR="00736408" w:rsidRPr="00BD3832">
        <w:rPr>
          <w:bCs/>
        </w:rPr>
        <w:t>asthma,</w:t>
      </w:r>
      <w:r w:rsidR="00736408" w:rsidRPr="00BD3832">
        <w:t xml:space="preserve"> </w:t>
      </w:r>
      <w:r w:rsidR="00736408" w:rsidRPr="00BD3832">
        <w:rPr>
          <w:bCs/>
        </w:rPr>
        <w:t>infertility,</w:t>
      </w:r>
      <w:r w:rsidR="00736408" w:rsidRPr="00BD3832">
        <w:t xml:space="preserve"> </w:t>
      </w:r>
      <w:r w:rsidR="00736408" w:rsidRPr="00BD3832">
        <w:rPr>
          <w:bCs/>
        </w:rPr>
        <w:t>pre-eclam</w:t>
      </w:r>
      <w:r w:rsidR="00521F6B" w:rsidRPr="00BD3832">
        <w:rPr>
          <w:bCs/>
        </w:rPr>
        <w:t>p</w:t>
      </w:r>
      <w:r w:rsidR="00736408" w:rsidRPr="00BD3832">
        <w:rPr>
          <w:bCs/>
        </w:rPr>
        <w:t xml:space="preserve">sia </w:t>
      </w:r>
      <w:r w:rsidR="00D4090A" w:rsidRPr="00BD3832">
        <w:rPr>
          <w:rFonts w:eastAsia="Calibri"/>
        </w:rPr>
        <w:t xml:space="preserve">were all associated factors with having good knowledge regarding health effect of tobacco-use at HH-level </w:t>
      </w:r>
      <w:r w:rsidR="00D4090A" w:rsidRPr="00BD3832">
        <w:rPr>
          <w:rFonts w:eastAsia="Calibri"/>
          <w:b/>
        </w:rPr>
        <w:t>(Table 3)</w:t>
      </w:r>
      <w:r w:rsidR="00D4090A" w:rsidRPr="00BD3832">
        <w:rPr>
          <w:rFonts w:eastAsia="Calibri"/>
        </w:rPr>
        <w:t>.</w:t>
      </w:r>
      <w:r w:rsidR="007927CE" w:rsidRPr="00BD3832">
        <w:rPr>
          <w:rFonts w:eastAsia="Calibri"/>
        </w:rPr>
        <w:t xml:space="preserve"> </w:t>
      </w:r>
    </w:p>
    <w:p w14:paraId="6AF750E3" w14:textId="490345DE" w:rsidR="0079489F" w:rsidRPr="00BD3832" w:rsidRDefault="00D4090A" w:rsidP="0079489F">
      <w:pPr>
        <w:autoSpaceDE w:val="0"/>
        <w:autoSpaceDN w:val="0"/>
        <w:adjustRightInd w:val="0"/>
        <w:jc w:val="both"/>
        <w:rPr>
          <w:rFonts w:eastAsia="Calibri"/>
        </w:rPr>
      </w:pPr>
      <w:r w:rsidRPr="00BD3832">
        <w:rPr>
          <w:rFonts w:eastAsia="Calibri"/>
        </w:rPr>
        <w:t xml:space="preserve">In </w:t>
      </w:r>
      <w:r w:rsidR="004D5E72" w:rsidRPr="00BD3832">
        <w:rPr>
          <w:rFonts w:eastAsia="Calibri"/>
        </w:rPr>
        <w:t xml:space="preserve">multiple </w:t>
      </w:r>
      <w:r w:rsidRPr="00BD3832">
        <w:rPr>
          <w:rFonts w:eastAsia="Calibri"/>
        </w:rPr>
        <w:t>analysis, after adju</w:t>
      </w:r>
      <w:r w:rsidR="00065521" w:rsidRPr="00BD3832">
        <w:rPr>
          <w:rFonts w:eastAsia="Calibri"/>
        </w:rPr>
        <w:t>sting for possible confounders</w:t>
      </w:r>
      <w:r w:rsidR="00A369CF" w:rsidRPr="00BD3832">
        <w:rPr>
          <w:rFonts w:eastAsia="Calibri"/>
        </w:rPr>
        <w:t>,</w:t>
      </w:r>
      <w:r w:rsidR="00065521" w:rsidRPr="00BD3832">
        <w:rPr>
          <w:rFonts w:eastAsia="Calibri"/>
        </w:rPr>
        <w:t xml:space="preserve"> the study determined that </w:t>
      </w:r>
      <w:r w:rsidR="00ED42A7" w:rsidRPr="00BD3832">
        <w:t>knowledge of overall tobacco effects on health</w:t>
      </w:r>
      <w:r w:rsidR="007F712E" w:rsidRPr="00BD3832">
        <w:t xml:space="preserve"> (</w:t>
      </w:r>
      <w:r w:rsidR="007F712E" w:rsidRPr="00BD3832">
        <w:rPr>
          <w:i/>
        </w:rPr>
        <w:t xml:space="preserve">AOR </w:t>
      </w:r>
      <w:r w:rsidR="007F712E" w:rsidRPr="00BD3832">
        <w:t>= 20.92, 2.60-167.83)</w:t>
      </w:r>
      <w:r w:rsidR="00ED42A7" w:rsidRPr="00BD3832">
        <w:t xml:space="preserve"> and tobacco residue can also cause harm at home ground</w:t>
      </w:r>
      <w:r w:rsidR="001A15A5" w:rsidRPr="00BD3832">
        <w:t xml:space="preserve"> (</w:t>
      </w:r>
      <w:r w:rsidR="001A15A5" w:rsidRPr="00BD3832">
        <w:rPr>
          <w:i/>
        </w:rPr>
        <w:t xml:space="preserve">AOR </w:t>
      </w:r>
      <w:r w:rsidR="001A15A5" w:rsidRPr="00BD3832">
        <w:t>=</w:t>
      </w:r>
      <w:r w:rsidR="003460B1" w:rsidRPr="00BD3832">
        <w:t xml:space="preserve"> 0.07, 0.04-0.15</w:t>
      </w:r>
      <w:r w:rsidR="004676F3" w:rsidRPr="00BD3832">
        <w:t>)</w:t>
      </w:r>
      <w:r w:rsidR="00E6646C" w:rsidRPr="00BD3832">
        <w:t xml:space="preserve"> </w:t>
      </w:r>
      <w:r w:rsidR="00564CCF" w:rsidRPr="00BD3832">
        <w:t xml:space="preserve">were </w:t>
      </w:r>
      <w:r w:rsidR="00ED42A7" w:rsidRPr="00BD3832">
        <w:t>significantly increased the odds of parents good knowledge. In addition, for specific reported health outcomes,</w:t>
      </w:r>
      <w:r w:rsidR="00881DF0" w:rsidRPr="00BD3832">
        <w:t xml:space="preserve"> </w:t>
      </w:r>
      <w:r w:rsidR="006F2BF0" w:rsidRPr="00BD3832">
        <w:t xml:space="preserve">asthma </w:t>
      </w:r>
      <w:r w:rsidR="00ED42A7" w:rsidRPr="00BD3832">
        <w:t>(AOR = 0.29, 0.17-0.49</w:t>
      </w:r>
      <w:r w:rsidR="006F2BF0" w:rsidRPr="00BD3832">
        <w:t>), infertility (</w:t>
      </w:r>
      <w:r w:rsidR="00ED42A7" w:rsidRPr="00BD3832">
        <w:t>AOR = 0.43, 0.24-0.77</w:t>
      </w:r>
      <w:r w:rsidR="006F2BF0" w:rsidRPr="00BD3832">
        <w:t>) and pre-eclampsia (</w:t>
      </w:r>
      <w:r w:rsidR="00ED42A7" w:rsidRPr="00BD3832">
        <w:t xml:space="preserve">AOR = 0.36, 0.14-0.90) had </w:t>
      </w:r>
      <w:r w:rsidR="00A369CF" w:rsidRPr="00BD3832">
        <w:t xml:space="preserve">higher odds fo </w:t>
      </w:r>
      <w:r w:rsidR="00ED42A7" w:rsidRPr="00BD3832">
        <w:t>knowledge.</w:t>
      </w:r>
      <w:r w:rsidR="0011568C" w:rsidRPr="00BD3832">
        <w:rPr>
          <w:rFonts w:eastAsia="Calibri"/>
        </w:rPr>
        <w:t xml:space="preserve"> </w:t>
      </w:r>
      <w:r w:rsidR="008311FB" w:rsidRPr="00BD3832">
        <w:rPr>
          <w:rFonts w:eastAsia="Calibri"/>
        </w:rPr>
        <w:t xml:space="preserve">On the other hand, </w:t>
      </w:r>
      <w:r w:rsidR="008311FB" w:rsidRPr="00BD3832">
        <w:rPr>
          <w:rFonts w:eastAsia="Calibri"/>
        </w:rPr>
        <w:lastRenderedPageBreak/>
        <w:t xml:space="preserve">parents </w:t>
      </w:r>
      <w:r w:rsidRPr="00BD3832">
        <w:rPr>
          <w:rFonts w:eastAsia="Calibri"/>
        </w:rPr>
        <w:t>categorized as living with family, having higher education, and higher family income</w:t>
      </w:r>
      <w:r w:rsidRPr="00BD3832">
        <w:t xml:space="preserve"> were</w:t>
      </w:r>
      <w:r w:rsidR="00170B4F" w:rsidRPr="00BD3832">
        <w:t xml:space="preserve"> insignificantly related </w:t>
      </w:r>
      <w:r w:rsidRPr="00BD3832">
        <w:t>to have good knowledge</w:t>
      </w:r>
      <w:r w:rsidR="0013503A" w:rsidRPr="00BD3832">
        <w:t xml:space="preserve"> </w:t>
      </w:r>
      <w:r w:rsidR="0013503A" w:rsidRPr="00BD3832">
        <w:rPr>
          <w:b/>
        </w:rPr>
        <w:t>(Table 3)</w:t>
      </w:r>
      <w:r w:rsidR="0013503A" w:rsidRPr="00BD3832">
        <w:t>.</w:t>
      </w:r>
      <w:r w:rsidRPr="00BD3832">
        <w:rPr>
          <w:strike/>
        </w:rPr>
        <w:t xml:space="preserve"> </w:t>
      </w:r>
    </w:p>
    <w:p w14:paraId="2CE70C34" w14:textId="77777777" w:rsidR="009E386B" w:rsidRPr="00BD3832" w:rsidRDefault="009E386B" w:rsidP="0079489F">
      <w:pPr>
        <w:autoSpaceDE w:val="0"/>
        <w:autoSpaceDN w:val="0"/>
        <w:adjustRightInd w:val="0"/>
        <w:jc w:val="both"/>
        <w:rPr>
          <w:bCs/>
        </w:rPr>
      </w:pPr>
    </w:p>
    <w:p w14:paraId="36CBE48F" w14:textId="150896AE" w:rsidR="00E66C29" w:rsidRDefault="00426D30" w:rsidP="00DE5581">
      <w:pPr>
        <w:tabs>
          <w:tab w:val="left" w:pos="1080"/>
        </w:tabs>
        <w:autoSpaceDE w:val="0"/>
        <w:autoSpaceDN w:val="0"/>
        <w:adjustRightInd w:val="0"/>
        <w:jc w:val="both"/>
        <w:rPr>
          <w:rFonts w:eastAsia="Calibri"/>
        </w:rPr>
      </w:pPr>
      <w:r w:rsidRPr="00BD3832">
        <w:rPr>
          <w:rFonts w:eastAsia="Calibri"/>
        </w:rPr>
        <w:t xml:space="preserve">Simple </w:t>
      </w:r>
      <w:r w:rsidR="00D4090A" w:rsidRPr="00BD3832">
        <w:rPr>
          <w:rFonts w:eastAsia="Calibri"/>
        </w:rPr>
        <w:t xml:space="preserve">logistic regression analysis </w:t>
      </w:r>
      <w:r w:rsidR="00A369CF" w:rsidRPr="00BD3832">
        <w:rPr>
          <w:rFonts w:eastAsia="Calibri"/>
        </w:rPr>
        <w:t xml:space="preserve">also </w:t>
      </w:r>
      <w:r w:rsidR="00D4090A" w:rsidRPr="00BD3832">
        <w:rPr>
          <w:rFonts w:eastAsia="Calibri"/>
        </w:rPr>
        <w:t xml:space="preserve">shows that participants’ socio-demographic characteristics such as living with </w:t>
      </w:r>
      <w:r w:rsidR="00C4477F" w:rsidRPr="00BD3832">
        <w:rPr>
          <w:rFonts w:eastAsia="Calibri"/>
        </w:rPr>
        <w:t>join</w:t>
      </w:r>
      <w:r w:rsidR="00DD5218" w:rsidRPr="00BD3832">
        <w:rPr>
          <w:rFonts w:eastAsia="Calibri"/>
        </w:rPr>
        <w:t>t</w:t>
      </w:r>
      <w:r w:rsidR="00C4477F" w:rsidRPr="00BD3832">
        <w:rPr>
          <w:rFonts w:eastAsia="Calibri"/>
        </w:rPr>
        <w:t xml:space="preserve"> </w:t>
      </w:r>
      <w:r w:rsidR="00D4090A" w:rsidRPr="00BD3832">
        <w:rPr>
          <w:rFonts w:eastAsia="Calibri"/>
        </w:rPr>
        <w:t>famil</w:t>
      </w:r>
      <w:r w:rsidR="004A3C4F" w:rsidRPr="00BD3832">
        <w:rPr>
          <w:rFonts w:eastAsia="Calibri"/>
        </w:rPr>
        <w:t xml:space="preserve">y </w:t>
      </w:r>
      <w:r w:rsidR="00C4477F" w:rsidRPr="00BD3832">
        <w:rPr>
          <w:rFonts w:eastAsia="Calibri"/>
        </w:rPr>
        <w:t xml:space="preserve">was </w:t>
      </w:r>
      <w:r w:rsidR="00D4090A" w:rsidRPr="00BD3832">
        <w:rPr>
          <w:rFonts w:eastAsia="Calibri"/>
        </w:rPr>
        <w:t xml:space="preserve">significantly associated with overall </w:t>
      </w:r>
      <w:r w:rsidR="00A369CF" w:rsidRPr="00BD3832">
        <w:rPr>
          <w:rFonts w:eastAsia="Calibri"/>
        </w:rPr>
        <w:t xml:space="preserve">parental </w:t>
      </w:r>
      <w:r w:rsidR="00D4090A" w:rsidRPr="00BD3832">
        <w:rPr>
          <w:rFonts w:eastAsia="Calibri"/>
        </w:rPr>
        <w:t>perception</w:t>
      </w:r>
      <w:r w:rsidR="00B966C6" w:rsidRPr="00BD3832">
        <w:rPr>
          <w:rFonts w:eastAsia="Calibri"/>
        </w:rPr>
        <w:t xml:space="preserve"> </w:t>
      </w:r>
      <w:r w:rsidR="00B966C6" w:rsidRPr="00BD3832">
        <w:rPr>
          <w:rFonts w:eastAsia="Calibri"/>
          <w:b/>
        </w:rPr>
        <w:t>(Table 4)</w:t>
      </w:r>
      <w:r w:rsidR="00B966C6" w:rsidRPr="00BD3832">
        <w:rPr>
          <w:rFonts w:eastAsia="Calibri"/>
        </w:rPr>
        <w:t>.</w:t>
      </w:r>
      <w:r w:rsidR="00DE505A" w:rsidRPr="00BD3832">
        <w:rPr>
          <w:rFonts w:eastAsia="Calibri"/>
        </w:rPr>
        <w:t xml:space="preserve"> </w:t>
      </w:r>
      <w:r w:rsidR="00F54321" w:rsidRPr="00BD3832">
        <w:rPr>
          <w:rFonts w:eastAsia="Calibri"/>
        </w:rPr>
        <w:t>A</w:t>
      </w:r>
      <w:r w:rsidR="00D4090A" w:rsidRPr="00BD3832">
        <w:rPr>
          <w:rFonts w:eastAsia="Calibri"/>
        </w:rPr>
        <w:t>ddition</w:t>
      </w:r>
      <w:r w:rsidR="00F54321" w:rsidRPr="00BD3832">
        <w:rPr>
          <w:rFonts w:eastAsia="Calibri"/>
        </w:rPr>
        <w:t>ally</w:t>
      </w:r>
      <w:r w:rsidR="00D4090A" w:rsidRPr="00BD3832">
        <w:rPr>
          <w:rFonts w:eastAsia="Calibri"/>
        </w:rPr>
        <w:t>,</w:t>
      </w:r>
      <w:r w:rsidR="00651F4F" w:rsidRPr="00BD3832">
        <w:rPr>
          <w:rFonts w:eastAsia="Calibri"/>
        </w:rPr>
        <w:t xml:space="preserve"> </w:t>
      </w:r>
      <w:r w:rsidR="008A08D9" w:rsidRPr="00BD3832">
        <w:rPr>
          <w:rFonts w:eastAsia="Calibri"/>
        </w:rPr>
        <w:t xml:space="preserve">parents </w:t>
      </w:r>
      <w:r w:rsidR="00D4090A" w:rsidRPr="00BD3832">
        <w:rPr>
          <w:rFonts w:eastAsia="Calibri"/>
        </w:rPr>
        <w:t xml:space="preserve">perceived factors such as </w:t>
      </w:r>
      <w:r w:rsidR="00D4090A" w:rsidRPr="00BD3832">
        <w:t>parent at HH can easily control tobacco, parents should first quit using tobacco, parental guidance about the harms of tobacco-use, parental tobacco-use in front</w:t>
      </w:r>
      <w:r w:rsidR="00864B40" w:rsidRPr="00BD3832">
        <w:t xml:space="preserve"> of</w:t>
      </w:r>
      <w:r w:rsidR="00D4090A" w:rsidRPr="00BD3832">
        <w:t xml:space="preserve"> children, parental religiosity practices, s</w:t>
      </w:r>
      <w:r w:rsidR="00D4090A" w:rsidRPr="00BD3832">
        <w:rPr>
          <w:lang w:val="sv-SE"/>
        </w:rPr>
        <w:t xml:space="preserve">trong family bonding </w:t>
      </w:r>
      <w:r w:rsidR="00D4090A" w:rsidRPr="00BD3832">
        <w:rPr>
          <w:rFonts w:eastAsia="Calibri"/>
        </w:rPr>
        <w:t>were</w:t>
      </w:r>
      <w:r w:rsidR="007A3219" w:rsidRPr="00BD3832">
        <w:rPr>
          <w:rFonts w:eastAsia="Calibri"/>
        </w:rPr>
        <w:t xml:space="preserve"> significantly</w:t>
      </w:r>
      <w:r w:rsidR="00D4090A" w:rsidRPr="00BD3832">
        <w:rPr>
          <w:rFonts w:eastAsia="Calibri"/>
        </w:rPr>
        <w:t xml:space="preserve"> associated with overall positive perceptions for tobacco control measures at HH-level</w:t>
      </w:r>
      <w:r w:rsidR="001207EA" w:rsidRPr="00BD3832">
        <w:rPr>
          <w:rFonts w:eastAsia="Calibri"/>
        </w:rPr>
        <w:t>.</w:t>
      </w:r>
      <w:r w:rsidR="00E2149A" w:rsidRPr="00BD3832">
        <w:rPr>
          <w:rFonts w:eastAsia="Calibri"/>
        </w:rPr>
        <w:t xml:space="preserve"> </w:t>
      </w:r>
    </w:p>
    <w:p w14:paraId="05894EBB" w14:textId="77777777" w:rsidR="00BD3832" w:rsidRPr="00BD3832" w:rsidRDefault="00BD3832" w:rsidP="00DE5581">
      <w:pPr>
        <w:tabs>
          <w:tab w:val="left" w:pos="1080"/>
        </w:tabs>
        <w:autoSpaceDE w:val="0"/>
        <w:autoSpaceDN w:val="0"/>
        <w:adjustRightInd w:val="0"/>
        <w:jc w:val="both"/>
      </w:pPr>
    </w:p>
    <w:p w14:paraId="470C083B" w14:textId="240D07A9" w:rsidR="00CF48D4" w:rsidRPr="00BD3832" w:rsidRDefault="00A76656" w:rsidP="000B69AA">
      <w:pPr>
        <w:autoSpaceDE w:val="0"/>
        <w:autoSpaceDN w:val="0"/>
        <w:adjustRightInd w:val="0"/>
        <w:jc w:val="both"/>
        <w:rPr>
          <w:rFonts w:eastAsia="Calibri"/>
        </w:rPr>
      </w:pPr>
      <w:r w:rsidRPr="00BD3832">
        <w:rPr>
          <w:rFonts w:eastAsia="Calibri"/>
        </w:rPr>
        <w:t xml:space="preserve">After </w:t>
      </w:r>
      <w:r w:rsidR="00D4090A" w:rsidRPr="00BD3832">
        <w:rPr>
          <w:rFonts w:eastAsia="Calibri"/>
        </w:rPr>
        <w:t xml:space="preserve">adjusting the possible confounders, </w:t>
      </w:r>
      <w:r w:rsidR="00342D4B" w:rsidRPr="00BD3832">
        <w:rPr>
          <w:rFonts w:eastAsia="Calibri"/>
        </w:rPr>
        <w:t xml:space="preserve">multiple </w:t>
      </w:r>
      <w:r w:rsidR="00D4090A" w:rsidRPr="00BD3832">
        <w:rPr>
          <w:rFonts w:eastAsia="Calibri"/>
        </w:rPr>
        <w:t xml:space="preserve">logistic regression explored that the parents who lived </w:t>
      </w:r>
      <w:r w:rsidR="0003633E" w:rsidRPr="00BD3832">
        <w:rPr>
          <w:rFonts w:eastAsia="Calibri"/>
        </w:rPr>
        <w:t xml:space="preserve">in </w:t>
      </w:r>
      <w:r w:rsidR="00D4090A" w:rsidRPr="00BD3832">
        <w:rPr>
          <w:rFonts w:eastAsia="Calibri"/>
        </w:rPr>
        <w:t>the</w:t>
      </w:r>
      <w:r w:rsidR="0003633E" w:rsidRPr="00BD3832">
        <w:rPr>
          <w:rFonts w:eastAsia="Calibri"/>
        </w:rPr>
        <w:t xml:space="preserve"> joint</w:t>
      </w:r>
      <w:r w:rsidR="00D4090A" w:rsidRPr="00BD3832">
        <w:rPr>
          <w:rFonts w:eastAsia="Calibri"/>
        </w:rPr>
        <w:t xml:space="preserve"> family </w:t>
      </w:r>
      <w:r w:rsidR="00D4090A" w:rsidRPr="00BD3832">
        <w:t>(</w:t>
      </w:r>
      <w:r w:rsidR="00D4090A" w:rsidRPr="00BD3832">
        <w:rPr>
          <w:i/>
        </w:rPr>
        <w:t xml:space="preserve">AOR </w:t>
      </w:r>
      <w:r w:rsidR="00D4090A" w:rsidRPr="00BD3832">
        <w:t xml:space="preserve">= </w:t>
      </w:r>
      <w:r w:rsidR="006178D4" w:rsidRPr="00BD3832">
        <w:t xml:space="preserve">3.10, 1.88-5.13) </w:t>
      </w:r>
      <w:r w:rsidR="00E2149A" w:rsidRPr="00BD3832">
        <w:t xml:space="preserve">was </w:t>
      </w:r>
      <w:r w:rsidR="00571737" w:rsidRPr="00BD3832">
        <w:t xml:space="preserve">a </w:t>
      </w:r>
      <w:r w:rsidR="00D4090A" w:rsidRPr="00BD3832">
        <w:t xml:space="preserve">significant predictors to have positive perception level. </w:t>
      </w:r>
      <w:r w:rsidR="0002698F" w:rsidRPr="00BD3832">
        <w:t xml:space="preserve">However, </w:t>
      </w:r>
      <w:r w:rsidR="0002698F" w:rsidRPr="00BD3832">
        <w:rPr>
          <w:rFonts w:eastAsia="Calibri"/>
        </w:rPr>
        <w:t xml:space="preserve">parental </w:t>
      </w:r>
      <w:r w:rsidR="00D4090A" w:rsidRPr="00BD3832">
        <w:rPr>
          <w:rFonts w:eastAsia="Calibri"/>
        </w:rPr>
        <w:t xml:space="preserve">perceptions such as </w:t>
      </w:r>
      <w:r w:rsidR="00D4090A" w:rsidRPr="00BD3832">
        <w:t>parent at HH can easily control tobacco</w:t>
      </w:r>
      <w:r w:rsidR="00291E67" w:rsidRPr="00BD3832">
        <w:t>,</w:t>
      </w:r>
      <w:r w:rsidR="00D4090A" w:rsidRPr="00BD3832">
        <w:t xml:space="preserve"> parents should first quit using tobacco</w:t>
      </w:r>
      <w:r w:rsidR="00291E67" w:rsidRPr="00BD3832">
        <w:t>,</w:t>
      </w:r>
      <w:r w:rsidR="00D4090A" w:rsidRPr="00BD3832">
        <w:t xml:space="preserve"> parental guidance about the harms of tobacco-use</w:t>
      </w:r>
      <w:r w:rsidR="00291E67" w:rsidRPr="00BD3832">
        <w:t>,</w:t>
      </w:r>
      <w:r w:rsidR="00D4090A" w:rsidRPr="00BD3832">
        <w:t xml:space="preserve"> parental tobacco-use in front the children</w:t>
      </w:r>
      <w:r w:rsidR="00291E67" w:rsidRPr="00BD3832">
        <w:t>,</w:t>
      </w:r>
      <w:r w:rsidR="00D4090A" w:rsidRPr="00BD3832">
        <w:t xml:space="preserve"> parental religiosity practices</w:t>
      </w:r>
      <w:r w:rsidR="00291E67" w:rsidRPr="00BD3832">
        <w:t>,</w:t>
      </w:r>
      <w:r w:rsidR="00D4090A" w:rsidRPr="00BD3832">
        <w:t xml:space="preserve"> and</w:t>
      </w:r>
      <w:r w:rsidR="00E758D0" w:rsidRPr="00BD3832">
        <w:t xml:space="preserve"> </w:t>
      </w:r>
      <w:r w:rsidR="00D4090A" w:rsidRPr="00BD3832">
        <w:t>s</w:t>
      </w:r>
      <w:r w:rsidR="00D4090A" w:rsidRPr="00BD3832">
        <w:rPr>
          <w:lang w:val="sv-SE"/>
        </w:rPr>
        <w:t xml:space="preserve">trong family bonding </w:t>
      </w:r>
      <w:r w:rsidR="00D4090A" w:rsidRPr="00BD3832">
        <w:rPr>
          <w:rFonts w:eastAsia="Calibri"/>
        </w:rPr>
        <w:t xml:space="preserve">were found to be </w:t>
      </w:r>
      <w:r w:rsidR="00990EDE" w:rsidRPr="00BD3832">
        <w:rPr>
          <w:rFonts w:eastAsia="Calibri"/>
        </w:rPr>
        <w:t xml:space="preserve">not </w:t>
      </w:r>
      <w:r w:rsidR="00D4090A" w:rsidRPr="00BD3832">
        <w:rPr>
          <w:rFonts w:eastAsia="Calibri"/>
        </w:rPr>
        <w:t>associated with parental good perceptions regarding familial initiatives for tobac</w:t>
      </w:r>
      <w:r w:rsidR="001647A8" w:rsidRPr="00BD3832">
        <w:rPr>
          <w:rFonts w:eastAsia="Calibri"/>
        </w:rPr>
        <w:t>co control measures a</w:t>
      </w:r>
      <w:r w:rsidR="00DE32DE" w:rsidRPr="00BD3832">
        <w:rPr>
          <w:rFonts w:eastAsia="Calibri"/>
        </w:rPr>
        <w:t>t HH-level.</w:t>
      </w:r>
      <w:r w:rsidR="001647A8" w:rsidRPr="00BD3832">
        <w:rPr>
          <w:rFonts w:eastAsia="Calibri"/>
        </w:rPr>
        <w:t xml:space="preserve"> </w:t>
      </w:r>
      <w:r w:rsidR="002B7280" w:rsidRPr="00BD3832">
        <w:rPr>
          <w:rFonts w:eastAsia="Calibri"/>
        </w:rPr>
        <w:t xml:space="preserve">Furthermore, multiple </w:t>
      </w:r>
      <w:r w:rsidR="00D4090A" w:rsidRPr="00BD3832">
        <w:rPr>
          <w:rFonts w:eastAsia="Calibri"/>
        </w:rPr>
        <w:t xml:space="preserve">logistic regression analysis reported that parental age, living status, religion, occupation, socio-economic condition and other perceived factors like parental restriction on tobacco use, </w:t>
      </w:r>
      <w:r w:rsidR="00D4090A" w:rsidRPr="00BD3832">
        <w:t xml:space="preserve">sharing tobacco products at HHs-level as the means of hospitality, </w:t>
      </w:r>
      <w:r w:rsidR="00E97470" w:rsidRPr="00BD3832">
        <w:t xml:space="preserve"> </w:t>
      </w:r>
      <w:r w:rsidR="00D4090A" w:rsidRPr="00BD3832">
        <w:rPr>
          <w:rFonts w:eastAsia="Calibri"/>
        </w:rPr>
        <w:t xml:space="preserve">sharing the struggling history of tobacco quitting, and parental sitting on non-smoking section had less likely to have overall positive </w:t>
      </w:r>
      <w:r w:rsidR="00A44782" w:rsidRPr="00BD3832">
        <w:rPr>
          <w:rFonts w:eastAsia="Calibri"/>
        </w:rPr>
        <w:t xml:space="preserve">parental </w:t>
      </w:r>
      <w:r w:rsidR="00D4090A" w:rsidRPr="00BD3832">
        <w:rPr>
          <w:rFonts w:eastAsia="Calibri"/>
        </w:rPr>
        <w:t>perceptions</w:t>
      </w:r>
      <w:r w:rsidR="00A44782" w:rsidRPr="00BD3832">
        <w:t xml:space="preserve"> </w:t>
      </w:r>
      <w:r w:rsidR="00A44782" w:rsidRPr="00BD3832">
        <w:rPr>
          <w:rFonts w:eastAsia="Calibri"/>
        </w:rPr>
        <w:t xml:space="preserve">tobacco control measures at HH-level. </w:t>
      </w:r>
      <w:r w:rsidR="00F0160C" w:rsidRPr="00BD3832">
        <w:rPr>
          <w:rFonts w:eastAsia="Calibri"/>
          <w:b/>
        </w:rPr>
        <w:t>(Table 4)</w:t>
      </w:r>
      <w:r w:rsidR="00D4090A" w:rsidRPr="00BD3832">
        <w:rPr>
          <w:rFonts w:eastAsia="Calibri"/>
        </w:rPr>
        <w:t>.</w:t>
      </w:r>
      <w:r w:rsidR="00367C9E" w:rsidRPr="00BD3832">
        <w:rPr>
          <w:rFonts w:eastAsia="Calibri"/>
        </w:rPr>
        <w:t xml:space="preserve"> </w:t>
      </w:r>
    </w:p>
    <w:p w14:paraId="33A4A7CF" w14:textId="77777777" w:rsidR="000F55D5" w:rsidRPr="00BD3832" w:rsidRDefault="000F55D5" w:rsidP="000B69AA">
      <w:pPr>
        <w:autoSpaceDE w:val="0"/>
        <w:autoSpaceDN w:val="0"/>
        <w:adjustRightInd w:val="0"/>
        <w:jc w:val="both"/>
        <w:rPr>
          <w:rFonts w:eastAsia="Calibri"/>
        </w:rPr>
      </w:pPr>
    </w:p>
    <w:p w14:paraId="4EC68B03" w14:textId="77777777" w:rsidR="00D4090A" w:rsidRPr="00BD3832" w:rsidRDefault="00D4090A" w:rsidP="00BD3832">
      <w:pPr>
        <w:pStyle w:val="Heading1"/>
      </w:pPr>
      <w:r w:rsidRPr="00BD3832">
        <w:lastRenderedPageBreak/>
        <w:t>Discussion</w:t>
      </w:r>
    </w:p>
    <w:p w14:paraId="0CA9B14F" w14:textId="73FB5755" w:rsidR="006E7EDE" w:rsidRPr="00BD3832" w:rsidRDefault="00A25B22" w:rsidP="00D4090A">
      <w:pPr>
        <w:jc w:val="both"/>
      </w:pPr>
      <w:r w:rsidRPr="00BD3832">
        <w:rPr>
          <w:bCs/>
        </w:rPr>
        <w:t>This study was potentially first to explore that o</w:t>
      </w:r>
      <w:r w:rsidR="00D4090A" w:rsidRPr="00BD3832">
        <w:rPr>
          <w:bCs/>
        </w:rPr>
        <w:t>verall one-third (33.0%) of participants’ HHs accepted tobacco-use (smoking or smokeless) in urban residential areas. This finding is consistent with another study conducted in Bangladesh (</w:t>
      </w:r>
      <w:r w:rsidR="00D4090A" w:rsidRPr="00BD3832">
        <w:t xml:space="preserve">Ullah </w:t>
      </w:r>
      <w:r w:rsidR="008B1ECB" w:rsidRPr="00BD3832">
        <w:t>et al.</w:t>
      </w:r>
      <w:r w:rsidR="00D4090A" w:rsidRPr="00BD3832">
        <w:t xml:space="preserve"> 2013)</w:t>
      </w:r>
      <w:r w:rsidR="00D4090A" w:rsidRPr="00BD3832">
        <w:rPr>
          <w:bCs/>
        </w:rPr>
        <w:t>.</w:t>
      </w:r>
      <w:r w:rsidR="00D4090A" w:rsidRPr="00BD3832">
        <w:rPr>
          <w:vertAlign w:val="superscript"/>
        </w:rPr>
        <w:t xml:space="preserve"> </w:t>
      </w:r>
      <w:r w:rsidR="00D4090A" w:rsidRPr="00BD3832">
        <w:t>The Times of India, however, reported that 40.0% of Indian adults accept smoking tobacco at the HH-level (</w:t>
      </w:r>
      <w:r w:rsidR="00D4090A" w:rsidRPr="00BD3832">
        <w:rPr>
          <w:rStyle w:val="authdetail"/>
        </w:rPr>
        <w:t>Dey 2015)</w:t>
      </w:r>
      <w:r w:rsidR="00D4090A" w:rsidRPr="00BD3832">
        <w:t>.</w:t>
      </w:r>
    </w:p>
    <w:p w14:paraId="0C523B63" w14:textId="77777777" w:rsidR="004A3C4F" w:rsidRPr="00BD3832" w:rsidRDefault="004A3C4F" w:rsidP="00D4090A">
      <w:pPr>
        <w:jc w:val="both"/>
      </w:pPr>
    </w:p>
    <w:p w14:paraId="22867E0C" w14:textId="00CCF0CF" w:rsidR="00C5406A" w:rsidRPr="00BD3832" w:rsidRDefault="00552DB3" w:rsidP="00CC4E83">
      <w:pPr>
        <w:jc w:val="both"/>
        <w:rPr>
          <w:bCs/>
        </w:rPr>
      </w:pPr>
      <w:r w:rsidRPr="00BD3832">
        <w:rPr>
          <w:shd w:val="clear" w:color="auto" w:fill="FFFFFF"/>
        </w:rPr>
        <w:t xml:space="preserve">The </w:t>
      </w:r>
      <w:r w:rsidR="00407442" w:rsidRPr="00BD3832">
        <w:rPr>
          <w:shd w:val="clear" w:color="auto" w:fill="FFFFFF"/>
        </w:rPr>
        <w:t>study</w:t>
      </w:r>
      <w:r w:rsidRPr="00BD3832">
        <w:rPr>
          <w:shd w:val="clear" w:color="auto" w:fill="FFFFFF"/>
        </w:rPr>
        <w:t xml:space="preserve"> </w:t>
      </w:r>
      <w:r w:rsidR="00407442" w:rsidRPr="00BD3832">
        <w:rPr>
          <w:shd w:val="clear" w:color="auto" w:fill="FFFFFF"/>
        </w:rPr>
        <w:t>revealed</w:t>
      </w:r>
      <w:r w:rsidRPr="00BD3832">
        <w:rPr>
          <w:shd w:val="clear" w:color="auto" w:fill="FFFFFF"/>
        </w:rPr>
        <w:t xml:space="preserve"> that o</w:t>
      </w:r>
      <w:r w:rsidR="00D4090A" w:rsidRPr="00BD3832">
        <w:rPr>
          <w:shd w:val="clear" w:color="auto" w:fill="FFFFFF"/>
        </w:rPr>
        <w:t xml:space="preserve">ne-fifth of the parents had good knowledge about the </w:t>
      </w:r>
      <w:r w:rsidR="001142D4" w:rsidRPr="00BD3832">
        <w:rPr>
          <w:shd w:val="clear" w:color="auto" w:fill="FFFFFF"/>
        </w:rPr>
        <w:t xml:space="preserve">harmful effects of tobacco-use. </w:t>
      </w:r>
      <w:r w:rsidR="00CC51DB" w:rsidRPr="00BD3832">
        <w:rPr>
          <w:rFonts w:eastAsia="Calibri"/>
        </w:rPr>
        <w:t xml:space="preserve">Multiple </w:t>
      </w:r>
      <w:r w:rsidR="00D4090A" w:rsidRPr="00BD3832">
        <w:rPr>
          <w:rFonts w:eastAsia="Calibri"/>
        </w:rPr>
        <w:t xml:space="preserve">analysis </w:t>
      </w:r>
      <w:r w:rsidR="00D4090A" w:rsidRPr="00BD3832">
        <w:rPr>
          <w:bCs/>
        </w:rPr>
        <w:t>demonstrated that parents’ knowledge of the overall health effects of tobacco-use</w:t>
      </w:r>
      <w:r w:rsidR="00C058A0" w:rsidRPr="00BD3832">
        <w:rPr>
          <w:bCs/>
        </w:rPr>
        <w:t xml:space="preserve"> </w:t>
      </w:r>
      <w:r w:rsidR="00D4090A" w:rsidRPr="00BD3832">
        <w:rPr>
          <w:bCs/>
        </w:rPr>
        <w:t xml:space="preserve">had more than </w:t>
      </w:r>
      <w:r w:rsidR="00736373" w:rsidRPr="00BD3832">
        <w:rPr>
          <w:bCs/>
        </w:rPr>
        <w:t xml:space="preserve">twenty </w:t>
      </w:r>
      <w:r w:rsidR="00D4090A" w:rsidRPr="00BD3832">
        <w:rPr>
          <w:bCs/>
        </w:rPr>
        <w:t>times more likely to increase the odds of overall knowledge level on tobacco effect. However, in regard to specific health outcomes due to tobacco-use</w:t>
      </w:r>
      <w:r w:rsidR="00FA6ABC" w:rsidRPr="00BD3832">
        <w:rPr>
          <w:bCs/>
        </w:rPr>
        <w:t xml:space="preserve"> such as </w:t>
      </w:r>
      <w:r w:rsidR="00346DB8" w:rsidRPr="00BD3832">
        <w:rPr>
          <w:bCs/>
        </w:rPr>
        <w:t xml:space="preserve">asthma, infertility, and </w:t>
      </w:r>
      <w:r w:rsidR="00DF5726" w:rsidRPr="00BD3832">
        <w:t>pre</w:t>
      </w:r>
      <w:r w:rsidR="00346DB8" w:rsidRPr="00BD3832">
        <w:t>-eclampsia</w:t>
      </w:r>
      <w:r w:rsidR="00D4090A" w:rsidRPr="00BD3832">
        <w:rPr>
          <w:bCs/>
        </w:rPr>
        <w:t xml:space="preserve"> were found to be significant predictors of </w:t>
      </w:r>
      <w:r w:rsidR="00A030B7" w:rsidRPr="00BD3832">
        <w:rPr>
          <w:bCs/>
        </w:rPr>
        <w:t>having good</w:t>
      </w:r>
      <w:r w:rsidR="00D4090A" w:rsidRPr="00BD3832">
        <w:rPr>
          <w:bCs/>
        </w:rPr>
        <w:t xml:space="preserve"> knowledge.</w:t>
      </w:r>
      <w:r w:rsidR="005636B5" w:rsidRPr="00BD3832">
        <w:rPr>
          <w:b/>
          <w:bCs/>
        </w:rPr>
        <w:t xml:space="preserve"> </w:t>
      </w:r>
      <w:r w:rsidR="00D4090A" w:rsidRPr="00BD3832">
        <w:rPr>
          <w:bCs/>
        </w:rPr>
        <w:t xml:space="preserve">A similar study in South-East Asia region showed that </w:t>
      </w:r>
      <w:r w:rsidR="00D4090A" w:rsidRPr="00BD3832">
        <w:t xml:space="preserve">although tobacco use is harmful for health, many aspects of tobacco use have not been adequately explained consequently, they are not well understood by most tobacco users (Bhatia </w:t>
      </w:r>
      <w:r w:rsidR="008B1ECB" w:rsidRPr="00BD3832">
        <w:t>et al.</w:t>
      </w:r>
      <w:r w:rsidR="00D4090A" w:rsidRPr="00BD3832">
        <w:t xml:space="preserve"> 2014).</w:t>
      </w:r>
    </w:p>
    <w:p w14:paraId="513EDEEF" w14:textId="77777777" w:rsidR="004A3C4F" w:rsidRPr="00BD3832" w:rsidRDefault="004A3C4F" w:rsidP="00CC4E83">
      <w:pPr>
        <w:jc w:val="both"/>
        <w:rPr>
          <w:bCs/>
        </w:rPr>
      </w:pPr>
    </w:p>
    <w:p w14:paraId="1C9E653C" w14:textId="2033980D" w:rsidR="00D4090A" w:rsidRPr="00BD3832" w:rsidRDefault="00D4090A" w:rsidP="00CC4E83">
      <w:pPr>
        <w:jc w:val="both"/>
        <w:rPr>
          <w:shd w:val="clear" w:color="auto" w:fill="FFFFFF"/>
        </w:rPr>
      </w:pPr>
      <w:r w:rsidRPr="00BD3832">
        <w:rPr>
          <w:bCs/>
        </w:rPr>
        <w:t xml:space="preserve">The study </w:t>
      </w:r>
      <w:r w:rsidR="00A979D2" w:rsidRPr="00BD3832">
        <w:rPr>
          <w:bCs/>
        </w:rPr>
        <w:t>distinctively</w:t>
      </w:r>
      <w:r w:rsidR="00C058A0" w:rsidRPr="00BD3832">
        <w:rPr>
          <w:bCs/>
        </w:rPr>
        <w:t xml:space="preserve"> </w:t>
      </w:r>
      <w:r w:rsidRPr="00BD3832">
        <w:rPr>
          <w:bCs/>
        </w:rPr>
        <w:t>documented that more than two-fifths of the participants had good perceptions of the parental tobacco control measures at the HH-level</w:t>
      </w:r>
      <w:r w:rsidR="00C058A0" w:rsidRPr="00BD3832">
        <w:rPr>
          <w:bCs/>
        </w:rPr>
        <w:t>,</w:t>
      </w:r>
      <w:r w:rsidRPr="00BD3832">
        <w:rPr>
          <w:bCs/>
        </w:rPr>
        <w:t xml:space="preserve"> and </w:t>
      </w:r>
      <w:r w:rsidRPr="00BD3832">
        <w:rPr>
          <w:rFonts w:eastAsia="Calibri"/>
        </w:rPr>
        <w:t>the level of knowledge and perceptions among the parents is associated with their socio-economic and educational statu</w:t>
      </w:r>
      <w:r w:rsidR="003D48FA" w:rsidRPr="00BD3832">
        <w:rPr>
          <w:rFonts w:eastAsia="Calibri"/>
        </w:rPr>
        <w:t xml:space="preserve">s </w:t>
      </w:r>
      <w:r w:rsidR="003C2CA2" w:rsidRPr="00BD3832">
        <w:rPr>
          <w:rFonts w:eastAsia="Calibri"/>
        </w:rPr>
        <w:t>(Table</w:t>
      </w:r>
      <w:r w:rsidR="003D48FA" w:rsidRPr="00BD3832">
        <w:rPr>
          <w:rFonts w:eastAsia="Calibri"/>
        </w:rPr>
        <w:t xml:space="preserve"> 2)</w:t>
      </w:r>
      <w:r w:rsidRPr="00BD3832">
        <w:rPr>
          <w:rFonts w:eastAsia="Calibri"/>
        </w:rPr>
        <w:t xml:space="preserve">. This finding is consistent with the results of </w:t>
      </w:r>
      <w:r w:rsidRPr="00BD3832">
        <w:rPr>
          <w:shd w:val="clear" w:color="auto" w:fill="FFFFFF"/>
        </w:rPr>
        <w:t>multi-national studies which showed that tobacco use and its health effects are associated with poverty and illiteracy, both at the individual and the country level (</w:t>
      </w:r>
      <w:r w:rsidRPr="00BD3832">
        <w:rPr>
          <w:rStyle w:val="element-citation"/>
        </w:rPr>
        <w:t xml:space="preserve">Siahpush  </w:t>
      </w:r>
      <w:r w:rsidR="008B1ECB" w:rsidRPr="00BD3832">
        <w:rPr>
          <w:rStyle w:val="element-citation"/>
        </w:rPr>
        <w:t>et al.</w:t>
      </w:r>
      <w:r w:rsidRPr="00BD3832">
        <w:rPr>
          <w:rStyle w:val="element-citation"/>
        </w:rPr>
        <w:t xml:space="preserve"> 2002; </w:t>
      </w:r>
      <w:r w:rsidRPr="00BD3832">
        <w:rPr>
          <w:rFonts w:eastAsia="Calibri"/>
        </w:rPr>
        <w:t xml:space="preserve">McCullough </w:t>
      </w:r>
      <w:r w:rsidR="008B1ECB" w:rsidRPr="00BD3832">
        <w:rPr>
          <w:rFonts w:eastAsia="Calibri"/>
        </w:rPr>
        <w:t>et al.</w:t>
      </w:r>
      <w:r w:rsidRPr="00BD3832">
        <w:rPr>
          <w:rFonts w:eastAsia="Calibri"/>
        </w:rPr>
        <w:t xml:space="preserve"> 2009)</w:t>
      </w:r>
      <w:r w:rsidRPr="00BD3832">
        <w:rPr>
          <w:shd w:val="clear" w:color="auto" w:fill="FFFFFF"/>
        </w:rPr>
        <w:t>.</w:t>
      </w:r>
    </w:p>
    <w:p w14:paraId="039E5E3B" w14:textId="77777777" w:rsidR="00E03A3D" w:rsidRPr="00BD3832" w:rsidRDefault="00E03A3D" w:rsidP="00D4090A">
      <w:pPr>
        <w:widowControl w:val="0"/>
        <w:overflowPunct w:val="0"/>
        <w:autoSpaceDE w:val="0"/>
        <w:autoSpaceDN w:val="0"/>
        <w:adjustRightInd w:val="0"/>
        <w:jc w:val="both"/>
        <w:rPr>
          <w:i/>
          <w:shd w:val="clear" w:color="auto" w:fill="FFFFFF"/>
        </w:rPr>
      </w:pPr>
    </w:p>
    <w:p w14:paraId="640225CA" w14:textId="3ED627C1" w:rsidR="0061349B" w:rsidRPr="00BD3832" w:rsidRDefault="00D4090A" w:rsidP="00D4090A">
      <w:pPr>
        <w:autoSpaceDE w:val="0"/>
        <w:autoSpaceDN w:val="0"/>
        <w:adjustRightInd w:val="0"/>
        <w:jc w:val="both"/>
      </w:pPr>
      <w:r w:rsidRPr="00BD3832">
        <w:rPr>
          <w:rFonts w:eastAsia="Calibri"/>
        </w:rPr>
        <w:lastRenderedPageBreak/>
        <w:t xml:space="preserve">The </w:t>
      </w:r>
      <w:r w:rsidR="0034365B" w:rsidRPr="00BD3832">
        <w:rPr>
          <w:rFonts w:eastAsia="Calibri"/>
        </w:rPr>
        <w:t xml:space="preserve">simple </w:t>
      </w:r>
      <w:r w:rsidRPr="00BD3832">
        <w:rPr>
          <w:rFonts w:eastAsia="Calibri"/>
        </w:rPr>
        <w:t xml:space="preserve">logistic regression model identified that the parents had positive perceptions of </w:t>
      </w:r>
      <w:r w:rsidRPr="00BD3832">
        <w:t>‘parental tobacco-use before the children are the great obstacles to control tobacco products at HHs’</w:t>
      </w:r>
      <w:r w:rsidRPr="00BD3832">
        <w:rPr>
          <w:rFonts w:eastAsia="Calibri"/>
        </w:rPr>
        <w:t xml:space="preserve"> were</w:t>
      </w:r>
      <w:r w:rsidR="00F945E7" w:rsidRPr="00BD3832">
        <w:rPr>
          <w:rFonts w:eastAsia="Calibri"/>
        </w:rPr>
        <w:t xml:space="preserve"> nearly three</w:t>
      </w:r>
      <w:r w:rsidRPr="00BD3832">
        <w:rPr>
          <w:rFonts w:eastAsia="Calibri"/>
        </w:rPr>
        <w:t xml:space="preserve"> times more likely to have good perceptions compared to the other parents</w:t>
      </w:r>
      <w:r w:rsidR="008339CE" w:rsidRPr="00BD3832">
        <w:rPr>
          <w:rFonts w:eastAsia="Calibri"/>
        </w:rPr>
        <w:t xml:space="preserve">. </w:t>
      </w:r>
      <w:r w:rsidR="007954EB" w:rsidRPr="00BD3832">
        <w:rPr>
          <w:rFonts w:eastAsia="Calibri"/>
        </w:rPr>
        <w:t xml:space="preserve">Our multiple logistic regression shows </w:t>
      </w:r>
      <w:r w:rsidR="004A3C4F" w:rsidRPr="00BD3832">
        <w:rPr>
          <w:rFonts w:eastAsia="Calibri"/>
        </w:rPr>
        <w:t>that</w:t>
      </w:r>
      <w:r w:rsidR="007954EB" w:rsidRPr="00BD3832">
        <w:rPr>
          <w:rFonts w:eastAsia="Calibri"/>
        </w:rPr>
        <w:t xml:space="preserve"> t</w:t>
      </w:r>
      <w:r w:rsidRPr="00BD3832">
        <w:rPr>
          <w:rFonts w:eastAsia="Calibri"/>
        </w:rPr>
        <w:t xml:space="preserve">he likelihood of a good perception level rose about </w:t>
      </w:r>
      <w:r w:rsidR="00182E71" w:rsidRPr="00BD3832">
        <w:rPr>
          <w:rFonts w:eastAsia="Calibri"/>
        </w:rPr>
        <w:t xml:space="preserve">thirty five </w:t>
      </w:r>
      <w:r w:rsidRPr="00BD3832">
        <w:rPr>
          <w:rFonts w:eastAsia="Calibri"/>
        </w:rPr>
        <w:t>times when they perceived that parents should provide guidance to their children about the harmful effect of tobacco use versus parents not doing so.</w:t>
      </w:r>
      <w:r w:rsidR="00182E71" w:rsidRPr="00BD3832">
        <w:t xml:space="preserve"> </w:t>
      </w:r>
      <w:r w:rsidR="008A0B95" w:rsidRPr="00BD3832">
        <w:t xml:space="preserve">There is evidence of using parental guidance and counselling to control tobacco use and building a good family tie so that they can share any problems among family members.  Both of these two factors were supported by another two studies from USA, and reported that parental self-abstaining from tobacco-use, antismoking actions, guidance to the children towards avoiding tobacco products at home lead to less use of tobacco products at the HH- level (Andersen et al. 2004).  If parents, grandparents and other older family members smoked or used tobacco items in front of children, it latently encouraged tobacco use by those children in the future (Ullah et al. 2013; Rosenstock and IM 1974). </w:t>
      </w:r>
      <w:r w:rsidR="004A3C4F" w:rsidRPr="00BD3832">
        <w:rPr>
          <w:rFonts w:eastAsia="Calibri"/>
        </w:rPr>
        <w:t>However</w:t>
      </w:r>
      <w:r w:rsidR="0021693D" w:rsidRPr="00BD3832">
        <w:rPr>
          <w:rFonts w:eastAsia="Calibri"/>
        </w:rPr>
        <w:t>,</w:t>
      </w:r>
      <w:r w:rsidRPr="00BD3832">
        <w:rPr>
          <w:rFonts w:eastAsia="Calibri"/>
        </w:rPr>
        <w:t xml:space="preserve"> parents perceiving ‘s</w:t>
      </w:r>
      <w:r w:rsidRPr="00BD3832">
        <w:rPr>
          <w:lang w:val="sv-SE"/>
        </w:rPr>
        <w:t xml:space="preserve">trong family bonding can be helpful to prevent tobacco-use at HHs-level’ were </w:t>
      </w:r>
      <w:r w:rsidR="00CD3202" w:rsidRPr="00BD3832">
        <w:rPr>
          <w:lang w:val="sv-SE"/>
        </w:rPr>
        <w:t>less likely</w:t>
      </w:r>
      <w:r w:rsidRPr="00BD3832">
        <w:rPr>
          <w:lang w:val="sv-SE"/>
        </w:rPr>
        <w:t xml:space="preserve"> to be positively </w:t>
      </w:r>
      <w:r w:rsidR="006C0040" w:rsidRPr="00BD3832">
        <w:rPr>
          <w:lang w:val="sv-SE"/>
        </w:rPr>
        <w:t>perceived</w:t>
      </w:r>
      <w:r w:rsidRPr="00BD3832">
        <w:rPr>
          <w:lang w:val="sv-SE"/>
        </w:rPr>
        <w:t xml:space="preserve"> regarding familial tobacco control initiatives. </w:t>
      </w:r>
      <w:r w:rsidR="00D558F6" w:rsidRPr="00BD3832">
        <w:rPr>
          <w:lang w:val="sv-SE"/>
        </w:rPr>
        <w:t xml:space="preserve"> Conversely, </w:t>
      </w:r>
      <w:r w:rsidR="00D558F6" w:rsidRPr="00BD3832">
        <w:rPr>
          <w:bCs/>
        </w:rPr>
        <w:t xml:space="preserve"> a</w:t>
      </w:r>
      <w:r w:rsidR="0044684C" w:rsidRPr="00BD3832">
        <w:rPr>
          <w:bCs/>
        </w:rPr>
        <w:t xml:space="preserve"> </w:t>
      </w:r>
      <w:r w:rsidRPr="00BD3832">
        <w:rPr>
          <w:bCs/>
        </w:rPr>
        <w:t>study</w:t>
      </w:r>
      <w:r w:rsidR="00D558F6" w:rsidRPr="00BD3832">
        <w:rPr>
          <w:bCs/>
        </w:rPr>
        <w:t xml:space="preserve"> conducted</w:t>
      </w:r>
      <w:r w:rsidRPr="00BD3832">
        <w:rPr>
          <w:bCs/>
        </w:rPr>
        <w:t xml:space="preserve"> in Vietnam identified that continuous family support, </w:t>
      </w:r>
      <w:r w:rsidR="00183A9B" w:rsidRPr="00BD3832">
        <w:rPr>
          <w:bCs/>
        </w:rPr>
        <w:t>counselling</w:t>
      </w:r>
      <w:r w:rsidRPr="00BD3832">
        <w:rPr>
          <w:bCs/>
        </w:rPr>
        <w:t xml:space="preserve"> and good </w:t>
      </w:r>
      <w:r w:rsidRPr="00BD3832">
        <w:t xml:space="preserve">interactions </w:t>
      </w:r>
      <w:r w:rsidR="00D558F6" w:rsidRPr="00BD3832">
        <w:t xml:space="preserve">and bonding </w:t>
      </w:r>
      <w:r w:rsidRPr="00BD3832">
        <w:t>among the family members influence a heavy smoker to give up smoking (</w:t>
      </w:r>
      <w:r w:rsidR="008B1ECB" w:rsidRPr="00BD3832">
        <w:rPr>
          <w:rFonts w:eastAsia="Calibri"/>
        </w:rPr>
        <w:t>Fashafsheh et al.</w:t>
      </w:r>
      <w:r w:rsidRPr="00BD3832">
        <w:rPr>
          <w:rFonts w:eastAsia="Calibri"/>
        </w:rPr>
        <w:t xml:space="preserve"> 2015)</w:t>
      </w:r>
      <w:r w:rsidRPr="00BD3832">
        <w:t>.</w:t>
      </w:r>
      <w:r w:rsidR="00417712" w:rsidRPr="00BD3832">
        <w:t xml:space="preserve"> </w:t>
      </w:r>
      <w:r w:rsidR="000D1035" w:rsidRPr="00BD3832">
        <w:t>In addition, c</w:t>
      </w:r>
      <w:r w:rsidRPr="00BD3832">
        <w:t xml:space="preserve">onsistent </w:t>
      </w:r>
      <w:r w:rsidR="000D1035" w:rsidRPr="00BD3832">
        <w:t xml:space="preserve">with the </w:t>
      </w:r>
      <w:r w:rsidRPr="00BD3832">
        <w:t>finding</w:t>
      </w:r>
      <w:r w:rsidR="000D1035" w:rsidRPr="00BD3832">
        <w:t>s</w:t>
      </w:r>
      <w:r w:rsidRPr="00BD3832">
        <w:t xml:space="preserve"> regarding parental perceptions reported in a </w:t>
      </w:r>
      <w:r w:rsidR="000D1035" w:rsidRPr="00BD3832">
        <w:t>present</w:t>
      </w:r>
      <w:r w:rsidRPr="00BD3832">
        <w:t xml:space="preserve"> study, a few prior studies demonstrated how positive parental perceptions, their tobacco-using behavior and attitude could work as effective interventions on the way to tobacco control in the HH context </w:t>
      </w:r>
      <w:r w:rsidRPr="00BD3832">
        <w:rPr>
          <w:rFonts w:eastAsia="AdvTimes"/>
        </w:rPr>
        <w:t xml:space="preserve">(WHO, 2017; </w:t>
      </w:r>
      <w:r w:rsidRPr="00BD3832">
        <w:t>National Center for Chroni</w:t>
      </w:r>
      <w:r w:rsidR="00942678" w:rsidRPr="00BD3832">
        <w:t xml:space="preserve">c Disease Prevention and Health </w:t>
      </w:r>
      <w:r w:rsidRPr="00BD3832">
        <w:t xml:space="preserve"> Promotion [CDC], 2019).</w:t>
      </w:r>
    </w:p>
    <w:p w14:paraId="4170A4C1" w14:textId="77777777" w:rsidR="00CA5121" w:rsidRPr="00BD3832" w:rsidRDefault="00CA5121" w:rsidP="00D4090A">
      <w:pPr>
        <w:autoSpaceDE w:val="0"/>
        <w:autoSpaceDN w:val="0"/>
        <w:adjustRightInd w:val="0"/>
        <w:jc w:val="both"/>
      </w:pPr>
    </w:p>
    <w:p w14:paraId="196D48F2" w14:textId="372861D9" w:rsidR="00612C1F" w:rsidRPr="00BD3832" w:rsidRDefault="00D4090A" w:rsidP="00D4090A">
      <w:pPr>
        <w:jc w:val="both"/>
      </w:pPr>
      <w:r w:rsidRPr="00BD3832">
        <w:lastRenderedPageBreak/>
        <w:t xml:space="preserve">This study identified </w:t>
      </w:r>
      <w:r w:rsidR="009C5488" w:rsidRPr="00BD3832">
        <w:t xml:space="preserve">that </w:t>
      </w:r>
      <w:r w:rsidRPr="00BD3832">
        <w:t>sharing tobacco products at HHs-level should not be considered as the means of hospitalit</w:t>
      </w:r>
      <w:r w:rsidR="004A3C4F" w:rsidRPr="00BD3832">
        <w:t xml:space="preserve">y. </w:t>
      </w:r>
      <w:r w:rsidR="009E1E20" w:rsidRPr="00BD3832">
        <w:t>However</w:t>
      </w:r>
      <w:r w:rsidR="000E2A43" w:rsidRPr="00BD3832">
        <w:t xml:space="preserve">, </w:t>
      </w:r>
      <w:r w:rsidR="009E1E20" w:rsidRPr="00BD3832">
        <w:t>a</w:t>
      </w:r>
      <w:r w:rsidRPr="00BD3832">
        <w:t xml:space="preserve"> study conducted in urban areas explored this perception to be associated with promoting the tobacc</w:t>
      </w:r>
      <w:r w:rsidR="008B1ECB" w:rsidRPr="00BD3832">
        <w:t>o-use at HH-level (Haque et al.</w:t>
      </w:r>
      <w:r w:rsidRPr="00BD3832">
        <w:t xml:space="preserve"> 2019). Such offering tobacco to guests and intimate friends who come to visit home is a traditional cultural practice in Bangladesh, and helps to continue the use of tobacco (especially SLT) products in the home environment over generations (Hasib, 2014). </w:t>
      </w:r>
    </w:p>
    <w:p w14:paraId="109434AC" w14:textId="77777777" w:rsidR="00407442" w:rsidRPr="00BD3832" w:rsidRDefault="00407442" w:rsidP="00BD3832">
      <w:pPr>
        <w:pStyle w:val="Heading1"/>
      </w:pPr>
      <w:r w:rsidRPr="00BD3832">
        <w:t xml:space="preserve">Limitations </w:t>
      </w:r>
    </w:p>
    <w:p w14:paraId="20B56C46" w14:textId="77777777" w:rsidR="00407442" w:rsidRPr="00BD3832" w:rsidRDefault="00407442" w:rsidP="00C866E2">
      <w:pPr>
        <w:jc w:val="both"/>
      </w:pPr>
      <w:r w:rsidRPr="00BD3832">
        <w:t xml:space="preserve">Though this </w:t>
      </w:r>
      <w:r w:rsidR="006D74D1" w:rsidRPr="00BD3832">
        <w:t xml:space="preserve">study </w:t>
      </w:r>
      <w:r w:rsidRPr="00BD3832">
        <w:t xml:space="preserve">was the first </w:t>
      </w:r>
      <w:r w:rsidR="006D74D1" w:rsidRPr="00BD3832">
        <w:t>of its kind</w:t>
      </w:r>
      <w:r w:rsidRPr="00BD3832">
        <w:t xml:space="preserve"> conducted in Bangladesh, </w:t>
      </w:r>
      <w:r w:rsidR="00F75F35" w:rsidRPr="00BD3832">
        <w:t>and it followed scrutinized</w:t>
      </w:r>
      <w:r w:rsidR="00394D03" w:rsidRPr="00BD3832">
        <w:t xml:space="preserve"> multistage randomized sampling procedures,</w:t>
      </w:r>
      <w:r w:rsidR="00F75F35" w:rsidRPr="00BD3832">
        <w:t xml:space="preserve"> this</w:t>
      </w:r>
      <w:r w:rsidRPr="00BD3832">
        <w:t xml:space="preserve"> study had several limitations. The cross-sectional nature of the study does not permit speculation about the causal direction of the relationships observed, and it limited our ability to conclude whether the risk perceptions were prejudiced </w:t>
      </w:r>
      <w:r w:rsidR="00394D03" w:rsidRPr="00BD3832">
        <w:t>behaviour</w:t>
      </w:r>
      <w:r w:rsidRPr="00BD3832">
        <w:t>, as hypnotized by the He</w:t>
      </w:r>
      <w:r w:rsidR="00D31BE1" w:rsidRPr="00BD3832">
        <w:t>alth Belief Model or vice versa (</w:t>
      </w:r>
      <w:r w:rsidR="00D31BE1" w:rsidRPr="00BD3832">
        <w:rPr>
          <w:shd w:val="clear" w:color="auto" w:fill="FFFFFF"/>
        </w:rPr>
        <w:t xml:space="preserve">Rosenstock 1974). </w:t>
      </w:r>
      <w:r w:rsidR="00D31BE1" w:rsidRPr="00BD3832">
        <w:t xml:space="preserve"> </w:t>
      </w:r>
      <w:r w:rsidR="00C866E2" w:rsidRPr="00BD3832">
        <w:t>In addition, due to a very high rate of migration/relocation among Dhaka city dwellers (more than one-third), the study could not enrol some sample HHs during the data collection and had to consider next HHs from the sampling frame, which may cause</w:t>
      </w:r>
      <w:r w:rsidR="00C866E2" w:rsidRPr="00BD3832">
        <w:rPr>
          <w:rFonts w:eastAsia="Calibri"/>
        </w:rPr>
        <w:t xml:space="preserve"> possible selection bias</w:t>
      </w:r>
      <w:r w:rsidR="00C866E2" w:rsidRPr="00BD3832">
        <w:t xml:space="preserve"> . </w:t>
      </w:r>
      <w:r w:rsidRPr="00BD3832">
        <w:t xml:space="preserve"> Besides, this study was confined to urban residential areas only with a low number of participants (n=400). Thus, the findings may not wholly represent the true picture for all urban areas of Bangladesh. Furthermore, we cannot ignore the tendency of participants to provide more socially desirable responses (response bias), as the study was exclusive to tobacco users that determined the self-reported knowledge and perceptions and explored better perceptions than their knowledge as well, but how the tobacco users are translating their knowledge into real-life perceptions requires further investigation in a broader context.</w:t>
      </w:r>
    </w:p>
    <w:p w14:paraId="6B077F56" w14:textId="77777777" w:rsidR="00D4090A" w:rsidRPr="00BD3832" w:rsidRDefault="00D4090A" w:rsidP="00BD3832">
      <w:pPr>
        <w:pStyle w:val="Heading1"/>
      </w:pPr>
      <w:r w:rsidRPr="00BD3832">
        <w:lastRenderedPageBreak/>
        <w:t>Conclusion</w:t>
      </w:r>
    </w:p>
    <w:p w14:paraId="19ACF224" w14:textId="77777777" w:rsidR="00D4090A" w:rsidRPr="00BD3832" w:rsidRDefault="00D4090A" w:rsidP="00D4090A">
      <w:pPr>
        <w:autoSpaceDE w:val="0"/>
        <w:autoSpaceDN w:val="0"/>
        <w:adjustRightInd w:val="0"/>
        <w:jc w:val="both"/>
      </w:pPr>
      <w:r w:rsidRPr="00BD3832">
        <w:t xml:space="preserve">With a comprehensive view, </w:t>
      </w:r>
      <w:r w:rsidRPr="00BD3832">
        <w:rPr>
          <w:bCs/>
        </w:rPr>
        <w:t xml:space="preserve">the study identified that almost all the parents merely knew tobacco-use might affect their health, nevertheless only one-quarter of them had good knowledge of specific adverse health effects of tobacco-use. </w:t>
      </w:r>
      <w:r w:rsidRPr="00BD3832">
        <w:t>This study can provide the baseline information for policymakers, researchers, national and international agencies to introduce educational programs for parents and implement strict legislations to stop use of tobacco products at HHs.</w:t>
      </w:r>
    </w:p>
    <w:p w14:paraId="1AD21823" w14:textId="77777777" w:rsidR="00723384" w:rsidRPr="00BD3832" w:rsidRDefault="00723384" w:rsidP="00BD3832">
      <w:pPr>
        <w:pStyle w:val="Heading1"/>
      </w:pPr>
      <w:r w:rsidRPr="00BD3832">
        <w:t>Acknowledgements</w:t>
      </w:r>
    </w:p>
    <w:p w14:paraId="08F4AE04" w14:textId="77777777" w:rsidR="00723384" w:rsidRPr="00BD3832" w:rsidRDefault="00723384" w:rsidP="00723384">
      <w:r w:rsidRPr="00BD3832">
        <w:rPr>
          <w:bCs/>
        </w:rPr>
        <w:t>We would like to give our heartfelt thanks to the field supervisor, and field investigators, who worked hard for timely completion of this study.</w:t>
      </w:r>
    </w:p>
    <w:p w14:paraId="2DC484E1" w14:textId="77777777" w:rsidR="00723384" w:rsidRPr="00BD3832" w:rsidRDefault="00723384" w:rsidP="00D4090A">
      <w:pPr>
        <w:autoSpaceDE w:val="0"/>
        <w:autoSpaceDN w:val="0"/>
        <w:adjustRightInd w:val="0"/>
        <w:jc w:val="both"/>
      </w:pPr>
    </w:p>
    <w:p w14:paraId="672A72C5" w14:textId="77777777" w:rsidR="00D4090A" w:rsidRPr="00BD3832" w:rsidRDefault="00D4090A" w:rsidP="00BD3832">
      <w:pPr>
        <w:pStyle w:val="Heading1"/>
      </w:pPr>
      <w:r w:rsidRPr="00BD3832">
        <w:t>Conflict of interest</w:t>
      </w:r>
    </w:p>
    <w:p w14:paraId="6281D0E5" w14:textId="77777777" w:rsidR="00792106" w:rsidRPr="00BD3832" w:rsidRDefault="00D4090A" w:rsidP="00792106">
      <w:pPr>
        <w:pStyle w:val="Default"/>
        <w:spacing w:after="0" w:line="480" w:lineRule="auto"/>
        <w:rPr>
          <w:rFonts w:ascii="Times New Roman" w:hAnsi="Times New Roman" w:cs="Times New Roman"/>
          <w:color w:val="auto"/>
          <w:lang w:bidi="ar-SA"/>
        </w:rPr>
      </w:pPr>
      <w:r w:rsidRPr="00BD3832">
        <w:rPr>
          <w:rFonts w:ascii="Times New Roman" w:hAnsi="Times New Roman" w:cs="Times New Roman"/>
          <w:color w:val="auto"/>
          <w:lang w:bidi="ar-SA"/>
        </w:rPr>
        <w:t>The authors declare that there is no conflict of interest</w:t>
      </w:r>
      <w:r w:rsidR="00792106" w:rsidRPr="00BD3832">
        <w:rPr>
          <w:rFonts w:ascii="Times New Roman" w:hAnsi="Times New Roman" w:cs="Times New Roman"/>
          <w:color w:val="auto"/>
          <w:lang w:bidi="ar-SA"/>
        </w:rPr>
        <w:t>.</w:t>
      </w:r>
    </w:p>
    <w:p w14:paraId="2937DF86" w14:textId="77777777" w:rsidR="00CA5121" w:rsidRPr="00BD3832" w:rsidRDefault="00CA5121" w:rsidP="009C605C">
      <w:pPr>
        <w:jc w:val="both"/>
        <w:rPr>
          <w:b/>
        </w:rPr>
      </w:pPr>
    </w:p>
    <w:p w14:paraId="7419B454" w14:textId="77777777" w:rsidR="00755937" w:rsidRDefault="00755937">
      <w:pPr>
        <w:spacing w:line="240" w:lineRule="auto"/>
        <w:rPr>
          <w:rFonts w:cs="Arial"/>
          <w:b/>
          <w:bCs/>
          <w:kern w:val="32"/>
          <w:szCs w:val="32"/>
        </w:rPr>
      </w:pPr>
      <w:r>
        <w:br w:type="page"/>
      </w:r>
    </w:p>
    <w:p w14:paraId="5F86D498" w14:textId="6CFAFF1C" w:rsidR="009C605C" w:rsidRPr="00BD3832" w:rsidRDefault="009C605C" w:rsidP="00BD3832">
      <w:pPr>
        <w:pStyle w:val="Heading1"/>
        <w:rPr>
          <w:rStyle w:val="nowrap"/>
          <w:b w:val="0"/>
        </w:rPr>
      </w:pPr>
      <w:r w:rsidRPr="00BD3832">
        <w:lastRenderedPageBreak/>
        <w:t>References</w:t>
      </w:r>
    </w:p>
    <w:p w14:paraId="5296BEE8" w14:textId="77777777" w:rsidR="009C605C" w:rsidRPr="00BD3832" w:rsidRDefault="0004706A" w:rsidP="009C605C">
      <w:pPr>
        <w:pStyle w:val="ListParagraph"/>
        <w:numPr>
          <w:ilvl w:val="0"/>
          <w:numId w:val="43"/>
        </w:numPr>
        <w:tabs>
          <w:tab w:val="left" w:pos="630"/>
        </w:tabs>
        <w:spacing w:line="480" w:lineRule="auto"/>
        <w:ind w:hanging="720"/>
        <w:jc w:val="both"/>
        <w:rPr>
          <w:rFonts w:ascii="Times New Roman" w:hAnsi="Times New Roman" w:cs="Times New Roman"/>
        </w:rPr>
      </w:pPr>
      <w:r w:rsidRPr="00BD3832">
        <w:rPr>
          <w:rFonts w:ascii="Times New Roman" w:hAnsi="Times New Roman" w:cs="Times New Roman"/>
        </w:rPr>
        <w:t>World Health Organization. 2019.</w:t>
      </w:r>
      <w:r w:rsidR="009C605C" w:rsidRPr="00BD3832">
        <w:rPr>
          <w:rFonts w:ascii="Times New Roman" w:hAnsi="Times New Roman" w:cs="Times New Roman"/>
        </w:rPr>
        <w:t xml:space="preserve"> </w:t>
      </w:r>
      <w:r w:rsidRPr="00BD3832">
        <w:rPr>
          <w:rFonts w:ascii="Times New Roman" w:hAnsi="Times New Roman" w:cs="Times New Roman"/>
        </w:rPr>
        <w:t>“</w:t>
      </w:r>
      <w:hyperlink r:id="rId8" w:tooltip="Link to non-CDC site" w:history="1">
        <w:r w:rsidR="009C605C" w:rsidRPr="00BD3832">
          <w:rPr>
            <w:rStyle w:val="Hyperlink"/>
            <w:rFonts w:ascii="Times New Roman" w:hAnsi="Times New Roman" w:cs="Times New Roman"/>
            <w:color w:val="auto"/>
            <w:u w:val="none"/>
          </w:rPr>
          <w:t>WHO Key Fact on Tobacco, 2019.</w:t>
        </w:r>
        <w:r w:rsidRPr="00BD3832">
          <w:rPr>
            <w:rStyle w:val="Hyperlink"/>
            <w:rFonts w:ascii="Times New Roman" w:hAnsi="Times New Roman" w:cs="Times New Roman"/>
            <w:color w:val="auto"/>
            <w:u w:val="none"/>
          </w:rPr>
          <w:t>”</w:t>
        </w:r>
        <w:r w:rsidR="009C605C" w:rsidRPr="00BD3832">
          <w:rPr>
            <w:rStyle w:val="Hyperlink"/>
            <w:rFonts w:ascii="Times New Roman" w:hAnsi="Times New Roman" w:cs="Times New Roman"/>
            <w:color w:val="auto"/>
            <w:u w:val="none"/>
          </w:rPr>
          <w:t xml:space="preserve"> </w:t>
        </w:r>
        <w:r w:rsidR="009C605C" w:rsidRPr="00BD3832">
          <w:rPr>
            <w:rStyle w:val="sr-only"/>
            <w:rFonts w:ascii="Times New Roman" w:hAnsi="Times New Roman" w:cs="Times New Roman"/>
          </w:rPr>
          <w:t>External icon</w:t>
        </w:r>
      </w:hyperlink>
      <w:r w:rsidR="009C605C" w:rsidRPr="00BD3832">
        <w:rPr>
          <w:rStyle w:val="reftitle"/>
          <w:rFonts w:ascii="Times New Roman" w:hAnsi="Times New Roman" w:cs="Times New Roman"/>
        </w:rPr>
        <w:t>.</w:t>
      </w:r>
      <w:r w:rsidR="009C605C" w:rsidRPr="00BD3832">
        <w:rPr>
          <w:rStyle w:val="refpub"/>
          <w:rFonts w:ascii="Times New Roman" w:hAnsi="Times New Roman" w:cs="Times New Roman"/>
        </w:rPr>
        <w:t xml:space="preserve">Geneva: World Health Organization; 2019. </w:t>
      </w:r>
      <w:hyperlink r:id="rId9" w:history="1">
        <w:r w:rsidR="009C605C" w:rsidRPr="00BD3832">
          <w:rPr>
            <w:rStyle w:val="Hyperlink"/>
            <w:rFonts w:ascii="Times New Roman" w:hAnsi="Times New Roman" w:cs="Times New Roman"/>
            <w:color w:val="auto"/>
            <w:u w:val="none"/>
            <w:lang w:bidi="ar-SA"/>
          </w:rPr>
          <w:t>https://www.who.int/news-room/fact-sheets/detail/tobacco</w:t>
        </w:r>
      </w:hyperlink>
      <w:r w:rsidR="009C605C" w:rsidRPr="00BD3832">
        <w:rPr>
          <w:rFonts w:ascii="Times New Roman" w:hAnsi="Times New Roman" w:cs="Times New Roman"/>
          <w:lang w:bidi="ar-SA"/>
        </w:rPr>
        <w:t xml:space="preserve"> (a</w:t>
      </w:r>
      <w:r w:rsidR="009C605C" w:rsidRPr="00BD3832">
        <w:rPr>
          <w:rFonts w:ascii="Times New Roman" w:hAnsi="Times New Roman" w:cs="Times New Roman"/>
        </w:rPr>
        <w:t xml:space="preserve">ccessed,December 15, 2019). </w:t>
      </w:r>
    </w:p>
    <w:p w14:paraId="7C26B580" w14:textId="77777777" w:rsidR="009C605C" w:rsidRPr="00BD3832" w:rsidRDefault="0004706A" w:rsidP="009C605C">
      <w:pPr>
        <w:pStyle w:val="ListParagraph"/>
        <w:numPr>
          <w:ilvl w:val="0"/>
          <w:numId w:val="43"/>
        </w:numPr>
        <w:tabs>
          <w:tab w:val="left" w:pos="630"/>
        </w:tabs>
        <w:spacing w:line="480" w:lineRule="auto"/>
        <w:ind w:hanging="720"/>
        <w:jc w:val="both"/>
        <w:rPr>
          <w:rFonts w:ascii="Times New Roman" w:hAnsi="Times New Roman" w:cs="Times New Roman"/>
        </w:rPr>
      </w:pPr>
      <w:r w:rsidRPr="00BD3832">
        <w:rPr>
          <w:rFonts w:ascii="Times New Roman" w:hAnsi="Times New Roman" w:cs="Times New Roman"/>
          <w:bCs/>
        </w:rPr>
        <w:t>World Health Organization. 2015.</w:t>
      </w:r>
      <w:r w:rsidR="009C605C" w:rsidRPr="00BD3832">
        <w:rPr>
          <w:rFonts w:ascii="Times New Roman" w:hAnsi="Times New Roman" w:cs="Times New Roman"/>
          <w:bCs/>
        </w:rPr>
        <w:t xml:space="preserve"> </w:t>
      </w:r>
      <w:r w:rsidRPr="00BD3832">
        <w:rPr>
          <w:rFonts w:ascii="Times New Roman" w:hAnsi="Times New Roman" w:cs="Times New Roman"/>
          <w:bCs/>
        </w:rPr>
        <w:t>“</w:t>
      </w:r>
      <w:r w:rsidR="009C605C" w:rsidRPr="00BD3832">
        <w:rPr>
          <w:rFonts w:ascii="Times New Roman" w:hAnsi="Times New Roman" w:cs="Times New Roman"/>
          <w:bCs/>
          <w:kern w:val="36"/>
        </w:rPr>
        <w:t xml:space="preserve">WHO Tobacco </w:t>
      </w:r>
      <w:r w:rsidR="009C605C" w:rsidRPr="00BD3832">
        <w:rPr>
          <w:rFonts w:ascii="Times New Roman" w:hAnsi="Times New Roman" w:cs="Times New Roman"/>
        </w:rPr>
        <w:t>Fact sheet; 2015</w:t>
      </w:r>
      <w:r w:rsidRPr="00BD3832">
        <w:rPr>
          <w:rFonts w:ascii="Times New Roman" w:hAnsi="Times New Roman" w:cs="Times New Roman"/>
        </w:rPr>
        <w:t>.”</w:t>
      </w:r>
      <w:r w:rsidR="009C605C" w:rsidRPr="00BD3832">
        <w:rPr>
          <w:rFonts w:ascii="Times New Roman" w:hAnsi="Times New Roman" w:cs="Times New Roman"/>
        </w:rPr>
        <w:t xml:space="preserve"> </w:t>
      </w:r>
      <w:hyperlink r:id="rId10" w:history="1">
        <w:r w:rsidR="009C605C" w:rsidRPr="00BD3832">
          <w:rPr>
            <w:rStyle w:val="Hyperlink"/>
            <w:rFonts w:ascii="Times New Roman" w:hAnsi="Times New Roman" w:cs="Times New Roman"/>
            <w:color w:val="auto"/>
            <w:u w:val="none"/>
          </w:rPr>
          <w:t>http://www.who.int/ media centre/factsheets/fs339/en/</w:t>
        </w:r>
      </w:hyperlink>
      <w:r w:rsidR="009C605C" w:rsidRPr="00BD3832">
        <w:rPr>
          <w:rFonts w:ascii="Times New Roman" w:hAnsi="Times New Roman" w:cs="Times New Roman"/>
        </w:rPr>
        <w:t xml:space="preserve"> (accessed March 25, 2017).</w:t>
      </w:r>
      <w:r w:rsidR="009C605C" w:rsidRPr="00BD3832">
        <w:rPr>
          <w:rFonts w:ascii="Times New Roman" w:hAnsi="Times New Roman" w:cs="Times New Roman"/>
        </w:rPr>
        <w:tab/>
      </w:r>
    </w:p>
    <w:p w14:paraId="740DECED" w14:textId="77777777" w:rsidR="009C605C" w:rsidRPr="00BD3832" w:rsidRDefault="009C605C" w:rsidP="009C605C">
      <w:pPr>
        <w:pStyle w:val="ListParagraph"/>
        <w:numPr>
          <w:ilvl w:val="0"/>
          <w:numId w:val="43"/>
        </w:numPr>
        <w:tabs>
          <w:tab w:val="left" w:pos="630"/>
        </w:tabs>
        <w:spacing w:line="480" w:lineRule="auto"/>
        <w:ind w:hanging="720"/>
        <w:jc w:val="both"/>
        <w:rPr>
          <w:rFonts w:ascii="Times New Roman" w:hAnsi="Times New Roman" w:cs="Times New Roman"/>
        </w:rPr>
      </w:pPr>
      <w:r w:rsidRPr="00BD3832">
        <w:rPr>
          <w:rFonts w:ascii="Times New Roman" w:hAnsi="Times New Roman" w:cs="Times New Roman"/>
        </w:rPr>
        <w:t xml:space="preserve"> </w:t>
      </w:r>
      <w:r w:rsidRPr="00BD3832">
        <w:rPr>
          <w:rFonts w:ascii="Times New Roman" w:hAnsi="Times New Roman" w:cs="Times New Roman"/>
          <w:shd w:val="clear" w:color="auto" w:fill="FFFFFF"/>
        </w:rPr>
        <w:t>Barkat A, Chowdhury AU, Nargis N, et al.</w:t>
      </w:r>
      <w:r w:rsidR="00FA3947" w:rsidRPr="00BD3832">
        <w:rPr>
          <w:rFonts w:ascii="Times New Roman" w:hAnsi="Times New Roman" w:cs="Times New Roman"/>
          <w:shd w:val="clear" w:color="auto" w:fill="FFFFFF"/>
        </w:rPr>
        <w:t xml:space="preserve"> 2012</w:t>
      </w:r>
      <w:r w:rsidR="00637779" w:rsidRPr="00BD3832">
        <w:rPr>
          <w:rFonts w:ascii="Times New Roman" w:hAnsi="Times New Roman" w:cs="Times New Roman"/>
          <w:shd w:val="clear" w:color="auto" w:fill="FFFFFF"/>
        </w:rPr>
        <w:t>.</w:t>
      </w:r>
      <w:r w:rsidRPr="00BD3832">
        <w:rPr>
          <w:rFonts w:ascii="Times New Roman" w:hAnsi="Times New Roman" w:cs="Times New Roman"/>
          <w:shd w:val="clear" w:color="auto" w:fill="FFFFFF"/>
        </w:rPr>
        <w:t> </w:t>
      </w:r>
      <w:r w:rsidR="00637779" w:rsidRPr="00BD3832">
        <w:rPr>
          <w:rFonts w:ascii="Times New Roman" w:hAnsi="Times New Roman" w:cs="Times New Roman"/>
          <w:shd w:val="clear" w:color="auto" w:fill="FFFFFF"/>
        </w:rPr>
        <w:t>“</w:t>
      </w:r>
      <w:r w:rsidRPr="00BD3832">
        <w:rPr>
          <w:rStyle w:val="ref-journal"/>
          <w:rFonts w:ascii="Times New Roman" w:hAnsi="Times New Roman" w:cs="Times New Roman"/>
          <w:shd w:val="clear" w:color="auto" w:fill="FFFFFF"/>
        </w:rPr>
        <w:t>The Economics of Tobacco and Tobacco Taxation in Bangladesh.</w:t>
      </w:r>
      <w:r w:rsidR="00637779" w:rsidRPr="00BD3832">
        <w:rPr>
          <w:rStyle w:val="ref-journal"/>
          <w:rFonts w:ascii="Times New Roman" w:hAnsi="Times New Roman" w:cs="Times New Roman"/>
          <w:shd w:val="clear" w:color="auto" w:fill="FFFFFF"/>
        </w:rPr>
        <w:t>”</w:t>
      </w:r>
      <w:r w:rsidRPr="00BD3832">
        <w:rPr>
          <w:rFonts w:ascii="Times New Roman" w:hAnsi="Times New Roman" w:cs="Times New Roman"/>
          <w:shd w:val="clear" w:color="auto" w:fill="FFFFFF"/>
        </w:rPr>
        <w:t> </w:t>
      </w:r>
      <w:r w:rsidRPr="00BD3832">
        <w:rPr>
          <w:rFonts w:ascii="Times New Roman" w:hAnsi="Times New Roman" w:cs="Times New Roman"/>
          <w:i/>
          <w:shd w:val="clear" w:color="auto" w:fill="FFFFFF"/>
        </w:rPr>
        <w:t>International Union against Tuberculosis and Lung Disease</w:t>
      </w:r>
      <w:r w:rsidRPr="00BD3832">
        <w:rPr>
          <w:rFonts w:ascii="Times New Roman" w:hAnsi="Times New Roman" w:cs="Times New Roman"/>
          <w:shd w:val="clear" w:color="auto" w:fill="FFFFFF"/>
        </w:rPr>
        <w:t xml:space="preserve">. </w:t>
      </w:r>
      <w:r w:rsidRPr="00BD3832">
        <w:rPr>
          <w:rFonts w:ascii="Times New Roman" w:hAnsi="Times New Roman" w:cs="Times New Roman"/>
        </w:rPr>
        <w:tab/>
      </w:r>
    </w:p>
    <w:p w14:paraId="554742FF" w14:textId="77777777" w:rsidR="009C605C" w:rsidRPr="00BD3832" w:rsidRDefault="00637779"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rPr>
        <w:t>World Health Organization. 2009.</w:t>
      </w:r>
      <w:r w:rsidR="009C605C" w:rsidRPr="00BD3832">
        <w:rPr>
          <w:rFonts w:ascii="Times New Roman" w:hAnsi="Times New Roman" w:cs="Times New Roman"/>
        </w:rPr>
        <w:t xml:space="preserve"> </w:t>
      </w:r>
      <w:r w:rsidRPr="00BD3832">
        <w:rPr>
          <w:rFonts w:ascii="Times New Roman" w:hAnsi="Times New Roman" w:cs="Times New Roman"/>
        </w:rPr>
        <w:t>“</w:t>
      </w:r>
      <w:r w:rsidR="009C605C" w:rsidRPr="00BD3832">
        <w:rPr>
          <w:rFonts w:ascii="Times New Roman" w:hAnsi="Times New Roman" w:cs="Times New Roman"/>
        </w:rPr>
        <w:t xml:space="preserve">Global adult tobacco survey (GATS), </w:t>
      </w:r>
      <w:r w:rsidR="009C605C" w:rsidRPr="00BD3832">
        <w:rPr>
          <w:rFonts w:ascii="Times New Roman" w:hAnsi="Times New Roman" w:cs="Times New Roman"/>
        </w:rPr>
        <w:tab/>
        <w:t xml:space="preserve">Bangladesh </w:t>
      </w:r>
      <w:r w:rsidR="009C605C" w:rsidRPr="00BD3832">
        <w:rPr>
          <w:rFonts w:ascii="Times New Roman" w:hAnsi="Times New Roman" w:cs="Times New Roman"/>
        </w:rPr>
        <w:tab/>
        <w:t>Report;</w:t>
      </w:r>
      <w:r w:rsidR="009C605C" w:rsidRPr="00BD3832">
        <w:rPr>
          <w:rFonts w:ascii="Times New Roman" w:hAnsi="Times New Roman" w:cs="Times New Roman"/>
          <w:i/>
        </w:rPr>
        <w:t xml:space="preserve"> </w:t>
      </w:r>
      <w:r w:rsidR="009C605C" w:rsidRPr="00BD3832">
        <w:rPr>
          <w:rFonts w:ascii="Times New Roman" w:hAnsi="Times New Roman" w:cs="Times New Roman"/>
        </w:rPr>
        <w:t>2009.</w:t>
      </w:r>
      <w:r w:rsidRPr="00BD3832">
        <w:rPr>
          <w:rFonts w:ascii="Times New Roman" w:hAnsi="Times New Roman" w:cs="Times New Roman"/>
        </w:rPr>
        <w:t>”</w:t>
      </w:r>
      <w:r w:rsidR="009C605C" w:rsidRPr="00BD3832">
        <w:rPr>
          <w:rFonts w:ascii="Times New Roman" w:hAnsi="Times New Roman" w:cs="Times New Roman"/>
        </w:rPr>
        <w:tab/>
      </w:r>
      <w:hyperlink r:id="rId11" w:history="1">
        <w:r w:rsidR="009C605C" w:rsidRPr="00BD3832">
          <w:rPr>
            <w:rStyle w:val="Hyperlink"/>
            <w:rFonts w:ascii="Times New Roman" w:hAnsi="Times New Roman" w:cs="Times New Roman"/>
            <w:color w:val="auto"/>
            <w:u w:val="none"/>
          </w:rPr>
          <w:t>http://www.who.int/tobacco/surveillance/globaladult_tobacco_</w:t>
        </w:r>
      </w:hyperlink>
      <w:r w:rsidR="009C605C" w:rsidRPr="00BD3832">
        <w:rPr>
          <w:rFonts w:ascii="Times New Roman" w:hAnsi="Times New Roman" w:cs="Times New Roman"/>
        </w:rPr>
        <w:tab/>
        <w:t>Survey_bangladesh_report_2009.pdf (accessed March 26, 2016).</w:t>
      </w:r>
      <w:r w:rsidR="009C605C" w:rsidRPr="00BD3832">
        <w:rPr>
          <w:rFonts w:ascii="Times New Roman" w:hAnsi="Times New Roman" w:cs="Times New Roman"/>
        </w:rPr>
        <w:tab/>
      </w:r>
    </w:p>
    <w:p w14:paraId="29E21711" w14:textId="77777777" w:rsidR="009C605C" w:rsidRPr="00BD3832" w:rsidRDefault="00637779"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rPr>
        <w:t>Hasan MK. 2018.</w:t>
      </w:r>
      <w:r w:rsidR="009C605C" w:rsidRPr="00BD3832">
        <w:rPr>
          <w:rFonts w:ascii="Times New Roman" w:hAnsi="Times New Roman" w:cs="Times New Roman"/>
        </w:rPr>
        <w:t xml:space="preserve"> </w:t>
      </w:r>
      <w:r w:rsidRPr="00BD3832">
        <w:rPr>
          <w:rFonts w:ascii="Times New Roman" w:hAnsi="Times New Roman" w:cs="Times New Roman"/>
        </w:rPr>
        <w:t>“</w:t>
      </w:r>
      <w:r w:rsidR="009C605C" w:rsidRPr="00BD3832">
        <w:rPr>
          <w:rFonts w:ascii="Times New Roman" w:hAnsi="Times New Roman" w:cs="Times New Roman"/>
        </w:rPr>
        <w:t xml:space="preserve">WHO: Tobacco responsible for 1 in 5 deaths in Bangladesh. </w:t>
      </w:r>
      <w:r w:rsidR="009C605C" w:rsidRPr="00BD3832">
        <w:rPr>
          <w:rFonts w:ascii="Times New Roman" w:hAnsi="Times New Roman" w:cs="Times New Roman"/>
          <w:i/>
        </w:rPr>
        <w:t xml:space="preserve">Dhaka </w:t>
      </w:r>
      <w:r w:rsidR="009C605C" w:rsidRPr="00BD3832">
        <w:rPr>
          <w:rFonts w:ascii="Times New Roman" w:hAnsi="Times New Roman" w:cs="Times New Roman"/>
          <w:i/>
        </w:rPr>
        <w:tab/>
        <w:t>Tribune</w:t>
      </w:r>
      <w:r w:rsidR="009C605C" w:rsidRPr="00BD3832">
        <w:rPr>
          <w:rFonts w:ascii="Times New Roman" w:hAnsi="Times New Roman" w:cs="Times New Roman"/>
        </w:rPr>
        <w:t>.</w:t>
      </w:r>
      <w:r w:rsidRPr="00BD3832">
        <w:rPr>
          <w:rFonts w:ascii="Times New Roman" w:hAnsi="Times New Roman" w:cs="Times New Roman"/>
        </w:rPr>
        <w:t>”</w:t>
      </w:r>
      <w:r w:rsidR="009C605C" w:rsidRPr="00BD3832">
        <w:rPr>
          <w:rFonts w:ascii="Times New Roman" w:hAnsi="Times New Roman" w:cs="Times New Roman"/>
        </w:rPr>
        <w:t xml:space="preserve"> </w:t>
      </w:r>
      <w:hyperlink w:history="1">
        <w:r w:rsidR="009C605C" w:rsidRPr="00BD3832">
          <w:rPr>
            <w:rStyle w:val="Hyperlink"/>
            <w:rFonts w:ascii="Times New Roman" w:hAnsi="Times New Roman" w:cs="Times New Roman"/>
            <w:color w:val="auto"/>
            <w:u w:val="none"/>
          </w:rPr>
          <w:t xml:space="preserve">https://www.dhakatribune. com/health/2018/06/01 </w:t>
        </w:r>
        <w:r w:rsidR="009C605C" w:rsidRPr="00BD3832">
          <w:rPr>
            <w:rStyle w:val="Hyperlink"/>
            <w:rFonts w:ascii="Times New Roman" w:hAnsi="Times New Roman" w:cs="Times New Roman"/>
            <w:color w:val="auto"/>
            <w:u w:val="none"/>
          </w:rPr>
          <w:tab/>
          <w:t xml:space="preserve">/tobacco-1-in </w:t>
        </w:r>
        <w:r w:rsidR="009C605C" w:rsidRPr="00BD3832">
          <w:rPr>
            <w:rStyle w:val="Hyperlink"/>
            <w:rFonts w:ascii="Times New Roman" w:hAnsi="Times New Roman" w:cs="Times New Roman"/>
            <w:color w:val="auto"/>
            <w:u w:val="none"/>
          </w:rPr>
          <w:tab/>
          <w:t>-5-deaths-bangladesh</w:t>
        </w:r>
      </w:hyperlink>
      <w:r w:rsidR="009C605C" w:rsidRPr="00BD3832">
        <w:rPr>
          <w:rFonts w:ascii="Times New Roman" w:hAnsi="Times New Roman" w:cs="Times New Roman"/>
        </w:rPr>
        <w:t xml:space="preserve"> (</w:t>
      </w:r>
      <w:r w:rsidR="009C605C" w:rsidRPr="00BD3832">
        <w:rPr>
          <w:rFonts w:ascii="Times New Roman" w:hAnsi="Times New Roman" w:cs="Times New Roman"/>
          <w:iCs/>
        </w:rPr>
        <w:t>accessed July 27, 2018).</w:t>
      </w:r>
    </w:p>
    <w:p w14:paraId="619BA644" w14:textId="77777777" w:rsidR="009C605C" w:rsidRPr="00BD3832" w:rsidRDefault="00D67CEE" w:rsidP="009C605C">
      <w:pPr>
        <w:pStyle w:val="ListParagraph"/>
        <w:numPr>
          <w:ilvl w:val="0"/>
          <w:numId w:val="43"/>
        </w:numPr>
        <w:tabs>
          <w:tab w:val="left" w:pos="630"/>
        </w:tabs>
        <w:spacing w:line="480" w:lineRule="auto"/>
        <w:ind w:left="630" w:hanging="540"/>
        <w:jc w:val="both"/>
        <w:rPr>
          <w:rFonts w:ascii="Times New Roman" w:hAnsi="Times New Roman" w:cs="Times New Roman"/>
        </w:rPr>
      </w:pPr>
      <w:hyperlink r:id="rId12" w:history="1">
        <w:r w:rsidR="009C605C" w:rsidRPr="00BD3832">
          <w:rPr>
            <w:rStyle w:val="Hyperlink"/>
            <w:rFonts w:ascii="Times New Roman" w:hAnsi="Times New Roman" w:cs="Times New Roman"/>
            <w:color w:val="auto"/>
            <w:u w:val="none"/>
            <w:shd w:val="clear" w:color="auto" w:fill="FFFFFF"/>
          </w:rPr>
          <w:t>Idris BI</w:t>
        </w:r>
      </w:hyperlink>
      <w:r w:rsidR="009C605C" w:rsidRPr="00BD3832">
        <w:rPr>
          <w:rFonts w:ascii="Times New Roman" w:hAnsi="Times New Roman" w:cs="Times New Roman"/>
          <w:shd w:val="clear" w:color="auto" w:fill="FFFFFF"/>
        </w:rPr>
        <w:t>, </w:t>
      </w:r>
      <w:hyperlink r:id="rId13" w:history="1">
        <w:r w:rsidR="009C605C" w:rsidRPr="00BD3832">
          <w:rPr>
            <w:rStyle w:val="Hyperlink"/>
            <w:rFonts w:ascii="Times New Roman" w:hAnsi="Times New Roman" w:cs="Times New Roman"/>
            <w:color w:val="auto"/>
            <w:u w:val="none"/>
            <w:shd w:val="clear" w:color="auto" w:fill="FFFFFF"/>
          </w:rPr>
          <w:t>Giskes K</w:t>
        </w:r>
      </w:hyperlink>
      <w:r w:rsidR="009C605C" w:rsidRPr="00BD3832">
        <w:rPr>
          <w:rFonts w:ascii="Times New Roman" w:hAnsi="Times New Roman" w:cs="Times New Roman"/>
          <w:shd w:val="clear" w:color="auto" w:fill="FFFFFF"/>
        </w:rPr>
        <w:t>, </w:t>
      </w:r>
      <w:hyperlink r:id="rId14" w:history="1">
        <w:r w:rsidR="009C605C" w:rsidRPr="00BD3832">
          <w:rPr>
            <w:rStyle w:val="Hyperlink"/>
            <w:rFonts w:ascii="Times New Roman" w:hAnsi="Times New Roman" w:cs="Times New Roman"/>
            <w:color w:val="auto"/>
            <w:u w:val="none"/>
            <w:shd w:val="clear" w:color="auto" w:fill="FFFFFF"/>
          </w:rPr>
          <w:t>Borrell C</w:t>
        </w:r>
      </w:hyperlink>
      <w:r w:rsidR="009C605C" w:rsidRPr="00BD3832">
        <w:rPr>
          <w:rFonts w:ascii="Times New Roman" w:hAnsi="Times New Roman" w:cs="Times New Roman"/>
          <w:shd w:val="clear" w:color="auto" w:fill="FFFFFF"/>
        </w:rPr>
        <w:t>, </w:t>
      </w:r>
      <w:r w:rsidR="00481FF7" w:rsidRPr="00BD3832">
        <w:rPr>
          <w:rFonts w:ascii="Times New Roman" w:eastAsia="AdvTimes" w:hAnsi="Times New Roman" w:cs="Times New Roman"/>
          <w:lang w:bidi="ar-SA"/>
        </w:rPr>
        <w:t>et al. 2007.</w:t>
      </w:r>
      <w:r w:rsidR="009C605C" w:rsidRPr="00BD3832">
        <w:rPr>
          <w:rFonts w:ascii="Times New Roman" w:eastAsia="AdvTimes" w:hAnsi="Times New Roman" w:cs="Times New Roman"/>
          <w:lang w:bidi="ar-SA"/>
        </w:rPr>
        <w:t xml:space="preserve"> </w:t>
      </w:r>
      <w:r w:rsidR="00B96167" w:rsidRPr="00BD3832">
        <w:rPr>
          <w:rFonts w:ascii="Times New Roman" w:eastAsia="AdvTimes" w:hAnsi="Times New Roman" w:cs="Times New Roman"/>
          <w:lang w:bidi="ar-SA"/>
        </w:rPr>
        <w:t>“</w:t>
      </w:r>
      <w:r w:rsidR="009C605C" w:rsidRPr="00BD3832">
        <w:rPr>
          <w:rFonts w:ascii="Times New Roman" w:eastAsia="AdvTimes" w:hAnsi="Times New Roman" w:cs="Times New Roman"/>
          <w:lang w:bidi="ar-SA"/>
        </w:rPr>
        <w:t xml:space="preserve">Higher smoking prevalence in urban </w:t>
      </w:r>
      <w:r w:rsidR="009C605C" w:rsidRPr="00BD3832">
        <w:rPr>
          <w:rFonts w:ascii="Times New Roman" w:eastAsia="AdvTimes" w:hAnsi="Times New Roman" w:cs="Times New Roman"/>
          <w:lang w:bidi="ar-SA"/>
        </w:rPr>
        <w:tab/>
        <w:t>compared to non-urban areas: Time trends in six European countries.</w:t>
      </w:r>
      <w:r w:rsidR="00B96167" w:rsidRPr="00BD3832">
        <w:rPr>
          <w:rFonts w:ascii="Times New Roman" w:eastAsia="AdvTimes" w:hAnsi="Times New Roman" w:cs="Times New Roman"/>
          <w:lang w:bidi="ar-SA"/>
        </w:rPr>
        <w:t>”</w:t>
      </w:r>
      <w:r w:rsidR="009C605C" w:rsidRPr="00BD3832">
        <w:rPr>
          <w:rFonts w:ascii="Times New Roman" w:eastAsia="AdvTimes" w:hAnsi="Times New Roman" w:cs="Times New Roman"/>
          <w:lang w:bidi="ar-SA"/>
        </w:rPr>
        <w:t xml:space="preserve"> </w:t>
      </w:r>
      <w:r w:rsidR="009C605C" w:rsidRPr="00BD3832">
        <w:rPr>
          <w:rFonts w:ascii="Times New Roman" w:hAnsi="Times New Roman" w:cs="Times New Roman"/>
          <w:i/>
          <w:iCs/>
        </w:rPr>
        <w:t xml:space="preserve">Health </w:t>
      </w:r>
      <w:r w:rsidR="009C605C" w:rsidRPr="00BD3832">
        <w:rPr>
          <w:rFonts w:ascii="Times New Roman" w:hAnsi="Times New Roman" w:cs="Times New Roman"/>
          <w:i/>
          <w:iCs/>
        </w:rPr>
        <w:tab/>
        <w:t>Place</w:t>
      </w:r>
      <w:r w:rsidR="009C605C" w:rsidRPr="00BD3832">
        <w:rPr>
          <w:rFonts w:ascii="Times New Roman" w:eastAsia="AdvTimes" w:hAnsi="Times New Roman" w:cs="Times New Roman"/>
          <w:lang w:bidi="ar-SA"/>
        </w:rPr>
        <w:t xml:space="preserve"> 3</w:t>
      </w:r>
      <w:r w:rsidR="00562F2C" w:rsidRPr="00BD3832">
        <w:rPr>
          <w:rFonts w:ascii="Times New Roman" w:eastAsia="AdvTimes" w:hAnsi="Times New Roman" w:cs="Times New Roman"/>
          <w:lang w:bidi="ar-SA"/>
        </w:rPr>
        <w:t xml:space="preserve"> </w:t>
      </w:r>
      <w:r w:rsidR="009C605C" w:rsidRPr="00BD3832">
        <w:rPr>
          <w:rFonts w:ascii="Times New Roman" w:eastAsia="AdvTimes" w:hAnsi="Times New Roman" w:cs="Times New Roman"/>
          <w:lang w:bidi="ar-SA"/>
        </w:rPr>
        <w:t xml:space="preserve">(13): 702–712.  </w:t>
      </w:r>
    </w:p>
    <w:p w14:paraId="2B46564C"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eastAsia="AdvTimes" w:hAnsi="Times New Roman" w:cs="Times New Roman"/>
          <w:lang w:bidi="ar-SA"/>
        </w:rPr>
        <w:t>American Society fo</w:t>
      </w:r>
      <w:r w:rsidR="00562F2C" w:rsidRPr="00BD3832">
        <w:rPr>
          <w:rFonts w:ascii="Times New Roman" w:eastAsia="AdvTimes" w:hAnsi="Times New Roman" w:cs="Times New Roman"/>
          <w:lang w:bidi="ar-SA"/>
        </w:rPr>
        <w:t>r Public Administration (ASPA). 2018.</w:t>
      </w:r>
      <w:r w:rsidRPr="00BD3832">
        <w:rPr>
          <w:rFonts w:ascii="Times New Roman" w:eastAsia="AdvTimes" w:hAnsi="Times New Roman" w:cs="Times New Roman"/>
          <w:lang w:bidi="ar-SA"/>
        </w:rPr>
        <w:t xml:space="preserve"> </w:t>
      </w:r>
      <w:r w:rsidR="00562F2C" w:rsidRPr="00BD3832">
        <w:rPr>
          <w:rFonts w:ascii="Times New Roman" w:eastAsia="AdvTimes" w:hAnsi="Times New Roman" w:cs="Times New Roman"/>
          <w:lang w:bidi="ar-SA"/>
        </w:rPr>
        <w:t>“</w:t>
      </w:r>
      <w:r w:rsidRPr="00BD3832">
        <w:rPr>
          <w:rFonts w:ascii="Times New Roman" w:hAnsi="Times New Roman" w:cs="Times New Roman"/>
        </w:rPr>
        <w:t xml:space="preserve">Air Pollution Kills </w:t>
      </w:r>
      <w:r w:rsidRPr="00BD3832">
        <w:rPr>
          <w:rFonts w:ascii="Times New Roman" w:hAnsi="Times New Roman" w:cs="Times New Roman"/>
        </w:rPr>
        <w:tab/>
        <w:t>195,000 Bangladeshis Each Year.</w:t>
      </w:r>
      <w:r w:rsidR="00562F2C" w:rsidRPr="00BD3832">
        <w:rPr>
          <w:rFonts w:ascii="Times New Roman" w:hAnsi="Times New Roman" w:cs="Times New Roman"/>
        </w:rPr>
        <w:t>”</w:t>
      </w:r>
      <w:r w:rsidRPr="00BD3832">
        <w:rPr>
          <w:rFonts w:ascii="Times New Roman" w:hAnsi="Times New Roman" w:cs="Times New Roman"/>
        </w:rPr>
        <w:t xml:space="preserve"> </w:t>
      </w:r>
      <w:hyperlink r:id="rId15" w:history="1">
        <w:r w:rsidRPr="00BD3832">
          <w:rPr>
            <w:rStyle w:val="Hyperlink"/>
            <w:rFonts w:ascii="Times New Roman" w:hAnsi="Times New Roman" w:cs="Times New Roman"/>
            <w:color w:val="auto"/>
            <w:u w:val="none"/>
          </w:rPr>
          <w:t>https://patimes.org/air-pollution-kills-</w:t>
        </w:r>
        <w:r w:rsidRPr="00BD3832">
          <w:rPr>
            <w:rStyle w:val="Hyperlink"/>
            <w:rFonts w:ascii="Times New Roman" w:hAnsi="Times New Roman" w:cs="Times New Roman"/>
            <w:color w:val="auto"/>
            <w:u w:val="none"/>
          </w:rPr>
          <w:tab/>
          <w:t>195000-bangladeshis-</w:t>
        </w:r>
      </w:hyperlink>
      <w:r w:rsidRPr="00BD3832">
        <w:rPr>
          <w:rFonts w:ascii="Times New Roman" w:hAnsi="Times New Roman" w:cs="Times New Roman"/>
        </w:rPr>
        <w:tab/>
        <w:t>each-year/ (</w:t>
      </w:r>
      <w:r w:rsidRPr="00BD3832">
        <w:rPr>
          <w:rFonts w:ascii="Times New Roman" w:hAnsi="Times New Roman" w:cs="Times New Roman"/>
          <w:iCs/>
        </w:rPr>
        <w:t xml:space="preserve">accessed July 27, 2018). </w:t>
      </w:r>
    </w:p>
    <w:p w14:paraId="4469620C" w14:textId="77777777" w:rsidR="009C605C" w:rsidRPr="00BD3832" w:rsidRDefault="00562F2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eastAsia="AdvTimes" w:hAnsi="Times New Roman" w:cs="Times New Roman"/>
          <w:lang w:bidi="ar-SA"/>
        </w:rPr>
        <w:t xml:space="preserve">Salim I. </w:t>
      </w:r>
      <w:r w:rsidR="009C605C" w:rsidRPr="00BD3832">
        <w:rPr>
          <w:rFonts w:ascii="Times New Roman" w:eastAsia="AdvTimes" w:hAnsi="Times New Roman" w:cs="Times New Roman"/>
          <w:lang w:bidi="ar-SA"/>
        </w:rPr>
        <w:t>2018</w:t>
      </w:r>
      <w:r w:rsidRPr="00BD3832">
        <w:rPr>
          <w:rFonts w:ascii="Times New Roman" w:eastAsia="AdvTimes" w:hAnsi="Times New Roman" w:cs="Times New Roman"/>
          <w:lang w:bidi="ar-SA"/>
        </w:rPr>
        <w:t>.</w:t>
      </w:r>
      <w:r w:rsidR="009C605C" w:rsidRPr="00BD3832">
        <w:rPr>
          <w:rFonts w:ascii="Times New Roman" w:eastAsia="AdvTimes" w:hAnsi="Times New Roman" w:cs="Times New Roman"/>
          <w:lang w:bidi="ar-SA"/>
        </w:rPr>
        <w:t xml:space="preserve"> </w:t>
      </w:r>
      <w:r w:rsidRPr="00BD3832">
        <w:rPr>
          <w:rFonts w:ascii="Times New Roman" w:eastAsia="AdvTimes" w:hAnsi="Times New Roman" w:cs="Times New Roman"/>
          <w:lang w:bidi="ar-SA"/>
        </w:rPr>
        <w:t>“</w:t>
      </w:r>
      <w:r w:rsidR="009C605C" w:rsidRPr="00BD3832">
        <w:rPr>
          <w:rFonts w:ascii="Times New Roman" w:hAnsi="Times New Roman" w:cs="Times New Roman"/>
        </w:rPr>
        <w:t>Dhaka most polluted city in the world</w:t>
      </w:r>
      <w:r w:rsidR="009C605C" w:rsidRPr="00BD3832">
        <w:rPr>
          <w:rFonts w:ascii="Times New Roman" w:hAnsi="Times New Roman" w:cs="Times New Roman"/>
          <w:b/>
        </w:rPr>
        <w:t>.</w:t>
      </w:r>
      <w:r w:rsidRPr="00BD3832">
        <w:rPr>
          <w:rFonts w:ascii="Times New Roman" w:hAnsi="Times New Roman" w:cs="Times New Roman"/>
          <w:b/>
        </w:rPr>
        <w:t>”</w:t>
      </w:r>
      <w:r w:rsidR="009C605C" w:rsidRPr="00BD3832">
        <w:rPr>
          <w:rFonts w:ascii="Times New Roman" w:hAnsi="Times New Roman" w:cs="Times New Roman"/>
          <w:b/>
        </w:rPr>
        <w:t xml:space="preserve"> </w:t>
      </w:r>
      <w:r w:rsidR="009C605C" w:rsidRPr="00BD3832">
        <w:rPr>
          <w:rFonts w:ascii="Times New Roman" w:hAnsi="Times New Roman" w:cs="Times New Roman"/>
          <w:i/>
        </w:rPr>
        <w:t>Dhaka Tribune</w:t>
      </w:r>
      <w:r w:rsidR="009C605C" w:rsidRPr="00BD3832">
        <w:rPr>
          <w:rFonts w:ascii="Times New Roman" w:hAnsi="Times New Roman" w:cs="Times New Roman"/>
        </w:rPr>
        <w:t>; April 4 2018.</w:t>
      </w:r>
      <w:r w:rsidR="009C605C" w:rsidRPr="00BD3832">
        <w:rPr>
          <w:rFonts w:ascii="Times New Roman" w:hAnsi="Times New Roman" w:cs="Times New Roman"/>
          <w:b/>
        </w:rPr>
        <w:lastRenderedPageBreak/>
        <w:tab/>
      </w:r>
      <w:hyperlink r:id="rId16" w:history="1">
        <w:r w:rsidR="009C605C" w:rsidRPr="00BD3832">
          <w:rPr>
            <w:rStyle w:val="Hyperlink"/>
            <w:rFonts w:ascii="Times New Roman" w:hAnsi="Times New Roman" w:cs="Times New Roman"/>
            <w:color w:val="auto"/>
            <w:u w:val="none"/>
          </w:rPr>
          <w:t>https://www.dhakatribune.com/bangladesh/environment/2018/04/04/dhaka-still-</w:t>
        </w:r>
      </w:hyperlink>
      <w:r w:rsidR="009C605C" w:rsidRPr="00BD3832">
        <w:rPr>
          <w:rFonts w:ascii="Times New Roman" w:hAnsi="Times New Roman" w:cs="Times New Roman"/>
          <w:b/>
        </w:rPr>
        <w:tab/>
      </w:r>
      <w:r w:rsidR="009C605C" w:rsidRPr="00BD3832">
        <w:rPr>
          <w:rFonts w:ascii="Times New Roman" w:hAnsi="Times New Roman" w:cs="Times New Roman"/>
        </w:rPr>
        <w:t>ranks-as-the-most-polluted-city-in-the-world</w:t>
      </w:r>
      <w:r w:rsidR="009C605C" w:rsidRPr="00BD3832">
        <w:rPr>
          <w:rFonts w:ascii="Times New Roman" w:hAnsi="Times New Roman" w:cs="Times New Roman"/>
          <w:b/>
        </w:rPr>
        <w:t xml:space="preserve"> (</w:t>
      </w:r>
      <w:r w:rsidR="009C605C" w:rsidRPr="00BD3832">
        <w:rPr>
          <w:rFonts w:ascii="Times New Roman" w:hAnsi="Times New Roman" w:cs="Times New Roman"/>
          <w:iCs/>
        </w:rPr>
        <w:t xml:space="preserve">accessed July 27, 2018). </w:t>
      </w:r>
    </w:p>
    <w:p w14:paraId="19E3484B" w14:textId="77777777" w:rsidR="009C605C" w:rsidRPr="00BD3832" w:rsidRDefault="00562F2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bCs/>
        </w:rPr>
        <w:t xml:space="preserve">World Health Organization. </w:t>
      </w:r>
      <w:r w:rsidR="009C605C" w:rsidRPr="00BD3832">
        <w:rPr>
          <w:rFonts w:ascii="Times New Roman" w:hAnsi="Times New Roman" w:cs="Times New Roman"/>
          <w:bCs/>
        </w:rPr>
        <w:t>2009</w:t>
      </w:r>
      <w:r w:rsidRPr="00BD3832">
        <w:rPr>
          <w:rFonts w:ascii="Times New Roman" w:hAnsi="Times New Roman" w:cs="Times New Roman"/>
          <w:bCs/>
        </w:rPr>
        <w:t>.</w:t>
      </w:r>
      <w:r w:rsidR="009C605C" w:rsidRPr="00BD3832">
        <w:rPr>
          <w:rFonts w:ascii="Times New Roman" w:hAnsi="Times New Roman" w:cs="Times New Roman"/>
          <w:bCs/>
        </w:rPr>
        <w:t xml:space="preserve"> </w:t>
      </w:r>
      <w:r w:rsidRPr="00BD3832">
        <w:rPr>
          <w:rFonts w:ascii="Times New Roman" w:hAnsi="Times New Roman" w:cs="Times New Roman"/>
          <w:bCs/>
        </w:rPr>
        <w:t>“</w:t>
      </w:r>
      <w:r w:rsidR="009C605C" w:rsidRPr="00BD3832">
        <w:rPr>
          <w:rFonts w:ascii="Times New Roman" w:hAnsi="Times New Roman" w:cs="Times New Roman"/>
          <w:bCs/>
        </w:rPr>
        <w:t>WHO Report on the global tobacco epidemic.</w:t>
      </w:r>
      <w:r w:rsidRPr="00BD3832">
        <w:rPr>
          <w:rFonts w:ascii="Times New Roman" w:hAnsi="Times New Roman" w:cs="Times New Roman"/>
          <w:bCs/>
        </w:rPr>
        <w:t>”</w:t>
      </w:r>
      <w:r w:rsidR="009C605C" w:rsidRPr="00BD3832">
        <w:rPr>
          <w:rFonts w:ascii="Times New Roman" w:hAnsi="Times New Roman" w:cs="Times New Roman"/>
        </w:rPr>
        <w:tab/>
      </w:r>
      <w:hyperlink r:id="rId17" w:history="1">
        <w:r w:rsidR="009C605C" w:rsidRPr="00BD3832">
          <w:rPr>
            <w:rStyle w:val="Hyperlink"/>
            <w:rFonts w:ascii="Times New Roman" w:hAnsi="Times New Roman" w:cs="Times New Roman"/>
            <w:color w:val="auto"/>
            <w:u w:val="none"/>
          </w:rPr>
          <w:t>http://apps.who.int/iris/bitstream/10665/44229/4/9789241563918engfull.pdf</w:t>
        </w:r>
      </w:hyperlink>
      <w:r w:rsidR="009C605C" w:rsidRPr="00BD3832">
        <w:rPr>
          <w:rFonts w:ascii="Times New Roman" w:hAnsi="Times New Roman" w:cs="Times New Roman"/>
        </w:rPr>
        <w:t xml:space="preserve"> (accessed March 16, 2017). </w:t>
      </w:r>
    </w:p>
    <w:p w14:paraId="3F59283B" w14:textId="77777777" w:rsidR="009C605C" w:rsidRPr="00BD3832" w:rsidRDefault="00562F2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iCs/>
        </w:rPr>
        <w:t>Tobacco Control Laws. 2013.</w:t>
      </w:r>
      <w:r w:rsidR="009C605C" w:rsidRPr="00BD3832">
        <w:rPr>
          <w:rFonts w:ascii="Times New Roman" w:hAnsi="Times New Roman" w:cs="Times New Roman"/>
          <w:iCs/>
        </w:rPr>
        <w:t xml:space="preserve"> </w:t>
      </w:r>
      <w:r w:rsidRPr="00BD3832">
        <w:rPr>
          <w:rFonts w:ascii="Times New Roman" w:hAnsi="Times New Roman" w:cs="Times New Roman"/>
          <w:iCs/>
        </w:rPr>
        <w:t>“</w:t>
      </w:r>
      <w:r w:rsidR="009C605C" w:rsidRPr="00BD3832">
        <w:rPr>
          <w:rFonts w:ascii="Times New Roman" w:hAnsi="Times New Roman" w:cs="Times New Roman"/>
          <w:iCs/>
        </w:rPr>
        <w:t xml:space="preserve">Analysis of legislation and litigation from around the </w:t>
      </w:r>
      <w:r w:rsidR="009C605C" w:rsidRPr="00BD3832">
        <w:rPr>
          <w:rFonts w:ascii="Times New Roman" w:hAnsi="Times New Roman" w:cs="Times New Roman"/>
          <w:iCs/>
        </w:rPr>
        <w:tab/>
        <w:t>word.</w:t>
      </w:r>
      <w:r w:rsidRPr="00BD3832">
        <w:rPr>
          <w:rFonts w:ascii="Times New Roman" w:hAnsi="Times New Roman" w:cs="Times New Roman"/>
          <w:iCs/>
        </w:rPr>
        <w:t>”</w:t>
      </w:r>
      <w:r w:rsidR="009C605C" w:rsidRPr="00BD3832">
        <w:rPr>
          <w:rFonts w:ascii="Times New Roman" w:hAnsi="Times New Roman" w:cs="Times New Roman"/>
          <w:iCs/>
        </w:rPr>
        <w:t xml:space="preserve"> </w:t>
      </w:r>
      <w:r w:rsidR="009C605C" w:rsidRPr="00BD3832">
        <w:rPr>
          <w:rFonts w:ascii="Times New Roman" w:hAnsi="Times New Roman" w:cs="Times New Roman"/>
          <w:iCs/>
        </w:rPr>
        <w:tab/>
      </w:r>
      <w:r w:rsidRPr="00BD3832">
        <w:rPr>
          <w:rFonts w:ascii="Times New Roman" w:hAnsi="Times New Roman" w:cs="Times New Roman"/>
          <w:iCs/>
        </w:rPr>
        <w:t>Bangladesh.</w:t>
      </w:r>
      <w:hyperlink r:id="rId18" w:history="1">
        <w:r w:rsidR="009C605C" w:rsidRPr="00BD3832">
          <w:rPr>
            <w:rStyle w:val="Hyperlink"/>
            <w:rFonts w:ascii="Times New Roman" w:hAnsi="Times New Roman" w:cs="Times New Roman"/>
            <w:iCs/>
            <w:color w:val="auto"/>
            <w:u w:val="none"/>
          </w:rPr>
          <w:t xml:space="preserve">https://www.tobaccocontrollaws.org/legislation/ </w:t>
        </w:r>
        <w:r w:rsidR="009C605C" w:rsidRPr="00BD3832">
          <w:rPr>
            <w:rStyle w:val="Hyperlink"/>
            <w:rFonts w:ascii="Times New Roman" w:hAnsi="Times New Roman" w:cs="Times New Roman"/>
            <w:iCs/>
            <w:color w:val="auto"/>
            <w:u w:val="none"/>
          </w:rPr>
          <w:tab/>
          <w:t>country /bangladesh/summary</w:t>
        </w:r>
      </w:hyperlink>
      <w:r w:rsidR="009C605C" w:rsidRPr="00BD3832">
        <w:rPr>
          <w:rFonts w:ascii="Times New Roman" w:hAnsi="Times New Roman" w:cs="Times New Roman"/>
          <w:iCs/>
        </w:rPr>
        <w:t xml:space="preserve"> (</w:t>
      </w:r>
      <w:r w:rsidR="009C605C" w:rsidRPr="00BD3832">
        <w:rPr>
          <w:rFonts w:ascii="Times New Roman" w:hAnsi="Times New Roman" w:cs="Times New Roman"/>
        </w:rPr>
        <w:t xml:space="preserve">accessed March 16, 2017). </w:t>
      </w:r>
      <w:r w:rsidR="009C605C" w:rsidRPr="00BD3832">
        <w:rPr>
          <w:rFonts w:ascii="Times New Roman" w:hAnsi="Times New Roman" w:cs="Times New Roman"/>
        </w:rPr>
        <w:tab/>
      </w:r>
    </w:p>
    <w:p w14:paraId="5A69481B"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Style w:val="highwire-citation-author"/>
          <w:rFonts w:ascii="Times New Roman" w:hAnsi="Times New Roman" w:cs="Times New Roman"/>
          <w:bdr w:val="none" w:sz="0" w:space="0" w:color="auto" w:frame="1"/>
          <w:shd w:val="clear" w:color="auto" w:fill="FFFFFF"/>
        </w:rPr>
        <w:t>Winickoff JP, Friebely J</w:t>
      </w:r>
      <w:r w:rsidRPr="00BD3832">
        <w:rPr>
          <w:rFonts w:ascii="Times New Roman" w:hAnsi="Times New Roman" w:cs="Times New Roman"/>
          <w:shd w:val="clear" w:color="auto" w:fill="FFFFFF"/>
        </w:rPr>
        <w:t>, </w:t>
      </w:r>
      <w:r w:rsidRPr="00BD3832">
        <w:rPr>
          <w:rStyle w:val="highwire-citation-author"/>
          <w:rFonts w:ascii="Times New Roman" w:hAnsi="Times New Roman" w:cs="Times New Roman"/>
          <w:bdr w:val="none" w:sz="0" w:space="0" w:color="auto" w:frame="1"/>
          <w:shd w:val="clear" w:color="auto" w:fill="FFFFFF"/>
        </w:rPr>
        <w:t>Tanski SE</w:t>
      </w:r>
      <w:r w:rsidRPr="00BD3832">
        <w:rPr>
          <w:rFonts w:ascii="Times New Roman" w:hAnsi="Times New Roman" w:cs="Times New Roman"/>
          <w:shd w:val="clear" w:color="auto" w:fill="FFFFFF"/>
        </w:rPr>
        <w:t>,</w:t>
      </w:r>
      <w:r w:rsidR="00562F2C" w:rsidRPr="00BD3832">
        <w:rPr>
          <w:rStyle w:val="highwire-citation-author"/>
          <w:rFonts w:ascii="Times New Roman" w:hAnsi="Times New Roman" w:cs="Times New Roman"/>
          <w:bdr w:val="none" w:sz="0" w:space="0" w:color="auto" w:frame="1"/>
          <w:shd w:val="clear" w:color="auto" w:fill="FFFFFF"/>
        </w:rPr>
        <w:t xml:space="preserve"> et al. 2009.</w:t>
      </w:r>
      <w:r w:rsidRPr="00BD3832">
        <w:rPr>
          <w:rStyle w:val="highwire-citation-author"/>
          <w:rFonts w:ascii="Times New Roman" w:hAnsi="Times New Roman" w:cs="Times New Roman"/>
          <w:bdr w:val="none" w:sz="0" w:space="0" w:color="auto" w:frame="1"/>
          <w:shd w:val="clear" w:color="auto" w:fill="FFFFFF"/>
        </w:rPr>
        <w:t xml:space="preserve"> </w:t>
      </w:r>
      <w:r w:rsidR="00562F2C" w:rsidRPr="00BD3832">
        <w:rPr>
          <w:rStyle w:val="highwire-citation-author"/>
          <w:rFonts w:ascii="Times New Roman" w:hAnsi="Times New Roman" w:cs="Times New Roman"/>
          <w:bdr w:val="none" w:sz="0" w:space="0" w:color="auto" w:frame="1"/>
          <w:shd w:val="clear" w:color="auto" w:fill="FFFFFF"/>
        </w:rPr>
        <w:t>“</w:t>
      </w:r>
      <w:r w:rsidRPr="00BD3832">
        <w:rPr>
          <w:rFonts w:ascii="Times New Roman" w:hAnsi="Times New Roman" w:cs="Times New Roman"/>
          <w:lang w:bidi="ar-SA"/>
        </w:rPr>
        <w:t xml:space="preserve">Beliefs about the health effects of </w:t>
      </w:r>
      <w:r w:rsidRPr="00BD3832">
        <w:rPr>
          <w:rFonts w:ascii="Times New Roman" w:hAnsi="Times New Roman" w:cs="Times New Roman"/>
          <w:lang w:bidi="ar-SA"/>
        </w:rPr>
        <w:tab/>
        <w:t>“third hand” smoke and home smoking bans.</w:t>
      </w:r>
      <w:r w:rsidR="00562F2C" w:rsidRPr="00BD3832">
        <w:rPr>
          <w:rFonts w:ascii="Times New Roman" w:hAnsi="Times New Roman" w:cs="Times New Roman"/>
          <w:lang w:bidi="ar-SA"/>
        </w:rPr>
        <w:t>”</w:t>
      </w:r>
      <w:r w:rsidRPr="00BD3832">
        <w:rPr>
          <w:rFonts w:ascii="Times New Roman" w:hAnsi="Times New Roman" w:cs="Times New Roman"/>
          <w:lang w:bidi="ar-SA"/>
        </w:rPr>
        <w:t xml:space="preserve"> </w:t>
      </w:r>
      <w:r w:rsidRPr="00BD3832">
        <w:rPr>
          <w:rStyle w:val="e24kjd"/>
          <w:rFonts w:ascii="Times New Roman" w:hAnsi="Times New Roman" w:cs="Times New Roman"/>
          <w:i/>
        </w:rPr>
        <w:t>Journal of Pediatrics</w:t>
      </w:r>
      <w:r w:rsidRPr="00BD3832">
        <w:rPr>
          <w:rFonts w:ascii="Times New Roman" w:hAnsi="Times New Roman" w:cs="Times New Roman"/>
          <w:lang w:bidi="ar-SA"/>
        </w:rPr>
        <w:t xml:space="preserve"> 123</w:t>
      </w:r>
      <w:r w:rsidR="00562F2C" w:rsidRPr="00BD3832">
        <w:rPr>
          <w:rFonts w:ascii="Times New Roman" w:hAnsi="Times New Roman" w:cs="Times New Roman"/>
          <w:lang w:bidi="ar-SA"/>
        </w:rPr>
        <w:t xml:space="preserve"> </w:t>
      </w:r>
      <w:r w:rsidRPr="00BD3832">
        <w:rPr>
          <w:rFonts w:ascii="Times New Roman" w:hAnsi="Times New Roman" w:cs="Times New Roman"/>
          <w:lang w:bidi="ar-SA"/>
        </w:rPr>
        <w:t>(1): 74-79.</w:t>
      </w:r>
    </w:p>
    <w:p w14:paraId="14002A7F"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eastAsia="Calibri" w:hAnsi="Times New Roman" w:cs="Times New Roman"/>
          <w:lang w:bidi="ar-SA"/>
        </w:rPr>
        <w:t xml:space="preserve">Matt GE, Quintana PJ, Zakarian JM, </w:t>
      </w:r>
      <w:r w:rsidR="00562F2C" w:rsidRPr="00BD3832">
        <w:rPr>
          <w:rFonts w:ascii="Times New Roman" w:eastAsia="Calibri" w:hAnsi="Times New Roman" w:cs="Times New Roman"/>
          <w:iCs/>
          <w:lang w:bidi="ar-SA"/>
        </w:rPr>
        <w:t>et al. 2011. “</w:t>
      </w:r>
      <w:r w:rsidRPr="00BD3832">
        <w:rPr>
          <w:rFonts w:ascii="Times New Roman" w:eastAsia="Calibri" w:hAnsi="Times New Roman" w:cs="Times New Roman"/>
          <w:lang w:bidi="ar-SA"/>
        </w:rPr>
        <w:t>When smokers move out and non-</w:t>
      </w:r>
      <w:r w:rsidRPr="00BD3832">
        <w:rPr>
          <w:rFonts w:ascii="Times New Roman" w:eastAsia="Calibri" w:hAnsi="Times New Roman" w:cs="Times New Roman"/>
          <w:lang w:bidi="ar-SA"/>
        </w:rPr>
        <w:tab/>
        <w:t>smokers move in: residential third han</w:t>
      </w:r>
      <w:r w:rsidR="00562F2C" w:rsidRPr="00BD3832">
        <w:rPr>
          <w:rFonts w:ascii="Times New Roman" w:eastAsia="Calibri" w:hAnsi="Times New Roman" w:cs="Times New Roman"/>
          <w:lang w:bidi="ar-SA"/>
        </w:rPr>
        <w:t xml:space="preserve">d smoke pollution and exposure.” </w:t>
      </w:r>
      <w:r w:rsidRPr="00BD3832">
        <w:rPr>
          <w:rFonts w:ascii="Times New Roman" w:eastAsia="Calibri" w:hAnsi="Times New Roman" w:cs="Times New Roman"/>
          <w:i/>
          <w:iCs/>
          <w:lang w:bidi="ar-SA"/>
        </w:rPr>
        <w:t>Tobacco</w:t>
      </w:r>
      <w:r w:rsidRPr="00BD3832">
        <w:rPr>
          <w:rFonts w:ascii="Times New Roman" w:eastAsia="Calibri" w:hAnsi="Times New Roman" w:cs="Times New Roman"/>
          <w:i/>
          <w:iCs/>
          <w:lang w:bidi="ar-SA"/>
        </w:rPr>
        <w:tab/>
        <w:t xml:space="preserve">Control </w:t>
      </w:r>
      <w:r w:rsidRPr="00BD3832">
        <w:rPr>
          <w:rFonts w:ascii="Times New Roman" w:eastAsia="Calibri" w:hAnsi="Times New Roman" w:cs="Times New Roman"/>
          <w:lang w:bidi="ar-SA"/>
        </w:rPr>
        <w:t>20</w:t>
      </w:r>
      <w:r w:rsidR="00562F2C" w:rsidRPr="00BD3832">
        <w:rPr>
          <w:rFonts w:ascii="Times New Roman" w:eastAsia="Calibri" w:hAnsi="Times New Roman" w:cs="Times New Roman"/>
          <w:lang w:bidi="ar-SA"/>
        </w:rPr>
        <w:t xml:space="preserve"> </w:t>
      </w:r>
      <w:r w:rsidRPr="00BD3832">
        <w:rPr>
          <w:rFonts w:ascii="Times New Roman" w:eastAsia="Calibri" w:hAnsi="Times New Roman" w:cs="Times New Roman"/>
          <w:lang w:bidi="ar-SA"/>
        </w:rPr>
        <w:t>(1):</w:t>
      </w:r>
      <w:r w:rsidR="00562F2C" w:rsidRPr="00BD3832">
        <w:rPr>
          <w:rFonts w:ascii="Times New Roman" w:eastAsia="Calibri" w:hAnsi="Times New Roman" w:cs="Times New Roman"/>
          <w:lang w:bidi="ar-SA"/>
        </w:rPr>
        <w:t xml:space="preserve"> </w:t>
      </w:r>
      <w:r w:rsidRPr="00BD3832">
        <w:rPr>
          <w:rFonts w:ascii="Times New Roman" w:eastAsia="Calibri" w:hAnsi="Times New Roman" w:cs="Times New Roman"/>
          <w:lang w:bidi="ar-SA"/>
        </w:rPr>
        <w:t>1-8.</w:t>
      </w:r>
      <w:r w:rsidRPr="00BD3832">
        <w:rPr>
          <w:rFonts w:ascii="Times New Roman" w:hAnsi="Times New Roman" w:cs="Times New Roman"/>
        </w:rPr>
        <w:tab/>
      </w:r>
    </w:p>
    <w:p w14:paraId="656B192F" w14:textId="77777777" w:rsidR="009C605C" w:rsidRPr="00BD3832" w:rsidRDefault="00D67CEE" w:rsidP="009C605C">
      <w:pPr>
        <w:pStyle w:val="ListParagraph"/>
        <w:numPr>
          <w:ilvl w:val="0"/>
          <w:numId w:val="43"/>
        </w:numPr>
        <w:tabs>
          <w:tab w:val="left" w:pos="630"/>
        </w:tabs>
        <w:spacing w:line="480" w:lineRule="auto"/>
        <w:ind w:left="630" w:hanging="540"/>
        <w:jc w:val="both"/>
        <w:rPr>
          <w:rFonts w:ascii="Times New Roman" w:hAnsi="Times New Roman" w:cs="Times New Roman"/>
        </w:rPr>
      </w:pPr>
      <w:hyperlink r:id="rId19" w:history="1">
        <w:r w:rsidR="009C605C" w:rsidRPr="00BD3832">
          <w:rPr>
            <w:rStyle w:val="Hyperlink"/>
            <w:rFonts w:ascii="Times New Roman" w:hAnsi="Times New Roman" w:cs="Times New Roman"/>
            <w:color w:val="auto"/>
            <w:u w:val="none"/>
            <w:shd w:val="clear" w:color="auto" w:fill="FFFFFF"/>
          </w:rPr>
          <w:t>Ferrante G</w:t>
        </w:r>
      </w:hyperlink>
      <w:r w:rsidR="009C605C" w:rsidRPr="00BD3832">
        <w:rPr>
          <w:rFonts w:ascii="Times New Roman" w:hAnsi="Times New Roman" w:cs="Times New Roman"/>
          <w:shd w:val="clear" w:color="auto" w:fill="FFFFFF"/>
        </w:rPr>
        <w:t>, </w:t>
      </w:r>
      <w:hyperlink r:id="rId20" w:history="1">
        <w:r w:rsidR="009C605C" w:rsidRPr="00BD3832">
          <w:rPr>
            <w:rStyle w:val="Hyperlink"/>
            <w:rFonts w:ascii="Times New Roman" w:hAnsi="Times New Roman" w:cs="Times New Roman"/>
            <w:color w:val="auto"/>
            <w:u w:val="none"/>
            <w:shd w:val="clear" w:color="auto" w:fill="FFFFFF"/>
          </w:rPr>
          <w:t>Simoni M</w:t>
        </w:r>
      </w:hyperlink>
      <w:r w:rsidR="009C605C" w:rsidRPr="00BD3832">
        <w:rPr>
          <w:rFonts w:ascii="Times New Roman" w:hAnsi="Times New Roman" w:cs="Times New Roman"/>
          <w:shd w:val="clear" w:color="auto" w:fill="FFFFFF"/>
        </w:rPr>
        <w:t>, </w:t>
      </w:r>
      <w:hyperlink r:id="rId21" w:history="1">
        <w:r w:rsidR="009C605C" w:rsidRPr="00BD3832">
          <w:rPr>
            <w:rStyle w:val="Hyperlink"/>
            <w:rFonts w:ascii="Times New Roman" w:hAnsi="Times New Roman" w:cs="Times New Roman"/>
            <w:color w:val="auto"/>
            <w:u w:val="none"/>
            <w:shd w:val="clear" w:color="auto" w:fill="FFFFFF"/>
          </w:rPr>
          <w:t>Cibella F</w:t>
        </w:r>
      </w:hyperlink>
      <w:r w:rsidR="009C605C" w:rsidRPr="00BD3832">
        <w:rPr>
          <w:rFonts w:ascii="Times New Roman" w:hAnsi="Times New Roman" w:cs="Times New Roman"/>
        </w:rPr>
        <w:t xml:space="preserve">, </w:t>
      </w:r>
      <w:r w:rsidR="00562F2C" w:rsidRPr="00BD3832">
        <w:rPr>
          <w:rFonts w:ascii="Times New Roman" w:hAnsi="Times New Roman" w:cs="Times New Roman"/>
          <w:shd w:val="clear" w:color="auto" w:fill="FFFFFF"/>
        </w:rPr>
        <w:t>et al. 2013.</w:t>
      </w:r>
      <w:r w:rsidR="009C605C" w:rsidRPr="00BD3832">
        <w:rPr>
          <w:rFonts w:ascii="Times New Roman" w:hAnsi="Times New Roman" w:cs="Times New Roman"/>
          <w:shd w:val="clear" w:color="auto" w:fill="FFFFFF"/>
        </w:rPr>
        <w:t xml:space="preserve"> </w:t>
      </w:r>
      <w:r w:rsidR="00562F2C" w:rsidRPr="00BD3832">
        <w:rPr>
          <w:rFonts w:ascii="Times New Roman" w:hAnsi="Times New Roman" w:cs="Times New Roman"/>
          <w:shd w:val="clear" w:color="auto" w:fill="FFFFFF"/>
        </w:rPr>
        <w:t>“</w:t>
      </w:r>
      <w:r w:rsidR="009C605C" w:rsidRPr="00BD3832">
        <w:rPr>
          <w:rFonts w:ascii="Times New Roman" w:hAnsi="Times New Roman" w:cs="Times New Roman"/>
          <w:bCs/>
          <w:kern w:val="36"/>
        </w:rPr>
        <w:t xml:space="preserve">Third-hand smoke exposure and health </w:t>
      </w:r>
      <w:r w:rsidR="009C605C" w:rsidRPr="00BD3832">
        <w:rPr>
          <w:rFonts w:ascii="Times New Roman" w:hAnsi="Times New Roman" w:cs="Times New Roman"/>
          <w:bCs/>
          <w:kern w:val="36"/>
        </w:rPr>
        <w:tab/>
        <w:t>hazards in children.</w:t>
      </w:r>
      <w:r w:rsidR="00562F2C" w:rsidRPr="00BD3832">
        <w:rPr>
          <w:rFonts w:ascii="Times New Roman" w:hAnsi="Times New Roman" w:cs="Times New Roman"/>
          <w:bCs/>
          <w:kern w:val="36"/>
        </w:rPr>
        <w:t>”</w:t>
      </w:r>
      <w:r w:rsidR="009C605C" w:rsidRPr="00BD3832">
        <w:rPr>
          <w:rFonts w:ascii="Times New Roman" w:hAnsi="Times New Roman" w:cs="Times New Roman"/>
          <w:bCs/>
          <w:kern w:val="36"/>
        </w:rPr>
        <w:t xml:space="preserve"> </w:t>
      </w:r>
      <w:r w:rsidR="009C605C" w:rsidRPr="00BD3832">
        <w:rPr>
          <w:rFonts w:ascii="Times New Roman" w:hAnsi="Times New Roman" w:cs="Times New Roman"/>
          <w:bCs/>
          <w:i/>
          <w:iCs/>
        </w:rPr>
        <w:t>Monaldi</w:t>
      </w:r>
      <w:r w:rsidR="009C605C" w:rsidRPr="00BD3832">
        <w:rPr>
          <w:rFonts w:ascii="Times New Roman" w:hAnsi="Times New Roman" w:cs="Times New Roman"/>
          <w:i/>
          <w:iCs/>
        </w:rPr>
        <w:t> Archives for </w:t>
      </w:r>
      <w:r w:rsidR="009C605C" w:rsidRPr="00BD3832">
        <w:rPr>
          <w:rFonts w:ascii="Times New Roman" w:hAnsi="Times New Roman" w:cs="Times New Roman"/>
          <w:bCs/>
          <w:i/>
          <w:iCs/>
        </w:rPr>
        <w:t>Chest Disease</w:t>
      </w:r>
      <w:r w:rsidR="009C605C" w:rsidRPr="00BD3832">
        <w:rPr>
          <w:rFonts w:ascii="Times New Roman" w:hAnsi="Times New Roman" w:cs="Times New Roman"/>
          <w:b/>
          <w:bCs/>
          <w:i/>
          <w:iCs/>
        </w:rPr>
        <w:t xml:space="preserve"> </w:t>
      </w:r>
      <w:r w:rsidR="009C605C" w:rsidRPr="00BD3832">
        <w:rPr>
          <w:rFonts w:ascii="Times New Roman" w:hAnsi="Times New Roman" w:cs="Times New Roman"/>
        </w:rPr>
        <w:t>79</w:t>
      </w:r>
      <w:r w:rsidR="00562F2C" w:rsidRPr="00BD3832">
        <w:rPr>
          <w:rFonts w:ascii="Times New Roman" w:hAnsi="Times New Roman" w:cs="Times New Roman"/>
        </w:rPr>
        <w:t xml:space="preserve"> </w:t>
      </w:r>
      <w:r w:rsidR="009C605C" w:rsidRPr="00BD3832">
        <w:rPr>
          <w:rFonts w:ascii="Times New Roman" w:hAnsi="Times New Roman" w:cs="Times New Roman"/>
        </w:rPr>
        <w:t>(1):</w:t>
      </w:r>
      <w:r w:rsidR="00562F2C" w:rsidRPr="00BD3832">
        <w:rPr>
          <w:rFonts w:ascii="Times New Roman" w:hAnsi="Times New Roman" w:cs="Times New Roman"/>
        </w:rPr>
        <w:t xml:space="preserve"> </w:t>
      </w:r>
      <w:r w:rsidR="009C605C" w:rsidRPr="00BD3832">
        <w:rPr>
          <w:rFonts w:ascii="Times New Roman" w:hAnsi="Times New Roman" w:cs="Times New Roman"/>
        </w:rPr>
        <w:t xml:space="preserve">38-43.14. </w:t>
      </w:r>
    </w:p>
    <w:p w14:paraId="58B2121D" w14:textId="77777777" w:rsidR="009C605C" w:rsidRPr="00BD3832" w:rsidRDefault="00E41842"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rPr>
        <w:t>World Health Organization. 2017</w:t>
      </w:r>
      <w:r w:rsidR="009C605C" w:rsidRPr="00BD3832">
        <w:rPr>
          <w:rFonts w:ascii="Times New Roman" w:hAnsi="Times New Roman" w:cs="Times New Roman"/>
        </w:rPr>
        <w:t xml:space="preserve">. </w:t>
      </w:r>
      <w:r w:rsidRPr="00BD3832">
        <w:rPr>
          <w:rFonts w:ascii="Times New Roman" w:hAnsi="Times New Roman" w:cs="Times New Roman"/>
        </w:rPr>
        <w:t>“</w:t>
      </w:r>
      <w:r w:rsidR="009C605C" w:rsidRPr="00BD3832">
        <w:rPr>
          <w:rFonts w:ascii="Times New Roman" w:hAnsi="Times New Roman" w:cs="Times New Roman"/>
        </w:rPr>
        <w:t>Monitoring tobacco use and prevention policies is the sixth in a series of WHO reports that tracks the status of the tobacco epidemic and interventions to combat it</w:t>
      </w:r>
      <w:r w:rsidR="009C605C" w:rsidRPr="00BD3832">
        <w:rPr>
          <w:rFonts w:ascii="Times New Roman" w:hAnsi="Times New Roman" w:cs="Times New Roman"/>
          <w:i/>
        </w:rPr>
        <w:t>.</w:t>
      </w:r>
      <w:r w:rsidRPr="00BD3832">
        <w:rPr>
          <w:rFonts w:ascii="Times New Roman" w:hAnsi="Times New Roman" w:cs="Times New Roman"/>
          <w:i/>
        </w:rPr>
        <w:t>”</w:t>
      </w:r>
      <w:r w:rsidR="009C605C" w:rsidRPr="00BD3832">
        <w:rPr>
          <w:rFonts w:ascii="Times New Roman" w:hAnsi="Times New Roman" w:cs="Times New Roman"/>
        </w:rPr>
        <w:t xml:space="preserve"> Geneva: World Health Organization.</w:t>
      </w:r>
      <w:r w:rsidR="009C605C" w:rsidRPr="00BD3832">
        <w:rPr>
          <w:rFonts w:ascii="Times New Roman" w:hAnsi="Times New Roman" w:cs="Times New Roman"/>
        </w:rPr>
        <w:tab/>
      </w:r>
    </w:p>
    <w:p w14:paraId="426DCDE8" w14:textId="77777777" w:rsidR="009C605C" w:rsidRPr="00BD3832" w:rsidRDefault="009C605C" w:rsidP="009C605C">
      <w:pPr>
        <w:pStyle w:val="ListParagraph"/>
        <w:numPr>
          <w:ilvl w:val="0"/>
          <w:numId w:val="43"/>
        </w:numPr>
        <w:tabs>
          <w:tab w:val="left" w:pos="630"/>
        </w:tabs>
        <w:spacing w:line="480" w:lineRule="auto"/>
        <w:ind w:left="630" w:hanging="540"/>
        <w:jc w:val="both"/>
        <w:rPr>
          <w:rStyle w:val="refpub"/>
          <w:rFonts w:ascii="Times New Roman" w:hAnsi="Times New Roman" w:cs="Times New Roman"/>
        </w:rPr>
      </w:pPr>
      <w:r w:rsidRPr="00BD3832">
        <w:rPr>
          <w:rFonts w:ascii="Times New Roman" w:hAnsi="Times New Roman" w:cs="Times New Roman"/>
        </w:rPr>
        <w:t>National Center for Chronic Disease Prevention and Health</w:t>
      </w:r>
      <w:r w:rsidRPr="00BD3832">
        <w:rPr>
          <w:rFonts w:ascii="Times New Roman" w:hAnsi="Times New Roman" w:cs="Times New Roman"/>
        </w:rPr>
        <w:tab/>
        <w:t xml:space="preserve"> Promotion (US</w:t>
      </w:r>
      <w:r w:rsidR="00E41842" w:rsidRPr="00BD3832">
        <w:rPr>
          <w:rFonts w:ascii="Times New Roman" w:hAnsi="Times New Roman" w:cs="Times New Roman"/>
        </w:rPr>
        <w:t>) Office on Smoking and Health. 2012.</w:t>
      </w:r>
      <w:r w:rsidRPr="00BD3832">
        <w:rPr>
          <w:rFonts w:ascii="Times New Roman" w:hAnsi="Times New Roman" w:cs="Times New Roman"/>
          <w:i/>
        </w:rPr>
        <w:t xml:space="preserve"> </w:t>
      </w:r>
      <w:r w:rsidRPr="00BD3832">
        <w:rPr>
          <w:rFonts w:ascii="Times New Roman" w:hAnsi="Times New Roman" w:cs="Times New Roman"/>
        </w:rPr>
        <w:t xml:space="preserve">Preventing Tobacco Use among Youth and Young </w:t>
      </w:r>
      <w:r w:rsidRPr="00BD3832">
        <w:rPr>
          <w:rFonts w:ascii="Times New Roman" w:hAnsi="Times New Roman" w:cs="Times New Roman"/>
        </w:rPr>
        <w:tab/>
        <w:t xml:space="preserve">Adults: A Report of the Surgeon General. Atlanta (GA): </w:t>
      </w:r>
      <w:hyperlink r:id="rId22" w:history="1">
        <w:r w:rsidRPr="00BD3832">
          <w:rPr>
            <w:rStyle w:val="Hyperlink"/>
            <w:rFonts w:ascii="Times New Roman" w:hAnsi="Times New Roman" w:cs="Times New Roman"/>
            <w:color w:val="auto"/>
            <w:u w:val="none"/>
          </w:rPr>
          <w:t>Centers for</w:t>
        </w:r>
        <w:r w:rsidRPr="00BD3832">
          <w:rPr>
            <w:rStyle w:val="Hyperlink"/>
            <w:rFonts w:ascii="Times New Roman" w:hAnsi="Times New Roman" w:cs="Times New Roman"/>
            <w:color w:val="auto"/>
            <w:u w:val="none"/>
          </w:rPr>
          <w:tab/>
        </w:r>
        <w:r w:rsidRPr="00BD3832">
          <w:rPr>
            <w:rStyle w:val="Hyperlink"/>
            <w:rFonts w:ascii="Times New Roman" w:hAnsi="Times New Roman" w:cs="Times New Roman"/>
            <w:color w:val="auto"/>
            <w:u w:val="none"/>
          </w:rPr>
          <w:lastRenderedPageBreak/>
          <w:tab/>
          <w:t xml:space="preserve"> Disease Control and Prevention (USA)</w:t>
        </w:r>
      </w:hyperlink>
      <w:r w:rsidRPr="00BD3832">
        <w:rPr>
          <w:rFonts w:ascii="Times New Roman" w:hAnsi="Times New Roman" w:cs="Times New Roman"/>
        </w:rPr>
        <w:t xml:space="preserve">. </w:t>
      </w:r>
      <w:hyperlink r:id="rId23" w:history="1">
        <w:r w:rsidRPr="00BD3832">
          <w:rPr>
            <w:rStyle w:val="Hyperlink"/>
            <w:rFonts w:ascii="Times New Roman" w:hAnsi="Times New Roman" w:cs="Times New Roman"/>
            <w:color w:val="auto"/>
            <w:u w:val="none"/>
          </w:rPr>
          <w:t>https://www.ncbi.nlm.nih.gov/</w:t>
        </w:r>
      </w:hyperlink>
      <w:r w:rsidRPr="00BD3832">
        <w:rPr>
          <w:rStyle w:val="refpub"/>
          <w:rFonts w:ascii="Times New Roman" w:hAnsi="Times New Roman" w:cs="Times New Roman"/>
        </w:rPr>
        <w:tab/>
        <w:t>books/NBK99237/ (</w:t>
      </w:r>
      <w:r w:rsidRPr="00BD3832">
        <w:rPr>
          <w:rFonts w:ascii="Times New Roman" w:hAnsi="Times New Roman" w:cs="Times New Roman"/>
          <w:lang w:bidi="ar-SA"/>
        </w:rPr>
        <w:t>a</w:t>
      </w:r>
      <w:r w:rsidRPr="00BD3832">
        <w:rPr>
          <w:rFonts w:ascii="Times New Roman" w:hAnsi="Times New Roman" w:cs="Times New Roman"/>
        </w:rPr>
        <w:t>ccessed Devember15, 2019).</w:t>
      </w:r>
    </w:p>
    <w:p w14:paraId="0981224A" w14:textId="77777777" w:rsidR="009C605C" w:rsidRPr="00BD3832" w:rsidRDefault="00D67CEE" w:rsidP="009C605C">
      <w:pPr>
        <w:pStyle w:val="ListParagraph"/>
        <w:numPr>
          <w:ilvl w:val="0"/>
          <w:numId w:val="43"/>
        </w:numPr>
        <w:tabs>
          <w:tab w:val="left" w:pos="630"/>
        </w:tabs>
        <w:spacing w:line="480" w:lineRule="auto"/>
        <w:ind w:left="630" w:hanging="540"/>
        <w:jc w:val="both"/>
        <w:rPr>
          <w:rFonts w:ascii="Times New Roman" w:hAnsi="Times New Roman" w:cs="Times New Roman"/>
        </w:rPr>
      </w:pPr>
      <w:hyperlink r:id="rId24" w:history="1">
        <w:r w:rsidR="009C605C" w:rsidRPr="00BD3832">
          <w:rPr>
            <w:rStyle w:val="Hyperlink"/>
            <w:rFonts w:ascii="Times New Roman" w:hAnsi="Times New Roman" w:cs="Times New Roman"/>
            <w:color w:val="auto"/>
            <w:u w:val="none"/>
            <w:shd w:val="clear" w:color="auto" w:fill="FFFFFF"/>
          </w:rPr>
          <w:t>Rahman MA</w:t>
        </w:r>
      </w:hyperlink>
      <w:r w:rsidR="009C605C" w:rsidRPr="00BD3832">
        <w:rPr>
          <w:rFonts w:ascii="Times New Roman" w:hAnsi="Times New Roman" w:cs="Times New Roman"/>
          <w:shd w:val="clear" w:color="auto" w:fill="FFFFFF"/>
        </w:rPr>
        <w:t>, </w:t>
      </w:r>
      <w:hyperlink r:id="rId25" w:history="1">
        <w:r w:rsidR="009C605C" w:rsidRPr="00BD3832">
          <w:rPr>
            <w:rStyle w:val="Hyperlink"/>
            <w:rFonts w:ascii="Times New Roman" w:hAnsi="Times New Roman" w:cs="Times New Roman"/>
            <w:color w:val="auto"/>
            <w:u w:val="none"/>
            <w:shd w:val="clear" w:color="auto" w:fill="FFFFFF"/>
          </w:rPr>
          <w:t>Mahmood MA</w:t>
        </w:r>
      </w:hyperlink>
      <w:r w:rsidR="009C605C" w:rsidRPr="00BD3832">
        <w:rPr>
          <w:rFonts w:ascii="Times New Roman" w:hAnsi="Times New Roman" w:cs="Times New Roman"/>
          <w:shd w:val="clear" w:color="auto" w:fill="FFFFFF"/>
        </w:rPr>
        <w:t>, </w:t>
      </w:r>
      <w:hyperlink r:id="rId26" w:history="1">
        <w:r w:rsidR="009C605C" w:rsidRPr="00BD3832">
          <w:rPr>
            <w:rStyle w:val="Hyperlink"/>
            <w:rFonts w:ascii="Times New Roman" w:hAnsi="Times New Roman" w:cs="Times New Roman"/>
            <w:color w:val="auto"/>
            <w:u w:val="none"/>
            <w:shd w:val="clear" w:color="auto" w:fill="FFFFFF"/>
          </w:rPr>
          <w:t>Spurrier N</w:t>
        </w:r>
      </w:hyperlink>
      <w:r w:rsidR="009C605C" w:rsidRPr="00BD3832">
        <w:rPr>
          <w:rFonts w:ascii="Times New Roman" w:hAnsi="Times New Roman" w:cs="Times New Roman"/>
          <w:shd w:val="clear" w:color="auto" w:fill="FFFFFF"/>
        </w:rPr>
        <w:t>, </w:t>
      </w:r>
      <w:r w:rsidR="006F0EF8" w:rsidRPr="00BD3832">
        <w:rPr>
          <w:rFonts w:ascii="Times New Roman" w:hAnsi="Times New Roman" w:cs="Times New Roman"/>
          <w:shd w:val="clear" w:color="auto" w:fill="FFFFFF"/>
        </w:rPr>
        <w:t xml:space="preserve">et al. </w:t>
      </w:r>
      <w:r w:rsidR="009C605C" w:rsidRPr="00BD3832">
        <w:rPr>
          <w:rFonts w:ascii="Times New Roman" w:hAnsi="Times New Roman" w:cs="Times New Roman"/>
          <w:shd w:val="clear" w:color="auto" w:fill="FFFFFF"/>
        </w:rPr>
        <w:t>2015</w:t>
      </w:r>
      <w:r w:rsidR="006F0EF8" w:rsidRPr="00BD3832">
        <w:rPr>
          <w:rFonts w:ascii="Times New Roman" w:hAnsi="Times New Roman" w:cs="Times New Roman"/>
          <w:shd w:val="clear" w:color="auto" w:fill="FFFFFF"/>
        </w:rPr>
        <w:t>.</w:t>
      </w:r>
      <w:r w:rsidR="009C605C" w:rsidRPr="00BD3832">
        <w:rPr>
          <w:rFonts w:ascii="Times New Roman" w:hAnsi="Times New Roman" w:cs="Times New Roman"/>
          <w:shd w:val="clear" w:color="auto" w:fill="FFFFFF"/>
        </w:rPr>
        <w:t xml:space="preserve"> </w:t>
      </w:r>
      <w:r w:rsidR="009C605C" w:rsidRPr="00BD3832">
        <w:rPr>
          <w:rFonts w:ascii="Times New Roman" w:hAnsi="Times New Roman" w:cs="Times New Roman"/>
        </w:rPr>
        <w:t>Why do Bangladeshi people use</w:t>
      </w:r>
      <w:r w:rsidR="009C605C" w:rsidRPr="00BD3832">
        <w:rPr>
          <w:rFonts w:ascii="Times New Roman" w:hAnsi="Times New Roman" w:cs="Times New Roman"/>
        </w:rPr>
        <w:tab/>
        <w:t xml:space="preserve"> smokeless tobacco products?. </w:t>
      </w:r>
      <w:r w:rsidR="009C605C" w:rsidRPr="00BD3832">
        <w:rPr>
          <w:rFonts w:ascii="Times New Roman" w:hAnsi="Times New Roman" w:cs="Times New Roman"/>
          <w:i/>
          <w:shd w:val="clear" w:color="auto" w:fill="FFFFFF"/>
        </w:rPr>
        <w:t>Asia Pac J Public Health</w:t>
      </w:r>
      <w:r w:rsidR="009C605C" w:rsidRPr="00BD3832">
        <w:rPr>
          <w:rFonts w:ascii="Times New Roman" w:hAnsi="Times New Roman" w:cs="Times New Roman"/>
          <w:shd w:val="clear" w:color="auto" w:fill="FFFFFF"/>
        </w:rPr>
        <w:t>. 27</w:t>
      </w:r>
      <w:r w:rsidR="006F0EF8" w:rsidRPr="00BD3832">
        <w:rPr>
          <w:rFonts w:ascii="Times New Roman" w:hAnsi="Times New Roman" w:cs="Times New Roman"/>
          <w:shd w:val="clear" w:color="auto" w:fill="FFFFFF"/>
        </w:rPr>
        <w:t xml:space="preserve"> </w:t>
      </w:r>
      <w:r w:rsidR="009C605C" w:rsidRPr="00BD3832">
        <w:rPr>
          <w:rFonts w:ascii="Times New Roman" w:hAnsi="Times New Roman" w:cs="Times New Roman"/>
          <w:shd w:val="clear" w:color="auto" w:fill="FFFFFF"/>
        </w:rPr>
        <w:t>(2):</w:t>
      </w:r>
      <w:r w:rsidR="006F0EF8" w:rsidRPr="00BD3832">
        <w:rPr>
          <w:rFonts w:ascii="Times New Roman" w:hAnsi="Times New Roman" w:cs="Times New Roman"/>
          <w:shd w:val="clear" w:color="auto" w:fill="FFFFFF"/>
        </w:rPr>
        <w:t xml:space="preserve"> </w:t>
      </w:r>
      <w:r w:rsidR="009C605C" w:rsidRPr="00BD3832">
        <w:rPr>
          <w:rFonts w:ascii="Times New Roman" w:hAnsi="Times New Roman" w:cs="Times New Roman"/>
          <w:shd w:val="clear" w:color="auto" w:fill="FFFFFF"/>
        </w:rPr>
        <w:t xml:space="preserve">197-209. </w:t>
      </w:r>
      <w:r w:rsidR="009C605C" w:rsidRPr="00BD3832">
        <w:rPr>
          <w:rFonts w:ascii="Times New Roman" w:hAnsi="Times New Roman" w:cs="Times New Roman"/>
          <w:shd w:val="clear" w:color="auto" w:fill="FFFFFF"/>
        </w:rPr>
        <w:tab/>
        <w:t>doi: 10.1177/1010539512446957.</w:t>
      </w:r>
      <w:r w:rsidR="009C605C" w:rsidRPr="00BD3832">
        <w:rPr>
          <w:rFonts w:ascii="Times New Roman" w:hAnsi="Times New Roman" w:cs="Times New Roman"/>
        </w:rPr>
        <w:tab/>
        <w:t xml:space="preserve">                                                                             </w:t>
      </w:r>
    </w:p>
    <w:p w14:paraId="3A0D1EAA" w14:textId="77777777" w:rsidR="009C605C" w:rsidRPr="00BD3832" w:rsidRDefault="006F0EF8" w:rsidP="009C605C">
      <w:pPr>
        <w:pStyle w:val="ListParagraph"/>
        <w:numPr>
          <w:ilvl w:val="0"/>
          <w:numId w:val="43"/>
        </w:numPr>
        <w:tabs>
          <w:tab w:val="left" w:pos="630"/>
        </w:tabs>
        <w:spacing w:line="480" w:lineRule="auto"/>
        <w:ind w:left="630" w:hanging="540"/>
        <w:jc w:val="both"/>
        <w:rPr>
          <w:rStyle w:val="authorname"/>
          <w:rFonts w:ascii="Times New Roman" w:hAnsi="Times New Roman" w:cs="Times New Roman"/>
        </w:rPr>
      </w:pPr>
      <w:r w:rsidRPr="00BD3832">
        <w:rPr>
          <w:rFonts w:ascii="Times New Roman" w:hAnsi="Times New Roman" w:cs="Times New Roman"/>
        </w:rPr>
        <w:t xml:space="preserve"> Hasib NI. </w:t>
      </w:r>
      <w:r w:rsidR="009C605C" w:rsidRPr="00BD3832">
        <w:rPr>
          <w:rFonts w:ascii="Times New Roman" w:hAnsi="Times New Roman" w:cs="Times New Roman"/>
        </w:rPr>
        <w:t xml:space="preserve">2014. </w:t>
      </w:r>
      <w:r w:rsidRPr="00BD3832">
        <w:rPr>
          <w:rFonts w:ascii="Times New Roman" w:hAnsi="Times New Roman" w:cs="Times New Roman"/>
        </w:rPr>
        <w:t>“</w:t>
      </w:r>
      <w:r w:rsidR="009C605C" w:rsidRPr="00BD3832">
        <w:rPr>
          <w:rFonts w:ascii="Times New Roman" w:hAnsi="Times New Roman" w:cs="Times New Roman"/>
          <w:i/>
        </w:rPr>
        <w:t xml:space="preserve">Bangladesh among top smokeless tobacco-using </w:t>
      </w:r>
      <w:r w:rsidR="009C605C" w:rsidRPr="00BD3832">
        <w:rPr>
          <w:rFonts w:ascii="Times New Roman" w:hAnsi="Times New Roman" w:cs="Times New Roman"/>
          <w:i/>
        </w:rPr>
        <w:tab/>
        <w:t>nations</w:t>
      </w:r>
      <w:r w:rsidR="009C605C" w:rsidRPr="00BD3832">
        <w:rPr>
          <w:rFonts w:ascii="Times New Roman" w:hAnsi="Times New Roman" w:cs="Times New Roman"/>
        </w:rPr>
        <w:t>.</w:t>
      </w:r>
      <w:r w:rsidRPr="00BD3832">
        <w:rPr>
          <w:rFonts w:ascii="Times New Roman" w:hAnsi="Times New Roman" w:cs="Times New Roman"/>
        </w:rPr>
        <w:t>”</w:t>
      </w:r>
      <w:r w:rsidR="009C605C" w:rsidRPr="00BD3832">
        <w:rPr>
          <w:rFonts w:ascii="Times New Roman" w:hAnsi="Times New Roman" w:cs="Times New Roman"/>
        </w:rPr>
        <w:tab/>
      </w:r>
      <w:r w:rsidR="009C605C" w:rsidRPr="00BD3832">
        <w:rPr>
          <w:rFonts w:ascii="Times New Roman" w:hAnsi="Times New Roman" w:cs="Times New Roman"/>
        </w:rPr>
        <w:tab/>
      </w:r>
      <w:hyperlink r:id="rId27" w:history="1">
        <w:r w:rsidR="009C605C" w:rsidRPr="00BD3832">
          <w:rPr>
            <w:rStyle w:val="Hyperlink"/>
            <w:rFonts w:ascii="Times New Roman" w:hAnsi="Times New Roman" w:cs="Times New Roman"/>
            <w:color w:val="auto"/>
            <w:u w:val="none"/>
          </w:rPr>
          <w:t>http://bdnews24.com/health/2014/12/17/bangladesh-among-topsmokeless-</w:t>
        </w:r>
        <w:r w:rsidR="009C605C" w:rsidRPr="00BD3832">
          <w:rPr>
            <w:rStyle w:val="Hyperlink"/>
            <w:rFonts w:ascii="Times New Roman" w:hAnsi="Times New Roman" w:cs="Times New Roman"/>
            <w:color w:val="auto"/>
            <w:u w:val="none"/>
          </w:rPr>
          <w:tab/>
          <w:t>tobacco using-nations</w:t>
        </w:r>
      </w:hyperlink>
      <w:r w:rsidR="009C605C" w:rsidRPr="00BD3832">
        <w:rPr>
          <w:rFonts w:ascii="Times New Roman" w:hAnsi="Times New Roman" w:cs="Times New Roman"/>
        </w:rPr>
        <w:t xml:space="preserve"> (</w:t>
      </w:r>
      <w:r w:rsidR="009C605C" w:rsidRPr="00BD3832">
        <w:rPr>
          <w:rStyle w:val="authorname"/>
          <w:rFonts w:ascii="Times New Roman" w:hAnsi="Times New Roman" w:cs="Times New Roman"/>
        </w:rPr>
        <w:t xml:space="preserve">accessed February 10, 2016). </w:t>
      </w:r>
    </w:p>
    <w:p w14:paraId="245E38ED"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rPr>
        <w:t xml:space="preserve">Haque MI, </w:t>
      </w:r>
      <w:r w:rsidR="006F0EF8" w:rsidRPr="00BD3832">
        <w:rPr>
          <w:rFonts w:ascii="Times New Roman" w:hAnsi="Times New Roman" w:cs="Times New Roman"/>
        </w:rPr>
        <w:t xml:space="preserve">Chowdhury AA, Hassan MS et al. </w:t>
      </w:r>
      <w:r w:rsidRPr="00BD3832">
        <w:rPr>
          <w:rFonts w:ascii="Times New Roman" w:hAnsi="Times New Roman" w:cs="Times New Roman"/>
        </w:rPr>
        <w:t>2019</w:t>
      </w:r>
      <w:r w:rsidR="006F0EF8" w:rsidRPr="00BD3832">
        <w:rPr>
          <w:rFonts w:ascii="Times New Roman" w:hAnsi="Times New Roman" w:cs="Times New Roman"/>
        </w:rPr>
        <w:t>.</w:t>
      </w:r>
      <w:r w:rsidRPr="00BD3832">
        <w:rPr>
          <w:rFonts w:ascii="Times New Roman" w:hAnsi="Times New Roman" w:cs="Times New Roman"/>
        </w:rPr>
        <w:t xml:space="preserve"> </w:t>
      </w:r>
      <w:r w:rsidR="006F0EF8" w:rsidRPr="00BD3832">
        <w:rPr>
          <w:rFonts w:ascii="Times New Roman" w:hAnsi="Times New Roman" w:cs="Times New Roman"/>
        </w:rPr>
        <w:t>“</w:t>
      </w:r>
      <w:r w:rsidRPr="00BD3832">
        <w:rPr>
          <w:rFonts w:ascii="Times New Roman" w:hAnsi="Times New Roman" w:cs="Times New Roman"/>
        </w:rPr>
        <w:t xml:space="preserve">Prevailing </w:t>
      </w:r>
      <w:r w:rsidRPr="00BD3832">
        <w:rPr>
          <w:rFonts w:ascii="Times New Roman" w:hAnsi="Times New Roman" w:cs="Times New Roman"/>
        </w:rPr>
        <w:tab/>
        <w:t xml:space="preserve">familial, social and cultural obstacles in keeping tobacco-free homes in urban </w:t>
      </w:r>
      <w:r w:rsidRPr="00BD3832">
        <w:rPr>
          <w:rFonts w:ascii="Times New Roman" w:hAnsi="Times New Roman" w:cs="Times New Roman"/>
        </w:rPr>
        <w:tab/>
        <w:t>areas of Bangladesh: A mixed-method study.</w:t>
      </w:r>
      <w:r w:rsidR="006F0EF8" w:rsidRPr="00BD3832">
        <w:rPr>
          <w:rFonts w:ascii="Times New Roman" w:hAnsi="Times New Roman" w:cs="Times New Roman"/>
        </w:rPr>
        <w:t>”</w:t>
      </w:r>
      <w:r w:rsidRPr="00BD3832">
        <w:rPr>
          <w:rFonts w:ascii="Times New Roman" w:hAnsi="Times New Roman" w:cs="Times New Roman"/>
        </w:rPr>
        <w:t xml:space="preserve"> </w:t>
      </w:r>
      <w:r w:rsidRPr="00BD3832">
        <w:rPr>
          <w:rFonts w:ascii="Times New Roman" w:hAnsi="Times New Roman" w:cs="Times New Roman"/>
          <w:i/>
        </w:rPr>
        <w:t xml:space="preserve">PLoS ONE </w:t>
      </w:r>
      <w:r w:rsidRPr="00BD3832">
        <w:rPr>
          <w:rFonts w:ascii="Times New Roman" w:hAnsi="Times New Roman" w:cs="Times New Roman"/>
        </w:rPr>
        <w:t>14</w:t>
      </w:r>
      <w:r w:rsidR="006F0EF8" w:rsidRPr="00BD3832">
        <w:rPr>
          <w:rFonts w:ascii="Times New Roman" w:hAnsi="Times New Roman" w:cs="Times New Roman"/>
        </w:rPr>
        <w:t xml:space="preserve"> </w:t>
      </w:r>
      <w:r w:rsidRPr="00BD3832">
        <w:rPr>
          <w:rFonts w:ascii="Times New Roman" w:hAnsi="Times New Roman" w:cs="Times New Roman"/>
        </w:rPr>
        <w:t>(8): e0220777.</w:t>
      </w:r>
    </w:p>
    <w:p w14:paraId="4DBA956B"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rPr>
        <w:t xml:space="preserve">Simons-Morton BG and Farhat </w:t>
      </w:r>
      <w:r w:rsidR="006F0EF8" w:rsidRPr="00BD3832">
        <w:rPr>
          <w:rFonts w:ascii="Times New Roman" w:hAnsi="Times New Roman" w:cs="Times New Roman"/>
        </w:rPr>
        <w:t xml:space="preserve">T. </w:t>
      </w:r>
      <w:r w:rsidRPr="00BD3832">
        <w:rPr>
          <w:rFonts w:ascii="Times New Roman" w:hAnsi="Times New Roman" w:cs="Times New Roman"/>
        </w:rPr>
        <w:t>2010</w:t>
      </w:r>
      <w:r w:rsidR="006F0EF8" w:rsidRPr="00BD3832">
        <w:rPr>
          <w:rFonts w:ascii="Times New Roman" w:hAnsi="Times New Roman" w:cs="Times New Roman"/>
        </w:rPr>
        <w:t>.</w:t>
      </w:r>
      <w:r w:rsidRPr="00BD3832">
        <w:rPr>
          <w:rFonts w:ascii="Times New Roman" w:hAnsi="Times New Roman" w:cs="Times New Roman"/>
        </w:rPr>
        <w:t xml:space="preserve"> Recent findings on peer group influences on </w:t>
      </w:r>
      <w:r w:rsidRPr="00BD3832">
        <w:rPr>
          <w:rFonts w:ascii="Times New Roman" w:hAnsi="Times New Roman" w:cs="Times New Roman"/>
        </w:rPr>
        <w:tab/>
        <w:t xml:space="preserve">adolescent </w:t>
      </w:r>
      <w:r w:rsidRPr="00BD3832">
        <w:rPr>
          <w:rFonts w:ascii="Times New Roman" w:hAnsi="Times New Roman" w:cs="Times New Roman"/>
        </w:rPr>
        <w:tab/>
        <w:t>smoking.</w:t>
      </w:r>
      <w:r w:rsidR="006F0EF8" w:rsidRPr="00BD3832">
        <w:rPr>
          <w:rFonts w:ascii="Times New Roman" w:hAnsi="Times New Roman" w:cs="Times New Roman"/>
        </w:rPr>
        <w:t>”</w:t>
      </w:r>
      <w:r w:rsidRPr="00BD3832">
        <w:rPr>
          <w:rFonts w:ascii="Times New Roman" w:hAnsi="Times New Roman" w:cs="Times New Roman"/>
        </w:rPr>
        <w:t xml:space="preserve"> </w:t>
      </w:r>
      <w:hyperlink r:id="rId28" w:tooltip="The journal of primary prevention." w:history="1">
        <w:r w:rsidRPr="00BD3832">
          <w:rPr>
            <w:rFonts w:ascii="Times New Roman" w:hAnsi="Times New Roman" w:cs="Times New Roman"/>
            <w:i/>
          </w:rPr>
          <w:t>Journal of Primary Prev</w:t>
        </w:r>
      </w:hyperlink>
      <w:r w:rsidRPr="00BD3832">
        <w:rPr>
          <w:rFonts w:ascii="Times New Roman" w:hAnsi="Times New Roman" w:cs="Times New Roman"/>
        </w:rPr>
        <w:t>ention 31</w:t>
      </w:r>
      <w:r w:rsidR="006F0EF8" w:rsidRPr="00BD3832">
        <w:rPr>
          <w:rFonts w:ascii="Times New Roman" w:hAnsi="Times New Roman" w:cs="Times New Roman"/>
        </w:rPr>
        <w:t xml:space="preserve"> </w:t>
      </w:r>
      <w:r w:rsidRPr="00BD3832">
        <w:rPr>
          <w:rFonts w:ascii="Times New Roman" w:hAnsi="Times New Roman" w:cs="Times New Roman"/>
        </w:rPr>
        <w:t>(4): 191–208.</w:t>
      </w:r>
    </w:p>
    <w:p w14:paraId="0A0301FE"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rPr>
        <w:t>U</w:t>
      </w:r>
      <w:r w:rsidR="006F0EF8" w:rsidRPr="00BD3832">
        <w:rPr>
          <w:rFonts w:ascii="Times New Roman" w:hAnsi="Times New Roman" w:cs="Times New Roman"/>
        </w:rPr>
        <w:t xml:space="preserve">ddin G, Rahman MM, Hussain SMA. </w:t>
      </w:r>
      <w:r w:rsidRPr="00BD3832">
        <w:rPr>
          <w:rFonts w:ascii="Times New Roman" w:hAnsi="Times New Roman" w:cs="Times New Roman"/>
        </w:rPr>
        <w:t>2</w:t>
      </w:r>
      <w:r w:rsidR="006F0EF8" w:rsidRPr="00BD3832">
        <w:rPr>
          <w:rFonts w:ascii="Times New Roman" w:hAnsi="Times New Roman" w:cs="Times New Roman"/>
        </w:rPr>
        <w:t>009.</w:t>
      </w:r>
      <w:r w:rsidRPr="00BD3832">
        <w:rPr>
          <w:rFonts w:ascii="Times New Roman" w:hAnsi="Times New Roman" w:cs="Times New Roman"/>
        </w:rPr>
        <w:t xml:space="preserve"> </w:t>
      </w:r>
      <w:r w:rsidR="001F31A2" w:rsidRPr="00BD3832">
        <w:rPr>
          <w:rFonts w:ascii="Times New Roman" w:hAnsi="Times New Roman" w:cs="Times New Roman"/>
        </w:rPr>
        <w:t>“</w:t>
      </w:r>
      <w:r w:rsidRPr="00BD3832">
        <w:rPr>
          <w:rFonts w:ascii="Times New Roman" w:hAnsi="Times New Roman" w:cs="Times New Roman"/>
        </w:rPr>
        <w:t xml:space="preserve">Determinants of Tobacco use in a </w:t>
      </w:r>
      <w:r w:rsidRPr="00BD3832">
        <w:rPr>
          <w:rFonts w:ascii="Times New Roman" w:hAnsi="Times New Roman" w:cs="Times New Roman"/>
        </w:rPr>
        <w:tab/>
      </w:r>
      <w:r w:rsidRPr="00BD3832">
        <w:rPr>
          <w:rFonts w:ascii="Times New Roman" w:hAnsi="Times New Roman" w:cs="Times New Roman"/>
        </w:rPr>
        <w:tab/>
        <w:t>Selected Urban Area of Bangladesh.</w:t>
      </w:r>
      <w:r w:rsidR="001F31A2" w:rsidRPr="00BD3832">
        <w:rPr>
          <w:rFonts w:ascii="Times New Roman" w:hAnsi="Times New Roman" w:cs="Times New Roman"/>
        </w:rPr>
        <w:t>”</w:t>
      </w:r>
      <w:r w:rsidRPr="00BD3832">
        <w:rPr>
          <w:rFonts w:ascii="Times New Roman" w:hAnsi="Times New Roman" w:cs="Times New Roman"/>
        </w:rPr>
        <w:t xml:space="preserve"> </w:t>
      </w:r>
      <w:r w:rsidRPr="00BD3832">
        <w:rPr>
          <w:rFonts w:ascii="Times New Roman" w:hAnsi="Times New Roman" w:cs="Times New Roman"/>
          <w:i/>
        </w:rPr>
        <w:t>Bangladesh Medical J</w:t>
      </w:r>
      <w:r w:rsidRPr="00BD3832">
        <w:rPr>
          <w:rFonts w:ascii="Times New Roman" w:hAnsi="Times New Roman" w:cs="Times New Roman"/>
        </w:rPr>
        <w:t>ournal 38, 48–52.</w:t>
      </w:r>
    </w:p>
    <w:p w14:paraId="307011C4"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rPr>
        <w:t>Glob</w:t>
      </w:r>
      <w:r w:rsidR="001F31A2" w:rsidRPr="00BD3832">
        <w:rPr>
          <w:rFonts w:ascii="Times New Roman" w:hAnsi="Times New Roman" w:cs="Times New Roman"/>
        </w:rPr>
        <w:t xml:space="preserve">al adult tobacco survey (GATS). </w:t>
      </w:r>
      <w:r w:rsidRPr="00BD3832">
        <w:rPr>
          <w:rFonts w:ascii="Times New Roman" w:hAnsi="Times New Roman" w:cs="Times New Roman"/>
        </w:rPr>
        <w:t>2017</w:t>
      </w:r>
      <w:r w:rsidR="001F31A2" w:rsidRPr="00BD3832">
        <w:rPr>
          <w:rFonts w:ascii="Times New Roman" w:hAnsi="Times New Roman" w:cs="Times New Roman"/>
        </w:rPr>
        <w:t>.</w:t>
      </w:r>
      <w:r w:rsidRPr="00BD3832">
        <w:rPr>
          <w:rFonts w:ascii="Times New Roman" w:hAnsi="Times New Roman" w:cs="Times New Roman"/>
        </w:rPr>
        <w:t xml:space="preserve"> Fact sheet: Bangladesh Repo</w:t>
      </w:r>
      <w:r w:rsidRPr="00BD3832">
        <w:rPr>
          <w:rFonts w:ascii="Times New Roman" w:hAnsi="Times New Roman" w:cs="Times New Roman"/>
        </w:rPr>
        <w:tab/>
        <w:t xml:space="preserve">(Priliminary) </w:t>
      </w:r>
      <w:r w:rsidRPr="00BD3832">
        <w:rPr>
          <w:rFonts w:ascii="Times New Roman" w:hAnsi="Times New Roman" w:cs="Times New Roman"/>
        </w:rPr>
        <w:tab/>
        <w:t xml:space="preserve">2017. World </w:t>
      </w:r>
      <w:r w:rsidRPr="00BD3832">
        <w:rPr>
          <w:rFonts w:ascii="Times New Roman" w:hAnsi="Times New Roman" w:cs="Times New Roman"/>
        </w:rPr>
        <w:tab/>
        <w:t>Health</w:t>
      </w:r>
      <w:r w:rsidRPr="00BD3832">
        <w:rPr>
          <w:rFonts w:ascii="Times New Roman" w:hAnsi="Times New Roman" w:cs="Times New Roman"/>
        </w:rPr>
        <w:tab/>
        <w:t xml:space="preserve">Organization. Avialable:  </w:t>
      </w:r>
      <w:hyperlink r:id="rId29" w:history="1">
        <w:r w:rsidRPr="00BD3832">
          <w:rPr>
            <w:rStyle w:val="Hyperlink"/>
            <w:rFonts w:ascii="Times New Roman" w:hAnsi="Times New Roman" w:cs="Times New Roman"/>
            <w:color w:val="auto"/>
            <w:u w:val="none"/>
          </w:rPr>
          <w:t>http://www.searo.who.int/bangladesh/gatsbangladesh2017fs14aug2018.pdf?ua=1</w:t>
        </w:r>
      </w:hyperlink>
      <w:r w:rsidRPr="00BD3832">
        <w:rPr>
          <w:rFonts w:ascii="Times New Roman" w:hAnsi="Times New Roman" w:cs="Times New Roman"/>
        </w:rPr>
        <w:t xml:space="preserve"> (accessed September 22, 2018).</w:t>
      </w:r>
    </w:p>
    <w:p w14:paraId="56665149" w14:textId="233E880B" w:rsidR="009C605C" w:rsidRPr="00BD3832" w:rsidRDefault="001F31A2" w:rsidP="009C605C">
      <w:pPr>
        <w:pStyle w:val="ListParagraph"/>
        <w:numPr>
          <w:ilvl w:val="0"/>
          <w:numId w:val="43"/>
        </w:numPr>
        <w:tabs>
          <w:tab w:val="left" w:pos="630"/>
        </w:tabs>
        <w:spacing w:line="480" w:lineRule="auto"/>
        <w:ind w:left="630" w:hanging="540"/>
        <w:jc w:val="both"/>
        <w:rPr>
          <w:rStyle w:val="element-citation"/>
          <w:rFonts w:ascii="Times New Roman" w:hAnsi="Times New Roman" w:cs="Times New Roman"/>
        </w:rPr>
      </w:pPr>
      <w:r w:rsidRPr="00BD3832">
        <w:rPr>
          <w:rFonts w:ascii="Times New Roman" w:hAnsi="Times New Roman" w:cs="Times New Roman"/>
        </w:rPr>
        <w:t xml:space="preserve">Bhatia M, Mishra A, Agrawal AK. </w:t>
      </w:r>
      <w:r w:rsidR="009C605C" w:rsidRPr="00BD3832">
        <w:rPr>
          <w:rFonts w:ascii="Times New Roman" w:hAnsi="Times New Roman" w:cs="Times New Roman"/>
        </w:rPr>
        <w:t>2014</w:t>
      </w:r>
      <w:r w:rsidRPr="00BD3832">
        <w:rPr>
          <w:rFonts w:ascii="Times New Roman" w:hAnsi="Times New Roman" w:cs="Times New Roman"/>
        </w:rPr>
        <w:t>.</w:t>
      </w:r>
      <w:r w:rsidR="009C605C" w:rsidRPr="00BD3832">
        <w:rPr>
          <w:rFonts w:ascii="Times New Roman" w:hAnsi="Times New Roman" w:cs="Times New Roman"/>
        </w:rPr>
        <w:t xml:space="preserve"> </w:t>
      </w:r>
      <w:r w:rsidRPr="00BD3832">
        <w:rPr>
          <w:rFonts w:ascii="Times New Roman" w:hAnsi="Times New Roman" w:cs="Times New Roman"/>
        </w:rPr>
        <w:t>“</w:t>
      </w:r>
      <w:r w:rsidR="009C605C" w:rsidRPr="00BD3832">
        <w:rPr>
          <w:rFonts w:ascii="Times New Roman" w:hAnsi="Times New Roman" w:cs="Times New Roman"/>
          <w:bCs/>
          <w:lang w:bidi="ar-SA"/>
        </w:rPr>
        <w:t xml:space="preserve">Prevalence and pattern of tobacco addiction </w:t>
      </w:r>
      <w:r w:rsidR="009C605C" w:rsidRPr="00BD3832">
        <w:rPr>
          <w:rFonts w:ascii="Times New Roman" w:hAnsi="Times New Roman" w:cs="Times New Roman"/>
          <w:bCs/>
          <w:lang w:bidi="ar-SA"/>
        </w:rPr>
        <w:tab/>
        <w:t>among auto rickshaw drivers of North-Central India.</w:t>
      </w:r>
      <w:r w:rsidRPr="00BD3832">
        <w:rPr>
          <w:rFonts w:ascii="Times New Roman" w:hAnsi="Times New Roman" w:cs="Times New Roman"/>
          <w:bCs/>
          <w:lang w:bidi="ar-SA"/>
        </w:rPr>
        <w:t>”</w:t>
      </w:r>
      <w:r w:rsidR="009C605C" w:rsidRPr="00BD3832">
        <w:rPr>
          <w:rFonts w:ascii="Times New Roman" w:hAnsi="Times New Roman" w:cs="Times New Roman"/>
          <w:bCs/>
          <w:lang w:bidi="ar-SA"/>
        </w:rPr>
        <w:t xml:space="preserve"> </w:t>
      </w:r>
      <w:r w:rsidR="009C605C" w:rsidRPr="00BD3832">
        <w:rPr>
          <w:rFonts w:ascii="Times New Roman" w:hAnsi="Times New Roman" w:cs="Times New Roman"/>
          <w:bCs/>
          <w:i/>
          <w:iCs/>
          <w:lang w:bidi="ar-SA"/>
        </w:rPr>
        <w:t xml:space="preserve">Asian </w:t>
      </w:r>
      <w:r w:rsidR="00446666" w:rsidRPr="00BD3832">
        <w:rPr>
          <w:rFonts w:ascii="Times New Roman" w:hAnsi="Times New Roman" w:cs="Times New Roman"/>
          <w:bCs/>
          <w:i/>
          <w:iCs/>
          <w:lang w:bidi="ar-SA"/>
        </w:rPr>
        <w:t>Pacific Journal</w:t>
      </w:r>
      <w:r w:rsidR="009C605C" w:rsidRPr="00BD3832">
        <w:rPr>
          <w:rFonts w:ascii="Times New Roman" w:hAnsi="Times New Roman" w:cs="Times New Roman"/>
          <w:bCs/>
          <w:i/>
          <w:iCs/>
          <w:lang w:bidi="ar-SA"/>
        </w:rPr>
        <w:t xml:space="preserve"> of Health </w:t>
      </w:r>
      <w:r w:rsidR="007D2049" w:rsidRPr="00BD3832">
        <w:rPr>
          <w:rFonts w:ascii="Times New Roman" w:hAnsi="Times New Roman" w:cs="Times New Roman"/>
          <w:bCs/>
          <w:i/>
          <w:iCs/>
          <w:lang w:bidi="ar-SA"/>
        </w:rPr>
        <w:t>Science</w:t>
      </w:r>
      <w:r w:rsidR="007E26B8" w:rsidRPr="00BD3832">
        <w:rPr>
          <w:rFonts w:ascii="Times New Roman" w:hAnsi="Times New Roman" w:cs="Times New Roman"/>
          <w:bCs/>
          <w:i/>
          <w:iCs/>
          <w:lang w:bidi="ar-SA"/>
        </w:rPr>
        <w:t>s</w:t>
      </w:r>
      <w:r w:rsidR="007D2049" w:rsidRPr="00BD3832">
        <w:rPr>
          <w:rFonts w:ascii="Times New Roman" w:hAnsi="Times New Roman" w:cs="Times New Roman"/>
          <w:bCs/>
          <w:i/>
          <w:iCs/>
          <w:lang w:bidi="ar-SA"/>
        </w:rPr>
        <w:t xml:space="preserve"> </w:t>
      </w:r>
      <w:r w:rsidR="009C605C" w:rsidRPr="00BD3832">
        <w:rPr>
          <w:rFonts w:ascii="Times New Roman" w:hAnsi="Times New Roman" w:cs="Times New Roman"/>
          <w:bCs/>
          <w:lang w:bidi="ar-SA"/>
        </w:rPr>
        <w:t>1</w:t>
      </w:r>
      <w:r w:rsidRPr="00BD3832">
        <w:rPr>
          <w:rFonts w:ascii="Times New Roman" w:hAnsi="Times New Roman" w:cs="Times New Roman"/>
          <w:bCs/>
          <w:lang w:bidi="ar-SA"/>
        </w:rPr>
        <w:t xml:space="preserve"> </w:t>
      </w:r>
      <w:r w:rsidR="009C605C" w:rsidRPr="00BD3832">
        <w:rPr>
          <w:rFonts w:ascii="Times New Roman" w:hAnsi="Times New Roman" w:cs="Times New Roman"/>
          <w:bCs/>
          <w:lang w:bidi="ar-SA"/>
        </w:rPr>
        <w:t>(4): 312-318</w:t>
      </w:r>
      <w:r w:rsidR="009C605C" w:rsidRPr="00BD3832">
        <w:rPr>
          <w:rFonts w:ascii="Times New Roman" w:hAnsi="Times New Roman" w:cs="Times New Roman"/>
          <w:iCs/>
        </w:rPr>
        <w:t>.</w:t>
      </w:r>
      <w:r w:rsidR="009C605C" w:rsidRPr="00BD3832">
        <w:rPr>
          <w:rStyle w:val="element-citation"/>
          <w:rFonts w:ascii="Times New Roman" w:hAnsi="Times New Roman" w:cs="Times New Roman"/>
        </w:rPr>
        <w:t xml:space="preserve">                                                                                                </w:t>
      </w:r>
    </w:p>
    <w:p w14:paraId="2E49497E" w14:textId="77777777" w:rsidR="009C605C" w:rsidRPr="00BD3832" w:rsidRDefault="009C605C" w:rsidP="009C605C">
      <w:pPr>
        <w:pStyle w:val="ListParagraph"/>
        <w:numPr>
          <w:ilvl w:val="0"/>
          <w:numId w:val="43"/>
        </w:numPr>
        <w:tabs>
          <w:tab w:val="left" w:pos="630"/>
        </w:tabs>
        <w:spacing w:line="480" w:lineRule="auto"/>
        <w:ind w:left="630" w:hanging="540"/>
        <w:jc w:val="both"/>
        <w:rPr>
          <w:rStyle w:val="element-citation"/>
          <w:rFonts w:ascii="Times New Roman" w:hAnsi="Times New Roman" w:cs="Times New Roman"/>
        </w:rPr>
      </w:pPr>
      <w:r w:rsidRPr="00BD3832">
        <w:rPr>
          <w:rStyle w:val="element-citation"/>
          <w:rFonts w:ascii="Times New Roman" w:hAnsi="Times New Roman" w:cs="Times New Roman"/>
        </w:rPr>
        <w:t xml:space="preserve">Siahpush M, McNeill A, Hammond D et al. </w:t>
      </w:r>
      <w:r w:rsidR="001F31A2" w:rsidRPr="00BD3832">
        <w:rPr>
          <w:rStyle w:val="element-citation"/>
          <w:rFonts w:ascii="Times New Roman" w:hAnsi="Times New Roman" w:cs="Times New Roman"/>
        </w:rPr>
        <w:t>2002.</w:t>
      </w:r>
      <w:r w:rsidRPr="00BD3832">
        <w:rPr>
          <w:rStyle w:val="element-citation"/>
          <w:rFonts w:ascii="Times New Roman" w:hAnsi="Times New Roman" w:cs="Times New Roman"/>
        </w:rPr>
        <w:t xml:space="preserve"> </w:t>
      </w:r>
      <w:r w:rsidR="001F31A2" w:rsidRPr="00BD3832">
        <w:rPr>
          <w:rStyle w:val="element-citation"/>
          <w:rFonts w:ascii="Times New Roman" w:hAnsi="Times New Roman" w:cs="Times New Roman"/>
        </w:rPr>
        <w:t>“</w:t>
      </w:r>
      <w:r w:rsidRPr="00BD3832">
        <w:rPr>
          <w:rStyle w:val="element-citation"/>
          <w:rFonts w:ascii="Times New Roman" w:hAnsi="Times New Roman" w:cs="Times New Roman"/>
        </w:rPr>
        <w:t>Socioeconomic and country</w:t>
      </w:r>
      <w:r w:rsidRPr="00BD3832">
        <w:rPr>
          <w:rStyle w:val="element-citation"/>
          <w:rFonts w:ascii="Times New Roman" w:hAnsi="Times New Roman" w:cs="Times New Roman"/>
        </w:rPr>
        <w:tab/>
        <w:t xml:space="preserve">variations in knowledge of health risks of tobacco smoking and toxic </w:t>
      </w:r>
      <w:r w:rsidRPr="00BD3832">
        <w:rPr>
          <w:rStyle w:val="element-citation"/>
          <w:rFonts w:ascii="Times New Roman" w:hAnsi="Times New Roman" w:cs="Times New Roman"/>
        </w:rPr>
        <w:lastRenderedPageBreak/>
        <w:tab/>
        <w:t xml:space="preserve">constituents of smoke: Results from the 2002 International Tobacco Control </w:t>
      </w:r>
      <w:r w:rsidRPr="00BD3832">
        <w:rPr>
          <w:rStyle w:val="element-citation"/>
          <w:rFonts w:ascii="Times New Roman" w:hAnsi="Times New Roman" w:cs="Times New Roman"/>
        </w:rPr>
        <w:tab/>
        <w:t xml:space="preserve">(ITC) </w:t>
      </w:r>
      <w:r w:rsidRPr="00BD3832">
        <w:rPr>
          <w:rStyle w:val="element-citation"/>
          <w:rFonts w:ascii="Times New Roman" w:hAnsi="Times New Roman" w:cs="Times New Roman"/>
        </w:rPr>
        <w:tab/>
        <w:t>Four Country Survey.</w:t>
      </w:r>
      <w:r w:rsidR="001F31A2" w:rsidRPr="00BD3832">
        <w:rPr>
          <w:rStyle w:val="element-citation"/>
          <w:rFonts w:ascii="Times New Roman" w:hAnsi="Times New Roman" w:cs="Times New Roman"/>
        </w:rPr>
        <w:t>”</w:t>
      </w:r>
      <w:r w:rsidRPr="00BD3832">
        <w:rPr>
          <w:rStyle w:val="element-citation"/>
          <w:rFonts w:ascii="Times New Roman" w:hAnsi="Times New Roman" w:cs="Times New Roman"/>
        </w:rPr>
        <w:t> </w:t>
      </w:r>
      <w:r w:rsidRPr="00BD3832">
        <w:rPr>
          <w:rStyle w:val="ref-journal"/>
          <w:rFonts w:ascii="Times New Roman" w:hAnsi="Times New Roman" w:cs="Times New Roman"/>
          <w:i/>
        </w:rPr>
        <w:t>Tobacco Control</w:t>
      </w:r>
      <w:r w:rsidRPr="00BD3832">
        <w:rPr>
          <w:rStyle w:val="ref-journal"/>
          <w:rFonts w:ascii="Times New Roman" w:hAnsi="Times New Roman" w:cs="Times New Roman"/>
        </w:rPr>
        <w:t xml:space="preserve"> </w:t>
      </w:r>
      <w:r w:rsidRPr="00BD3832">
        <w:rPr>
          <w:rStyle w:val="ref-vol"/>
          <w:rFonts w:ascii="Times New Roman" w:hAnsi="Times New Roman" w:cs="Times New Roman"/>
        </w:rPr>
        <w:t>15</w:t>
      </w:r>
      <w:r w:rsidRPr="00BD3832">
        <w:rPr>
          <w:rStyle w:val="element-citation"/>
          <w:rFonts w:ascii="Times New Roman" w:hAnsi="Times New Roman" w:cs="Times New Roman"/>
        </w:rPr>
        <w:t>:</w:t>
      </w:r>
      <w:r w:rsidR="00F60C06" w:rsidRPr="00BD3832">
        <w:rPr>
          <w:rStyle w:val="element-citation"/>
          <w:rFonts w:ascii="Times New Roman" w:hAnsi="Times New Roman" w:cs="Times New Roman"/>
        </w:rPr>
        <w:t xml:space="preserve"> </w:t>
      </w:r>
      <w:r w:rsidRPr="00BD3832">
        <w:rPr>
          <w:rStyle w:val="element-citation"/>
          <w:rFonts w:ascii="Times New Roman" w:hAnsi="Times New Roman" w:cs="Times New Roman"/>
        </w:rPr>
        <w:t xml:space="preserve">iii65–iii70.  </w:t>
      </w:r>
    </w:p>
    <w:p w14:paraId="4C9536CC"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rPr>
        <w:t xml:space="preserve">Andersen, MR, </w:t>
      </w:r>
      <w:hyperlink r:id="rId30" w:history="1">
        <w:r w:rsidRPr="00BD3832">
          <w:rPr>
            <w:rStyle w:val="Hyperlink"/>
            <w:rFonts w:ascii="Times New Roman" w:hAnsi="Times New Roman" w:cs="Times New Roman"/>
            <w:color w:val="auto"/>
            <w:u w:val="none"/>
          </w:rPr>
          <w:t>Leroux BG</w:t>
        </w:r>
      </w:hyperlink>
      <w:r w:rsidRPr="00BD3832">
        <w:rPr>
          <w:rFonts w:ascii="Times New Roman" w:hAnsi="Times New Roman" w:cs="Times New Roman"/>
        </w:rPr>
        <w:t xml:space="preserve">, </w:t>
      </w:r>
      <w:hyperlink r:id="rId31" w:history="1">
        <w:r w:rsidRPr="00BD3832">
          <w:rPr>
            <w:rStyle w:val="Hyperlink"/>
            <w:rFonts w:ascii="Times New Roman" w:hAnsi="Times New Roman" w:cs="Times New Roman"/>
            <w:color w:val="auto"/>
            <w:u w:val="none"/>
          </w:rPr>
          <w:t>Bricker JB</w:t>
        </w:r>
      </w:hyperlink>
      <w:r w:rsidRPr="00BD3832">
        <w:rPr>
          <w:rFonts w:ascii="Times New Roman" w:hAnsi="Times New Roman" w:cs="Times New Roman"/>
        </w:rPr>
        <w:t xml:space="preserve">, </w:t>
      </w:r>
      <w:r w:rsidR="001F31A2" w:rsidRPr="00BD3832">
        <w:rPr>
          <w:rFonts w:ascii="Times New Roman" w:hAnsi="Times New Roman" w:cs="Times New Roman"/>
        </w:rPr>
        <w:t>et al. 2004.</w:t>
      </w:r>
      <w:r w:rsidRPr="00BD3832">
        <w:rPr>
          <w:rFonts w:ascii="Times New Roman" w:hAnsi="Times New Roman" w:cs="Times New Roman"/>
        </w:rPr>
        <w:t xml:space="preserve"> </w:t>
      </w:r>
      <w:r w:rsidR="001F31A2" w:rsidRPr="00BD3832">
        <w:rPr>
          <w:rFonts w:ascii="Times New Roman" w:hAnsi="Times New Roman" w:cs="Times New Roman"/>
        </w:rPr>
        <w:t>“</w:t>
      </w:r>
      <w:r w:rsidRPr="00BD3832">
        <w:rPr>
          <w:rFonts w:ascii="Times New Roman" w:hAnsi="Times New Roman" w:cs="Times New Roman"/>
        </w:rPr>
        <w:tab/>
        <w:t xml:space="preserve">Antismoking </w:t>
      </w:r>
      <w:r w:rsidRPr="00BD3832">
        <w:rPr>
          <w:rFonts w:ascii="Times New Roman" w:hAnsi="Times New Roman" w:cs="Times New Roman"/>
        </w:rPr>
        <w:tab/>
        <w:t xml:space="preserve">Parenting Practices Are Associated With Reduced Rates of </w:t>
      </w:r>
      <w:r w:rsidRPr="00BD3832">
        <w:rPr>
          <w:rFonts w:ascii="Times New Roman" w:hAnsi="Times New Roman" w:cs="Times New Roman"/>
        </w:rPr>
        <w:tab/>
        <w:t>Adolescent Smoking.</w:t>
      </w:r>
      <w:r w:rsidR="001F31A2" w:rsidRPr="00BD3832">
        <w:rPr>
          <w:rFonts w:ascii="Times New Roman" w:hAnsi="Times New Roman" w:cs="Times New Roman"/>
        </w:rPr>
        <w:t>”</w:t>
      </w:r>
      <w:r w:rsidRPr="00BD3832">
        <w:rPr>
          <w:rFonts w:ascii="Times New Roman" w:hAnsi="Times New Roman" w:cs="Times New Roman"/>
        </w:rPr>
        <w:tab/>
      </w:r>
      <w:r w:rsidRPr="00BD3832">
        <w:rPr>
          <w:rFonts w:ascii="Times New Roman" w:hAnsi="Times New Roman" w:cs="Times New Roman"/>
          <w:i/>
        </w:rPr>
        <w:t>Arch Pediatr Adolesc Med Journal</w:t>
      </w:r>
      <w:r w:rsidRPr="00BD3832">
        <w:rPr>
          <w:rFonts w:ascii="Times New Roman" w:hAnsi="Times New Roman" w:cs="Times New Roman"/>
        </w:rPr>
        <w:t xml:space="preserve"> 158</w:t>
      </w:r>
      <w:r w:rsidR="001F31A2" w:rsidRPr="00BD3832">
        <w:rPr>
          <w:rFonts w:ascii="Times New Roman" w:hAnsi="Times New Roman" w:cs="Times New Roman"/>
        </w:rPr>
        <w:t xml:space="preserve"> </w:t>
      </w:r>
      <w:r w:rsidRPr="00BD3832">
        <w:rPr>
          <w:rFonts w:ascii="Times New Roman" w:hAnsi="Times New Roman" w:cs="Times New Roman"/>
        </w:rPr>
        <w:t>(4): 348-352.</w:t>
      </w:r>
    </w:p>
    <w:p w14:paraId="136409A7"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rPr>
        <w:t>Tsoh JY, Tong E</w:t>
      </w:r>
      <w:r w:rsidR="001F31A2" w:rsidRPr="00BD3832">
        <w:rPr>
          <w:rFonts w:ascii="Times New Roman" w:hAnsi="Times New Roman" w:cs="Times New Roman"/>
        </w:rPr>
        <w:t>K, Gildengorin G, et al. 2011. “</w:t>
      </w:r>
      <w:r w:rsidRPr="00BD3832">
        <w:rPr>
          <w:rFonts w:ascii="Times New Roman" w:hAnsi="Times New Roman" w:cs="Times New Roman"/>
        </w:rPr>
        <w:t xml:space="preserve">Individual and family factors </w:t>
      </w:r>
      <w:r w:rsidRPr="00BD3832">
        <w:rPr>
          <w:rFonts w:ascii="Times New Roman" w:hAnsi="Times New Roman" w:cs="Times New Roman"/>
        </w:rPr>
        <w:tab/>
        <w:t>associated with intention to quit among</w:t>
      </w:r>
      <w:r w:rsidRPr="00BD3832">
        <w:rPr>
          <w:rFonts w:ascii="Times New Roman" w:hAnsi="Times New Roman" w:cs="Times New Roman"/>
        </w:rPr>
        <w:tab/>
        <w:t xml:space="preserve"> male </w:t>
      </w:r>
      <w:r w:rsidRPr="00BD3832">
        <w:rPr>
          <w:rFonts w:ascii="Times New Roman" w:hAnsi="Times New Roman" w:cs="Times New Roman"/>
        </w:rPr>
        <w:tab/>
        <w:t>Vietnamese American</w:t>
      </w:r>
      <w:r w:rsidRPr="00BD3832">
        <w:rPr>
          <w:rFonts w:ascii="Times New Roman" w:hAnsi="Times New Roman" w:cs="Times New Roman"/>
        </w:rPr>
        <w:tab/>
        <w:t xml:space="preserve">smokers: Implications for </w:t>
      </w:r>
      <w:r w:rsidRPr="00BD3832">
        <w:rPr>
          <w:rFonts w:ascii="Times New Roman" w:hAnsi="Times New Roman" w:cs="Times New Roman"/>
        </w:rPr>
        <w:tab/>
        <w:t>intervention development.</w:t>
      </w:r>
      <w:r w:rsidR="001F31A2" w:rsidRPr="00BD3832">
        <w:rPr>
          <w:rFonts w:ascii="Times New Roman" w:hAnsi="Times New Roman" w:cs="Times New Roman"/>
        </w:rPr>
        <w:t>”</w:t>
      </w:r>
      <w:r w:rsidRPr="00BD3832">
        <w:rPr>
          <w:rFonts w:ascii="Times New Roman" w:hAnsi="Times New Roman" w:cs="Times New Roman"/>
        </w:rPr>
        <w:t xml:space="preserve"> </w:t>
      </w:r>
      <w:hyperlink r:id="rId32" w:history="1">
        <w:r w:rsidRPr="00BD3832">
          <w:rPr>
            <w:rStyle w:val="Hyperlink"/>
            <w:rFonts w:ascii="Times New Roman" w:hAnsi="Times New Roman" w:cs="Times New Roman"/>
            <w:i/>
            <w:color w:val="auto"/>
            <w:u w:val="none"/>
          </w:rPr>
          <w:t>Addictive Behav</w:t>
        </w:r>
      </w:hyperlink>
      <w:r w:rsidRPr="00BD3832">
        <w:rPr>
          <w:rStyle w:val="Hyperlink"/>
          <w:rFonts w:ascii="Times New Roman" w:hAnsi="Times New Roman" w:cs="Times New Roman"/>
          <w:i/>
          <w:color w:val="auto"/>
          <w:u w:val="none"/>
        </w:rPr>
        <w:t>iors</w:t>
      </w:r>
      <w:r w:rsidRPr="00BD3832">
        <w:rPr>
          <w:rFonts w:ascii="Times New Roman" w:hAnsi="Times New Roman" w:cs="Times New Roman"/>
          <w:i/>
          <w:lang w:bidi="ar-SA"/>
        </w:rPr>
        <w:t xml:space="preserve"> </w:t>
      </w:r>
      <w:r w:rsidRPr="00BD3832">
        <w:rPr>
          <w:rFonts w:ascii="Times New Roman" w:hAnsi="Times New Roman" w:cs="Times New Roman"/>
        </w:rPr>
        <w:t>36</w:t>
      </w:r>
      <w:r w:rsidR="001F31A2" w:rsidRPr="00BD3832">
        <w:rPr>
          <w:rFonts w:ascii="Times New Roman" w:hAnsi="Times New Roman" w:cs="Times New Roman"/>
        </w:rPr>
        <w:t xml:space="preserve"> </w:t>
      </w:r>
      <w:r w:rsidRPr="00BD3832">
        <w:rPr>
          <w:rFonts w:ascii="Times New Roman" w:hAnsi="Times New Roman" w:cs="Times New Roman"/>
        </w:rPr>
        <w:t>(4): 294–301.</w:t>
      </w:r>
      <w:r w:rsidRPr="00BD3832">
        <w:rPr>
          <w:rFonts w:ascii="Times New Roman" w:hAnsi="Times New Roman" w:cs="Times New Roman"/>
        </w:rPr>
        <w:tab/>
      </w:r>
    </w:p>
    <w:p w14:paraId="7FD30177"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eastAsia="Calibri" w:hAnsi="Times New Roman" w:cs="Times New Roman"/>
          <w:lang w:bidi="ar-SA"/>
        </w:rPr>
        <w:t>Fashafsheh I, Ayed A, Eqtait F, et al. 2015</w:t>
      </w:r>
      <w:r w:rsidR="001F31A2" w:rsidRPr="00BD3832">
        <w:rPr>
          <w:rFonts w:ascii="Times New Roman" w:eastAsia="Calibri" w:hAnsi="Times New Roman" w:cs="Times New Roman"/>
          <w:lang w:bidi="ar-SA"/>
        </w:rPr>
        <w:t>.</w:t>
      </w:r>
      <w:r w:rsidRPr="00BD3832">
        <w:rPr>
          <w:rFonts w:ascii="Times New Roman" w:eastAsia="Calibri" w:hAnsi="Times New Roman" w:cs="Times New Roman"/>
          <w:lang w:bidi="ar-SA"/>
        </w:rPr>
        <w:t xml:space="preserve"> </w:t>
      </w:r>
      <w:r w:rsidR="001F31A2" w:rsidRPr="00BD3832">
        <w:rPr>
          <w:rFonts w:ascii="Times New Roman" w:eastAsia="Calibri" w:hAnsi="Times New Roman" w:cs="Times New Roman"/>
          <w:lang w:bidi="ar-SA"/>
        </w:rPr>
        <w:t>“</w:t>
      </w:r>
      <w:r w:rsidRPr="00BD3832">
        <w:rPr>
          <w:rFonts w:ascii="Times New Roman" w:eastAsia="Calibri" w:hAnsi="Times New Roman" w:cs="Times New Roman"/>
          <w:lang w:bidi="ar-SA"/>
        </w:rPr>
        <w:t xml:space="preserve">Knowledge and practice of nursing </w:t>
      </w:r>
      <w:r w:rsidRPr="00BD3832">
        <w:rPr>
          <w:rFonts w:ascii="Times New Roman" w:eastAsia="Calibri" w:hAnsi="Times New Roman" w:cs="Times New Roman"/>
          <w:lang w:bidi="ar-SA"/>
        </w:rPr>
        <w:tab/>
        <w:t>staff</w:t>
      </w:r>
      <w:r w:rsidRPr="00BD3832">
        <w:rPr>
          <w:rFonts w:ascii="Times New Roman" w:eastAsia="Calibri" w:hAnsi="Times New Roman" w:cs="Times New Roman"/>
          <w:lang w:bidi="ar-SA"/>
        </w:rPr>
        <w:tab/>
        <w:t xml:space="preserve"> towards infection control measures in the Palestinian hospitals.</w:t>
      </w:r>
      <w:r w:rsidR="001F31A2" w:rsidRPr="00BD3832">
        <w:rPr>
          <w:rFonts w:ascii="Times New Roman" w:eastAsia="Calibri" w:hAnsi="Times New Roman" w:cs="Times New Roman"/>
          <w:lang w:bidi="ar-SA"/>
        </w:rPr>
        <w:t>”</w:t>
      </w:r>
      <w:r w:rsidRPr="00BD3832">
        <w:rPr>
          <w:rFonts w:ascii="Times New Roman" w:eastAsia="Calibri" w:hAnsi="Times New Roman" w:cs="Times New Roman"/>
          <w:lang w:bidi="ar-SA"/>
        </w:rPr>
        <w:t xml:space="preserve"> </w:t>
      </w:r>
      <w:r w:rsidRPr="00BD3832">
        <w:rPr>
          <w:rFonts w:ascii="Times New Roman" w:eastAsia="Calibri" w:hAnsi="Times New Roman" w:cs="Times New Roman"/>
          <w:i/>
          <w:lang w:bidi="ar-SA"/>
        </w:rPr>
        <w:t xml:space="preserve">Journal of Education and Practice </w:t>
      </w:r>
      <w:r w:rsidRPr="00BD3832">
        <w:rPr>
          <w:rFonts w:ascii="Times New Roman" w:eastAsia="Calibri" w:hAnsi="Times New Roman" w:cs="Times New Roman"/>
          <w:lang w:bidi="ar-SA"/>
        </w:rPr>
        <w:t>6</w:t>
      </w:r>
      <w:r w:rsidR="001F31A2" w:rsidRPr="00BD3832">
        <w:rPr>
          <w:rFonts w:ascii="Times New Roman" w:eastAsia="Calibri" w:hAnsi="Times New Roman" w:cs="Times New Roman"/>
          <w:lang w:bidi="ar-SA"/>
        </w:rPr>
        <w:t xml:space="preserve"> </w:t>
      </w:r>
      <w:r w:rsidRPr="00BD3832">
        <w:rPr>
          <w:rFonts w:ascii="Times New Roman" w:eastAsia="Calibri" w:hAnsi="Times New Roman" w:cs="Times New Roman"/>
          <w:lang w:bidi="ar-SA"/>
        </w:rPr>
        <w:t xml:space="preserve">(4): 79–90. </w:t>
      </w:r>
    </w:p>
    <w:p w14:paraId="5CEC1C1A"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hAnsi="Times New Roman" w:cs="Times New Roman"/>
        </w:rPr>
        <w:t>Ullah</w:t>
      </w:r>
      <w:r w:rsidR="001F31A2" w:rsidRPr="00BD3832">
        <w:rPr>
          <w:rFonts w:ascii="Times New Roman" w:hAnsi="Times New Roman" w:cs="Times New Roman"/>
        </w:rPr>
        <w:t xml:space="preserve"> ANZ, Huque R, Akter S, et al. </w:t>
      </w:r>
      <w:r w:rsidRPr="00BD3832">
        <w:rPr>
          <w:rFonts w:ascii="Times New Roman" w:hAnsi="Times New Roman" w:cs="Times New Roman"/>
        </w:rPr>
        <w:t>2013</w:t>
      </w:r>
      <w:r w:rsidR="001F31A2" w:rsidRPr="00BD3832">
        <w:rPr>
          <w:rFonts w:ascii="Times New Roman" w:hAnsi="Times New Roman" w:cs="Times New Roman"/>
        </w:rPr>
        <w:t>.</w:t>
      </w:r>
      <w:r w:rsidRPr="00BD3832">
        <w:rPr>
          <w:rFonts w:ascii="Times New Roman" w:hAnsi="Times New Roman" w:cs="Times New Roman"/>
        </w:rPr>
        <w:t xml:space="preserve"> </w:t>
      </w:r>
      <w:r w:rsidR="001F31A2" w:rsidRPr="00BD3832">
        <w:rPr>
          <w:rFonts w:ascii="Times New Roman" w:hAnsi="Times New Roman" w:cs="Times New Roman"/>
        </w:rPr>
        <w:t>“</w:t>
      </w:r>
      <w:r w:rsidRPr="00BD3832">
        <w:rPr>
          <w:rFonts w:ascii="Times New Roman" w:hAnsi="Times New Roman" w:cs="Times New Roman"/>
        </w:rPr>
        <w:t xml:space="preserve">Children's exposure to second-hand smoke </w:t>
      </w:r>
      <w:r w:rsidRPr="00BD3832">
        <w:rPr>
          <w:rFonts w:ascii="Times New Roman" w:hAnsi="Times New Roman" w:cs="Times New Roman"/>
        </w:rPr>
        <w:tab/>
        <w:t xml:space="preserve">at </w:t>
      </w:r>
      <w:r w:rsidRPr="00BD3832">
        <w:rPr>
          <w:rFonts w:ascii="Times New Roman" w:hAnsi="Times New Roman" w:cs="Times New Roman"/>
        </w:rPr>
        <w:tab/>
        <w:t xml:space="preserve">home in Bangladesh: a community  </w:t>
      </w:r>
      <w:r w:rsidRPr="00BD3832">
        <w:rPr>
          <w:rFonts w:ascii="Times New Roman" w:hAnsi="Times New Roman" w:cs="Times New Roman"/>
        </w:rPr>
        <w:tab/>
        <w:t>survey.</w:t>
      </w:r>
      <w:r w:rsidR="001F31A2" w:rsidRPr="00BD3832">
        <w:rPr>
          <w:rFonts w:ascii="Times New Roman" w:hAnsi="Times New Roman" w:cs="Times New Roman"/>
        </w:rPr>
        <w:t>”</w:t>
      </w:r>
      <w:r w:rsidRPr="00BD3832">
        <w:rPr>
          <w:rFonts w:ascii="Times New Roman" w:hAnsi="Times New Roman" w:cs="Times New Roman"/>
        </w:rPr>
        <w:t xml:space="preserve"> </w:t>
      </w:r>
      <w:r w:rsidRPr="00BD3832">
        <w:rPr>
          <w:rFonts w:ascii="Times New Roman" w:hAnsi="Times New Roman" w:cs="Times New Roman"/>
          <w:i/>
        </w:rPr>
        <w:t xml:space="preserve">BMJ open </w:t>
      </w:r>
      <w:r w:rsidRPr="00BD3832">
        <w:rPr>
          <w:rFonts w:ascii="Times New Roman" w:hAnsi="Times New Roman" w:cs="Times New Roman"/>
        </w:rPr>
        <w:t>3: e003059.  doi:10.1136/bmjopen-2013-003059</w:t>
      </w:r>
    </w:p>
    <w:p w14:paraId="68FF049C" w14:textId="77777777" w:rsidR="009C605C" w:rsidRPr="00BD3832" w:rsidRDefault="001F31A2"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Style w:val="authdetail"/>
          <w:rFonts w:ascii="Times New Roman" w:hAnsi="Times New Roman" w:cs="Times New Roman"/>
        </w:rPr>
        <w:t xml:space="preserve">Dey S. </w:t>
      </w:r>
      <w:r w:rsidR="009C605C" w:rsidRPr="00BD3832">
        <w:rPr>
          <w:rStyle w:val="authdetail"/>
          <w:rFonts w:ascii="Times New Roman" w:hAnsi="Times New Roman" w:cs="Times New Roman"/>
        </w:rPr>
        <w:t>2015</w:t>
      </w:r>
      <w:r w:rsidRPr="00BD3832">
        <w:rPr>
          <w:rStyle w:val="authdetail"/>
          <w:rFonts w:ascii="Times New Roman" w:hAnsi="Times New Roman" w:cs="Times New Roman"/>
        </w:rPr>
        <w:t>.</w:t>
      </w:r>
      <w:r w:rsidR="009C605C" w:rsidRPr="00BD3832">
        <w:rPr>
          <w:rStyle w:val="authdetail"/>
          <w:rFonts w:ascii="Times New Roman" w:hAnsi="Times New Roman" w:cs="Times New Roman"/>
        </w:rPr>
        <w:t xml:space="preserve"> </w:t>
      </w:r>
      <w:r w:rsidRPr="00BD3832">
        <w:rPr>
          <w:rStyle w:val="authdetail"/>
          <w:rFonts w:ascii="Times New Roman" w:hAnsi="Times New Roman" w:cs="Times New Roman"/>
        </w:rPr>
        <w:t>“</w:t>
      </w:r>
      <w:r w:rsidR="009C605C" w:rsidRPr="00BD3832">
        <w:rPr>
          <w:rFonts w:ascii="Times New Roman" w:hAnsi="Times New Roman" w:cs="Times New Roman"/>
        </w:rPr>
        <w:t xml:space="preserve">40% of Indians exposed to second hand smoke at home: </w:t>
      </w:r>
      <w:r w:rsidR="009C605C" w:rsidRPr="00BD3832">
        <w:rPr>
          <w:rFonts w:ascii="Times New Roman" w:hAnsi="Times New Roman" w:cs="Times New Roman"/>
        </w:rPr>
        <w:tab/>
        <w:t>WHO.</w:t>
      </w:r>
      <w:r w:rsidRPr="00BD3832">
        <w:rPr>
          <w:rFonts w:ascii="Times New Roman" w:hAnsi="Times New Roman" w:cs="Times New Roman"/>
        </w:rPr>
        <w:t>”</w:t>
      </w:r>
      <w:r w:rsidR="009C605C" w:rsidRPr="00BD3832">
        <w:rPr>
          <w:rFonts w:ascii="Times New Roman" w:hAnsi="Times New Roman" w:cs="Times New Roman"/>
        </w:rPr>
        <w:t xml:space="preserve"> </w:t>
      </w:r>
      <w:r w:rsidR="009C605C" w:rsidRPr="00BD3832">
        <w:rPr>
          <w:rFonts w:ascii="Times New Roman" w:hAnsi="Times New Roman" w:cs="Times New Roman"/>
          <w:i/>
        </w:rPr>
        <w:t xml:space="preserve">The </w:t>
      </w:r>
      <w:r w:rsidR="009C605C" w:rsidRPr="00BD3832">
        <w:rPr>
          <w:rFonts w:ascii="Times New Roman" w:hAnsi="Times New Roman" w:cs="Times New Roman"/>
          <w:i/>
        </w:rPr>
        <w:tab/>
        <w:t xml:space="preserve">Times of </w:t>
      </w:r>
      <w:r w:rsidR="009C605C" w:rsidRPr="00BD3832">
        <w:rPr>
          <w:rFonts w:ascii="Times New Roman" w:hAnsi="Times New Roman" w:cs="Times New Roman"/>
          <w:i/>
        </w:rPr>
        <w:tab/>
        <w:t>India</w:t>
      </w:r>
      <w:r w:rsidR="009C605C" w:rsidRPr="00BD3832">
        <w:rPr>
          <w:rFonts w:ascii="Times New Roman" w:hAnsi="Times New Roman" w:cs="Times New Roman"/>
        </w:rPr>
        <w:t xml:space="preserve">. </w:t>
      </w:r>
      <w:hyperlink r:id="rId33" w:history="1">
        <w:r w:rsidR="009C605C" w:rsidRPr="00BD3832">
          <w:rPr>
            <w:rStyle w:val="Hyperlink"/>
            <w:rFonts w:ascii="Times New Roman" w:hAnsi="Times New Roman" w:cs="Times New Roman"/>
            <w:color w:val="auto"/>
            <w:u w:val="none"/>
          </w:rPr>
          <w:t>https://timesofindia.indiatimes.com/india/</w:t>
        </w:r>
        <w:r w:rsidR="009C605C" w:rsidRPr="00BD3832">
          <w:rPr>
            <w:rStyle w:val="Hyperlink"/>
            <w:rFonts w:ascii="Times New Roman" w:hAnsi="Times New Roman" w:cs="Times New Roman"/>
            <w:color w:val="auto"/>
            <w:u w:val="none"/>
          </w:rPr>
          <w:tab/>
          <w:t xml:space="preserve"> 40-of-Indians-exposed-to-second-</w:t>
        </w:r>
      </w:hyperlink>
      <w:r w:rsidR="009C605C" w:rsidRPr="00BD3832">
        <w:rPr>
          <w:rFonts w:ascii="Times New Roman" w:hAnsi="Times New Roman" w:cs="Times New Roman"/>
        </w:rPr>
        <w:t xml:space="preserve">hand-smoke-at-home-WHO/articleshow/ </w:t>
      </w:r>
      <w:r w:rsidR="009C605C" w:rsidRPr="00BD3832">
        <w:rPr>
          <w:rFonts w:ascii="Times New Roman" w:hAnsi="Times New Roman" w:cs="Times New Roman"/>
        </w:rPr>
        <w:tab/>
        <w:t>49038293.cms (accessed February 20, 2018).</w:t>
      </w:r>
    </w:p>
    <w:p w14:paraId="1A60B57B" w14:textId="77777777" w:rsidR="009C605C" w:rsidRPr="00BD3832" w:rsidRDefault="009C605C" w:rsidP="009C605C">
      <w:pPr>
        <w:pStyle w:val="ListParagraph"/>
        <w:numPr>
          <w:ilvl w:val="0"/>
          <w:numId w:val="43"/>
        </w:numPr>
        <w:tabs>
          <w:tab w:val="left" w:pos="630"/>
        </w:tabs>
        <w:spacing w:line="480" w:lineRule="auto"/>
        <w:ind w:left="630" w:hanging="540"/>
        <w:jc w:val="both"/>
        <w:rPr>
          <w:rFonts w:ascii="Times New Roman" w:hAnsi="Times New Roman" w:cs="Times New Roman"/>
        </w:rPr>
      </w:pPr>
      <w:r w:rsidRPr="00BD3832">
        <w:rPr>
          <w:rFonts w:ascii="Times New Roman" w:eastAsia="Calibri" w:hAnsi="Times New Roman" w:cs="Times New Roman"/>
          <w:lang w:bidi="ar-SA"/>
        </w:rPr>
        <w:t>M</w:t>
      </w:r>
      <w:r w:rsidR="001F31A2" w:rsidRPr="00BD3832">
        <w:rPr>
          <w:rFonts w:ascii="Times New Roman" w:eastAsia="Calibri" w:hAnsi="Times New Roman" w:cs="Times New Roman"/>
          <w:lang w:bidi="ar-SA"/>
        </w:rPr>
        <w:t xml:space="preserve">cCullough ME and Willoughby BL. </w:t>
      </w:r>
      <w:r w:rsidRPr="00BD3832">
        <w:rPr>
          <w:rFonts w:ascii="Times New Roman" w:eastAsia="Calibri" w:hAnsi="Times New Roman" w:cs="Times New Roman"/>
          <w:lang w:bidi="ar-SA"/>
        </w:rPr>
        <w:t>2009</w:t>
      </w:r>
      <w:r w:rsidR="001F31A2" w:rsidRPr="00BD3832">
        <w:rPr>
          <w:rFonts w:ascii="Times New Roman" w:eastAsia="Calibri" w:hAnsi="Times New Roman" w:cs="Times New Roman"/>
          <w:lang w:bidi="ar-SA"/>
        </w:rPr>
        <w:t>.</w:t>
      </w:r>
      <w:r w:rsidRPr="00BD3832">
        <w:rPr>
          <w:rFonts w:ascii="Times New Roman" w:eastAsia="Calibri" w:hAnsi="Times New Roman" w:cs="Times New Roman"/>
          <w:lang w:bidi="ar-SA"/>
        </w:rPr>
        <w:t xml:space="preserve"> </w:t>
      </w:r>
      <w:r w:rsidR="001F31A2" w:rsidRPr="00BD3832">
        <w:rPr>
          <w:rFonts w:ascii="Times New Roman" w:eastAsia="Calibri" w:hAnsi="Times New Roman" w:cs="Times New Roman"/>
          <w:lang w:bidi="ar-SA"/>
        </w:rPr>
        <w:t>“</w:t>
      </w:r>
      <w:r w:rsidRPr="00BD3832">
        <w:rPr>
          <w:rFonts w:ascii="Times New Roman" w:eastAsia="Calibri" w:hAnsi="Times New Roman" w:cs="Times New Roman"/>
          <w:lang w:bidi="ar-SA"/>
        </w:rPr>
        <w:t xml:space="preserve">Religion, self-regulation, and self-control: </w:t>
      </w:r>
      <w:r w:rsidRPr="00BD3832">
        <w:rPr>
          <w:rFonts w:ascii="Times New Roman" w:eastAsia="Calibri" w:hAnsi="Times New Roman" w:cs="Times New Roman"/>
          <w:lang w:bidi="ar-SA"/>
        </w:rPr>
        <w:tab/>
        <w:t>Associations, explanations, and implications.</w:t>
      </w:r>
      <w:r w:rsidR="001F31A2" w:rsidRPr="00BD3832">
        <w:rPr>
          <w:rFonts w:ascii="Times New Roman" w:eastAsia="Calibri" w:hAnsi="Times New Roman" w:cs="Times New Roman"/>
          <w:lang w:bidi="ar-SA"/>
        </w:rPr>
        <w:t>”</w:t>
      </w:r>
      <w:r w:rsidRPr="00BD3832">
        <w:rPr>
          <w:rFonts w:ascii="Times New Roman" w:eastAsia="Calibri" w:hAnsi="Times New Roman" w:cs="Times New Roman"/>
          <w:lang w:bidi="ar-SA"/>
        </w:rPr>
        <w:t xml:space="preserve"> </w:t>
      </w:r>
      <w:r w:rsidRPr="00BD3832">
        <w:rPr>
          <w:rFonts w:ascii="Times New Roman" w:eastAsia="Calibri" w:hAnsi="Times New Roman" w:cs="Times New Roman"/>
          <w:i/>
          <w:lang w:bidi="ar-SA"/>
        </w:rPr>
        <w:t xml:space="preserve">Psychological Bulletin </w:t>
      </w:r>
      <w:r w:rsidRPr="00BD3832">
        <w:rPr>
          <w:rFonts w:ascii="Times New Roman" w:eastAsia="Calibri" w:hAnsi="Times New Roman" w:cs="Times New Roman"/>
          <w:lang w:bidi="ar-SA"/>
        </w:rPr>
        <w:t>135</w:t>
      </w:r>
      <w:r w:rsidR="001F31A2" w:rsidRPr="00BD3832">
        <w:rPr>
          <w:rFonts w:ascii="Times New Roman" w:eastAsia="Calibri" w:hAnsi="Times New Roman" w:cs="Times New Roman"/>
          <w:lang w:bidi="ar-SA"/>
        </w:rPr>
        <w:t xml:space="preserve"> </w:t>
      </w:r>
      <w:r w:rsidRPr="00BD3832">
        <w:rPr>
          <w:rFonts w:ascii="Times New Roman" w:eastAsia="Calibri" w:hAnsi="Times New Roman" w:cs="Times New Roman"/>
          <w:lang w:bidi="ar-SA"/>
        </w:rPr>
        <w:t>: 69–93.</w:t>
      </w:r>
    </w:p>
    <w:p w14:paraId="4394149C" w14:textId="064CCB0B" w:rsidR="00BD3832" w:rsidRPr="00BD3832" w:rsidRDefault="001F31A2" w:rsidP="00BD3832">
      <w:pPr>
        <w:pStyle w:val="ListParagraph"/>
        <w:numPr>
          <w:ilvl w:val="0"/>
          <w:numId w:val="43"/>
        </w:numPr>
        <w:tabs>
          <w:tab w:val="left" w:pos="630"/>
        </w:tabs>
        <w:spacing w:line="480" w:lineRule="auto"/>
        <w:ind w:left="630" w:hanging="540"/>
        <w:jc w:val="both"/>
        <w:rPr>
          <w:rFonts w:ascii="Times New Roman" w:hAnsi="Times New Roman" w:cs="Times New Roman"/>
          <w:shd w:val="clear" w:color="auto" w:fill="FFFFFF"/>
        </w:rPr>
      </w:pPr>
      <w:r w:rsidRPr="00BD3832">
        <w:rPr>
          <w:rFonts w:ascii="Times New Roman" w:hAnsi="Times New Roman" w:cs="Times New Roman"/>
          <w:shd w:val="clear" w:color="auto" w:fill="FFFFFF"/>
        </w:rPr>
        <w:t xml:space="preserve">Rosenstock and I. M. </w:t>
      </w:r>
      <w:r w:rsidR="00FC0EC9" w:rsidRPr="00BD3832">
        <w:rPr>
          <w:rFonts w:ascii="Times New Roman" w:hAnsi="Times New Roman" w:cs="Times New Roman"/>
          <w:shd w:val="clear" w:color="auto" w:fill="FFFFFF"/>
        </w:rPr>
        <w:t>1974. “</w:t>
      </w:r>
      <w:r w:rsidR="009C605C" w:rsidRPr="00BD3832">
        <w:rPr>
          <w:rFonts w:ascii="Times New Roman" w:hAnsi="Times New Roman" w:cs="Times New Roman"/>
          <w:shd w:val="clear" w:color="auto" w:fill="FFFFFF"/>
        </w:rPr>
        <w:t>Historical origins of the health belief model.</w:t>
      </w:r>
      <w:r w:rsidRPr="00BD3832">
        <w:rPr>
          <w:rFonts w:ascii="Times New Roman" w:hAnsi="Times New Roman" w:cs="Times New Roman"/>
          <w:shd w:val="clear" w:color="auto" w:fill="FFFFFF"/>
        </w:rPr>
        <w:t>”</w:t>
      </w:r>
      <w:r w:rsidR="009C605C" w:rsidRPr="00BD3832">
        <w:rPr>
          <w:rFonts w:ascii="Times New Roman" w:hAnsi="Times New Roman" w:cs="Times New Roman"/>
          <w:shd w:val="clear" w:color="auto" w:fill="FFFFFF"/>
        </w:rPr>
        <w:t> </w:t>
      </w:r>
      <w:r w:rsidR="009C605C" w:rsidRPr="00BD3832">
        <w:rPr>
          <w:rFonts w:ascii="Times New Roman" w:hAnsi="Times New Roman" w:cs="Times New Roman"/>
          <w:bCs/>
          <w:i/>
        </w:rPr>
        <w:t xml:space="preserve">Health </w:t>
      </w:r>
      <w:r w:rsidR="009C605C" w:rsidRPr="00BD3832">
        <w:rPr>
          <w:rFonts w:ascii="Times New Roman" w:hAnsi="Times New Roman" w:cs="Times New Roman"/>
          <w:bCs/>
          <w:i/>
        </w:rPr>
        <w:tab/>
        <w:t>Education Monogr</w:t>
      </w:r>
      <w:r w:rsidR="009C605C" w:rsidRPr="00BD3832">
        <w:rPr>
          <w:rFonts w:ascii="Times New Roman" w:hAnsi="Times New Roman" w:cs="Times New Roman"/>
          <w:shd w:val="clear" w:color="auto" w:fill="FFFFFF"/>
        </w:rPr>
        <w:t xml:space="preserve">aphs </w:t>
      </w:r>
      <w:r w:rsidRPr="00BD3832">
        <w:rPr>
          <w:rFonts w:ascii="Times New Roman" w:hAnsi="Times New Roman" w:cs="Times New Roman"/>
          <w:shd w:val="clear" w:color="auto" w:fill="FFFFFF"/>
        </w:rPr>
        <w:t xml:space="preserve"> </w:t>
      </w:r>
      <w:r w:rsidR="009C605C" w:rsidRPr="00BD3832">
        <w:rPr>
          <w:rFonts w:ascii="Times New Roman" w:hAnsi="Times New Roman" w:cs="Times New Roman"/>
          <w:i/>
          <w:iCs/>
          <w:shd w:val="clear" w:color="auto" w:fill="FFFFFF"/>
        </w:rPr>
        <w:t>2</w:t>
      </w:r>
      <w:r w:rsidR="00F74AEF" w:rsidRPr="00BD3832">
        <w:rPr>
          <w:rFonts w:ascii="Times New Roman" w:hAnsi="Times New Roman" w:cs="Times New Roman"/>
          <w:i/>
          <w:iCs/>
          <w:shd w:val="clear" w:color="auto" w:fill="FFFFFF"/>
        </w:rPr>
        <w:t xml:space="preserve"> </w:t>
      </w:r>
      <w:r w:rsidR="009C605C" w:rsidRPr="00BD3832">
        <w:rPr>
          <w:rFonts w:ascii="Times New Roman" w:hAnsi="Times New Roman" w:cs="Times New Roman"/>
          <w:shd w:val="clear" w:color="auto" w:fill="FFFFFF"/>
        </w:rPr>
        <w:t>(4): 328-35.</w:t>
      </w:r>
    </w:p>
    <w:p w14:paraId="02941741" w14:textId="7648F6D6" w:rsidR="001F31A2" w:rsidRPr="00BD3832" w:rsidRDefault="00BD3832" w:rsidP="00BD3832">
      <w:pPr>
        <w:spacing w:line="240" w:lineRule="auto"/>
        <w:rPr>
          <w:shd w:val="clear" w:color="auto" w:fill="FFFFFF"/>
          <w:lang w:val="en-US" w:eastAsia="en-US" w:bidi="en-US"/>
        </w:rPr>
      </w:pPr>
      <w:r w:rsidRPr="00BD3832">
        <w:rPr>
          <w:shd w:val="clear" w:color="auto" w:fill="FFFFFF"/>
        </w:rPr>
        <w:br w:type="page"/>
      </w:r>
    </w:p>
    <w:p w14:paraId="76360694" w14:textId="1927EEBB" w:rsidR="00172E23" w:rsidRPr="00755937" w:rsidRDefault="00172E23" w:rsidP="00755937">
      <w:pPr>
        <w:pStyle w:val="Heading1"/>
        <w:jc w:val="center"/>
        <w:rPr>
          <w:b w:val="0"/>
          <w:bCs w:val="0"/>
        </w:rPr>
      </w:pPr>
      <w:r w:rsidRPr="00755937">
        <w:rPr>
          <w:rStyle w:val="Strong"/>
          <w:b/>
          <w:bCs/>
          <w:shd w:val="clear" w:color="auto" w:fill="FFFFFF"/>
        </w:rPr>
        <w:lastRenderedPageBreak/>
        <w:t>Tables</w:t>
      </w:r>
    </w:p>
    <w:p w14:paraId="11A75168" w14:textId="31C7FEC1" w:rsidR="00172E23" w:rsidRPr="00BD3832" w:rsidRDefault="00172E23" w:rsidP="00A94A56">
      <w:pPr>
        <w:widowControl w:val="0"/>
        <w:overflowPunct w:val="0"/>
        <w:autoSpaceDE w:val="0"/>
        <w:autoSpaceDN w:val="0"/>
        <w:adjustRightInd w:val="0"/>
        <w:jc w:val="both"/>
        <w:rPr>
          <w:bCs/>
          <w:szCs w:val="22"/>
        </w:rPr>
      </w:pPr>
      <w:r w:rsidRPr="00BD3832">
        <w:rPr>
          <w:b/>
          <w:bCs/>
          <w:szCs w:val="22"/>
        </w:rPr>
        <w:t>Table 1.</w:t>
      </w:r>
      <w:r w:rsidRPr="00BD3832">
        <w:rPr>
          <w:bCs/>
          <w:szCs w:val="22"/>
        </w:rPr>
        <w:t xml:space="preserve"> Socio-demographic characteristics of the participants by their tobacco- use at the HH-level (n=400)</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160"/>
        <w:gridCol w:w="1800"/>
        <w:gridCol w:w="2070"/>
        <w:gridCol w:w="1350"/>
        <w:gridCol w:w="9"/>
        <w:gridCol w:w="1971"/>
      </w:tblGrid>
      <w:tr w:rsidR="007D2D75" w:rsidRPr="00BD3832" w14:paraId="78EB65F4" w14:textId="77777777" w:rsidTr="00524A8F">
        <w:trPr>
          <w:trHeight w:val="300"/>
        </w:trPr>
        <w:tc>
          <w:tcPr>
            <w:tcW w:w="2160" w:type="dxa"/>
            <w:vMerge w:val="restart"/>
            <w:shd w:val="clear" w:color="auto" w:fill="FFFFFF" w:themeFill="background1"/>
            <w:noWrap/>
            <w:vAlign w:val="center"/>
            <w:hideMark/>
          </w:tcPr>
          <w:p w14:paraId="7323E036" w14:textId="77777777" w:rsidR="007D2D75" w:rsidRPr="00BD3832" w:rsidRDefault="007D2D75" w:rsidP="00524A8F">
            <w:pPr>
              <w:jc w:val="center"/>
              <w:rPr>
                <w:sz w:val="20"/>
                <w:szCs w:val="20"/>
              </w:rPr>
            </w:pPr>
          </w:p>
          <w:p w14:paraId="425D6889" w14:textId="77777777" w:rsidR="007D2D75" w:rsidRPr="00BD3832" w:rsidRDefault="007D2D75" w:rsidP="00524A8F">
            <w:pPr>
              <w:jc w:val="center"/>
              <w:rPr>
                <w:sz w:val="20"/>
                <w:szCs w:val="20"/>
              </w:rPr>
            </w:pPr>
          </w:p>
          <w:p w14:paraId="14801F6C" w14:textId="77777777" w:rsidR="007D2D75" w:rsidRPr="00BD3832" w:rsidRDefault="007D2D75" w:rsidP="00524A8F">
            <w:pPr>
              <w:jc w:val="center"/>
              <w:rPr>
                <w:sz w:val="20"/>
                <w:szCs w:val="20"/>
              </w:rPr>
            </w:pPr>
            <w:r w:rsidRPr="00BD3832">
              <w:rPr>
                <w:sz w:val="20"/>
                <w:szCs w:val="20"/>
              </w:rPr>
              <w:t>Socio-demographic characteristics</w:t>
            </w:r>
          </w:p>
          <w:p w14:paraId="124228EF" w14:textId="77777777" w:rsidR="007D2D75" w:rsidRPr="00BD3832" w:rsidRDefault="007D2D75" w:rsidP="00524A8F">
            <w:pPr>
              <w:jc w:val="center"/>
              <w:rPr>
                <w:sz w:val="20"/>
                <w:szCs w:val="20"/>
              </w:rPr>
            </w:pPr>
          </w:p>
        </w:tc>
        <w:tc>
          <w:tcPr>
            <w:tcW w:w="3870" w:type="dxa"/>
            <w:gridSpan w:val="2"/>
            <w:shd w:val="clear" w:color="auto" w:fill="FFFFFF" w:themeFill="background1"/>
            <w:hideMark/>
          </w:tcPr>
          <w:p w14:paraId="0F29233B" w14:textId="77777777" w:rsidR="007D2D75" w:rsidRPr="00BD3832" w:rsidRDefault="007D2D75" w:rsidP="00524A8F">
            <w:pPr>
              <w:jc w:val="center"/>
              <w:rPr>
                <w:sz w:val="20"/>
                <w:szCs w:val="20"/>
              </w:rPr>
            </w:pPr>
            <w:r w:rsidRPr="00BD3832">
              <w:rPr>
                <w:sz w:val="20"/>
                <w:szCs w:val="20"/>
              </w:rPr>
              <w:t xml:space="preserve">Place of Tobacco use </w:t>
            </w:r>
          </w:p>
          <w:p w14:paraId="38395012" w14:textId="77777777" w:rsidR="007D2D75" w:rsidRPr="00BD3832" w:rsidRDefault="007D2D75" w:rsidP="00524A8F">
            <w:pPr>
              <w:jc w:val="center"/>
              <w:rPr>
                <w:sz w:val="20"/>
                <w:szCs w:val="20"/>
              </w:rPr>
            </w:pPr>
          </w:p>
        </w:tc>
        <w:tc>
          <w:tcPr>
            <w:tcW w:w="1350" w:type="dxa"/>
            <w:vMerge w:val="restart"/>
            <w:shd w:val="clear" w:color="auto" w:fill="FFFFFF" w:themeFill="background1"/>
            <w:vAlign w:val="center"/>
          </w:tcPr>
          <w:p w14:paraId="09C1A0E1" w14:textId="77777777" w:rsidR="007D2D75" w:rsidRPr="00BD3832" w:rsidRDefault="007D2D75" w:rsidP="00524A8F">
            <w:pPr>
              <w:jc w:val="center"/>
              <w:rPr>
                <w:i/>
                <w:sz w:val="20"/>
                <w:szCs w:val="20"/>
              </w:rPr>
            </w:pPr>
          </w:p>
          <w:p w14:paraId="64457F26" w14:textId="77777777" w:rsidR="007D2D75" w:rsidRPr="00BD3832" w:rsidRDefault="007D2D75" w:rsidP="00524A8F">
            <w:pPr>
              <w:jc w:val="center"/>
              <w:rPr>
                <w:i/>
                <w:sz w:val="20"/>
                <w:szCs w:val="20"/>
              </w:rPr>
            </w:pPr>
          </w:p>
          <w:p w14:paraId="592BC379" w14:textId="77777777" w:rsidR="007D2D75" w:rsidRPr="00BD3832" w:rsidRDefault="007D2D75" w:rsidP="00524A8F">
            <w:pPr>
              <w:jc w:val="center"/>
              <w:rPr>
                <w:i/>
                <w:sz w:val="20"/>
                <w:szCs w:val="20"/>
              </w:rPr>
            </w:pPr>
          </w:p>
          <w:p w14:paraId="7EF6DDA8" w14:textId="77777777" w:rsidR="007D2D75" w:rsidRPr="00BD3832" w:rsidRDefault="007D2D75" w:rsidP="00524A8F">
            <w:pPr>
              <w:jc w:val="center"/>
              <w:rPr>
                <w:i/>
                <w:sz w:val="20"/>
                <w:szCs w:val="20"/>
                <w:vertAlign w:val="superscript"/>
              </w:rPr>
            </w:pPr>
            <w:r w:rsidRPr="00BD3832">
              <w:rPr>
                <w:i/>
                <w:sz w:val="20"/>
                <w:szCs w:val="20"/>
              </w:rPr>
              <w:t>χ</w:t>
            </w:r>
            <w:r w:rsidRPr="00BD3832">
              <w:rPr>
                <w:i/>
                <w:sz w:val="20"/>
                <w:szCs w:val="20"/>
                <w:vertAlign w:val="superscript"/>
              </w:rPr>
              <w:t>2</w:t>
            </w:r>
          </w:p>
          <w:p w14:paraId="5FA27B07" w14:textId="77777777" w:rsidR="007D2D75" w:rsidRPr="00BD3832" w:rsidRDefault="007D2D75" w:rsidP="00524A8F">
            <w:pPr>
              <w:jc w:val="center"/>
              <w:rPr>
                <w:i/>
                <w:sz w:val="20"/>
                <w:szCs w:val="20"/>
                <w:vertAlign w:val="superscript"/>
              </w:rPr>
            </w:pPr>
          </w:p>
          <w:p w14:paraId="7756A544" w14:textId="77777777" w:rsidR="007D2D75" w:rsidRPr="00BD3832" w:rsidRDefault="007D2D75" w:rsidP="00524A8F">
            <w:pPr>
              <w:rPr>
                <w:sz w:val="20"/>
                <w:szCs w:val="20"/>
              </w:rPr>
            </w:pPr>
          </w:p>
        </w:tc>
        <w:tc>
          <w:tcPr>
            <w:tcW w:w="1980" w:type="dxa"/>
            <w:gridSpan w:val="2"/>
            <w:vMerge w:val="restart"/>
            <w:shd w:val="clear" w:color="auto" w:fill="FFFFFF" w:themeFill="background1"/>
            <w:vAlign w:val="center"/>
          </w:tcPr>
          <w:p w14:paraId="520F06DB" w14:textId="77777777" w:rsidR="007D2D75" w:rsidRPr="00BD3832" w:rsidRDefault="007D2D75" w:rsidP="00524A8F">
            <w:pPr>
              <w:jc w:val="center"/>
              <w:rPr>
                <w:sz w:val="20"/>
                <w:szCs w:val="20"/>
              </w:rPr>
            </w:pPr>
          </w:p>
          <w:p w14:paraId="2586E1CB" w14:textId="77777777" w:rsidR="007D2D75" w:rsidRPr="00BD3832" w:rsidRDefault="007D2D75" w:rsidP="00524A8F">
            <w:pPr>
              <w:jc w:val="center"/>
              <w:rPr>
                <w:sz w:val="20"/>
                <w:szCs w:val="20"/>
              </w:rPr>
            </w:pPr>
          </w:p>
          <w:p w14:paraId="4290E13E" w14:textId="77777777" w:rsidR="007D2D75" w:rsidRPr="00BD3832" w:rsidRDefault="007D2D75" w:rsidP="00524A8F">
            <w:pPr>
              <w:jc w:val="center"/>
              <w:rPr>
                <w:sz w:val="20"/>
                <w:szCs w:val="20"/>
              </w:rPr>
            </w:pPr>
          </w:p>
          <w:p w14:paraId="4B1DDFB7" w14:textId="77777777" w:rsidR="007D2D75" w:rsidRPr="00BD3832" w:rsidRDefault="007D2D75" w:rsidP="00524A8F">
            <w:pPr>
              <w:jc w:val="center"/>
              <w:rPr>
                <w:i/>
                <w:sz w:val="20"/>
                <w:szCs w:val="20"/>
              </w:rPr>
            </w:pPr>
            <w:r w:rsidRPr="00BD3832">
              <w:rPr>
                <w:i/>
                <w:sz w:val="20"/>
                <w:szCs w:val="20"/>
              </w:rPr>
              <w:t>P value</w:t>
            </w:r>
          </w:p>
          <w:p w14:paraId="541C414D" w14:textId="77777777" w:rsidR="007D2D75" w:rsidRPr="00BD3832" w:rsidRDefault="007D2D75" w:rsidP="00524A8F">
            <w:pPr>
              <w:jc w:val="center"/>
              <w:rPr>
                <w:i/>
                <w:sz w:val="20"/>
                <w:szCs w:val="20"/>
              </w:rPr>
            </w:pPr>
          </w:p>
          <w:p w14:paraId="5B020E4C" w14:textId="77777777" w:rsidR="007D2D75" w:rsidRPr="00BD3832" w:rsidRDefault="007D2D75" w:rsidP="00524A8F">
            <w:pPr>
              <w:jc w:val="center"/>
              <w:rPr>
                <w:i/>
                <w:sz w:val="20"/>
                <w:szCs w:val="20"/>
              </w:rPr>
            </w:pPr>
          </w:p>
        </w:tc>
      </w:tr>
      <w:tr w:rsidR="007D2D75" w:rsidRPr="00BD3832" w14:paraId="47B2E166" w14:textId="77777777" w:rsidTr="00524A8F">
        <w:trPr>
          <w:trHeight w:val="760"/>
        </w:trPr>
        <w:tc>
          <w:tcPr>
            <w:tcW w:w="2160" w:type="dxa"/>
            <w:vMerge/>
            <w:shd w:val="clear" w:color="auto" w:fill="FFFFFF" w:themeFill="background1"/>
            <w:vAlign w:val="center"/>
            <w:hideMark/>
          </w:tcPr>
          <w:p w14:paraId="79B33481" w14:textId="77777777" w:rsidR="007D2D75" w:rsidRPr="00BD3832" w:rsidRDefault="007D2D75" w:rsidP="00524A8F">
            <w:pPr>
              <w:rPr>
                <w:sz w:val="20"/>
                <w:szCs w:val="20"/>
              </w:rPr>
            </w:pPr>
          </w:p>
        </w:tc>
        <w:tc>
          <w:tcPr>
            <w:tcW w:w="1800" w:type="dxa"/>
            <w:shd w:val="clear" w:color="auto" w:fill="FFFFFF" w:themeFill="background1"/>
            <w:vAlign w:val="center"/>
            <w:hideMark/>
          </w:tcPr>
          <w:p w14:paraId="6AF2243C" w14:textId="77777777" w:rsidR="007D2D75" w:rsidRPr="00BD3832" w:rsidRDefault="007D2D75" w:rsidP="00524A8F">
            <w:pPr>
              <w:rPr>
                <w:sz w:val="20"/>
                <w:szCs w:val="20"/>
              </w:rPr>
            </w:pPr>
            <w:r w:rsidRPr="00BD3832">
              <w:rPr>
                <w:sz w:val="20"/>
                <w:szCs w:val="20"/>
              </w:rPr>
              <w:t>At household level</w:t>
            </w:r>
          </w:p>
          <w:p w14:paraId="6664F6E0" w14:textId="77777777" w:rsidR="007D2D75" w:rsidRPr="00BD3832" w:rsidRDefault="007D2D75" w:rsidP="00524A8F">
            <w:pPr>
              <w:jc w:val="center"/>
              <w:rPr>
                <w:sz w:val="20"/>
                <w:szCs w:val="20"/>
              </w:rPr>
            </w:pPr>
            <w:r w:rsidRPr="00BD3832">
              <w:rPr>
                <w:sz w:val="20"/>
                <w:szCs w:val="20"/>
              </w:rPr>
              <w:t>f (%)</w:t>
            </w:r>
          </w:p>
          <w:p w14:paraId="4A5FCA90" w14:textId="77777777" w:rsidR="007D2D75" w:rsidRPr="00BD3832" w:rsidRDefault="007D2D75" w:rsidP="00524A8F">
            <w:pPr>
              <w:jc w:val="center"/>
              <w:rPr>
                <w:sz w:val="20"/>
                <w:szCs w:val="20"/>
              </w:rPr>
            </w:pPr>
          </w:p>
          <w:p w14:paraId="57EAD253" w14:textId="77777777" w:rsidR="007D2D75" w:rsidRPr="00BD3832" w:rsidRDefault="007D2D75" w:rsidP="00524A8F">
            <w:pPr>
              <w:rPr>
                <w:sz w:val="20"/>
                <w:szCs w:val="20"/>
              </w:rPr>
            </w:pPr>
          </w:p>
        </w:tc>
        <w:tc>
          <w:tcPr>
            <w:tcW w:w="2070" w:type="dxa"/>
            <w:shd w:val="clear" w:color="auto" w:fill="FFFFFF" w:themeFill="background1"/>
            <w:hideMark/>
          </w:tcPr>
          <w:p w14:paraId="66939616" w14:textId="77777777" w:rsidR="007D2D75" w:rsidRPr="00BD3832" w:rsidRDefault="007D2D75" w:rsidP="00524A8F">
            <w:pPr>
              <w:rPr>
                <w:sz w:val="20"/>
                <w:szCs w:val="20"/>
              </w:rPr>
            </w:pPr>
            <w:r w:rsidRPr="00BD3832">
              <w:rPr>
                <w:sz w:val="20"/>
                <w:szCs w:val="20"/>
              </w:rPr>
              <w:t>Outside household</w:t>
            </w:r>
          </w:p>
          <w:p w14:paraId="46F1C553" w14:textId="77777777" w:rsidR="007D2D75" w:rsidRPr="00BD3832" w:rsidRDefault="007D2D75" w:rsidP="00524A8F">
            <w:pPr>
              <w:jc w:val="center"/>
              <w:rPr>
                <w:sz w:val="20"/>
                <w:szCs w:val="20"/>
              </w:rPr>
            </w:pPr>
            <w:r w:rsidRPr="00BD3832">
              <w:rPr>
                <w:sz w:val="20"/>
                <w:szCs w:val="20"/>
              </w:rPr>
              <w:t>f (%)</w:t>
            </w:r>
          </w:p>
        </w:tc>
        <w:tc>
          <w:tcPr>
            <w:tcW w:w="1350" w:type="dxa"/>
            <w:vMerge/>
            <w:shd w:val="clear" w:color="auto" w:fill="FFFFFF" w:themeFill="background1"/>
            <w:vAlign w:val="center"/>
          </w:tcPr>
          <w:p w14:paraId="442BDA3E" w14:textId="77777777" w:rsidR="007D2D75" w:rsidRPr="00BD3832" w:rsidRDefault="007D2D75" w:rsidP="00524A8F">
            <w:pPr>
              <w:rPr>
                <w:sz w:val="20"/>
                <w:szCs w:val="20"/>
              </w:rPr>
            </w:pPr>
          </w:p>
        </w:tc>
        <w:tc>
          <w:tcPr>
            <w:tcW w:w="1980" w:type="dxa"/>
            <w:gridSpan w:val="2"/>
            <w:vMerge/>
            <w:shd w:val="clear" w:color="auto" w:fill="FFFFFF" w:themeFill="background1"/>
            <w:vAlign w:val="center"/>
          </w:tcPr>
          <w:p w14:paraId="6160553D" w14:textId="77777777" w:rsidR="007D2D75" w:rsidRPr="00BD3832" w:rsidRDefault="007D2D75" w:rsidP="00524A8F">
            <w:pPr>
              <w:rPr>
                <w:sz w:val="20"/>
                <w:szCs w:val="20"/>
              </w:rPr>
            </w:pPr>
          </w:p>
        </w:tc>
      </w:tr>
      <w:tr w:rsidR="007D2D75" w:rsidRPr="00BD3832" w14:paraId="59B5E060" w14:textId="77777777" w:rsidTr="00524A8F">
        <w:trPr>
          <w:trHeight w:val="395"/>
        </w:trPr>
        <w:tc>
          <w:tcPr>
            <w:tcW w:w="9360" w:type="dxa"/>
            <w:gridSpan w:val="6"/>
            <w:shd w:val="clear" w:color="auto" w:fill="FFFFFF" w:themeFill="background1"/>
            <w:vAlign w:val="center"/>
            <w:hideMark/>
          </w:tcPr>
          <w:p w14:paraId="347DD089" w14:textId="77777777" w:rsidR="007D2D75" w:rsidRPr="00BD3832" w:rsidRDefault="007D2D75" w:rsidP="00524A8F">
            <w:pPr>
              <w:rPr>
                <w:b/>
                <w:sz w:val="20"/>
                <w:szCs w:val="20"/>
              </w:rPr>
            </w:pPr>
            <w:r w:rsidRPr="00BD3832">
              <w:rPr>
                <w:b/>
                <w:sz w:val="20"/>
                <w:szCs w:val="20"/>
              </w:rPr>
              <w:t>Overall</w:t>
            </w:r>
          </w:p>
        </w:tc>
      </w:tr>
      <w:tr w:rsidR="007D2D75" w:rsidRPr="00BD3832" w14:paraId="044DBCF5" w14:textId="77777777" w:rsidTr="00524A8F">
        <w:trPr>
          <w:trHeight w:val="359"/>
        </w:trPr>
        <w:tc>
          <w:tcPr>
            <w:tcW w:w="2160" w:type="dxa"/>
            <w:shd w:val="clear" w:color="auto" w:fill="FFFFFF" w:themeFill="background1"/>
            <w:vAlign w:val="center"/>
            <w:hideMark/>
          </w:tcPr>
          <w:p w14:paraId="316D9D17" w14:textId="77777777" w:rsidR="007D2D75" w:rsidRPr="00BD3832" w:rsidRDefault="007D2D75" w:rsidP="00524A8F">
            <w:pPr>
              <w:rPr>
                <w:sz w:val="20"/>
                <w:szCs w:val="20"/>
              </w:rPr>
            </w:pPr>
            <w:r w:rsidRPr="00BD3832">
              <w:rPr>
                <w:sz w:val="20"/>
                <w:szCs w:val="20"/>
              </w:rPr>
              <w:t xml:space="preserve">Tobacco-use by participants (yes) </w:t>
            </w:r>
          </w:p>
        </w:tc>
        <w:tc>
          <w:tcPr>
            <w:tcW w:w="1800" w:type="dxa"/>
            <w:shd w:val="clear" w:color="auto" w:fill="FFFFFF" w:themeFill="background1"/>
            <w:vAlign w:val="center"/>
            <w:hideMark/>
          </w:tcPr>
          <w:p w14:paraId="55304981" w14:textId="77777777" w:rsidR="007D2D75" w:rsidRPr="00BD3832" w:rsidRDefault="007D2D75" w:rsidP="00524A8F">
            <w:pPr>
              <w:jc w:val="center"/>
              <w:rPr>
                <w:sz w:val="20"/>
                <w:szCs w:val="20"/>
              </w:rPr>
            </w:pPr>
            <w:r w:rsidRPr="00BD3832">
              <w:rPr>
                <w:sz w:val="20"/>
                <w:szCs w:val="20"/>
              </w:rPr>
              <w:t>71 (17.7)</w:t>
            </w:r>
          </w:p>
        </w:tc>
        <w:tc>
          <w:tcPr>
            <w:tcW w:w="2070" w:type="dxa"/>
            <w:shd w:val="clear" w:color="auto" w:fill="FFFFFF" w:themeFill="background1"/>
            <w:vAlign w:val="center"/>
            <w:hideMark/>
          </w:tcPr>
          <w:p w14:paraId="3880C503" w14:textId="77777777" w:rsidR="007D2D75" w:rsidRPr="00BD3832" w:rsidRDefault="007D2D75" w:rsidP="00524A8F">
            <w:pPr>
              <w:jc w:val="center"/>
              <w:rPr>
                <w:sz w:val="20"/>
                <w:szCs w:val="20"/>
              </w:rPr>
            </w:pPr>
            <w:r w:rsidRPr="00BD3832">
              <w:rPr>
                <w:sz w:val="20"/>
                <w:szCs w:val="20"/>
              </w:rPr>
              <w:t>329 (82.3)</w:t>
            </w:r>
          </w:p>
        </w:tc>
        <w:tc>
          <w:tcPr>
            <w:tcW w:w="1350" w:type="dxa"/>
            <w:shd w:val="clear" w:color="auto" w:fill="FFFFFF" w:themeFill="background1"/>
            <w:vAlign w:val="center"/>
          </w:tcPr>
          <w:p w14:paraId="3F12D430" w14:textId="77777777" w:rsidR="007D2D75" w:rsidRPr="00BD3832" w:rsidRDefault="007D2D75" w:rsidP="00524A8F">
            <w:pPr>
              <w:jc w:val="center"/>
              <w:rPr>
                <w:sz w:val="20"/>
                <w:szCs w:val="20"/>
              </w:rPr>
            </w:pPr>
            <w:r w:rsidRPr="00BD3832">
              <w:rPr>
                <w:sz w:val="20"/>
                <w:szCs w:val="20"/>
              </w:rPr>
              <w:t>-</w:t>
            </w:r>
          </w:p>
        </w:tc>
        <w:tc>
          <w:tcPr>
            <w:tcW w:w="1980" w:type="dxa"/>
            <w:gridSpan w:val="2"/>
            <w:shd w:val="clear" w:color="auto" w:fill="FFFFFF" w:themeFill="background1"/>
            <w:vAlign w:val="center"/>
          </w:tcPr>
          <w:p w14:paraId="506315F2" w14:textId="77777777" w:rsidR="007D2D75" w:rsidRPr="00BD3832" w:rsidRDefault="007D2D75" w:rsidP="00524A8F">
            <w:pPr>
              <w:jc w:val="center"/>
              <w:rPr>
                <w:sz w:val="20"/>
                <w:szCs w:val="20"/>
              </w:rPr>
            </w:pPr>
            <w:r w:rsidRPr="00BD3832">
              <w:rPr>
                <w:sz w:val="20"/>
                <w:szCs w:val="20"/>
              </w:rPr>
              <w:t>-</w:t>
            </w:r>
          </w:p>
        </w:tc>
      </w:tr>
      <w:tr w:rsidR="007D2D75" w:rsidRPr="00BD3832" w14:paraId="1EBA7563" w14:textId="77777777" w:rsidTr="00524A8F">
        <w:trPr>
          <w:trHeight w:val="413"/>
        </w:trPr>
        <w:tc>
          <w:tcPr>
            <w:tcW w:w="2160" w:type="dxa"/>
            <w:shd w:val="clear" w:color="auto" w:fill="FFFFFF" w:themeFill="background1"/>
            <w:vAlign w:val="center"/>
            <w:hideMark/>
          </w:tcPr>
          <w:p w14:paraId="3556C6E4" w14:textId="77777777" w:rsidR="007D2D75" w:rsidRPr="00BD3832" w:rsidRDefault="007D2D75" w:rsidP="00524A8F">
            <w:pPr>
              <w:rPr>
                <w:sz w:val="20"/>
                <w:szCs w:val="20"/>
              </w:rPr>
            </w:pPr>
            <w:r w:rsidRPr="00BD3832">
              <w:rPr>
                <w:sz w:val="20"/>
                <w:szCs w:val="20"/>
              </w:rPr>
              <w:t>Tobacco-use by other family members (yes)</w:t>
            </w:r>
          </w:p>
        </w:tc>
        <w:tc>
          <w:tcPr>
            <w:tcW w:w="1800" w:type="dxa"/>
            <w:shd w:val="clear" w:color="auto" w:fill="FFFFFF" w:themeFill="background1"/>
            <w:vAlign w:val="center"/>
            <w:hideMark/>
          </w:tcPr>
          <w:p w14:paraId="5D18E208" w14:textId="77777777" w:rsidR="007D2D75" w:rsidRPr="00BD3832" w:rsidRDefault="007D2D75" w:rsidP="00524A8F">
            <w:pPr>
              <w:jc w:val="center"/>
              <w:rPr>
                <w:sz w:val="20"/>
                <w:szCs w:val="20"/>
              </w:rPr>
            </w:pPr>
            <w:r w:rsidRPr="00BD3832">
              <w:rPr>
                <w:sz w:val="20"/>
                <w:szCs w:val="20"/>
              </w:rPr>
              <w:t xml:space="preserve">32 (8.0) </w:t>
            </w:r>
          </w:p>
        </w:tc>
        <w:tc>
          <w:tcPr>
            <w:tcW w:w="2070" w:type="dxa"/>
            <w:shd w:val="clear" w:color="auto" w:fill="FFFFFF" w:themeFill="background1"/>
            <w:vAlign w:val="center"/>
            <w:hideMark/>
          </w:tcPr>
          <w:p w14:paraId="1EA43881" w14:textId="77777777" w:rsidR="007D2D75" w:rsidRPr="00BD3832" w:rsidRDefault="007D2D75" w:rsidP="00524A8F">
            <w:pPr>
              <w:jc w:val="center"/>
              <w:rPr>
                <w:sz w:val="20"/>
                <w:szCs w:val="20"/>
              </w:rPr>
            </w:pPr>
            <w:r w:rsidRPr="00BD3832">
              <w:rPr>
                <w:sz w:val="20"/>
                <w:szCs w:val="20"/>
              </w:rPr>
              <w:t xml:space="preserve">368 (92.0) </w:t>
            </w:r>
          </w:p>
        </w:tc>
        <w:tc>
          <w:tcPr>
            <w:tcW w:w="1350" w:type="dxa"/>
            <w:shd w:val="clear" w:color="auto" w:fill="FFFFFF" w:themeFill="background1"/>
            <w:vAlign w:val="center"/>
          </w:tcPr>
          <w:p w14:paraId="1D188069" w14:textId="77777777" w:rsidR="007D2D75" w:rsidRPr="00BD3832" w:rsidRDefault="007D2D75" w:rsidP="00524A8F">
            <w:pPr>
              <w:jc w:val="center"/>
              <w:rPr>
                <w:sz w:val="20"/>
                <w:szCs w:val="20"/>
              </w:rPr>
            </w:pPr>
            <w:r w:rsidRPr="00BD3832">
              <w:rPr>
                <w:sz w:val="20"/>
                <w:szCs w:val="20"/>
              </w:rPr>
              <w:t>-</w:t>
            </w:r>
          </w:p>
        </w:tc>
        <w:tc>
          <w:tcPr>
            <w:tcW w:w="1980" w:type="dxa"/>
            <w:gridSpan w:val="2"/>
            <w:shd w:val="clear" w:color="auto" w:fill="FFFFFF" w:themeFill="background1"/>
            <w:vAlign w:val="center"/>
          </w:tcPr>
          <w:p w14:paraId="500303ED" w14:textId="77777777" w:rsidR="007D2D75" w:rsidRPr="00BD3832" w:rsidRDefault="007D2D75" w:rsidP="00524A8F">
            <w:pPr>
              <w:jc w:val="center"/>
              <w:rPr>
                <w:sz w:val="20"/>
                <w:szCs w:val="20"/>
              </w:rPr>
            </w:pPr>
            <w:r w:rsidRPr="00BD3832">
              <w:rPr>
                <w:sz w:val="20"/>
                <w:szCs w:val="20"/>
              </w:rPr>
              <w:t>-</w:t>
            </w:r>
          </w:p>
        </w:tc>
      </w:tr>
      <w:tr w:rsidR="007D2D75" w:rsidRPr="00BD3832" w14:paraId="50C6E594" w14:textId="77777777" w:rsidTr="00524A8F">
        <w:trPr>
          <w:trHeight w:val="413"/>
        </w:trPr>
        <w:tc>
          <w:tcPr>
            <w:tcW w:w="2160" w:type="dxa"/>
            <w:shd w:val="clear" w:color="auto" w:fill="FFFFFF" w:themeFill="background1"/>
            <w:vAlign w:val="center"/>
          </w:tcPr>
          <w:p w14:paraId="72362C15" w14:textId="77777777" w:rsidR="007D2D75" w:rsidRPr="00BD3832" w:rsidRDefault="007D2D75" w:rsidP="00524A8F">
            <w:pPr>
              <w:rPr>
                <w:b/>
                <w:sz w:val="20"/>
                <w:szCs w:val="20"/>
              </w:rPr>
            </w:pPr>
            <w:r w:rsidRPr="00BD3832">
              <w:rPr>
                <w:b/>
                <w:sz w:val="20"/>
                <w:szCs w:val="20"/>
              </w:rPr>
              <w:t>Summery</w:t>
            </w:r>
          </w:p>
        </w:tc>
        <w:tc>
          <w:tcPr>
            <w:tcW w:w="7200" w:type="dxa"/>
            <w:gridSpan w:val="5"/>
            <w:shd w:val="clear" w:color="auto" w:fill="FFFFFF" w:themeFill="background1"/>
            <w:vAlign w:val="center"/>
          </w:tcPr>
          <w:p w14:paraId="234608A8" w14:textId="77777777" w:rsidR="007D2D75" w:rsidRPr="00BD3832" w:rsidRDefault="007D2D75" w:rsidP="00524A8F">
            <w:pPr>
              <w:rPr>
                <w:sz w:val="20"/>
                <w:szCs w:val="20"/>
              </w:rPr>
            </w:pPr>
            <w:r w:rsidRPr="00BD3832">
              <w:rPr>
                <w:sz w:val="20"/>
                <w:szCs w:val="20"/>
              </w:rPr>
              <w:t>Total tobacco use at HHs level 103 (25.7%);  tobacco use outside HHs  297 (74.3%)</w:t>
            </w:r>
          </w:p>
        </w:tc>
      </w:tr>
      <w:tr w:rsidR="007D2D75" w:rsidRPr="00BD3832" w14:paraId="49A67285" w14:textId="77777777" w:rsidTr="00524A8F">
        <w:trPr>
          <w:trHeight w:val="314"/>
        </w:trPr>
        <w:tc>
          <w:tcPr>
            <w:tcW w:w="9360" w:type="dxa"/>
            <w:gridSpan w:val="6"/>
            <w:shd w:val="clear" w:color="auto" w:fill="FFFFFF" w:themeFill="background1"/>
            <w:vAlign w:val="center"/>
            <w:hideMark/>
          </w:tcPr>
          <w:p w14:paraId="796242B7" w14:textId="77777777" w:rsidR="007D2D75" w:rsidRPr="00BD3832" w:rsidRDefault="007D2D75" w:rsidP="00524A8F">
            <w:pPr>
              <w:rPr>
                <w:b/>
                <w:sz w:val="20"/>
                <w:szCs w:val="20"/>
              </w:rPr>
            </w:pPr>
            <w:r w:rsidRPr="00BD3832">
              <w:rPr>
                <w:b/>
                <w:sz w:val="20"/>
                <w:szCs w:val="20"/>
              </w:rPr>
              <w:t>Age</w:t>
            </w:r>
          </w:p>
        </w:tc>
      </w:tr>
      <w:tr w:rsidR="007D2D75" w:rsidRPr="00BD3832" w14:paraId="1CA11AA6" w14:textId="77777777" w:rsidTr="00524A8F">
        <w:trPr>
          <w:trHeight w:val="350"/>
        </w:trPr>
        <w:tc>
          <w:tcPr>
            <w:tcW w:w="2160" w:type="dxa"/>
            <w:shd w:val="clear" w:color="auto" w:fill="FFFFFF" w:themeFill="background1"/>
            <w:vAlign w:val="center"/>
            <w:hideMark/>
          </w:tcPr>
          <w:p w14:paraId="118444E4" w14:textId="77777777" w:rsidR="007D2D75" w:rsidRPr="00BD3832" w:rsidRDefault="007D2D75" w:rsidP="00524A8F">
            <w:pPr>
              <w:rPr>
                <w:sz w:val="20"/>
                <w:szCs w:val="20"/>
              </w:rPr>
            </w:pPr>
            <w:r w:rsidRPr="00BD3832">
              <w:rPr>
                <w:sz w:val="20"/>
                <w:szCs w:val="20"/>
              </w:rPr>
              <w:t>&lt; 30 Years</w:t>
            </w:r>
          </w:p>
        </w:tc>
        <w:tc>
          <w:tcPr>
            <w:tcW w:w="1800" w:type="dxa"/>
            <w:shd w:val="clear" w:color="auto" w:fill="FFFFFF" w:themeFill="background1"/>
            <w:vAlign w:val="center"/>
            <w:hideMark/>
          </w:tcPr>
          <w:p w14:paraId="1A5399E0" w14:textId="77777777" w:rsidR="007D2D75" w:rsidRPr="00BD3832" w:rsidRDefault="007D2D75" w:rsidP="00524A8F">
            <w:pPr>
              <w:jc w:val="center"/>
              <w:rPr>
                <w:sz w:val="20"/>
                <w:szCs w:val="20"/>
              </w:rPr>
            </w:pPr>
            <w:r w:rsidRPr="00BD3832">
              <w:rPr>
                <w:sz w:val="20"/>
                <w:szCs w:val="20"/>
              </w:rPr>
              <w:t>28 (10.7)</w:t>
            </w:r>
          </w:p>
        </w:tc>
        <w:tc>
          <w:tcPr>
            <w:tcW w:w="2070" w:type="dxa"/>
            <w:shd w:val="clear" w:color="auto" w:fill="FFFFFF" w:themeFill="background1"/>
            <w:vAlign w:val="center"/>
            <w:hideMark/>
          </w:tcPr>
          <w:p w14:paraId="1442DEF3" w14:textId="77777777" w:rsidR="007D2D75" w:rsidRPr="00BD3832" w:rsidRDefault="007D2D75" w:rsidP="00524A8F">
            <w:pPr>
              <w:jc w:val="center"/>
              <w:rPr>
                <w:sz w:val="20"/>
                <w:szCs w:val="20"/>
              </w:rPr>
            </w:pPr>
            <w:r w:rsidRPr="00BD3832">
              <w:rPr>
                <w:sz w:val="20"/>
                <w:szCs w:val="20"/>
              </w:rPr>
              <w:t>234 (89.3)</w:t>
            </w:r>
          </w:p>
        </w:tc>
        <w:tc>
          <w:tcPr>
            <w:tcW w:w="1350" w:type="dxa"/>
            <w:vMerge w:val="restart"/>
            <w:shd w:val="clear" w:color="auto" w:fill="FFFFFF" w:themeFill="background1"/>
            <w:vAlign w:val="center"/>
          </w:tcPr>
          <w:p w14:paraId="646FC912" w14:textId="77777777" w:rsidR="007D2D75" w:rsidRPr="00BD3832" w:rsidRDefault="007D2D75" w:rsidP="00524A8F">
            <w:pPr>
              <w:jc w:val="center"/>
              <w:rPr>
                <w:sz w:val="20"/>
                <w:szCs w:val="20"/>
              </w:rPr>
            </w:pPr>
            <w:r w:rsidRPr="00BD3832">
              <w:rPr>
                <w:sz w:val="20"/>
                <w:szCs w:val="20"/>
              </w:rPr>
              <w:t>25.94</w:t>
            </w:r>
          </w:p>
        </w:tc>
        <w:tc>
          <w:tcPr>
            <w:tcW w:w="1980" w:type="dxa"/>
            <w:gridSpan w:val="2"/>
            <w:vMerge w:val="restart"/>
            <w:shd w:val="clear" w:color="auto" w:fill="FFFFFF" w:themeFill="background1"/>
            <w:vAlign w:val="center"/>
          </w:tcPr>
          <w:p w14:paraId="2F81AB9B" w14:textId="77777777" w:rsidR="007D2D75" w:rsidRPr="00BD3832" w:rsidRDefault="007D2D75" w:rsidP="00524A8F">
            <w:pPr>
              <w:jc w:val="center"/>
              <w:rPr>
                <w:sz w:val="20"/>
                <w:szCs w:val="20"/>
              </w:rPr>
            </w:pPr>
            <w:r w:rsidRPr="00BD3832">
              <w:rPr>
                <w:sz w:val="20"/>
                <w:szCs w:val="20"/>
              </w:rPr>
              <w:t>&lt;0.001</w:t>
            </w:r>
          </w:p>
        </w:tc>
      </w:tr>
      <w:tr w:rsidR="007D2D75" w:rsidRPr="00BD3832" w14:paraId="1AF514EF" w14:textId="77777777" w:rsidTr="00524A8F">
        <w:trPr>
          <w:trHeight w:val="224"/>
        </w:trPr>
        <w:tc>
          <w:tcPr>
            <w:tcW w:w="2160" w:type="dxa"/>
            <w:shd w:val="clear" w:color="auto" w:fill="FFFFFF" w:themeFill="background1"/>
            <w:vAlign w:val="center"/>
            <w:hideMark/>
          </w:tcPr>
          <w:p w14:paraId="6B8814C4" w14:textId="77777777" w:rsidR="007D2D75" w:rsidRPr="00BD3832" w:rsidRDefault="007D2D75" w:rsidP="00524A8F">
            <w:pPr>
              <w:rPr>
                <w:sz w:val="20"/>
                <w:szCs w:val="20"/>
              </w:rPr>
            </w:pPr>
            <w:r w:rsidRPr="00BD3832">
              <w:rPr>
                <w:sz w:val="20"/>
                <w:szCs w:val="20"/>
              </w:rPr>
              <w:t>&gt;30  Years</w:t>
            </w:r>
          </w:p>
        </w:tc>
        <w:tc>
          <w:tcPr>
            <w:tcW w:w="1800" w:type="dxa"/>
            <w:shd w:val="clear" w:color="auto" w:fill="FFFFFF" w:themeFill="background1"/>
            <w:vAlign w:val="center"/>
            <w:hideMark/>
          </w:tcPr>
          <w:p w14:paraId="5E918176" w14:textId="77777777" w:rsidR="007D2D75" w:rsidRPr="00BD3832" w:rsidRDefault="007D2D75" w:rsidP="00524A8F">
            <w:pPr>
              <w:jc w:val="center"/>
              <w:rPr>
                <w:sz w:val="20"/>
                <w:szCs w:val="20"/>
              </w:rPr>
            </w:pPr>
            <w:r w:rsidRPr="00BD3832">
              <w:rPr>
                <w:sz w:val="20"/>
                <w:szCs w:val="20"/>
              </w:rPr>
              <w:t>43 (31.2)</w:t>
            </w:r>
          </w:p>
        </w:tc>
        <w:tc>
          <w:tcPr>
            <w:tcW w:w="2070" w:type="dxa"/>
            <w:shd w:val="clear" w:color="auto" w:fill="FFFFFF" w:themeFill="background1"/>
            <w:vAlign w:val="center"/>
            <w:hideMark/>
          </w:tcPr>
          <w:p w14:paraId="0F207931" w14:textId="77777777" w:rsidR="007D2D75" w:rsidRPr="00BD3832" w:rsidRDefault="007D2D75" w:rsidP="00524A8F">
            <w:pPr>
              <w:jc w:val="center"/>
              <w:rPr>
                <w:sz w:val="20"/>
                <w:szCs w:val="20"/>
              </w:rPr>
            </w:pPr>
            <w:r w:rsidRPr="00BD3832">
              <w:rPr>
                <w:sz w:val="20"/>
                <w:szCs w:val="20"/>
              </w:rPr>
              <w:t>95 (68.8)</w:t>
            </w:r>
          </w:p>
        </w:tc>
        <w:tc>
          <w:tcPr>
            <w:tcW w:w="1350" w:type="dxa"/>
            <w:vMerge/>
            <w:shd w:val="clear" w:color="auto" w:fill="FFFFFF" w:themeFill="background1"/>
            <w:vAlign w:val="center"/>
          </w:tcPr>
          <w:p w14:paraId="6BD600CC" w14:textId="77777777" w:rsidR="007D2D75" w:rsidRPr="00BD3832" w:rsidRDefault="007D2D75" w:rsidP="00524A8F">
            <w:pPr>
              <w:jc w:val="center"/>
              <w:rPr>
                <w:sz w:val="20"/>
                <w:szCs w:val="20"/>
              </w:rPr>
            </w:pPr>
          </w:p>
        </w:tc>
        <w:tc>
          <w:tcPr>
            <w:tcW w:w="1980" w:type="dxa"/>
            <w:gridSpan w:val="2"/>
            <w:vMerge/>
            <w:shd w:val="clear" w:color="auto" w:fill="FFFFFF" w:themeFill="background1"/>
            <w:vAlign w:val="center"/>
          </w:tcPr>
          <w:p w14:paraId="0BE99490" w14:textId="77777777" w:rsidR="007D2D75" w:rsidRPr="00BD3832" w:rsidRDefault="007D2D75" w:rsidP="00524A8F">
            <w:pPr>
              <w:jc w:val="center"/>
              <w:rPr>
                <w:sz w:val="20"/>
                <w:szCs w:val="20"/>
              </w:rPr>
            </w:pPr>
          </w:p>
        </w:tc>
      </w:tr>
      <w:tr w:rsidR="007D2D75" w:rsidRPr="00BD3832" w14:paraId="35336723" w14:textId="77777777" w:rsidTr="00524A8F">
        <w:trPr>
          <w:trHeight w:val="368"/>
        </w:trPr>
        <w:tc>
          <w:tcPr>
            <w:tcW w:w="9360" w:type="dxa"/>
            <w:gridSpan w:val="6"/>
            <w:shd w:val="clear" w:color="auto" w:fill="FFFFFF" w:themeFill="background1"/>
            <w:vAlign w:val="center"/>
            <w:hideMark/>
          </w:tcPr>
          <w:p w14:paraId="4730C647" w14:textId="77777777" w:rsidR="007D2D75" w:rsidRPr="00BD3832" w:rsidRDefault="007D2D75" w:rsidP="00524A8F">
            <w:pPr>
              <w:rPr>
                <w:sz w:val="20"/>
                <w:szCs w:val="20"/>
              </w:rPr>
            </w:pPr>
            <w:r w:rsidRPr="00BD3832">
              <w:rPr>
                <w:bCs/>
                <w:i/>
                <w:sz w:val="20"/>
                <w:szCs w:val="20"/>
              </w:rPr>
              <w:t>Mean ± SD                                30.4 ± 10.4</w:t>
            </w:r>
          </w:p>
        </w:tc>
      </w:tr>
      <w:tr w:rsidR="007D2D75" w:rsidRPr="00BD3832" w14:paraId="3107D7A1" w14:textId="77777777" w:rsidTr="00524A8F">
        <w:trPr>
          <w:trHeight w:val="368"/>
        </w:trPr>
        <w:tc>
          <w:tcPr>
            <w:tcW w:w="9360" w:type="dxa"/>
            <w:gridSpan w:val="6"/>
            <w:shd w:val="clear" w:color="auto" w:fill="FFFFFF" w:themeFill="background1"/>
            <w:vAlign w:val="center"/>
          </w:tcPr>
          <w:p w14:paraId="10087F49" w14:textId="77777777" w:rsidR="007D2D75" w:rsidRPr="00BD3832" w:rsidRDefault="007D2D75" w:rsidP="00524A8F">
            <w:pPr>
              <w:rPr>
                <w:b/>
                <w:bCs/>
                <w:i/>
                <w:sz w:val="20"/>
                <w:szCs w:val="20"/>
              </w:rPr>
            </w:pPr>
            <w:r w:rsidRPr="00BD3832">
              <w:rPr>
                <w:b/>
                <w:bCs/>
                <w:sz w:val="20"/>
                <w:szCs w:val="20"/>
              </w:rPr>
              <w:t>Sex</w:t>
            </w:r>
          </w:p>
        </w:tc>
      </w:tr>
      <w:tr w:rsidR="007D2D75" w:rsidRPr="00BD3832" w14:paraId="19BE4971" w14:textId="77777777" w:rsidTr="00524A8F">
        <w:trPr>
          <w:trHeight w:val="368"/>
        </w:trPr>
        <w:tc>
          <w:tcPr>
            <w:tcW w:w="2160" w:type="dxa"/>
            <w:shd w:val="clear" w:color="auto" w:fill="FFFFFF" w:themeFill="background1"/>
            <w:vAlign w:val="center"/>
          </w:tcPr>
          <w:p w14:paraId="14E8199A" w14:textId="77777777" w:rsidR="007D2D75" w:rsidRPr="00BD3832" w:rsidRDefault="007D2D75" w:rsidP="00524A8F">
            <w:pPr>
              <w:rPr>
                <w:bCs/>
                <w:sz w:val="20"/>
                <w:szCs w:val="20"/>
              </w:rPr>
            </w:pPr>
            <w:r w:rsidRPr="00BD3832">
              <w:rPr>
                <w:bCs/>
                <w:sz w:val="20"/>
                <w:szCs w:val="20"/>
              </w:rPr>
              <w:t>Male</w:t>
            </w:r>
          </w:p>
        </w:tc>
        <w:tc>
          <w:tcPr>
            <w:tcW w:w="1800" w:type="dxa"/>
            <w:shd w:val="clear" w:color="auto" w:fill="FFFFFF" w:themeFill="background1"/>
            <w:vAlign w:val="center"/>
          </w:tcPr>
          <w:p w14:paraId="272AE1D1" w14:textId="77777777" w:rsidR="007D2D75" w:rsidRPr="00BD3832" w:rsidRDefault="007D2D75" w:rsidP="00524A8F">
            <w:pPr>
              <w:jc w:val="center"/>
              <w:rPr>
                <w:bCs/>
                <w:sz w:val="20"/>
                <w:szCs w:val="20"/>
              </w:rPr>
            </w:pPr>
            <w:r w:rsidRPr="00BD3832">
              <w:rPr>
                <w:bCs/>
                <w:sz w:val="20"/>
                <w:szCs w:val="20"/>
              </w:rPr>
              <w:t>60 (15.5)</w:t>
            </w:r>
          </w:p>
        </w:tc>
        <w:tc>
          <w:tcPr>
            <w:tcW w:w="2070" w:type="dxa"/>
            <w:shd w:val="clear" w:color="auto" w:fill="FFFFFF" w:themeFill="background1"/>
            <w:vAlign w:val="center"/>
          </w:tcPr>
          <w:p w14:paraId="3325E399" w14:textId="77777777" w:rsidR="007D2D75" w:rsidRPr="00BD3832" w:rsidRDefault="007D2D75" w:rsidP="00524A8F">
            <w:pPr>
              <w:jc w:val="center"/>
              <w:rPr>
                <w:bCs/>
                <w:sz w:val="20"/>
                <w:szCs w:val="20"/>
              </w:rPr>
            </w:pPr>
            <w:r w:rsidRPr="00BD3832">
              <w:rPr>
                <w:bCs/>
                <w:sz w:val="20"/>
                <w:szCs w:val="20"/>
              </w:rPr>
              <w:t>327 (84.5)</w:t>
            </w:r>
          </w:p>
        </w:tc>
        <w:tc>
          <w:tcPr>
            <w:tcW w:w="1359" w:type="dxa"/>
            <w:gridSpan w:val="2"/>
            <w:vMerge w:val="restart"/>
            <w:shd w:val="clear" w:color="auto" w:fill="FFFFFF" w:themeFill="background1"/>
            <w:vAlign w:val="center"/>
          </w:tcPr>
          <w:p w14:paraId="4F9921CC" w14:textId="77777777" w:rsidR="007D2D75" w:rsidRPr="00BD3832" w:rsidRDefault="007D2D75" w:rsidP="00524A8F">
            <w:pPr>
              <w:jc w:val="center"/>
              <w:rPr>
                <w:bCs/>
                <w:sz w:val="20"/>
                <w:szCs w:val="20"/>
              </w:rPr>
            </w:pPr>
            <w:r w:rsidRPr="00BD3832">
              <w:rPr>
                <w:bCs/>
                <w:sz w:val="20"/>
                <w:szCs w:val="20"/>
              </w:rPr>
              <w:t>41.14</w:t>
            </w:r>
          </w:p>
        </w:tc>
        <w:tc>
          <w:tcPr>
            <w:tcW w:w="1971" w:type="dxa"/>
            <w:vMerge w:val="restart"/>
            <w:shd w:val="clear" w:color="auto" w:fill="FFFFFF" w:themeFill="background1"/>
            <w:vAlign w:val="center"/>
          </w:tcPr>
          <w:p w14:paraId="40B2784F" w14:textId="77777777" w:rsidR="007D2D75" w:rsidRPr="00BD3832" w:rsidRDefault="007D2D75" w:rsidP="00524A8F">
            <w:pPr>
              <w:jc w:val="center"/>
              <w:rPr>
                <w:bCs/>
                <w:sz w:val="20"/>
                <w:szCs w:val="20"/>
              </w:rPr>
            </w:pPr>
            <w:r w:rsidRPr="00BD3832">
              <w:rPr>
                <w:sz w:val="20"/>
                <w:szCs w:val="20"/>
              </w:rPr>
              <w:t>&lt;0.001</w:t>
            </w:r>
          </w:p>
        </w:tc>
      </w:tr>
      <w:tr w:rsidR="007D2D75" w:rsidRPr="00BD3832" w14:paraId="37033F94" w14:textId="77777777" w:rsidTr="00524A8F">
        <w:trPr>
          <w:trHeight w:val="368"/>
        </w:trPr>
        <w:tc>
          <w:tcPr>
            <w:tcW w:w="2160" w:type="dxa"/>
            <w:shd w:val="clear" w:color="auto" w:fill="FFFFFF" w:themeFill="background1"/>
            <w:vAlign w:val="center"/>
          </w:tcPr>
          <w:p w14:paraId="34142641" w14:textId="77777777" w:rsidR="007D2D75" w:rsidRPr="00BD3832" w:rsidRDefault="007D2D75" w:rsidP="00524A8F">
            <w:pPr>
              <w:rPr>
                <w:bCs/>
                <w:sz w:val="20"/>
                <w:szCs w:val="20"/>
              </w:rPr>
            </w:pPr>
            <w:r w:rsidRPr="00BD3832">
              <w:rPr>
                <w:bCs/>
                <w:sz w:val="20"/>
                <w:szCs w:val="20"/>
              </w:rPr>
              <w:t>Female</w:t>
            </w:r>
          </w:p>
        </w:tc>
        <w:tc>
          <w:tcPr>
            <w:tcW w:w="1800" w:type="dxa"/>
            <w:shd w:val="clear" w:color="auto" w:fill="FFFFFF" w:themeFill="background1"/>
            <w:vAlign w:val="center"/>
          </w:tcPr>
          <w:p w14:paraId="040C59EB" w14:textId="77777777" w:rsidR="007D2D75" w:rsidRPr="00BD3832" w:rsidRDefault="007D2D75" w:rsidP="00524A8F">
            <w:pPr>
              <w:jc w:val="center"/>
              <w:rPr>
                <w:bCs/>
                <w:sz w:val="20"/>
                <w:szCs w:val="20"/>
              </w:rPr>
            </w:pPr>
            <w:r w:rsidRPr="00BD3832">
              <w:rPr>
                <w:bCs/>
                <w:sz w:val="20"/>
                <w:szCs w:val="20"/>
              </w:rPr>
              <w:t>11 (84.6)</w:t>
            </w:r>
          </w:p>
        </w:tc>
        <w:tc>
          <w:tcPr>
            <w:tcW w:w="2070" w:type="dxa"/>
            <w:shd w:val="clear" w:color="auto" w:fill="FFFFFF" w:themeFill="background1"/>
            <w:vAlign w:val="center"/>
          </w:tcPr>
          <w:p w14:paraId="68E238BA" w14:textId="77777777" w:rsidR="007D2D75" w:rsidRPr="00BD3832" w:rsidRDefault="007D2D75" w:rsidP="00524A8F">
            <w:pPr>
              <w:jc w:val="center"/>
              <w:rPr>
                <w:bCs/>
                <w:sz w:val="20"/>
                <w:szCs w:val="20"/>
              </w:rPr>
            </w:pPr>
            <w:r w:rsidRPr="00BD3832">
              <w:rPr>
                <w:bCs/>
                <w:sz w:val="20"/>
                <w:szCs w:val="20"/>
              </w:rPr>
              <w:t>2 (15.4)</w:t>
            </w:r>
          </w:p>
        </w:tc>
        <w:tc>
          <w:tcPr>
            <w:tcW w:w="1359" w:type="dxa"/>
            <w:gridSpan w:val="2"/>
            <w:vMerge/>
            <w:shd w:val="clear" w:color="auto" w:fill="FFFFFF" w:themeFill="background1"/>
            <w:vAlign w:val="center"/>
          </w:tcPr>
          <w:p w14:paraId="49A725CA" w14:textId="77777777" w:rsidR="007D2D75" w:rsidRPr="00BD3832" w:rsidRDefault="007D2D75" w:rsidP="00524A8F">
            <w:pPr>
              <w:rPr>
                <w:bCs/>
                <w:sz w:val="20"/>
                <w:szCs w:val="20"/>
              </w:rPr>
            </w:pPr>
          </w:p>
        </w:tc>
        <w:tc>
          <w:tcPr>
            <w:tcW w:w="1971" w:type="dxa"/>
            <w:vMerge/>
            <w:shd w:val="clear" w:color="auto" w:fill="FFFFFF" w:themeFill="background1"/>
            <w:vAlign w:val="center"/>
          </w:tcPr>
          <w:p w14:paraId="2C6197A4" w14:textId="77777777" w:rsidR="007D2D75" w:rsidRPr="00BD3832" w:rsidRDefault="007D2D75" w:rsidP="00524A8F">
            <w:pPr>
              <w:rPr>
                <w:bCs/>
                <w:sz w:val="20"/>
                <w:szCs w:val="20"/>
              </w:rPr>
            </w:pPr>
          </w:p>
        </w:tc>
      </w:tr>
      <w:tr w:rsidR="007D2D75" w:rsidRPr="00BD3832" w14:paraId="3E3F98CA" w14:textId="77777777" w:rsidTr="00524A8F">
        <w:trPr>
          <w:trHeight w:val="287"/>
        </w:trPr>
        <w:tc>
          <w:tcPr>
            <w:tcW w:w="9360" w:type="dxa"/>
            <w:gridSpan w:val="6"/>
            <w:shd w:val="clear" w:color="auto" w:fill="FFFFFF" w:themeFill="background1"/>
            <w:noWrap/>
            <w:vAlign w:val="center"/>
            <w:hideMark/>
          </w:tcPr>
          <w:p w14:paraId="12AAD1CE" w14:textId="77777777" w:rsidR="007D2D75" w:rsidRPr="00BD3832" w:rsidRDefault="007D2D75" w:rsidP="00524A8F">
            <w:pPr>
              <w:rPr>
                <w:b/>
                <w:sz w:val="20"/>
                <w:szCs w:val="20"/>
              </w:rPr>
            </w:pPr>
            <w:r w:rsidRPr="00BD3832">
              <w:rPr>
                <w:b/>
                <w:sz w:val="20"/>
                <w:szCs w:val="20"/>
              </w:rPr>
              <w:t>Living place</w:t>
            </w:r>
          </w:p>
        </w:tc>
      </w:tr>
      <w:tr w:rsidR="007D2D75" w:rsidRPr="00BD3832" w14:paraId="3396AB93" w14:textId="77777777" w:rsidTr="00524A8F">
        <w:trPr>
          <w:trHeight w:val="224"/>
        </w:trPr>
        <w:tc>
          <w:tcPr>
            <w:tcW w:w="2160" w:type="dxa"/>
            <w:shd w:val="clear" w:color="auto" w:fill="FFFFFF" w:themeFill="background1"/>
            <w:noWrap/>
            <w:vAlign w:val="center"/>
            <w:hideMark/>
          </w:tcPr>
          <w:p w14:paraId="28D545C4" w14:textId="77777777" w:rsidR="007D2D75" w:rsidRPr="00BD3832" w:rsidRDefault="007D2D75" w:rsidP="00524A8F">
            <w:pPr>
              <w:rPr>
                <w:sz w:val="20"/>
                <w:szCs w:val="20"/>
              </w:rPr>
            </w:pPr>
            <w:r w:rsidRPr="00BD3832">
              <w:rPr>
                <w:sz w:val="20"/>
                <w:szCs w:val="20"/>
              </w:rPr>
              <w:t>With family</w:t>
            </w:r>
          </w:p>
        </w:tc>
        <w:tc>
          <w:tcPr>
            <w:tcW w:w="1800" w:type="dxa"/>
            <w:shd w:val="clear" w:color="auto" w:fill="FFFFFF" w:themeFill="background1"/>
            <w:noWrap/>
            <w:vAlign w:val="center"/>
            <w:hideMark/>
          </w:tcPr>
          <w:p w14:paraId="18E23584" w14:textId="77777777" w:rsidR="007D2D75" w:rsidRPr="00BD3832" w:rsidRDefault="007D2D75" w:rsidP="00524A8F">
            <w:pPr>
              <w:jc w:val="center"/>
              <w:rPr>
                <w:sz w:val="20"/>
                <w:szCs w:val="20"/>
              </w:rPr>
            </w:pPr>
            <w:r w:rsidRPr="00BD3832">
              <w:rPr>
                <w:sz w:val="20"/>
                <w:szCs w:val="20"/>
              </w:rPr>
              <w:t>54 (18.2)</w:t>
            </w:r>
          </w:p>
        </w:tc>
        <w:tc>
          <w:tcPr>
            <w:tcW w:w="2070" w:type="dxa"/>
            <w:shd w:val="clear" w:color="auto" w:fill="FFFFFF" w:themeFill="background1"/>
            <w:noWrap/>
            <w:vAlign w:val="center"/>
            <w:hideMark/>
          </w:tcPr>
          <w:p w14:paraId="392BBD1B" w14:textId="77777777" w:rsidR="007D2D75" w:rsidRPr="00BD3832" w:rsidRDefault="007D2D75" w:rsidP="00524A8F">
            <w:pPr>
              <w:jc w:val="center"/>
              <w:rPr>
                <w:sz w:val="20"/>
                <w:szCs w:val="20"/>
              </w:rPr>
            </w:pPr>
            <w:r w:rsidRPr="00BD3832">
              <w:rPr>
                <w:sz w:val="20"/>
                <w:szCs w:val="20"/>
              </w:rPr>
              <w:t>243 (81.8)</w:t>
            </w:r>
          </w:p>
        </w:tc>
        <w:tc>
          <w:tcPr>
            <w:tcW w:w="1350" w:type="dxa"/>
            <w:vMerge w:val="restart"/>
            <w:shd w:val="clear" w:color="auto" w:fill="FFFFFF" w:themeFill="background1"/>
            <w:vAlign w:val="center"/>
          </w:tcPr>
          <w:p w14:paraId="5E027878" w14:textId="77777777" w:rsidR="007D2D75" w:rsidRPr="00BD3832" w:rsidRDefault="007D2D75" w:rsidP="00524A8F">
            <w:pPr>
              <w:jc w:val="center"/>
              <w:rPr>
                <w:sz w:val="20"/>
                <w:szCs w:val="20"/>
              </w:rPr>
            </w:pPr>
            <w:r w:rsidRPr="00BD3832">
              <w:rPr>
                <w:sz w:val="20"/>
                <w:szCs w:val="20"/>
              </w:rPr>
              <w:t>0.15</w:t>
            </w:r>
          </w:p>
        </w:tc>
        <w:tc>
          <w:tcPr>
            <w:tcW w:w="1980" w:type="dxa"/>
            <w:gridSpan w:val="2"/>
            <w:vMerge w:val="restart"/>
            <w:shd w:val="clear" w:color="auto" w:fill="FFFFFF" w:themeFill="background1"/>
            <w:vAlign w:val="center"/>
          </w:tcPr>
          <w:p w14:paraId="1FD46E42" w14:textId="77777777" w:rsidR="007D2D75" w:rsidRPr="00BD3832" w:rsidRDefault="007D2D75" w:rsidP="00524A8F">
            <w:pPr>
              <w:jc w:val="center"/>
              <w:rPr>
                <w:sz w:val="20"/>
                <w:szCs w:val="20"/>
              </w:rPr>
            </w:pPr>
            <w:r w:rsidRPr="00BD3832">
              <w:rPr>
                <w:sz w:val="20"/>
                <w:szCs w:val="20"/>
              </w:rPr>
              <w:t>0.112</w:t>
            </w:r>
          </w:p>
        </w:tc>
      </w:tr>
      <w:tr w:rsidR="007D2D75" w:rsidRPr="00BD3832" w14:paraId="18DBAA74" w14:textId="77777777" w:rsidTr="00524A8F">
        <w:trPr>
          <w:trHeight w:val="395"/>
        </w:trPr>
        <w:tc>
          <w:tcPr>
            <w:tcW w:w="2160" w:type="dxa"/>
            <w:shd w:val="clear" w:color="auto" w:fill="FFFFFF" w:themeFill="background1"/>
            <w:noWrap/>
            <w:vAlign w:val="center"/>
            <w:hideMark/>
          </w:tcPr>
          <w:p w14:paraId="3640F8D3" w14:textId="77777777" w:rsidR="007D2D75" w:rsidRPr="00BD3832" w:rsidRDefault="007D2D75" w:rsidP="00524A8F">
            <w:pPr>
              <w:rPr>
                <w:sz w:val="20"/>
                <w:szCs w:val="20"/>
              </w:rPr>
            </w:pPr>
            <w:r w:rsidRPr="00BD3832">
              <w:rPr>
                <w:sz w:val="20"/>
                <w:szCs w:val="20"/>
              </w:rPr>
              <w:t>Alone/Outside family</w:t>
            </w:r>
          </w:p>
        </w:tc>
        <w:tc>
          <w:tcPr>
            <w:tcW w:w="1800" w:type="dxa"/>
            <w:shd w:val="clear" w:color="auto" w:fill="FFFFFF" w:themeFill="background1"/>
            <w:noWrap/>
            <w:vAlign w:val="center"/>
            <w:hideMark/>
          </w:tcPr>
          <w:p w14:paraId="759688FF" w14:textId="77777777" w:rsidR="007D2D75" w:rsidRPr="00BD3832" w:rsidRDefault="007D2D75" w:rsidP="00524A8F">
            <w:pPr>
              <w:jc w:val="center"/>
              <w:rPr>
                <w:sz w:val="20"/>
                <w:szCs w:val="20"/>
              </w:rPr>
            </w:pPr>
            <w:r w:rsidRPr="00BD3832">
              <w:rPr>
                <w:sz w:val="20"/>
                <w:szCs w:val="20"/>
              </w:rPr>
              <w:t>17 (16.5)</w:t>
            </w:r>
          </w:p>
        </w:tc>
        <w:tc>
          <w:tcPr>
            <w:tcW w:w="2070" w:type="dxa"/>
            <w:shd w:val="clear" w:color="auto" w:fill="FFFFFF" w:themeFill="background1"/>
            <w:noWrap/>
            <w:vAlign w:val="center"/>
            <w:hideMark/>
          </w:tcPr>
          <w:p w14:paraId="2B129061" w14:textId="748E3371" w:rsidR="007D2D75" w:rsidRPr="00BD3832" w:rsidRDefault="007D2D75" w:rsidP="00524A8F">
            <w:pPr>
              <w:jc w:val="center"/>
              <w:rPr>
                <w:sz w:val="20"/>
                <w:szCs w:val="20"/>
              </w:rPr>
            </w:pPr>
            <w:r w:rsidRPr="00BD3832">
              <w:rPr>
                <w:sz w:val="20"/>
                <w:szCs w:val="20"/>
              </w:rPr>
              <w:t>86 (83.5)</w:t>
            </w:r>
          </w:p>
        </w:tc>
        <w:tc>
          <w:tcPr>
            <w:tcW w:w="1350" w:type="dxa"/>
            <w:vMerge/>
            <w:shd w:val="clear" w:color="auto" w:fill="FFFFFF" w:themeFill="background1"/>
            <w:vAlign w:val="center"/>
          </w:tcPr>
          <w:p w14:paraId="0239A8E4" w14:textId="77777777" w:rsidR="007D2D75" w:rsidRPr="00BD3832" w:rsidRDefault="007D2D75" w:rsidP="00524A8F">
            <w:pPr>
              <w:jc w:val="center"/>
              <w:rPr>
                <w:sz w:val="20"/>
                <w:szCs w:val="20"/>
              </w:rPr>
            </w:pPr>
          </w:p>
        </w:tc>
        <w:tc>
          <w:tcPr>
            <w:tcW w:w="1980" w:type="dxa"/>
            <w:gridSpan w:val="2"/>
            <w:vMerge/>
            <w:shd w:val="clear" w:color="auto" w:fill="FFFFFF" w:themeFill="background1"/>
            <w:vAlign w:val="center"/>
          </w:tcPr>
          <w:p w14:paraId="7910E986" w14:textId="77777777" w:rsidR="007D2D75" w:rsidRPr="00BD3832" w:rsidRDefault="007D2D75" w:rsidP="00524A8F">
            <w:pPr>
              <w:jc w:val="center"/>
              <w:rPr>
                <w:sz w:val="20"/>
                <w:szCs w:val="20"/>
              </w:rPr>
            </w:pPr>
          </w:p>
        </w:tc>
      </w:tr>
      <w:tr w:rsidR="007D2D75" w:rsidRPr="00BD3832" w14:paraId="72FC9C23" w14:textId="77777777" w:rsidTr="00524A8F">
        <w:trPr>
          <w:trHeight w:val="260"/>
        </w:trPr>
        <w:tc>
          <w:tcPr>
            <w:tcW w:w="9360" w:type="dxa"/>
            <w:gridSpan w:val="6"/>
            <w:shd w:val="clear" w:color="auto" w:fill="FFFFFF" w:themeFill="background1"/>
            <w:noWrap/>
            <w:vAlign w:val="center"/>
            <w:hideMark/>
          </w:tcPr>
          <w:p w14:paraId="3E26D66B" w14:textId="77777777" w:rsidR="007D2D75" w:rsidRPr="00BD3832" w:rsidRDefault="007D2D75" w:rsidP="00524A8F">
            <w:pPr>
              <w:rPr>
                <w:b/>
                <w:sz w:val="20"/>
                <w:szCs w:val="20"/>
              </w:rPr>
            </w:pPr>
            <w:r w:rsidRPr="00BD3832">
              <w:rPr>
                <w:b/>
                <w:sz w:val="20"/>
                <w:szCs w:val="20"/>
              </w:rPr>
              <w:t>Family type</w:t>
            </w:r>
          </w:p>
        </w:tc>
      </w:tr>
      <w:tr w:rsidR="007D2D75" w:rsidRPr="00BD3832" w14:paraId="624FA7F7" w14:textId="77777777" w:rsidTr="00524A8F">
        <w:trPr>
          <w:trHeight w:val="300"/>
        </w:trPr>
        <w:tc>
          <w:tcPr>
            <w:tcW w:w="2160" w:type="dxa"/>
            <w:shd w:val="clear" w:color="auto" w:fill="FFFFFF" w:themeFill="background1"/>
            <w:noWrap/>
            <w:vAlign w:val="center"/>
            <w:hideMark/>
          </w:tcPr>
          <w:p w14:paraId="5FFEDFAD" w14:textId="77777777" w:rsidR="007D2D75" w:rsidRPr="00BD3832" w:rsidRDefault="007D2D75" w:rsidP="00524A8F">
            <w:pPr>
              <w:rPr>
                <w:sz w:val="20"/>
                <w:szCs w:val="20"/>
              </w:rPr>
            </w:pPr>
            <w:r w:rsidRPr="00BD3832">
              <w:rPr>
                <w:sz w:val="20"/>
                <w:szCs w:val="20"/>
              </w:rPr>
              <w:t>Nuclear Family</w:t>
            </w:r>
          </w:p>
        </w:tc>
        <w:tc>
          <w:tcPr>
            <w:tcW w:w="1800" w:type="dxa"/>
            <w:shd w:val="clear" w:color="auto" w:fill="FFFFFF" w:themeFill="background1"/>
            <w:noWrap/>
            <w:vAlign w:val="center"/>
            <w:hideMark/>
          </w:tcPr>
          <w:p w14:paraId="4FD7DE84" w14:textId="77777777" w:rsidR="007D2D75" w:rsidRPr="00BD3832" w:rsidRDefault="007D2D75" w:rsidP="00524A8F">
            <w:pPr>
              <w:jc w:val="center"/>
              <w:rPr>
                <w:sz w:val="20"/>
                <w:szCs w:val="20"/>
              </w:rPr>
            </w:pPr>
            <w:r w:rsidRPr="00BD3832">
              <w:rPr>
                <w:sz w:val="20"/>
                <w:szCs w:val="20"/>
              </w:rPr>
              <w:t>55 (18.8)</w:t>
            </w:r>
          </w:p>
        </w:tc>
        <w:tc>
          <w:tcPr>
            <w:tcW w:w="2070" w:type="dxa"/>
            <w:shd w:val="clear" w:color="auto" w:fill="FFFFFF" w:themeFill="background1"/>
            <w:noWrap/>
            <w:vAlign w:val="center"/>
            <w:hideMark/>
          </w:tcPr>
          <w:p w14:paraId="278052A9" w14:textId="77777777" w:rsidR="007D2D75" w:rsidRPr="00BD3832" w:rsidRDefault="007D2D75" w:rsidP="00524A8F">
            <w:pPr>
              <w:jc w:val="center"/>
              <w:rPr>
                <w:sz w:val="20"/>
                <w:szCs w:val="20"/>
              </w:rPr>
            </w:pPr>
            <w:r w:rsidRPr="00BD3832">
              <w:rPr>
                <w:sz w:val="20"/>
                <w:szCs w:val="20"/>
              </w:rPr>
              <w:t>238 (81.2)</w:t>
            </w:r>
          </w:p>
        </w:tc>
        <w:tc>
          <w:tcPr>
            <w:tcW w:w="1350" w:type="dxa"/>
            <w:vMerge w:val="restart"/>
            <w:shd w:val="clear" w:color="auto" w:fill="FFFFFF" w:themeFill="background1"/>
            <w:vAlign w:val="center"/>
          </w:tcPr>
          <w:p w14:paraId="00EFD5AB" w14:textId="77777777" w:rsidR="007D2D75" w:rsidRPr="00BD3832" w:rsidRDefault="007D2D75" w:rsidP="00524A8F">
            <w:pPr>
              <w:jc w:val="center"/>
              <w:rPr>
                <w:sz w:val="20"/>
                <w:szCs w:val="20"/>
              </w:rPr>
            </w:pPr>
            <w:r w:rsidRPr="00BD3832">
              <w:rPr>
                <w:sz w:val="20"/>
                <w:szCs w:val="20"/>
              </w:rPr>
              <w:t>.83</w:t>
            </w:r>
          </w:p>
        </w:tc>
        <w:tc>
          <w:tcPr>
            <w:tcW w:w="1980" w:type="dxa"/>
            <w:gridSpan w:val="2"/>
            <w:vMerge w:val="restart"/>
            <w:shd w:val="clear" w:color="auto" w:fill="FFFFFF" w:themeFill="background1"/>
            <w:vAlign w:val="center"/>
          </w:tcPr>
          <w:p w14:paraId="0BE4C469" w14:textId="77777777" w:rsidR="007D2D75" w:rsidRPr="00BD3832" w:rsidRDefault="007D2D75" w:rsidP="00524A8F">
            <w:pPr>
              <w:jc w:val="center"/>
              <w:rPr>
                <w:sz w:val="20"/>
                <w:szCs w:val="20"/>
              </w:rPr>
            </w:pPr>
            <w:r w:rsidRPr="00BD3832">
              <w:rPr>
                <w:sz w:val="20"/>
                <w:szCs w:val="20"/>
              </w:rPr>
              <w:t>0.08</w:t>
            </w:r>
          </w:p>
        </w:tc>
      </w:tr>
      <w:tr w:rsidR="007D2D75" w:rsidRPr="00BD3832" w14:paraId="6720D813" w14:textId="77777777" w:rsidTr="00524A8F">
        <w:trPr>
          <w:trHeight w:val="300"/>
        </w:trPr>
        <w:tc>
          <w:tcPr>
            <w:tcW w:w="2160" w:type="dxa"/>
            <w:shd w:val="clear" w:color="auto" w:fill="FFFFFF" w:themeFill="background1"/>
            <w:noWrap/>
            <w:vAlign w:val="center"/>
            <w:hideMark/>
          </w:tcPr>
          <w:p w14:paraId="24EBA070" w14:textId="77777777" w:rsidR="007D2D75" w:rsidRPr="00BD3832" w:rsidRDefault="007D2D75" w:rsidP="00524A8F">
            <w:pPr>
              <w:rPr>
                <w:sz w:val="20"/>
                <w:szCs w:val="20"/>
              </w:rPr>
            </w:pPr>
            <w:r w:rsidRPr="00BD3832">
              <w:rPr>
                <w:sz w:val="20"/>
                <w:szCs w:val="20"/>
              </w:rPr>
              <w:t>Joint Family</w:t>
            </w:r>
          </w:p>
        </w:tc>
        <w:tc>
          <w:tcPr>
            <w:tcW w:w="1800" w:type="dxa"/>
            <w:shd w:val="clear" w:color="auto" w:fill="FFFFFF" w:themeFill="background1"/>
            <w:noWrap/>
            <w:vAlign w:val="center"/>
            <w:hideMark/>
          </w:tcPr>
          <w:p w14:paraId="7E76A17B" w14:textId="77777777" w:rsidR="007D2D75" w:rsidRPr="00BD3832" w:rsidRDefault="007D2D75" w:rsidP="00524A8F">
            <w:pPr>
              <w:jc w:val="center"/>
              <w:rPr>
                <w:sz w:val="20"/>
                <w:szCs w:val="20"/>
              </w:rPr>
            </w:pPr>
            <w:r w:rsidRPr="00BD3832">
              <w:rPr>
                <w:sz w:val="20"/>
                <w:szCs w:val="20"/>
              </w:rPr>
              <w:t>16 (15.0)</w:t>
            </w:r>
          </w:p>
        </w:tc>
        <w:tc>
          <w:tcPr>
            <w:tcW w:w="2070" w:type="dxa"/>
            <w:shd w:val="clear" w:color="auto" w:fill="FFFFFF" w:themeFill="background1"/>
            <w:noWrap/>
            <w:vAlign w:val="center"/>
            <w:hideMark/>
          </w:tcPr>
          <w:p w14:paraId="281DDFC0" w14:textId="77777777" w:rsidR="007D2D75" w:rsidRPr="00BD3832" w:rsidRDefault="007D2D75" w:rsidP="00524A8F">
            <w:pPr>
              <w:jc w:val="center"/>
              <w:rPr>
                <w:sz w:val="20"/>
                <w:szCs w:val="20"/>
              </w:rPr>
            </w:pPr>
            <w:r w:rsidRPr="00BD3832">
              <w:rPr>
                <w:sz w:val="20"/>
                <w:szCs w:val="20"/>
              </w:rPr>
              <w:t>91 (85.0)</w:t>
            </w:r>
          </w:p>
        </w:tc>
        <w:tc>
          <w:tcPr>
            <w:tcW w:w="1350" w:type="dxa"/>
            <w:vMerge/>
            <w:shd w:val="clear" w:color="auto" w:fill="FFFFFF" w:themeFill="background1"/>
            <w:vAlign w:val="bottom"/>
          </w:tcPr>
          <w:p w14:paraId="1D1D8A2A" w14:textId="77777777" w:rsidR="007D2D75" w:rsidRPr="00BD3832" w:rsidRDefault="007D2D75" w:rsidP="00524A8F">
            <w:pPr>
              <w:rPr>
                <w:sz w:val="20"/>
                <w:szCs w:val="20"/>
              </w:rPr>
            </w:pPr>
          </w:p>
        </w:tc>
        <w:tc>
          <w:tcPr>
            <w:tcW w:w="1980" w:type="dxa"/>
            <w:gridSpan w:val="2"/>
            <w:vMerge/>
            <w:shd w:val="clear" w:color="auto" w:fill="FFFFFF" w:themeFill="background1"/>
            <w:vAlign w:val="bottom"/>
          </w:tcPr>
          <w:p w14:paraId="114A36B1" w14:textId="77777777" w:rsidR="007D2D75" w:rsidRPr="00BD3832" w:rsidRDefault="007D2D75" w:rsidP="00524A8F">
            <w:pPr>
              <w:rPr>
                <w:sz w:val="20"/>
                <w:szCs w:val="20"/>
              </w:rPr>
            </w:pPr>
          </w:p>
        </w:tc>
      </w:tr>
      <w:tr w:rsidR="007D2D75" w:rsidRPr="00BD3832" w14:paraId="277E8AAF" w14:textId="77777777" w:rsidTr="00524A8F">
        <w:trPr>
          <w:trHeight w:val="278"/>
        </w:trPr>
        <w:tc>
          <w:tcPr>
            <w:tcW w:w="9360" w:type="dxa"/>
            <w:gridSpan w:val="6"/>
            <w:shd w:val="clear" w:color="auto" w:fill="FFFFFF" w:themeFill="background1"/>
            <w:noWrap/>
            <w:vAlign w:val="center"/>
            <w:hideMark/>
          </w:tcPr>
          <w:p w14:paraId="720E3E72" w14:textId="77777777" w:rsidR="007D2D75" w:rsidRPr="00BD3832" w:rsidRDefault="007D2D75" w:rsidP="00524A8F">
            <w:pPr>
              <w:rPr>
                <w:b/>
                <w:sz w:val="20"/>
                <w:szCs w:val="20"/>
              </w:rPr>
            </w:pPr>
            <w:r w:rsidRPr="00BD3832">
              <w:rPr>
                <w:b/>
                <w:sz w:val="20"/>
                <w:szCs w:val="20"/>
              </w:rPr>
              <w:t xml:space="preserve">Education </w:t>
            </w:r>
          </w:p>
        </w:tc>
      </w:tr>
      <w:tr w:rsidR="007D2D75" w:rsidRPr="00BD3832" w14:paraId="46CB3AAD" w14:textId="77777777" w:rsidTr="00524A8F">
        <w:trPr>
          <w:trHeight w:val="368"/>
        </w:trPr>
        <w:tc>
          <w:tcPr>
            <w:tcW w:w="2160" w:type="dxa"/>
            <w:shd w:val="clear" w:color="auto" w:fill="FFFFFF" w:themeFill="background1"/>
            <w:noWrap/>
            <w:vAlign w:val="center"/>
            <w:hideMark/>
          </w:tcPr>
          <w:p w14:paraId="3C9B2B60" w14:textId="77777777" w:rsidR="007D2D75" w:rsidRPr="00BD3832" w:rsidRDefault="007D2D75" w:rsidP="00524A8F">
            <w:pPr>
              <w:rPr>
                <w:sz w:val="20"/>
                <w:szCs w:val="20"/>
              </w:rPr>
            </w:pPr>
            <w:r w:rsidRPr="00BD3832">
              <w:rPr>
                <w:sz w:val="20"/>
                <w:szCs w:val="20"/>
              </w:rPr>
              <w:lastRenderedPageBreak/>
              <w:t>Primary- Secondary</w:t>
            </w:r>
          </w:p>
        </w:tc>
        <w:tc>
          <w:tcPr>
            <w:tcW w:w="1800" w:type="dxa"/>
            <w:shd w:val="clear" w:color="auto" w:fill="FFFFFF" w:themeFill="background1"/>
            <w:noWrap/>
            <w:vAlign w:val="center"/>
            <w:hideMark/>
          </w:tcPr>
          <w:p w14:paraId="27DBC683" w14:textId="30F5C90A" w:rsidR="007D2D75" w:rsidRPr="00BD3832" w:rsidRDefault="007D2D75" w:rsidP="00524A8F">
            <w:pPr>
              <w:jc w:val="center"/>
              <w:rPr>
                <w:sz w:val="20"/>
                <w:szCs w:val="20"/>
              </w:rPr>
            </w:pPr>
            <w:r w:rsidRPr="00BD3832">
              <w:rPr>
                <w:sz w:val="20"/>
                <w:szCs w:val="20"/>
              </w:rPr>
              <w:t>2 (14.3)</w:t>
            </w:r>
          </w:p>
        </w:tc>
        <w:tc>
          <w:tcPr>
            <w:tcW w:w="2070" w:type="dxa"/>
            <w:shd w:val="clear" w:color="auto" w:fill="FFFFFF" w:themeFill="background1"/>
            <w:noWrap/>
            <w:vAlign w:val="center"/>
            <w:hideMark/>
          </w:tcPr>
          <w:p w14:paraId="355B51C1" w14:textId="39F72F72" w:rsidR="007D2D75" w:rsidRPr="00BD3832" w:rsidRDefault="007D2D75" w:rsidP="00524A8F">
            <w:pPr>
              <w:jc w:val="center"/>
              <w:rPr>
                <w:sz w:val="20"/>
                <w:szCs w:val="20"/>
              </w:rPr>
            </w:pPr>
            <w:r w:rsidRPr="00BD3832">
              <w:rPr>
                <w:sz w:val="20"/>
                <w:szCs w:val="20"/>
              </w:rPr>
              <w:t>12 (85.7)</w:t>
            </w:r>
          </w:p>
        </w:tc>
        <w:tc>
          <w:tcPr>
            <w:tcW w:w="1350" w:type="dxa"/>
            <w:vMerge w:val="restart"/>
            <w:shd w:val="clear" w:color="auto" w:fill="FFFFFF" w:themeFill="background1"/>
            <w:vAlign w:val="center"/>
          </w:tcPr>
          <w:p w14:paraId="0B5C1B81" w14:textId="77777777" w:rsidR="007D2D75" w:rsidRPr="00BD3832" w:rsidRDefault="007D2D75" w:rsidP="00524A8F">
            <w:pPr>
              <w:spacing w:line="276" w:lineRule="auto"/>
              <w:jc w:val="center"/>
              <w:rPr>
                <w:sz w:val="20"/>
                <w:szCs w:val="20"/>
              </w:rPr>
            </w:pPr>
            <w:r w:rsidRPr="00BD3832">
              <w:rPr>
                <w:sz w:val="20"/>
                <w:szCs w:val="20"/>
              </w:rPr>
              <w:t>11.86</w:t>
            </w:r>
          </w:p>
        </w:tc>
        <w:tc>
          <w:tcPr>
            <w:tcW w:w="1980" w:type="dxa"/>
            <w:gridSpan w:val="2"/>
            <w:vMerge w:val="restart"/>
            <w:shd w:val="clear" w:color="auto" w:fill="FFFFFF" w:themeFill="background1"/>
            <w:vAlign w:val="center"/>
          </w:tcPr>
          <w:p w14:paraId="6797D4CA" w14:textId="77777777" w:rsidR="007D2D75" w:rsidRPr="00BD3832" w:rsidRDefault="007D2D75" w:rsidP="00524A8F">
            <w:pPr>
              <w:spacing w:line="276" w:lineRule="auto"/>
              <w:jc w:val="center"/>
              <w:rPr>
                <w:sz w:val="20"/>
                <w:szCs w:val="20"/>
              </w:rPr>
            </w:pPr>
            <w:r w:rsidRPr="00BD3832">
              <w:rPr>
                <w:sz w:val="20"/>
                <w:szCs w:val="20"/>
              </w:rPr>
              <w:t>&lt;0.001</w:t>
            </w:r>
          </w:p>
        </w:tc>
      </w:tr>
      <w:tr w:rsidR="007D2D75" w:rsidRPr="00BD3832" w14:paraId="5DDC5990" w14:textId="77777777" w:rsidTr="00524A8F">
        <w:trPr>
          <w:trHeight w:val="332"/>
        </w:trPr>
        <w:tc>
          <w:tcPr>
            <w:tcW w:w="2160" w:type="dxa"/>
            <w:shd w:val="clear" w:color="auto" w:fill="FFFFFF" w:themeFill="background1"/>
            <w:noWrap/>
            <w:vAlign w:val="center"/>
            <w:hideMark/>
          </w:tcPr>
          <w:p w14:paraId="7D96CAE5" w14:textId="77777777" w:rsidR="007D2D75" w:rsidRPr="00BD3832" w:rsidRDefault="007D2D75" w:rsidP="00524A8F">
            <w:pPr>
              <w:rPr>
                <w:sz w:val="20"/>
                <w:szCs w:val="20"/>
              </w:rPr>
            </w:pPr>
            <w:r w:rsidRPr="00BD3832">
              <w:rPr>
                <w:sz w:val="20"/>
                <w:szCs w:val="20"/>
              </w:rPr>
              <w:t>Higher education</w:t>
            </w:r>
          </w:p>
        </w:tc>
        <w:tc>
          <w:tcPr>
            <w:tcW w:w="1800" w:type="dxa"/>
            <w:shd w:val="clear" w:color="auto" w:fill="FFFFFF" w:themeFill="background1"/>
            <w:noWrap/>
            <w:vAlign w:val="center"/>
            <w:hideMark/>
          </w:tcPr>
          <w:p w14:paraId="1CF2C168" w14:textId="602E6391" w:rsidR="007D2D75" w:rsidRPr="00BD3832" w:rsidRDefault="007D2D75" w:rsidP="00524A8F">
            <w:pPr>
              <w:jc w:val="center"/>
              <w:rPr>
                <w:strike/>
                <w:sz w:val="20"/>
                <w:szCs w:val="20"/>
              </w:rPr>
            </w:pPr>
            <w:r w:rsidRPr="00BD3832">
              <w:rPr>
                <w:sz w:val="20"/>
                <w:szCs w:val="20"/>
              </w:rPr>
              <w:t>69 (17.9)</w:t>
            </w:r>
          </w:p>
        </w:tc>
        <w:tc>
          <w:tcPr>
            <w:tcW w:w="2070" w:type="dxa"/>
            <w:shd w:val="clear" w:color="auto" w:fill="FFFFFF" w:themeFill="background1"/>
            <w:noWrap/>
            <w:vAlign w:val="center"/>
            <w:hideMark/>
          </w:tcPr>
          <w:p w14:paraId="27F28355" w14:textId="6EAE90D5" w:rsidR="007D2D75" w:rsidRPr="00BD3832" w:rsidRDefault="007D2D75" w:rsidP="00524A8F">
            <w:pPr>
              <w:jc w:val="center"/>
              <w:rPr>
                <w:sz w:val="20"/>
                <w:szCs w:val="20"/>
              </w:rPr>
            </w:pPr>
            <w:r w:rsidRPr="00BD3832">
              <w:rPr>
                <w:sz w:val="20"/>
                <w:szCs w:val="20"/>
              </w:rPr>
              <w:t>317 (82.1)</w:t>
            </w:r>
          </w:p>
        </w:tc>
        <w:tc>
          <w:tcPr>
            <w:tcW w:w="1350" w:type="dxa"/>
            <w:vMerge/>
            <w:shd w:val="clear" w:color="auto" w:fill="FFFFFF" w:themeFill="background1"/>
            <w:vAlign w:val="bottom"/>
          </w:tcPr>
          <w:p w14:paraId="1DA51179" w14:textId="77777777" w:rsidR="007D2D75" w:rsidRPr="00BD3832" w:rsidRDefault="007D2D75" w:rsidP="00524A8F">
            <w:pPr>
              <w:rPr>
                <w:sz w:val="20"/>
                <w:szCs w:val="20"/>
              </w:rPr>
            </w:pPr>
          </w:p>
        </w:tc>
        <w:tc>
          <w:tcPr>
            <w:tcW w:w="1980" w:type="dxa"/>
            <w:gridSpan w:val="2"/>
            <w:vMerge/>
            <w:shd w:val="clear" w:color="auto" w:fill="FFFFFF" w:themeFill="background1"/>
            <w:vAlign w:val="bottom"/>
          </w:tcPr>
          <w:p w14:paraId="609C0E45" w14:textId="77777777" w:rsidR="007D2D75" w:rsidRPr="00BD3832" w:rsidRDefault="007D2D75" w:rsidP="00524A8F">
            <w:pPr>
              <w:rPr>
                <w:sz w:val="20"/>
                <w:szCs w:val="20"/>
              </w:rPr>
            </w:pPr>
          </w:p>
        </w:tc>
      </w:tr>
      <w:tr w:rsidR="007D2D75" w:rsidRPr="00BD3832" w14:paraId="59B67FCE" w14:textId="77777777" w:rsidTr="00524A8F">
        <w:trPr>
          <w:trHeight w:val="332"/>
        </w:trPr>
        <w:tc>
          <w:tcPr>
            <w:tcW w:w="9360" w:type="dxa"/>
            <w:gridSpan w:val="6"/>
            <w:shd w:val="clear" w:color="auto" w:fill="FFFFFF" w:themeFill="background1"/>
            <w:noWrap/>
            <w:vAlign w:val="center"/>
            <w:hideMark/>
          </w:tcPr>
          <w:p w14:paraId="6964C3C0" w14:textId="77777777" w:rsidR="007D2D75" w:rsidRPr="00BD3832" w:rsidRDefault="007D2D75" w:rsidP="00524A8F">
            <w:pPr>
              <w:rPr>
                <w:b/>
                <w:sz w:val="20"/>
                <w:szCs w:val="20"/>
              </w:rPr>
            </w:pPr>
            <w:r w:rsidRPr="00BD3832">
              <w:rPr>
                <w:b/>
                <w:sz w:val="20"/>
                <w:szCs w:val="20"/>
              </w:rPr>
              <w:t>Occupational status</w:t>
            </w:r>
          </w:p>
        </w:tc>
      </w:tr>
      <w:tr w:rsidR="007D2D75" w:rsidRPr="00BD3832" w14:paraId="426A9FFD" w14:textId="77777777" w:rsidTr="00524A8F">
        <w:trPr>
          <w:trHeight w:val="521"/>
        </w:trPr>
        <w:tc>
          <w:tcPr>
            <w:tcW w:w="2160" w:type="dxa"/>
            <w:shd w:val="clear" w:color="auto" w:fill="FFFFFF" w:themeFill="background1"/>
            <w:noWrap/>
            <w:vAlign w:val="center"/>
            <w:hideMark/>
          </w:tcPr>
          <w:p w14:paraId="4951E09F" w14:textId="77777777" w:rsidR="007D2D75" w:rsidRPr="00BD3832" w:rsidRDefault="007D2D75" w:rsidP="00524A8F">
            <w:pPr>
              <w:rPr>
                <w:sz w:val="20"/>
                <w:szCs w:val="20"/>
              </w:rPr>
            </w:pPr>
            <w:r w:rsidRPr="00BD3832">
              <w:rPr>
                <w:sz w:val="20"/>
                <w:szCs w:val="20"/>
              </w:rPr>
              <w:t xml:space="preserve">Non-working </w:t>
            </w:r>
          </w:p>
        </w:tc>
        <w:tc>
          <w:tcPr>
            <w:tcW w:w="1800" w:type="dxa"/>
            <w:shd w:val="clear" w:color="auto" w:fill="FFFFFF" w:themeFill="background1"/>
            <w:noWrap/>
            <w:vAlign w:val="center"/>
            <w:hideMark/>
          </w:tcPr>
          <w:p w14:paraId="652304FB" w14:textId="77777777" w:rsidR="007D2D75" w:rsidRPr="00BD3832" w:rsidRDefault="007D2D75" w:rsidP="00524A8F">
            <w:pPr>
              <w:jc w:val="center"/>
              <w:rPr>
                <w:sz w:val="20"/>
                <w:szCs w:val="20"/>
              </w:rPr>
            </w:pPr>
            <w:r w:rsidRPr="00BD3832">
              <w:rPr>
                <w:sz w:val="20"/>
                <w:szCs w:val="20"/>
              </w:rPr>
              <w:t>14 (10.1)</w:t>
            </w:r>
          </w:p>
        </w:tc>
        <w:tc>
          <w:tcPr>
            <w:tcW w:w="2070" w:type="dxa"/>
            <w:shd w:val="clear" w:color="auto" w:fill="FFFFFF" w:themeFill="background1"/>
            <w:noWrap/>
            <w:vAlign w:val="center"/>
            <w:hideMark/>
          </w:tcPr>
          <w:p w14:paraId="0B830D7E" w14:textId="77777777" w:rsidR="007D2D75" w:rsidRPr="00BD3832" w:rsidRDefault="007D2D75" w:rsidP="00524A8F">
            <w:pPr>
              <w:jc w:val="center"/>
              <w:rPr>
                <w:sz w:val="20"/>
                <w:szCs w:val="20"/>
              </w:rPr>
            </w:pPr>
            <w:r w:rsidRPr="00BD3832">
              <w:rPr>
                <w:sz w:val="20"/>
                <w:szCs w:val="20"/>
              </w:rPr>
              <w:t>124 (89.9)</w:t>
            </w:r>
          </w:p>
        </w:tc>
        <w:tc>
          <w:tcPr>
            <w:tcW w:w="1350" w:type="dxa"/>
            <w:vMerge w:val="restart"/>
            <w:shd w:val="clear" w:color="auto" w:fill="FFFFFF" w:themeFill="background1"/>
            <w:vAlign w:val="center"/>
          </w:tcPr>
          <w:p w14:paraId="3DA95B5D" w14:textId="77777777" w:rsidR="007D2D75" w:rsidRPr="00BD3832" w:rsidRDefault="007D2D75" w:rsidP="00524A8F">
            <w:pPr>
              <w:jc w:val="center"/>
              <w:rPr>
                <w:sz w:val="20"/>
                <w:szCs w:val="20"/>
              </w:rPr>
            </w:pPr>
            <w:r w:rsidRPr="00BD3832">
              <w:rPr>
                <w:sz w:val="20"/>
                <w:szCs w:val="20"/>
              </w:rPr>
              <w:t>8.35</w:t>
            </w:r>
          </w:p>
        </w:tc>
        <w:tc>
          <w:tcPr>
            <w:tcW w:w="1980" w:type="dxa"/>
            <w:gridSpan w:val="2"/>
            <w:vMerge w:val="restart"/>
            <w:shd w:val="clear" w:color="auto" w:fill="FFFFFF" w:themeFill="background1"/>
            <w:vAlign w:val="center"/>
          </w:tcPr>
          <w:p w14:paraId="2522C84B" w14:textId="77777777" w:rsidR="007D2D75" w:rsidRPr="00BD3832" w:rsidRDefault="007D2D75" w:rsidP="00524A8F">
            <w:pPr>
              <w:jc w:val="center"/>
              <w:rPr>
                <w:sz w:val="20"/>
                <w:szCs w:val="20"/>
              </w:rPr>
            </w:pPr>
            <w:r w:rsidRPr="00BD3832">
              <w:rPr>
                <w:sz w:val="20"/>
                <w:szCs w:val="20"/>
              </w:rPr>
              <w:t>&lt;0.001</w:t>
            </w:r>
          </w:p>
        </w:tc>
      </w:tr>
      <w:tr w:rsidR="007D2D75" w:rsidRPr="00BD3832" w14:paraId="2B4C114C" w14:textId="77777777" w:rsidTr="00524A8F">
        <w:trPr>
          <w:trHeight w:val="332"/>
        </w:trPr>
        <w:tc>
          <w:tcPr>
            <w:tcW w:w="2160" w:type="dxa"/>
            <w:shd w:val="clear" w:color="auto" w:fill="FFFFFF" w:themeFill="background1"/>
            <w:noWrap/>
            <w:vAlign w:val="center"/>
            <w:hideMark/>
          </w:tcPr>
          <w:p w14:paraId="0F889656" w14:textId="77777777" w:rsidR="007D2D75" w:rsidRPr="00BD3832" w:rsidRDefault="007D2D75" w:rsidP="00524A8F">
            <w:pPr>
              <w:rPr>
                <w:sz w:val="20"/>
                <w:szCs w:val="20"/>
              </w:rPr>
            </w:pPr>
            <w:r w:rsidRPr="00BD3832">
              <w:rPr>
                <w:sz w:val="20"/>
                <w:szCs w:val="20"/>
              </w:rPr>
              <w:t xml:space="preserve">Working </w:t>
            </w:r>
          </w:p>
        </w:tc>
        <w:tc>
          <w:tcPr>
            <w:tcW w:w="1800" w:type="dxa"/>
            <w:shd w:val="clear" w:color="auto" w:fill="FFFFFF" w:themeFill="background1"/>
            <w:noWrap/>
            <w:vAlign w:val="center"/>
            <w:hideMark/>
          </w:tcPr>
          <w:p w14:paraId="05FC2A87" w14:textId="77777777" w:rsidR="007D2D75" w:rsidRPr="00BD3832" w:rsidRDefault="007D2D75" w:rsidP="00524A8F">
            <w:pPr>
              <w:jc w:val="center"/>
              <w:rPr>
                <w:sz w:val="20"/>
                <w:szCs w:val="20"/>
              </w:rPr>
            </w:pPr>
            <w:r w:rsidRPr="00BD3832">
              <w:rPr>
                <w:sz w:val="20"/>
                <w:szCs w:val="20"/>
              </w:rPr>
              <w:t>57 (21.8)</w:t>
            </w:r>
          </w:p>
        </w:tc>
        <w:tc>
          <w:tcPr>
            <w:tcW w:w="2070" w:type="dxa"/>
            <w:shd w:val="clear" w:color="auto" w:fill="FFFFFF" w:themeFill="background1"/>
            <w:noWrap/>
            <w:vAlign w:val="center"/>
            <w:hideMark/>
          </w:tcPr>
          <w:p w14:paraId="35F822E2" w14:textId="0E58768E" w:rsidR="007D2D75" w:rsidRPr="00BD3832" w:rsidRDefault="007D2D75" w:rsidP="00524A8F">
            <w:pPr>
              <w:jc w:val="center"/>
              <w:rPr>
                <w:sz w:val="20"/>
                <w:szCs w:val="20"/>
              </w:rPr>
            </w:pPr>
            <w:r w:rsidRPr="00BD3832">
              <w:rPr>
                <w:sz w:val="20"/>
                <w:szCs w:val="20"/>
              </w:rPr>
              <w:t>205 (78.2)</w:t>
            </w:r>
          </w:p>
        </w:tc>
        <w:tc>
          <w:tcPr>
            <w:tcW w:w="1350" w:type="dxa"/>
            <w:vMerge/>
            <w:shd w:val="clear" w:color="auto" w:fill="FFFFFF" w:themeFill="background1"/>
            <w:vAlign w:val="bottom"/>
          </w:tcPr>
          <w:p w14:paraId="0B5F0787" w14:textId="77777777" w:rsidR="007D2D75" w:rsidRPr="00BD3832" w:rsidRDefault="007D2D75" w:rsidP="00524A8F">
            <w:pPr>
              <w:rPr>
                <w:sz w:val="20"/>
                <w:szCs w:val="20"/>
              </w:rPr>
            </w:pPr>
          </w:p>
        </w:tc>
        <w:tc>
          <w:tcPr>
            <w:tcW w:w="1980" w:type="dxa"/>
            <w:gridSpan w:val="2"/>
            <w:vMerge/>
            <w:shd w:val="clear" w:color="auto" w:fill="FFFFFF" w:themeFill="background1"/>
            <w:vAlign w:val="bottom"/>
          </w:tcPr>
          <w:p w14:paraId="57B08E33" w14:textId="77777777" w:rsidR="007D2D75" w:rsidRPr="00BD3832" w:rsidRDefault="007D2D75" w:rsidP="00524A8F">
            <w:pPr>
              <w:rPr>
                <w:sz w:val="20"/>
                <w:szCs w:val="20"/>
              </w:rPr>
            </w:pPr>
          </w:p>
        </w:tc>
      </w:tr>
      <w:tr w:rsidR="007D2D75" w:rsidRPr="00BD3832" w14:paraId="5E74FB29" w14:textId="77777777" w:rsidTr="00524A8F">
        <w:trPr>
          <w:trHeight w:val="300"/>
        </w:trPr>
        <w:tc>
          <w:tcPr>
            <w:tcW w:w="9360" w:type="dxa"/>
            <w:gridSpan w:val="6"/>
            <w:shd w:val="clear" w:color="auto" w:fill="FFFFFF" w:themeFill="background1"/>
            <w:noWrap/>
            <w:vAlign w:val="bottom"/>
            <w:hideMark/>
          </w:tcPr>
          <w:p w14:paraId="20405120" w14:textId="77777777" w:rsidR="007D2D75" w:rsidRPr="00BD3832" w:rsidRDefault="007D2D75" w:rsidP="00524A8F">
            <w:pPr>
              <w:rPr>
                <w:b/>
                <w:sz w:val="20"/>
                <w:szCs w:val="20"/>
              </w:rPr>
            </w:pPr>
            <w:r w:rsidRPr="00BD3832">
              <w:rPr>
                <w:b/>
                <w:sz w:val="20"/>
                <w:szCs w:val="20"/>
              </w:rPr>
              <w:t>Socio-economic condition</w:t>
            </w:r>
          </w:p>
        </w:tc>
      </w:tr>
      <w:tr w:rsidR="007D2D75" w:rsidRPr="00BD3832" w14:paraId="69E015E7" w14:textId="77777777" w:rsidTr="00524A8F">
        <w:trPr>
          <w:trHeight w:val="300"/>
        </w:trPr>
        <w:tc>
          <w:tcPr>
            <w:tcW w:w="2160" w:type="dxa"/>
            <w:shd w:val="clear" w:color="auto" w:fill="FFFFFF" w:themeFill="background1"/>
            <w:noWrap/>
            <w:vAlign w:val="center"/>
            <w:hideMark/>
          </w:tcPr>
          <w:p w14:paraId="48D4391F" w14:textId="77777777" w:rsidR="007D2D75" w:rsidRPr="00BD3832" w:rsidRDefault="007D2D75" w:rsidP="00524A8F">
            <w:pPr>
              <w:rPr>
                <w:sz w:val="20"/>
                <w:szCs w:val="20"/>
              </w:rPr>
            </w:pPr>
            <w:r w:rsidRPr="00BD3832">
              <w:rPr>
                <w:sz w:val="20"/>
                <w:szCs w:val="20"/>
              </w:rPr>
              <w:t>Low and middle income</w:t>
            </w:r>
          </w:p>
        </w:tc>
        <w:tc>
          <w:tcPr>
            <w:tcW w:w="1800" w:type="dxa"/>
            <w:shd w:val="clear" w:color="auto" w:fill="FFFFFF" w:themeFill="background1"/>
            <w:noWrap/>
            <w:vAlign w:val="center"/>
            <w:hideMark/>
          </w:tcPr>
          <w:p w14:paraId="10A04350" w14:textId="77777777" w:rsidR="007D2D75" w:rsidRPr="00BD3832" w:rsidRDefault="007D2D75" w:rsidP="00524A8F">
            <w:pPr>
              <w:jc w:val="center"/>
              <w:rPr>
                <w:sz w:val="20"/>
                <w:szCs w:val="20"/>
              </w:rPr>
            </w:pPr>
            <w:r w:rsidRPr="00BD3832">
              <w:rPr>
                <w:sz w:val="20"/>
                <w:szCs w:val="20"/>
              </w:rPr>
              <w:t>4 (16.7)</w:t>
            </w:r>
          </w:p>
        </w:tc>
        <w:tc>
          <w:tcPr>
            <w:tcW w:w="2070" w:type="dxa"/>
            <w:shd w:val="clear" w:color="auto" w:fill="FFFFFF" w:themeFill="background1"/>
            <w:noWrap/>
            <w:vAlign w:val="center"/>
            <w:hideMark/>
          </w:tcPr>
          <w:p w14:paraId="6F4320DD" w14:textId="77777777" w:rsidR="007D2D75" w:rsidRPr="00BD3832" w:rsidRDefault="007D2D75" w:rsidP="00524A8F">
            <w:pPr>
              <w:jc w:val="center"/>
              <w:rPr>
                <w:sz w:val="20"/>
                <w:szCs w:val="20"/>
              </w:rPr>
            </w:pPr>
            <w:r w:rsidRPr="00BD3832">
              <w:rPr>
                <w:sz w:val="20"/>
                <w:szCs w:val="20"/>
              </w:rPr>
              <w:t>20 (83.3)</w:t>
            </w:r>
          </w:p>
        </w:tc>
        <w:tc>
          <w:tcPr>
            <w:tcW w:w="1350" w:type="dxa"/>
            <w:vMerge w:val="restart"/>
            <w:shd w:val="clear" w:color="auto" w:fill="FFFFFF" w:themeFill="background1"/>
            <w:vAlign w:val="center"/>
          </w:tcPr>
          <w:p w14:paraId="7D509F17" w14:textId="77777777" w:rsidR="007D2D75" w:rsidRPr="00BD3832" w:rsidRDefault="007D2D75" w:rsidP="00524A8F">
            <w:pPr>
              <w:spacing w:line="276" w:lineRule="auto"/>
              <w:jc w:val="center"/>
              <w:rPr>
                <w:sz w:val="20"/>
                <w:szCs w:val="20"/>
              </w:rPr>
            </w:pPr>
            <w:r w:rsidRPr="00BD3832">
              <w:rPr>
                <w:sz w:val="20"/>
                <w:szCs w:val="20"/>
              </w:rPr>
              <w:t>0.021</w:t>
            </w:r>
          </w:p>
        </w:tc>
        <w:tc>
          <w:tcPr>
            <w:tcW w:w="1980" w:type="dxa"/>
            <w:gridSpan w:val="2"/>
            <w:vMerge w:val="restart"/>
            <w:shd w:val="clear" w:color="auto" w:fill="FFFFFF" w:themeFill="background1"/>
            <w:vAlign w:val="center"/>
          </w:tcPr>
          <w:p w14:paraId="18F42946" w14:textId="77777777" w:rsidR="007D2D75" w:rsidRPr="00BD3832" w:rsidRDefault="007D2D75" w:rsidP="00524A8F">
            <w:pPr>
              <w:spacing w:line="276" w:lineRule="auto"/>
              <w:jc w:val="center"/>
              <w:rPr>
                <w:sz w:val="20"/>
                <w:szCs w:val="20"/>
              </w:rPr>
            </w:pPr>
            <w:r w:rsidRPr="00BD3832">
              <w:rPr>
                <w:sz w:val="20"/>
                <w:szCs w:val="20"/>
              </w:rPr>
              <w:t>0.218</w:t>
            </w:r>
          </w:p>
        </w:tc>
      </w:tr>
      <w:tr w:rsidR="007D2D75" w:rsidRPr="00BD3832" w14:paraId="5609ABE7" w14:textId="77777777" w:rsidTr="00524A8F">
        <w:trPr>
          <w:trHeight w:val="300"/>
        </w:trPr>
        <w:tc>
          <w:tcPr>
            <w:tcW w:w="2160" w:type="dxa"/>
            <w:shd w:val="clear" w:color="auto" w:fill="FFFFFF" w:themeFill="background1"/>
            <w:noWrap/>
            <w:vAlign w:val="center"/>
            <w:hideMark/>
          </w:tcPr>
          <w:p w14:paraId="54B536F4" w14:textId="77777777" w:rsidR="007D2D75" w:rsidRPr="00BD3832" w:rsidRDefault="007D2D75" w:rsidP="00524A8F">
            <w:pPr>
              <w:rPr>
                <w:sz w:val="20"/>
                <w:szCs w:val="20"/>
              </w:rPr>
            </w:pPr>
            <w:r w:rsidRPr="00BD3832">
              <w:rPr>
                <w:sz w:val="20"/>
                <w:szCs w:val="20"/>
              </w:rPr>
              <w:t>Upper and high income</w:t>
            </w:r>
          </w:p>
        </w:tc>
        <w:tc>
          <w:tcPr>
            <w:tcW w:w="1800" w:type="dxa"/>
            <w:shd w:val="clear" w:color="auto" w:fill="FFFFFF" w:themeFill="background1"/>
            <w:noWrap/>
            <w:vAlign w:val="center"/>
            <w:hideMark/>
          </w:tcPr>
          <w:p w14:paraId="470A0808" w14:textId="3954FDB9" w:rsidR="007D2D75" w:rsidRPr="00BD3832" w:rsidRDefault="007D2D75" w:rsidP="00524A8F">
            <w:pPr>
              <w:jc w:val="center"/>
              <w:rPr>
                <w:sz w:val="20"/>
                <w:szCs w:val="20"/>
              </w:rPr>
            </w:pPr>
            <w:r w:rsidRPr="00BD3832">
              <w:rPr>
                <w:sz w:val="20"/>
                <w:szCs w:val="20"/>
              </w:rPr>
              <w:t>67(17.8)</w:t>
            </w:r>
          </w:p>
        </w:tc>
        <w:tc>
          <w:tcPr>
            <w:tcW w:w="2070" w:type="dxa"/>
            <w:shd w:val="clear" w:color="auto" w:fill="FFFFFF" w:themeFill="background1"/>
            <w:noWrap/>
            <w:vAlign w:val="center"/>
            <w:hideMark/>
          </w:tcPr>
          <w:p w14:paraId="66E2E921" w14:textId="72C8ECD7" w:rsidR="007D2D75" w:rsidRPr="00BD3832" w:rsidRDefault="007D2D75" w:rsidP="00524A8F">
            <w:pPr>
              <w:jc w:val="center"/>
              <w:rPr>
                <w:sz w:val="20"/>
                <w:szCs w:val="20"/>
              </w:rPr>
            </w:pPr>
            <w:r w:rsidRPr="00BD3832">
              <w:rPr>
                <w:sz w:val="20"/>
                <w:szCs w:val="20"/>
              </w:rPr>
              <w:t>309(82.2)</w:t>
            </w:r>
          </w:p>
        </w:tc>
        <w:tc>
          <w:tcPr>
            <w:tcW w:w="1350" w:type="dxa"/>
            <w:vMerge/>
            <w:shd w:val="clear" w:color="auto" w:fill="FFFFFF" w:themeFill="background1"/>
            <w:vAlign w:val="bottom"/>
          </w:tcPr>
          <w:p w14:paraId="2A16891B" w14:textId="77777777" w:rsidR="007D2D75" w:rsidRPr="00BD3832" w:rsidRDefault="007D2D75" w:rsidP="00524A8F">
            <w:pPr>
              <w:jc w:val="center"/>
              <w:rPr>
                <w:sz w:val="20"/>
                <w:szCs w:val="20"/>
              </w:rPr>
            </w:pPr>
          </w:p>
        </w:tc>
        <w:tc>
          <w:tcPr>
            <w:tcW w:w="1980" w:type="dxa"/>
            <w:gridSpan w:val="2"/>
            <w:vMerge/>
            <w:shd w:val="clear" w:color="auto" w:fill="FFFFFF" w:themeFill="background1"/>
            <w:vAlign w:val="bottom"/>
          </w:tcPr>
          <w:p w14:paraId="3D969CC9" w14:textId="77777777" w:rsidR="007D2D75" w:rsidRPr="00BD3832" w:rsidRDefault="007D2D75" w:rsidP="00524A8F">
            <w:pPr>
              <w:rPr>
                <w:sz w:val="20"/>
                <w:szCs w:val="20"/>
              </w:rPr>
            </w:pPr>
          </w:p>
        </w:tc>
      </w:tr>
      <w:tr w:rsidR="007D2D75" w:rsidRPr="00BD3832" w14:paraId="4C1C4B55" w14:textId="77777777" w:rsidTr="00524A8F">
        <w:trPr>
          <w:trHeight w:val="300"/>
        </w:trPr>
        <w:tc>
          <w:tcPr>
            <w:tcW w:w="9360" w:type="dxa"/>
            <w:gridSpan w:val="6"/>
            <w:shd w:val="clear" w:color="auto" w:fill="FFFFFF" w:themeFill="background1"/>
            <w:noWrap/>
            <w:vAlign w:val="center"/>
            <w:hideMark/>
          </w:tcPr>
          <w:p w14:paraId="4C149170" w14:textId="77777777" w:rsidR="007D2D75" w:rsidRPr="00BD3832" w:rsidRDefault="007D2D75" w:rsidP="00524A8F">
            <w:pPr>
              <w:rPr>
                <w:b/>
                <w:sz w:val="20"/>
                <w:szCs w:val="20"/>
              </w:rPr>
            </w:pPr>
            <w:r w:rsidRPr="00BD3832">
              <w:rPr>
                <w:b/>
                <w:sz w:val="20"/>
                <w:szCs w:val="20"/>
              </w:rPr>
              <w:t>Religion</w:t>
            </w:r>
          </w:p>
        </w:tc>
      </w:tr>
      <w:tr w:rsidR="007D2D75" w:rsidRPr="00BD3832" w14:paraId="1719C3FC" w14:textId="77777777" w:rsidTr="00524A8F">
        <w:trPr>
          <w:trHeight w:val="300"/>
        </w:trPr>
        <w:tc>
          <w:tcPr>
            <w:tcW w:w="2160" w:type="dxa"/>
            <w:shd w:val="clear" w:color="auto" w:fill="FFFFFF" w:themeFill="background1"/>
            <w:noWrap/>
            <w:vAlign w:val="center"/>
            <w:hideMark/>
          </w:tcPr>
          <w:p w14:paraId="7482C6F4" w14:textId="505CDC3C" w:rsidR="007D2D75" w:rsidRPr="00BD3832" w:rsidRDefault="007D2D75" w:rsidP="00524A8F">
            <w:pPr>
              <w:rPr>
                <w:sz w:val="20"/>
                <w:szCs w:val="20"/>
              </w:rPr>
            </w:pPr>
            <w:r w:rsidRPr="00BD3832">
              <w:rPr>
                <w:sz w:val="20"/>
                <w:szCs w:val="20"/>
              </w:rPr>
              <w:t>Muslims</w:t>
            </w:r>
          </w:p>
        </w:tc>
        <w:tc>
          <w:tcPr>
            <w:tcW w:w="1800" w:type="dxa"/>
            <w:shd w:val="clear" w:color="auto" w:fill="FFFFFF" w:themeFill="background1"/>
            <w:noWrap/>
            <w:vAlign w:val="center"/>
            <w:hideMark/>
          </w:tcPr>
          <w:p w14:paraId="58177EFE" w14:textId="77777777" w:rsidR="007D2D75" w:rsidRPr="00BD3832" w:rsidRDefault="007D2D75" w:rsidP="00524A8F">
            <w:pPr>
              <w:jc w:val="center"/>
              <w:rPr>
                <w:sz w:val="20"/>
                <w:szCs w:val="20"/>
              </w:rPr>
            </w:pPr>
            <w:r w:rsidRPr="00BD3832">
              <w:rPr>
                <w:sz w:val="20"/>
                <w:szCs w:val="20"/>
              </w:rPr>
              <w:t>65 (17.2)</w:t>
            </w:r>
          </w:p>
        </w:tc>
        <w:tc>
          <w:tcPr>
            <w:tcW w:w="2070" w:type="dxa"/>
            <w:shd w:val="clear" w:color="auto" w:fill="FFFFFF" w:themeFill="background1"/>
            <w:noWrap/>
            <w:vAlign w:val="center"/>
            <w:hideMark/>
          </w:tcPr>
          <w:p w14:paraId="186FB5F6" w14:textId="77777777" w:rsidR="007D2D75" w:rsidRPr="00BD3832" w:rsidRDefault="007D2D75" w:rsidP="00524A8F">
            <w:pPr>
              <w:jc w:val="center"/>
              <w:rPr>
                <w:sz w:val="20"/>
                <w:szCs w:val="20"/>
              </w:rPr>
            </w:pPr>
            <w:r w:rsidRPr="00BD3832">
              <w:rPr>
                <w:sz w:val="20"/>
                <w:szCs w:val="20"/>
              </w:rPr>
              <w:t>313 (82.8)</w:t>
            </w:r>
          </w:p>
        </w:tc>
        <w:tc>
          <w:tcPr>
            <w:tcW w:w="1350" w:type="dxa"/>
            <w:vMerge w:val="restart"/>
            <w:shd w:val="clear" w:color="auto" w:fill="FFFFFF" w:themeFill="background1"/>
            <w:vAlign w:val="center"/>
          </w:tcPr>
          <w:p w14:paraId="10A4501F" w14:textId="77777777" w:rsidR="007D2D75" w:rsidRPr="00BD3832" w:rsidRDefault="007D2D75" w:rsidP="00524A8F">
            <w:pPr>
              <w:jc w:val="center"/>
              <w:rPr>
                <w:sz w:val="20"/>
                <w:szCs w:val="20"/>
              </w:rPr>
            </w:pPr>
            <w:r w:rsidRPr="00BD3832">
              <w:rPr>
                <w:sz w:val="20"/>
                <w:szCs w:val="20"/>
              </w:rPr>
              <w:t>1.44</w:t>
            </w:r>
          </w:p>
        </w:tc>
        <w:tc>
          <w:tcPr>
            <w:tcW w:w="1980" w:type="dxa"/>
            <w:gridSpan w:val="2"/>
            <w:vMerge w:val="restart"/>
            <w:shd w:val="clear" w:color="auto" w:fill="FFFFFF" w:themeFill="background1"/>
            <w:vAlign w:val="center"/>
          </w:tcPr>
          <w:p w14:paraId="0AA2801E" w14:textId="77777777" w:rsidR="007D2D75" w:rsidRPr="00BD3832" w:rsidRDefault="007D2D75" w:rsidP="00524A8F">
            <w:pPr>
              <w:jc w:val="center"/>
              <w:rPr>
                <w:sz w:val="20"/>
                <w:szCs w:val="20"/>
              </w:rPr>
            </w:pPr>
            <w:r w:rsidRPr="00BD3832">
              <w:rPr>
                <w:sz w:val="20"/>
                <w:szCs w:val="20"/>
              </w:rPr>
              <w:t>0.102</w:t>
            </w:r>
          </w:p>
        </w:tc>
      </w:tr>
      <w:tr w:rsidR="007D2D75" w:rsidRPr="00BD3832" w14:paraId="247B2C36" w14:textId="77777777" w:rsidTr="00524A8F">
        <w:trPr>
          <w:trHeight w:val="300"/>
        </w:trPr>
        <w:tc>
          <w:tcPr>
            <w:tcW w:w="2160" w:type="dxa"/>
            <w:shd w:val="clear" w:color="auto" w:fill="FFFFFF" w:themeFill="background1"/>
            <w:noWrap/>
            <w:vAlign w:val="center"/>
            <w:hideMark/>
          </w:tcPr>
          <w:p w14:paraId="21F5AE8F" w14:textId="77777777" w:rsidR="007D2D75" w:rsidRPr="00BD3832" w:rsidRDefault="007D2D75" w:rsidP="00524A8F">
            <w:pPr>
              <w:rPr>
                <w:sz w:val="20"/>
                <w:szCs w:val="20"/>
              </w:rPr>
            </w:pPr>
            <w:r w:rsidRPr="00BD3832">
              <w:rPr>
                <w:sz w:val="20"/>
                <w:szCs w:val="20"/>
              </w:rPr>
              <w:t>Hindu and others</w:t>
            </w:r>
          </w:p>
        </w:tc>
        <w:tc>
          <w:tcPr>
            <w:tcW w:w="1800" w:type="dxa"/>
            <w:shd w:val="clear" w:color="auto" w:fill="FFFFFF" w:themeFill="background1"/>
            <w:noWrap/>
            <w:vAlign w:val="center"/>
            <w:hideMark/>
          </w:tcPr>
          <w:p w14:paraId="69365720" w14:textId="77777777" w:rsidR="007D2D75" w:rsidRPr="00BD3832" w:rsidRDefault="007D2D75" w:rsidP="00524A8F">
            <w:pPr>
              <w:jc w:val="center"/>
              <w:rPr>
                <w:sz w:val="20"/>
                <w:szCs w:val="20"/>
              </w:rPr>
            </w:pPr>
            <w:r w:rsidRPr="00BD3832">
              <w:rPr>
                <w:sz w:val="20"/>
                <w:szCs w:val="20"/>
              </w:rPr>
              <w:t>6 (27.3)</w:t>
            </w:r>
          </w:p>
        </w:tc>
        <w:tc>
          <w:tcPr>
            <w:tcW w:w="2070" w:type="dxa"/>
            <w:shd w:val="clear" w:color="auto" w:fill="FFFFFF" w:themeFill="background1"/>
            <w:noWrap/>
            <w:vAlign w:val="center"/>
            <w:hideMark/>
          </w:tcPr>
          <w:p w14:paraId="64B942C9" w14:textId="77777777" w:rsidR="007D2D75" w:rsidRPr="00BD3832" w:rsidRDefault="007D2D75" w:rsidP="00524A8F">
            <w:pPr>
              <w:jc w:val="center"/>
              <w:rPr>
                <w:sz w:val="20"/>
                <w:szCs w:val="20"/>
              </w:rPr>
            </w:pPr>
            <w:r w:rsidRPr="00BD3832">
              <w:rPr>
                <w:sz w:val="20"/>
                <w:szCs w:val="20"/>
              </w:rPr>
              <w:t>16 (72.7)</w:t>
            </w:r>
          </w:p>
        </w:tc>
        <w:tc>
          <w:tcPr>
            <w:tcW w:w="1350" w:type="dxa"/>
            <w:vMerge/>
            <w:shd w:val="clear" w:color="auto" w:fill="FFFFFF" w:themeFill="background1"/>
            <w:vAlign w:val="bottom"/>
          </w:tcPr>
          <w:p w14:paraId="324402E5" w14:textId="77777777" w:rsidR="007D2D75" w:rsidRPr="00BD3832" w:rsidRDefault="007D2D75" w:rsidP="00524A8F">
            <w:pPr>
              <w:jc w:val="center"/>
              <w:rPr>
                <w:sz w:val="20"/>
                <w:szCs w:val="20"/>
              </w:rPr>
            </w:pPr>
          </w:p>
        </w:tc>
        <w:tc>
          <w:tcPr>
            <w:tcW w:w="1980" w:type="dxa"/>
            <w:gridSpan w:val="2"/>
            <w:vMerge/>
            <w:shd w:val="clear" w:color="auto" w:fill="FFFFFF" w:themeFill="background1"/>
            <w:vAlign w:val="bottom"/>
          </w:tcPr>
          <w:p w14:paraId="762FD7EA" w14:textId="77777777" w:rsidR="007D2D75" w:rsidRPr="00BD3832" w:rsidRDefault="007D2D75" w:rsidP="00524A8F">
            <w:pPr>
              <w:rPr>
                <w:sz w:val="20"/>
                <w:szCs w:val="20"/>
              </w:rPr>
            </w:pPr>
          </w:p>
        </w:tc>
      </w:tr>
    </w:tbl>
    <w:p w14:paraId="6084F792" w14:textId="681A847D" w:rsidR="007D2D75" w:rsidRPr="00BD3832" w:rsidRDefault="007D2D75" w:rsidP="00A94A56">
      <w:pPr>
        <w:widowControl w:val="0"/>
        <w:overflowPunct w:val="0"/>
        <w:autoSpaceDE w:val="0"/>
        <w:autoSpaceDN w:val="0"/>
        <w:adjustRightInd w:val="0"/>
        <w:jc w:val="both"/>
        <w:rPr>
          <w:bCs/>
          <w:szCs w:val="22"/>
        </w:rPr>
      </w:pPr>
    </w:p>
    <w:p w14:paraId="5C599131" w14:textId="77777777" w:rsidR="007D2D75" w:rsidRPr="00BD3832" w:rsidRDefault="007D2D75" w:rsidP="00A94A56">
      <w:pPr>
        <w:widowControl w:val="0"/>
        <w:overflowPunct w:val="0"/>
        <w:autoSpaceDE w:val="0"/>
        <w:autoSpaceDN w:val="0"/>
        <w:adjustRightInd w:val="0"/>
        <w:jc w:val="both"/>
        <w:rPr>
          <w:b/>
        </w:rPr>
      </w:pPr>
    </w:p>
    <w:p w14:paraId="731CDBBA" w14:textId="77777777" w:rsidR="00BD3832" w:rsidRPr="00BD3832" w:rsidRDefault="00BD3832">
      <w:pPr>
        <w:spacing w:line="240" w:lineRule="auto"/>
        <w:rPr>
          <w:b/>
          <w:bCs/>
          <w:szCs w:val="22"/>
        </w:rPr>
      </w:pPr>
      <w:r w:rsidRPr="00BD3832">
        <w:rPr>
          <w:b/>
          <w:bCs/>
          <w:szCs w:val="22"/>
        </w:rPr>
        <w:br w:type="page"/>
      </w:r>
    </w:p>
    <w:p w14:paraId="7A6747BF" w14:textId="6832776F" w:rsidR="00011EB3" w:rsidRPr="00BD3832" w:rsidRDefault="009F1BF8" w:rsidP="00A94A56">
      <w:pPr>
        <w:jc w:val="both"/>
        <w:rPr>
          <w:b/>
          <w:bCs/>
          <w:szCs w:val="22"/>
        </w:rPr>
      </w:pPr>
      <w:r w:rsidRPr="00BD3832">
        <w:rPr>
          <w:b/>
          <w:bCs/>
          <w:szCs w:val="22"/>
        </w:rPr>
        <w:lastRenderedPageBreak/>
        <w:t>Table 2.</w:t>
      </w:r>
      <w:r w:rsidRPr="00BD3832">
        <w:t xml:space="preserve"> </w:t>
      </w:r>
      <w:r w:rsidRPr="00BD3832">
        <w:rPr>
          <w:b/>
          <w:bCs/>
          <w:szCs w:val="22"/>
        </w:rPr>
        <w:t>Parental knowledge &amp; perception scores by socio-demographic characteristics</w:t>
      </w:r>
    </w:p>
    <w:tbl>
      <w:tblPr>
        <w:tblW w:w="9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155"/>
        <w:gridCol w:w="866"/>
        <w:gridCol w:w="1116"/>
        <w:gridCol w:w="866"/>
        <w:gridCol w:w="222"/>
        <w:gridCol w:w="1016"/>
        <w:gridCol w:w="1116"/>
        <w:gridCol w:w="866"/>
        <w:gridCol w:w="672"/>
      </w:tblGrid>
      <w:tr w:rsidR="007D2D75" w:rsidRPr="00BD3832" w14:paraId="71F825CA" w14:textId="77777777" w:rsidTr="00524A8F">
        <w:trPr>
          <w:trHeight w:val="611"/>
        </w:trPr>
        <w:tc>
          <w:tcPr>
            <w:tcW w:w="3155" w:type="dxa"/>
            <w:vMerge w:val="restart"/>
            <w:shd w:val="clear" w:color="auto" w:fill="FFFFFF" w:themeFill="background1"/>
            <w:noWrap/>
            <w:vAlign w:val="center"/>
            <w:hideMark/>
          </w:tcPr>
          <w:p w14:paraId="5D35800A" w14:textId="77777777" w:rsidR="007D2D75" w:rsidRPr="00BD3832" w:rsidRDefault="007D2D75" w:rsidP="00524A8F">
            <w:pPr>
              <w:rPr>
                <w:bCs/>
                <w:sz w:val="20"/>
                <w:szCs w:val="20"/>
              </w:rPr>
            </w:pPr>
            <w:r w:rsidRPr="00BD3832">
              <w:rPr>
                <w:b/>
                <w:bCs/>
                <w:sz w:val="20"/>
                <w:szCs w:val="20"/>
              </w:rPr>
              <w:t xml:space="preserve">Characteristics </w:t>
            </w:r>
          </w:p>
        </w:tc>
        <w:tc>
          <w:tcPr>
            <w:tcW w:w="2848" w:type="dxa"/>
            <w:gridSpan w:val="3"/>
            <w:shd w:val="clear" w:color="auto" w:fill="FFFFFF" w:themeFill="background1"/>
            <w:vAlign w:val="center"/>
          </w:tcPr>
          <w:p w14:paraId="687DE010" w14:textId="77777777" w:rsidR="007D2D75" w:rsidRPr="00BD3832" w:rsidRDefault="007D2D75" w:rsidP="00524A8F">
            <w:pPr>
              <w:jc w:val="center"/>
              <w:rPr>
                <w:b/>
                <w:bCs/>
                <w:sz w:val="20"/>
                <w:szCs w:val="20"/>
              </w:rPr>
            </w:pPr>
            <w:r w:rsidRPr="00BD3832">
              <w:rPr>
                <w:b/>
                <w:bCs/>
                <w:sz w:val="20"/>
                <w:szCs w:val="20"/>
              </w:rPr>
              <w:t>Knowledge level</w:t>
            </w:r>
          </w:p>
          <w:p w14:paraId="4009BD40" w14:textId="77777777" w:rsidR="007D2D75" w:rsidRPr="00BD3832" w:rsidRDefault="007D2D75" w:rsidP="00524A8F">
            <w:pPr>
              <w:rPr>
                <w:b/>
                <w:sz w:val="20"/>
                <w:szCs w:val="20"/>
              </w:rPr>
            </w:pPr>
            <w:r w:rsidRPr="00BD3832" w:rsidDel="00076658">
              <w:rPr>
                <w:b/>
                <w:bCs/>
                <w:sz w:val="20"/>
                <w:szCs w:val="20"/>
              </w:rPr>
              <w:t xml:space="preserve"> </w:t>
            </w:r>
          </w:p>
        </w:tc>
        <w:tc>
          <w:tcPr>
            <w:tcW w:w="236" w:type="dxa"/>
            <w:shd w:val="clear" w:color="auto" w:fill="FFFFFF" w:themeFill="background1"/>
          </w:tcPr>
          <w:p w14:paraId="50AE0841" w14:textId="77777777" w:rsidR="007D2D75" w:rsidRPr="00BD3832" w:rsidRDefault="007D2D75" w:rsidP="00524A8F">
            <w:pPr>
              <w:jc w:val="center"/>
              <w:rPr>
                <w:b/>
                <w:bCs/>
                <w:sz w:val="20"/>
                <w:szCs w:val="20"/>
              </w:rPr>
            </w:pPr>
          </w:p>
        </w:tc>
        <w:tc>
          <w:tcPr>
            <w:tcW w:w="3656" w:type="dxa"/>
            <w:gridSpan w:val="4"/>
            <w:shd w:val="clear" w:color="auto" w:fill="FFFFFF" w:themeFill="background1"/>
            <w:vAlign w:val="center"/>
            <w:hideMark/>
          </w:tcPr>
          <w:p w14:paraId="3F7F94CF" w14:textId="77777777" w:rsidR="007D2D75" w:rsidRPr="00BD3832" w:rsidRDefault="007D2D75" w:rsidP="00524A8F">
            <w:pPr>
              <w:jc w:val="center"/>
              <w:rPr>
                <w:b/>
                <w:bCs/>
                <w:sz w:val="20"/>
                <w:szCs w:val="20"/>
              </w:rPr>
            </w:pPr>
            <w:r w:rsidRPr="00BD3832">
              <w:rPr>
                <w:b/>
                <w:bCs/>
                <w:sz w:val="20"/>
                <w:szCs w:val="20"/>
              </w:rPr>
              <w:t>Perception level</w:t>
            </w:r>
          </w:p>
          <w:p w14:paraId="1C7C91F5" w14:textId="77777777" w:rsidR="007D2D75" w:rsidRPr="00BD3832" w:rsidRDefault="007D2D75" w:rsidP="00524A8F">
            <w:pPr>
              <w:jc w:val="center"/>
              <w:rPr>
                <w:b/>
                <w:bCs/>
                <w:sz w:val="20"/>
                <w:szCs w:val="20"/>
              </w:rPr>
            </w:pPr>
          </w:p>
        </w:tc>
      </w:tr>
      <w:tr w:rsidR="007D2D75" w:rsidRPr="00BD3832" w14:paraId="78D467C4" w14:textId="77777777" w:rsidTr="00524A8F">
        <w:trPr>
          <w:trHeight w:val="602"/>
        </w:trPr>
        <w:tc>
          <w:tcPr>
            <w:tcW w:w="0" w:type="auto"/>
            <w:vMerge/>
            <w:shd w:val="clear" w:color="auto" w:fill="FFFFFF" w:themeFill="background1"/>
            <w:noWrap/>
            <w:vAlign w:val="center"/>
            <w:hideMark/>
          </w:tcPr>
          <w:p w14:paraId="57CEA2A7" w14:textId="77777777" w:rsidR="007D2D75" w:rsidRPr="00BD3832" w:rsidRDefault="007D2D75" w:rsidP="00524A8F">
            <w:pPr>
              <w:jc w:val="center"/>
              <w:rPr>
                <w:b/>
                <w:bCs/>
                <w:sz w:val="20"/>
                <w:szCs w:val="20"/>
              </w:rPr>
            </w:pPr>
          </w:p>
        </w:tc>
        <w:tc>
          <w:tcPr>
            <w:tcW w:w="0" w:type="auto"/>
            <w:shd w:val="clear" w:color="auto" w:fill="FFFFFF" w:themeFill="background1"/>
            <w:vAlign w:val="center"/>
          </w:tcPr>
          <w:p w14:paraId="2D42CCA4" w14:textId="77777777" w:rsidR="007D2D75" w:rsidRPr="00BD3832" w:rsidRDefault="007D2D75" w:rsidP="00524A8F">
            <w:pPr>
              <w:jc w:val="center"/>
              <w:rPr>
                <w:bCs/>
                <w:sz w:val="20"/>
                <w:szCs w:val="20"/>
              </w:rPr>
            </w:pPr>
            <w:r w:rsidRPr="00BD3832">
              <w:rPr>
                <w:bCs/>
                <w:sz w:val="20"/>
                <w:szCs w:val="20"/>
              </w:rPr>
              <w:t>Poor</w:t>
            </w:r>
          </w:p>
          <w:p w14:paraId="76B17F99" w14:textId="77777777" w:rsidR="007D2D75" w:rsidRPr="00BD3832" w:rsidRDefault="007D2D75" w:rsidP="00524A8F">
            <w:pPr>
              <w:jc w:val="center"/>
              <w:rPr>
                <w:bCs/>
                <w:sz w:val="20"/>
                <w:szCs w:val="20"/>
              </w:rPr>
            </w:pPr>
            <w:r w:rsidRPr="00BD3832">
              <w:rPr>
                <w:rFonts w:eastAsia="Calibri"/>
                <w:sz w:val="20"/>
                <w:szCs w:val="20"/>
              </w:rPr>
              <w:t>(&lt; 50% score)</w:t>
            </w:r>
          </w:p>
        </w:tc>
        <w:tc>
          <w:tcPr>
            <w:tcW w:w="0" w:type="auto"/>
            <w:shd w:val="clear" w:color="auto" w:fill="FFFFFF" w:themeFill="background1"/>
            <w:vAlign w:val="center"/>
          </w:tcPr>
          <w:p w14:paraId="1279107D" w14:textId="77777777" w:rsidR="007D2D75" w:rsidRPr="00BD3832" w:rsidRDefault="007D2D75" w:rsidP="00524A8F">
            <w:pPr>
              <w:jc w:val="center"/>
              <w:rPr>
                <w:bCs/>
                <w:sz w:val="20"/>
                <w:szCs w:val="20"/>
              </w:rPr>
            </w:pPr>
            <w:r w:rsidRPr="00BD3832">
              <w:rPr>
                <w:bCs/>
                <w:sz w:val="20"/>
                <w:szCs w:val="20"/>
              </w:rPr>
              <w:t>Moderate</w:t>
            </w:r>
          </w:p>
          <w:p w14:paraId="497A4149" w14:textId="77777777" w:rsidR="007D2D75" w:rsidRPr="00BD3832" w:rsidRDefault="007D2D75" w:rsidP="00524A8F">
            <w:pPr>
              <w:jc w:val="center"/>
              <w:rPr>
                <w:bCs/>
                <w:sz w:val="20"/>
                <w:szCs w:val="20"/>
              </w:rPr>
            </w:pPr>
            <w:r w:rsidRPr="00BD3832">
              <w:rPr>
                <w:bCs/>
                <w:sz w:val="20"/>
                <w:szCs w:val="20"/>
              </w:rPr>
              <w:t>(Mediocre)</w:t>
            </w:r>
          </w:p>
          <w:p w14:paraId="722757FF" w14:textId="77777777" w:rsidR="007D2D75" w:rsidRPr="00BD3832" w:rsidRDefault="007D2D75" w:rsidP="00524A8F">
            <w:pPr>
              <w:jc w:val="center"/>
              <w:rPr>
                <w:bCs/>
                <w:sz w:val="20"/>
                <w:szCs w:val="20"/>
              </w:rPr>
            </w:pPr>
            <w:r w:rsidRPr="00BD3832">
              <w:rPr>
                <w:rFonts w:eastAsia="Calibri"/>
                <w:sz w:val="20"/>
                <w:szCs w:val="20"/>
              </w:rPr>
              <w:t>(50–79% score)</w:t>
            </w:r>
          </w:p>
        </w:tc>
        <w:tc>
          <w:tcPr>
            <w:tcW w:w="0" w:type="auto"/>
            <w:shd w:val="clear" w:color="auto" w:fill="FFFFFF" w:themeFill="background1"/>
            <w:vAlign w:val="center"/>
          </w:tcPr>
          <w:p w14:paraId="6A67C09A" w14:textId="77777777" w:rsidR="007D2D75" w:rsidRPr="00BD3832" w:rsidRDefault="007D2D75" w:rsidP="00524A8F">
            <w:pPr>
              <w:jc w:val="center"/>
              <w:rPr>
                <w:bCs/>
                <w:sz w:val="20"/>
                <w:szCs w:val="20"/>
              </w:rPr>
            </w:pPr>
            <w:r w:rsidRPr="00BD3832">
              <w:rPr>
                <w:bCs/>
                <w:sz w:val="20"/>
                <w:szCs w:val="20"/>
              </w:rPr>
              <w:t>Good</w:t>
            </w:r>
          </w:p>
          <w:p w14:paraId="2954D499" w14:textId="77777777" w:rsidR="007D2D75" w:rsidRPr="00BD3832" w:rsidRDefault="007D2D75" w:rsidP="00524A8F">
            <w:pPr>
              <w:jc w:val="center"/>
              <w:rPr>
                <w:bCs/>
                <w:sz w:val="20"/>
                <w:szCs w:val="20"/>
              </w:rPr>
            </w:pPr>
            <w:r w:rsidRPr="00BD3832">
              <w:rPr>
                <w:rFonts w:eastAsia="Calibri"/>
                <w:sz w:val="20"/>
                <w:szCs w:val="20"/>
              </w:rPr>
              <w:t>(˃ 80% score)</w:t>
            </w:r>
          </w:p>
          <w:p w14:paraId="366CC6B4" w14:textId="77777777" w:rsidR="007D2D75" w:rsidRPr="00BD3832" w:rsidRDefault="007D2D75" w:rsidP="00524A8F">
            <w:pPr>
              <w:jc w:val="center"/>
              <w:rPr>
                <w:bCs/>
                <w:sz w:val="20"/>
                <w:szCs w:val="20"/>
              </w:rPr>
            </w:pPr>
          </w:p>
        </w:tc>
        <w:tc>
          <w:tcPr>
            <w:tcW w:w="236" w:type="dxa"/>
            <w:shd w:val="clear" w:color="auto" w:fill="FFFFFF" w:themeFill="background1"/>
          </w:tcPr>
          <w:p w14:paraId="060FA80F" w14:textId="77777777" w:rsidR="007D2D75" w:rsidRPr="00BD3832" w:rsidRDefault="007D2D75" w:rsidP="00524A8F">
            <w:pPr>
              <w:jc w:val="center"/>
              <w:rPr>
                <w:bCs/>
                <w:sz w:val="20"/>
                <w:szCs w:val="20"/>
              </w:rPr>
            </w:pPr>
          </w:p>
        </w:tc>
        <w:tc>
          <w:tcPr>
            <w:tcW w:w="1002" w:type="dxa"/>
            <w:shd w:val="clear" w:color="auto" w:fill="FFFFFF" w:themeFill="background1"/>
            <w:vAlign w:val="center"/>
            <w:hideMark/>
          </w:tcPr>
          <w:p w14:paraId="21AEF190" w14:textId="77777777" w:rsidR="007D2D75" w:rsidRPr="00BD3832" w:rsidRDefault="007D2D75" w:rsidP="00524A8F">
            <w:pPr>
              <w:jc w:val="center"/>
              <w:rPr>
                <w:bCs/>
                <w:sz w:val="20"/>
                <w:szCs w:val="20"/>
              </w:rPr>
            </w:pPr>
            <w:r w:rsidRPr="00BD3832">
              <w:rPr>
                <w:bCs/>
                <w:sz w:val="20"/>
                <w:szCs w:val="20"/>
              </w:rPr>
              <w:t>Poor</w:t>
            </w:r>
          </w:p>
          <w:p w14:paraId="4F75D7EF" w14:textId="77777777" w:rsidR="007D2D75" w:rsidRPr="00BD3832" w:rsidRDefault="007D2D75" w:rsidP="00524A8F">
            <w:pPr>
              <w:jc w:val="center"/>
              <w:rPr>
                <w:bCs/>
                <w:sz w:val="20"/>
                <w:szCs w:val="20"/>
              </w:rPr>
            </w:pPr>
            <w:r w:rsidRPr="00BD3832">
              <w:rPr>
                <w:rFonts w:eastAsia="Calibri"/>
                <w:sz w:val="20"/>
                <w:szCs w:val="20"/>
              </w:rPr>
              <w:t>(&lt; 50% score)</w:t>
            </w:r>
          </w:p>
        </w:tc>
        <w:tc>
          <w:tcPr>
            <w:tcW w:w="0" w:type="auto"/>
            <w:shd w:val="clear" w:color="auto" w:fill="FFFFFF" w:themeFill="background1"/>
            <w:vAlign w:val="center"/>
          </w:tcPr>
          <w:p w14:paraId="76E9D59F" w14:textId="77777777" w:rsidR="007D2D75" w:rsidRPr="00BD3832" w:rsidRDefault="007D2D75" w:rsidP="00524A8F">
            <w:pPr>
              <w:jc w:val="center"/>
              <w:rPr>
                <w:bCs/>
                <w:sz w:val="20"/>
                <w:szCs w:val="20"/>
              </w:rPr>
            </w:pPr>
            <w:r w:rsidRPr="00BD3832">
              <w:rPr>
                <w:bCs/>
                <w:sz w:val="20"/>
                <w:szCs w:val="20"/>
              </w:rPr>
              <w:t>Moderate</w:t>
            </w:r>
          </w:p>
          <w:p w14:paraId="03B520E3" w14:textId="77777777" w:rsidR="007D2D75" w:rsidRPr="00BD3832" w:rsidRDefault="007D2D75" w:rsidP="00524A8F">
            <w:pPr>
              <w:jc w:val="center"/>
              <w:rPr>
                <w:bCs/>
                <w:sz w:val="20"/>
                <w:szCs w:val="20"/>
              </w:rPr>
            </w:pPr>
            <w:r w:rsidRPr="00BD3832">
              <w:rPr>
                <w:bCs/>
                <w:sz w:val="20"/>
                <w:szCs w:val="20"/>
              </w:rPr>
              <w:t>(Mediocre)</w:t>
            </w:r>
          </w:p>
          <w:p w14:paraId="56BB5C23" w14:textId="77777777" w:rsidR="007D2D75" w:rsidRPr="00BD3832" w:rsidRDefault="007D2D75" w:rsidP="00524A8F">
            <w:pPr>
              <w:jc w:val="center"/>
              <w:rPr>
                <w:bCs/>
                <w:sz w:val="20"/>
                <w:szCs w:val="20"/>
              </w:rPr>
            </w:pPr>
            <w:r w:rsidRPr="00BD3832">
              <w:rPr>
                <w:rFonts w:eastAsia="Calibri"/>
                <w:sz w:val="20"/>
                <w:szCs w:val="20"/>
              </w:rPr>
              <w:t>(50–79% score)</w:t>
            </w:r>
          </w:p>
        </w:tc>
        <w:tc>
          <w:tcPr>
            <w:tcW w:w="0" w:type="auto"/>
            <w:shd w:val="clear" w:color="auto" w:fill="FFFFFF" w:themeFill="background1"/>
            <w:vAlign w:val="center"/>
          </w:tcPr>
          <w:p w14:paraId="6CCA82FA" w14:textId="77777777" w:rsidR="007D2D75" w:rsidRPr="00BD3832" w:rsidRDefault="007D2D75" w:rsidP="00524A8F">
            <w:pPr>
              <w:jc w:val="center"/>
              <w:rPr>
                <w:bCs/>
                <w:sz w:val="20"/>
                <w:szCs w:val="20"/>
              </w:rPr>
            </w:pPr>
            <w:r w:rsidRPr="00BD3832">
              <w:rPr>
                <w:bCs/>
                <w:sz w:val="20"/>
                <w:szCs w:val="20"/>
              </w:rPr>
              <w:t>Good</w:t>
            </w:r>
          </w:p>
          <w:p w14:paraId="300FAFFA" w14:textId="77777777" w:rsidR="007D2D75" w:rsidRPr="00BD3832" w:rsidRDefault="007D2D75" w:rsidP="00524A8F">
            <w:pPr>
              <w:jc w:val="center"/>
              <w:rPr>
                <w:bCs/>
                <w:sz w:val="20"/>
                <w:szCs w:val="20"/>
              </w:rPr>
            </w:pPr>
            <w:r w:rsidRPr="00BD3832">
              <w:rPr>
                <w:rFonts w:eastAsia="Calibri"/>
                <w:sz w:val="20"/>
                <w:szCs w:val="20"/>
              </w:rPr>
              <w:t>(˃ 80% score)</w:t>
            </w:r>
          </w:p>
          <w:p w14:paraId="64DEC6BC" w14:textId="77777777" w:rsidR="007D2D75" w:rsidRPr="00BD3832" w:rsidRDefault="007D2D75" w:rsidP="00524A8F">
            <w:pPr>
              <w:jc w:val="center"/>
              <w:rPr>
                <w:bCs/>
                <w:sz w:val="20"/>
                <w:szCs w:val="20"/>
              </w:rPr>
            </w:pPr>
          </w:p>
        </w:tc>
        <w:tc>
          <w:tcPr>
            <w:tcW w:w="672" w:type="dxa"/>
            <w:shd w:val="clear" w:color="auto" w:fill="FFFFFF" w:themeFill="background1"/>
          </w:tcPr>
          <w:p w14:paraId="517B0DFC" w14:textId="77777777" w:rsidR="007D2D75" w:rsidRPr="00BD3832" w:rsidRDefault="007D2D75" w:rsidP="00524A8F">
            <w:pPr>
              <w:jc w:val="center"/>
              <w:rPr>
                <w:b/>
                <w:bCs/>
                <w:sz w:val="20"/>
                <w:szCs w:val="20"/>
              </w:rPr>
            </w:pPr>
            <w:r w:rsidRPr="00BD3832">
              <w:rPr>
                <w:b/>
                <w:bCs/>
                <w:sz w:val="20"/>
                <w:szCs w:val="20"/>
              </w:rPr>
              <w:t>Total</w:t>
            </w:r>
          </w:p>
        </w:tc>
      </w:tr>
      <w:tr w:rsidR="007D2D75" w:rsidRPr="00BD3832" w14:paraId="40C80755" w14:textId="77777777" w:rsidTr="00524A8F">
        <w:trPr>
          <w:trHeight w:val="602"/>
        </w:trPr>
        <w:tc>
          <w:tcPr>
            <w:tcW w:w="0" w:type="auto"/>
            <w:shd w:val="clear" w:color="auto" w:fill="FFFFFF" w:themeFill="background1"/>
            <w:noWrap/>
            <w:vAlign w:val="center"/>
          </w:tcPr>
          <w:p w14:paraId="079DC7A3" w14:textId="77777777" w:rsidR="007D2D75" w:rsidRPr="00BD3832" w:rsidRDefault="007D2D75" w:rsidP="00524A8F">
            <w:pPr>
              <w:rPr>
                <w:b/>
                <w:bCs/>
                <w:sz w:val="20"/>
                <w:szCs w:val="20"/>
              </w:rPr>
            </w:pPr>
            <w:r w:rsidRPr="00BD3832">
              <w:rPr>
                <w:b/>
                <w:bCs/>
                <w:sz w:val="20"/>
                <w:szCs w:val="20"/>
              </w:rPr>
              <w:t xml:space="preserve">Overall </w:t>
            </w:r>
          </w:p>
        </w:tc>
        <w:tc>
          <w:tcPr>
            <w:tcW w:w="0" w:type="auto"/>
            <w:shd w:val="clear" w:color="auto" w:fill="FFFFFF" w:themeFill="background1"/>
            <w:vAlign w:val="center"/>
          </w:tcPr>
          <w:p w14:paraId="4B006E63" w14:textId="77777777" w:rsidR="007D2D75" w:rsidRPr="00BD3832" w:rsidRDefault="007D2D75" w:rsidP="00524A8F">
            <w:pPr>
              <w:tabs>
                <w:tab w:val="left" w:pos="900"/>
              </w:tabs>
              <w:jc w:val="center"/>
              <w:rPr>
                <w:sz w:val="20"/>
                <w:szCs w:val="20"/>
              </w:rPr>
            </w:pPr>
            <w:r w:rsidRPr="00BD3832">
              <w:rPr>
                <w:sz w:val="20"/>
                <w:szCs w:val="20"/>
              </w:rPr>
              <w:t>36 (9.0)</w:t>
            </w:r>
          </w:p>
        </w:tc>
        <w:tc>
          <w:tcPr>
            <w:tcW w:w="0" w:type="auto"/>
            <w:shd w:val="clear" w:color="auto" w:fill="FFFFFF" w:themeFill="background1"/>
            <w:vAlign w:val="center"/>
          </w:tcPr>
          <w:p w14:paraId="6A97B251" w14:textId="77777777" w:rsidR="007D2D75" w:rsidRPr="00BD3832" w:rsidRDefault="007D2D75" w:rsidP="00524A8F">
            <w:pPr>
              <w:tabs>
                <w:tab w:val="left" w:pos="900"/>
              </w:tabs>
              <w:jc w:val="center"/>
              <w:rPr>
                <w:sz w:val="20"/>
                <w:szCs w:val="20"/>
              </w:rPr>
            </w:pPr>
            <w:r w:rsidRPr="00BD3832">
              <w:rPr>
                <w:sz w:val="20"/>
                <w:szCs w:val="20"/>
              </w:rPr>
              <w:t>285 (71.2)</w:t>
            </w:r>
          </w:p>
        </w:tc>
        <w:tc>
          <w:tcPr>
            <w:tcW w:w="0" w:type="auto"/>
            <w:shd w:val="clear" w:color="auto" w:fill="FFFFFF" w:themeFill="background1"/>
            <w:vAlign w:val="center"/>
          </w:tcPr>
          <w:p w14:paraId="58A0ABE9" w14:textId="77777777" w:rsidR="007D2D75" w:rsidRPr="00BD3832" w:rsidRDefault="007D2D75" w:rsidP="00524A8F">
            <w:pPr>
              <w:tabs>
                <w:tab w:val="left" w:pos="900"/>
              </w:tabs>
              <w:jc w:val="center"/>
              <w:rPr>
                <w:sz w:val="20"/>
                <w:szCs w:val="20"/>
              </w:rPr>
            </w:pPr>
            <w:r w:rsidRPr="00BD3832">
              <w:rPr>
                <w:sz w:val="20"/>
                <w:szCs w:val="20"/>
              </w:rPr>
              <w:t>79 (19.8)</w:t>
            </w:r>
          </w:p>
        </w:tc>
        <w:tc>
          <w:tcPr>
            <w:tcW w:w="236" w:type="dxa"/>
            <w:shd w:val="clear" w:color="auto" w:fill="FFFFFF" w:themeFill="background1"/>
          </w:tcPr>
          <w:p w14:paraId="26EFE55C" w14:textId="77777777" w:rsidR="007D2D75" w:rsidRPr="00BD3832" w:rsidRDefault="007D2D75" w:rsidP="00524A8F">
            <w:pPr>
              <w:tabs>
                <w:tab w:val="left" w:pos="900"/>
              </w:tabs>
              <w:jc w:val="center"/>
              <w:rPr>
                <w:sz w:val="20"/>
                <w:szCs w:val="20"/>
              </w:rPr>
            </w:pPr>
          </w:p>
        </w:tc>
        <w:tc>
          <w:tcPr>
            <w:tcW w:w="1002" w:type="dxa"/>
            <w:shd w:val="clear" w:color="auto" w:fill="FFFFFF" w:themeFill="background1"/>
            <w:vAlign w:val="center"/>
          </w:tcPr>
          <w:p w14:paraId="5C3EBA7C" w14:textId="77777777" w:rsidR="007D2D75" w:rsidRPr="00BD3832" w:rsidRDefault="007D2D75" w:rsidP="00524A8F">
            <w:pPr>
              <w:tabs>
                <w:tab w:val="left" w:pos="900"/>
              </w:tabs>
              <w:jc w:val="center"/>
              <w:rPr>
                <w:sz w:val="20"/>
                <w:szCs w:val="20"/>
              </w:rPr>
            </w:pPr>
            <w:r w:rsidRPr="00BD3832">
              <w:rPr>
                <w:sz w:val="20"/>
                <w:szCs w:val="20"/>
              </w:rPr>
              <w:t>13 (3.2)</w:t>
            </w:r>
          </w:p>
        </w:tc>
        <w:tc>
          <w:tcPr>
            <w:tcW w:w="0" w:type="auto"/>
            <w:shd w:val="clear" w:color="auto" w:fill="FFFFFF" w:themeFill="background1"/>
            <w:vAlign w:val="center"/>
          </w:tcPr>
          <w:p w14:paraId="6D850C7F" w14:textId="77777777" w:rsidR="007D2D75" w:rsidRPr="00BD3832" w:rsidRDefault="007D2D75" w:rsidP="00524A8F">
            <w:pPr>
              <w:tabs>
                <w:tab w:val="left" w:pos="900"/>
              </w:tabs>
              <w:jc w:val="center"/>
              <w:rPr>
                <w:sz w:val="20"/>
                <w:szCs w:val="20"/>
              </w:rPr>
            </w:pPr>
            <w:r w:rsidRPr="00BD3832">
              <w:rPr>
                <w:sz w:val="20"/>
                <w:szCs w:val="20"/>
              </w:rPr>
              <w:t>224 (56.0)</w:t>
            </w:r>
          </w:p>
        </w:tc>
        <w:tc>
          <w:tcPr>
            <w:tcW w:w="0" w:type="auto"/>
            <w:shd w:val="clear" w:color="auto" w:fill="FFFFFF" w:themeFill="background1"/>
            <w:vAlign w:val="center"/>
          </w:tcPr>
          <w:p w14:paraId="243D6218" w14:textId="77777777" w:rsidR="007D2D75" w:rsidRPr="00BD3832" w:rsidRDefault="007D2D75" w:rsidP="00524A8F">
            <w:pPr>
              <w:tabs>
                <w:tab w:val="left" w:pos="900"/>
              </w:tabs>
              <w:jc w:val="center"/>
              <w:rPr>
                <w:sz w:val="20"/>
                <w:szCs w:val="20"/>
              </w:rPr>
            </w:pPr>
            <w:r w:rsidRPr="00BD3832">
              <w:rPr>
                <w:sz w:val="20"/>
                <w:szCs w:val="20"/>
              </w:rPr>
              <w:t>170 (40.8)</w:t>
            </w:r>
          </w:p>
        </w:tc>
        <w:tc>
          <w:tcPr>
            <w:tcW w:w="672" w:type="dxa"/>
            <w:shd w:val="clear" w:color="auto" w:fill="FFFFFF" w:themeFill="background1"/>
            <w:vAlign w:val="center"/>
          </w:tcPr>
          <w:p w14:paraId="61E8F33B" w14:textId="77777777" w:rsidR="007D2D75" w:rsidRPr="00BD3832" w:rsidRDefault="007D2D75" w:rsidP="00524A8F">
            <w:pPr>
              <w:tabs>
                <w:tab w:val="left" w:pos="900"/>
              </w:tabs>
              <w:jc w:val="center"/>
              <w:rPr>
                <w:sz w:val="20"/>
                <w:szCs w:val="20"/>
              </w:rPr>
            </w:pPr>
            <w:r w:rsidRPr="00BD3832">
              <w:rPr>
                <w:sz w:val="20"/>
                <w:szCs w:val="20"/>
              </w:rPr>
              <w:t>36 (9.0)</w:t>
            </w:r>
          </w:p>
        </w:tc>
      </w:tr>
      <w:tr w:rsidR="007D2D75" w:rsidRPr="00BD3832" w14:paraId="0EAEBE02" w14:textId="77777777" w:rsidTr="00524A8F">
        <w:trPr>
          <w:trHeight w:val="602"/>
        </w:trPr>
        <w:tc>
          <w:tcPr>
            <w:tcW w:w="0" w:type="auto"/>
            <w:shd w:val="clear" w:color="auto" w:fill="FFFFFF" w:themeFill="background1"/>
            <w:noWrap/>
            <w:vAlign w:val="center"/>
          </w:tcPr>
          <w:p w14:paraId="54CE2D1B" w14:textId="77777777" w:rsidR="007D2D75" w:rsidRPr="00BD3832" w:rsidRDefault="007D2D75" w:rsidP="00524A8F">
            <w:pPr>
              <w:rPr>
                <w:b/>
                <w:bCs/>
                <w:sz w:val="20"/>
                <w:szCs w:val="20"/>
              </w:rPr>
            </w:pPr>
            <w:r w:rsidRPr="00BD3832">
              <w:rPr>
                <w:bCs/>
                <w:i/>
                <w:szCs w:val="20"/>
              </w:rPr>
              <w:t xml:space="preserve">Mean score ± SD                                </w:t>
            </w:r>
          </w:p>
        </w:tc>
        <w:tc>
          <w:tcPr>
            <w:tcW w:w="0" w:type="auto"/>
            <w:gridSpan w:val="3"/>
            <w:shd w:val="clear" w:color="auto" w:fill="FFFFFF" w:themeFill="background1"/>
            <w:vAlign w:val="center"/>
          </w:tcPr>
          <w:p w14:paraId="04A54DDD" w14:textId="77777777" w:rsidR="007D2D75" w:rsidRPr="00BD3832" w:rsidRDefault="007D2D75" w:rsidP="00524A8F">
            <w:pPr>
              <w:tabs>
                <w:tab w:val="left" w:pos="900"/>
              </w:tabs>
              <w:jc w:val="center"/>
              <w:rPr>
                <w:i/>
                <w:sz w:val="20"/>
                <w:szCs w:val="20"/>
              </w:rPr>
            </w:pPr>
            <w:r w:rsidRPr="00BD3832">
              <w:rPr>
                <w:bCs/>
                <w:i/>
                <w:sz w:val="20"/>
                <w:szCs w:val="20"/>
              </w:rPr>
              <w:t>10.43 ± 2.34]</w:t>
            </w:r>
          </w:p>
        </w:tc>
        <w:tc>
          <w:tcPr>
            <w:tcW w:w="236" w:type="dxa"/>
            <w:shd w:val="clear" w:color="auto" w:fill="FFFFFF" w:themeFill="background1"/>
          </w:tcPr>
          <w:p w14:paraId="54A8BDB9" w14:textId="77777777" w:rsidR="007D2D75" w:rsidRPr="00BD3832" w:rsidRDefault="007D2D75" w:rsidP="00524A8F">
            <w:pPr>
              <w:tabs>
                <w:tab w:val="left" w:pos="900"/>
              </w:tabs>
              <w:jc w:val="center"/>
              <w:rPr>
                <w:sz w:val="20"/>
                <w:szCs w:val="20"/>
              </w:rPr>
            </w:pPr>
          </w:p>
        </w:tc>
        <w:tc>
          <w:tcPr>
            <w:tcW w:w="3656" w:type="dxa"/>
            <w:gridSpan w:val="4"/>
            <w:shd w:val="clear" w:color="auto" w:fill="FFFFFF" w:themeFill="background1"/>
            <w:vAlign w:val="center"/>
          </w:tcPr>
          <w:p w14:paraId="68834303" w14:textId="77777777" w:rsidR="007D2D75" w:rsidRPr="00BD3832" w:rsidRDefault="007D2D75" w:rsidP="00524A8F">
            <w:pPr>
              <w:tabs>
                <w:tab w:val="left" w:pos="900"/>
              </w:tabs>
              <w:jc w:val="center"/>
              <w:rPr>
                <w:i/>
                <w:sz w:val="20"/>
                <w:szCs w:val="20"/>
              </w:rPr>
            </w:pPr>
            <w:r w:rsidRPr="00BD3832">
              <w:rPr>
                <w:bCs/>
                <w:i/>
                <w:sz w:val="20"/>
                <w:szCs w:val="20"/>
              </w:rPr>
              <w:t>10.96± 1.85]</w:t>
            </w:r>
          </w:p>
        </w:tc>
      </w:tr>
      <w:tr w:rsidR="007D2D75" w:rsidRPr="00BD3832" w14:paraId="2843EAB2" w14:textId="77777777" w:rsidTr="00524A8F">
        <w:trPr>
          <w:trHeight w:val="629"/>
        </w:trPr>
        <w:tc>
          <w:tcPr>
            <w:tcW w:w="9895" w:type="dxa"/>
            <w:gridSpan w:val="9"/>
            <w:shd w:val="clear" w:color="auto" w:fill="FFFFFF" w:themeFill="background1"/>
            <w:noWrap/>
            <w:vAlign w:val="center"/>
          </w:tcPr>
          <w:p w14:paraId="60BC0620" w14:textId="77777777" w:rsidR="007D2D75" w:rsidRPr="00BD3832" w:rsidRDefault="007D2D75" w:rsidP="00524A8F">
            <w:pPr>
              <w:rPr>
                <w:sz w:val="20"/>
                <w:szCs w:val="20"/>
              </w:rPr>
            </w:pPr>
            <w:r w:rsidRPr="00BD3832">
              <w:rPr>
                <w:b/>
                <w:sz w:val="20"/>
                <w:szCs w:val="20"/>
              </w:rPr>
              <w:t>Age</w:t>
            </w:r>
          </w:p>
        </w:tc>
      </w:tr>
      <w:tr w:rsidR="007D2D75" w:rsidRPr="00BD3832" w14:paraId="55539A4C" w14:textId="77777777" w:rsidTr="00524A8F">
        <w:trPr>
          <w:trHeight w:val="629"/>
        </w:trPr>
        <w:tc>
          <w:tcPr>
            <w:tcW w:w="0" w:type="auto"/>
            <w:shd w:val="clear" w:color="auto" w:fill="FFFFFF" w:themeFill="background1"/>
            <w:noWrap/>
            <w:vAlign w:val="center"/>
          </w:tcPr>
          <w:p w14:paraId="508F65D0" w14:textId="77777777" w:rsidR="007D2D75" w:rsidRPr="00BD3832" w:rsidRDefault="007D2D75" w:rsidP="00524A8F">
            <w:pPr>
              <w:rPr>
                <w:sz w:val="20"/>
                <w:szCs w:val="20"/>
              </w:rPr>
            </w:pPr>
            <w:r w:rsidRPr="00BD3832">
              <w:rPr>
                <w:sz w:val="20"/>
                <w:szCs w:val="20"/>
              </w:rPr>
              <w:t>&lt; 30 Years</w:t>
            </w:r>
          </w:p>
        </w:tc>
        <w:tc>
          <w:tcPr>
            <w:tcW w:w="0" w:type="auto"/>
            <w:shd w:val="clear" w:color="auto" w:fill="FFFFFF" w:themeFill="background1"/>
            <w:vAlign w:val="center"/>
          </w:tcPr>
          <w:p w14:paraId="2841AA6A" w14:textId="77777777" w:rsidR="007D2D75" w:rsidRPr="00BD3832" w:rsidRDefault="007D2D75" w:rsidP="00524A8F">
            <w:pPr>
              <w:jc w:val="center"/>
              <w:rPr>
                <w:sz w:val="20"/>
                <w:szCs w:val="20"/>
              </w:rPr>
            </w:pPr>
            <w:r w:rsidRPr="00BD3832">
              <w:rPr>
                <w:sz w:val="20"/>
                <w:szCs w:val="20"/>
              </w:rPr>
              <w:t>10 (3.8%)</w:t>
            </w:r>
          </w:p>
        </w:tc>
        <w:tc>
          <w:tcPr>
            <w:tcW w:w="0" w:type="auto"/>
            <w:shd w:val="clear" w:color="auto" w:fill="FFFFFF" w:themeFill="background1"/>
            <w:vAlign w:val="center"/>
          </w:tcPr>
          <w:p w14:paraId="7A3373C7" w14:textId="77777777" w:rsidR="007D2D75" w:rsidRPr="00BD3832" w:rsidRDefault="007D2D75" w:rsidP="00524A8F">
            <w:pPr>
              <w:jc w:val="center"/>
              <w:rPr>
                <w:sz w:val="20"/>
                <w:szCs w:val="20"/>
              </w:rPr>
            </w:pPr>
            <w:r w:rsidRPr="00BD3832">
              <w:rPr>
                <w:sz w:val="20"/>
                <w:szCs w:val="20"/>
              </w:rPr>
              <w:t xml:space="preserve">195 </w:t>
            </w:r>
          </w:p>
          <w:p w14:paraId="22EDA03E" w14:textId="77777777" w:rsidR="007D2D75" w:rsidRPr="00BD3832" w:rsidRDefault="007D2D75" w:rsidP="00524A8F">
            <w:pPr>
              <w:jc w:val="center"/>
              <w:rPr>
                <w:sz w:val="20"/>
                <w:szCs w:val="20"/>
              </w:rPr>
            </w:pPr>
            <w:r w:rsidRPr="00BD3832">
              <w:rPr>
                <w:sz w:val="20"/>
                <w:szCs w:val="20"/>
              </w:rPr>
              <w:t>(74.4%)</w:t>
            </w:r>
          </w:p>
        </w:tc>
        <w:tc>
          <w:tcPr>
            <w:tcW w:w="0" w:type="auto"/>
            <w:shd w:val="clear" w:color="auto" w:fill="FFFFFF" w:themeFill="background1"/>
            <w:vAlign w:val="center"/>
          </w:tcPr>
          <w:p w14:paraId="1129233F" w14:textId="77777777" w:rsidR="007D2D75" w:rsidRPr="00BD3832" w:rsidRDefault="007D2D75" w:rsidP="00524A8F">
            <w:pPr>
              <w:jc w:val="center"/>
              <w:rPr>
                <w:sz w:val="20"/>
                <w:szCs w:val="20"/>
              </w:rPr>
            </w:pPr>
            <w:r w:rsidRPr="00BD3832">
              <w:rPr>
                <w:sz w:val="20"/>
                <w:szCs w:val="20"/>
              </w:rPr>
              <w:t>57</w:t>
            </w:r>
          </w:p>
          <w:p w14:paraId="7239EE9E" w14:textId="77777777" w:rsidR="007D2D75" w:rsidRPr="00BD3832" w:rsidRDefault="007D2D75" w:rsidP="00524A8F">
            <w:pPr>
              <w:jc w:val="center"/>
              <w:rPr>
                <w:sz w:val="20"/>
                <w:szCs w:val="20"/>
              </w:rPr>
            </w:pPr>
            <w:r w:rsidRPr="00BD3832">
              <w:rPr>
                <w:sz w:val="20"/>
                <w:szCs w:val="20"/>
              </w:rPr>
              <w:t>(21.8%)</w:t>
            </w:r>
          </w:p>
        </w:tc>
        <w:tc>
          <w:tcPr>
            <w:tcW w:w="0" w:type="auto"/>
            <w:shd w:val="clear" w:color="auto" w:fill="FFFFFF" w:themeFill="background1"/>
          </w:tcPr>
          <w:p w14:paraId="33840F39"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6C48BFDE" w14:textId="77777777" w:rsidR="007D2D75" w:rsidRPr="00BD3832" w:rsidRDefault="007D2D75" w:rsidP="00524A8F">
            <w:pPr>
              <w:jc w:val="center"/>
              <w:rPr>
                <w:sz w:val="20"/>
                <w:szCs w:val="20"/>
              </w:rPr>
            </w:pPr>
            <w:r w:rsidRPr="00BD3832">
              <w:rPr>
                <w:sz w:val="20"/>
                <w:szCs w:val="20"/>
              </w:rPr>
              <w:t>2</w:t>
            </w:r>
          </w:p>
          <w:p w14:paraId="3DF59066" w14:textId="77777777" w:rsidR="007D2D75" w:rsidRPr="00BD3832" w:rsidRDefault="007D2D75" w:rsidP="00524A8F">
            <w:pPr>
              <w:jc w:val="center"/>
              <w:rPr>
                <w:sz w:val="20"/>
                <w:szCs w:val="20"/>
              </w:rPr>
            </w:pPr>
            <w:r w:rsidRPr="00BD3832">
              <w:rPr>
                <w:sz w:val="20"/>
                <w:szCs w:val="20"/>
              </w:rPr>
              <w:t>(0.8%)</w:t>
            </w:r>
          </w:p>
        </w:tc>
        <w:tc>
          <w:tcPr>
            <w:tcW w:w="0" w:type="auto"/>
            <w:shd w:val="clear" w:color="auto" w:fill="FFFFFF" w:themeFill="background1"/>
            <w:vAlign w:val="center"/>
          </w:tcPr>
          <w:p w14:paraId="10B17080" w14:textId="77777777" w:rsidR="007D2D75" w:rsidRPr="00BD3832" w:rsidRDefault="007D2D75" w:rsidP="00524A8F">
            <w:pPr>
              <w:jc w:val="center"/>
              <w:rPr>
                <w:sz w:val="20"/>
                <w:szCs w:val="20"/>
              </w:rPr>
            </w:pPr>
            <w:r w:rsidRPr="00BD3832">
              <w:rPr>
                <w:sz w:val="20"/>
                <w:szCs w:val="20"/>
              </w:rPr>
              <w:t>146</w:t>
            </w:r>
          </w:p>
          <w:p w14:paraId="02359101" w14:textId="77777777" w:rsidR="007D2D75" w:rsidRPr="00BD3832" w:rsidRDefault="007D2D75" w:rsidP="00524A8F">
            <w:pPr>
              <w:jc w:val="center"/>
              <w:rPr>
                <w:sz w:val="20"/>
                <w:szCs w:val="20"/>
              </w:rPr>
            </w:pPr>
            <w:r w:rsidRPr="00BD3832">
              <w:rPr>
                <w:sz w:val="20"/>
                <w:szCs w:val="20"/>
              </w:rPr>
              <w:t>(55.7%)</w:t>
            </w:r>
          </w:p>
        </w:tc>
        <w:tc>
          <w:tcPr>
            <w:tcW w:w="0" w:type="auto"/>
            <w:shd w:val="clear" w:color="auto" w:fill="FFFFFF" w:themeFill="background1"/>
            <w:vAlign w:val="center"/>
          </w:tcPr>
          <w:p w14:paraId="5C08972C" w14:textId="77777777" w:rsidR="007D2D75" w:rsidRPr="00BD3832" w:rsidRDefault="007D2D75" w:rsidP="00524A8F">
            <w:pPr>
              <w:jc w:val="center"/>
              <w:rPr>
                <w:sz w:val="20"/>
                <w:szCs w:val="20"/>
              </w:rPr>
            </w:pPr>
            <w:r w:rsidRPr="00BD3832">
              <w:rPr>
                <w:sz w:val="20"/>
                <w:szCs w:val="20"/>
              </w:rPr>
              <w:t>114</w:t>
            </w:r>
          </w:p>
          <w:p w14:paraId="509C5B96" w14:textId="77777777" w:rsidR="007D2D75" w:rsidRPr="00BD3832" w:rsidRDefault="007D2D75" w:rsidP="00524A8F">
            <w:pPr>
              <w:jc w:val="center"/>
              <w:rPr>
                <w:sz w:val="20"/>
                <w:szCs w:val="20"/>
              </w:rPr>
            </w:pPr>
            <w:r w:rsidRPr="00BD3832">
              <w:rPr>
                <w:sz w:val="20"/>
                <w:szCs w:val="20"/>
              </w:rPr>
              <w:t>(43.5%)</w:t>
            </w:r>
          </w:p>
        </w:tc>
        <w:tc>
          <w:tcPr>
            <w:tcW w:w="672" w:type="dxa"/>
            <w:shd w:val="clear" w:color="auto" w:fill="FFFFFF" w:themeFill="background1"/>
          </w:tcPr>
          <w:p w14:paraId="197269DA" w14:textId="77777777" w:rsidR="007D2D75" w:rsidRPr="00BD3832" w:rsidRDefault="007D2D75" w:rsidP="00524A8F">
            <w:pPr>
              <w:jc w:val="center"/>
              <w:rPr>
                <w:sz w:val="20"/>
                <w:szCs w:val="20"/>
              </w:rPr>
            </w:pPr>
            <w:r w:rsidRPr="00BD3832">
              <w:rPr>
                <w:sz w:val="20"/>
                <w:szCs w:val="20"/>
              </w:rPr>
              <w:t>262</w:t>
            </w:r>
          </w:p>
        </w:tc>
      </w:tr>
      <w:tr w:rsidR="007D2D75" w:rsidRPr="00BD3832" w14:paraId="13A79EE6" w14:textId="77777777" w:rsidTr="00524A8F">
        <w:trPr>
          <w:trHeight w:val="539"/>
        </w:trPr>
        <w:tc>
          <w:tcPr>
            <w:tcW w:w="0" w:type="auto"/>
            <w:shd w:val="clear" w:color="auto" w:fill="FFFFFF" w:themeFill="background1"/>
            <w:noWrap/>
            <w:vAlign w:val="center"/>
          </w:tcPr>
          <w:p w14:paraId="0353481B" w14:textId="77777777" w:rsidR="007D2D75" w:rsidRPr="00BD3832" w:rsidRDefault="007D2D75" w:rsidP="00524A8F">
            <w:pPr>
              <w:rPr>
                <w:sz w:val="20"/>
                <w:szCs w:val="20"/>
              </w:rPr>
            </w:pPr>
            <w:r w:rsidRPr="00BD3832">
              <w:rPr>
                <w:sz w:val="20"/>
                <w:szCs w:val="20"/>
              </w:rPr>
              <w:t>&gt;30  Years</w:t>
            </w:r>
          </w:p>
        </w:tc>
        <w:tc>
          <w:tcPr>
            <w:tcW w:w="0" w:type="auto"/>
            <w:shd w:val="clear" w:color="auto" w:fill="FFFFFF" w:themeFill="background1"/>
            <w:vAlign w:val="center"/>
          </w:tcPr>
          <w:p w14:paraId="2D01D5E7" w14:textId="77777777" w:rsidR="007D2D75" w:rsidRPr="00BD3832" w:rsidRDefault="007D2D75" w:rsidP="00524A8F">
            <w:pPr>
              <w:jc w:val="center"/>
              <w:rPr>
                <w:sz w:val="20"/>
                <w:szCs w:val="20"/>
              </w:rPr>
            </w:pPr>
            <w:r w:rsidRPr="00BD3832">
              <w:rPr>
                <w:sz w:val="20"/>
                <w:szCs w:val="20"/>
              </w:rPr>
              <w:t>26</w:t>
            </w:r>
          </w:p>
          <w:p w14:paraId="3A77CB33" w14:textId="77777777" w:rsidR="007D2D75" w:rsidRPr="00BD3832" w:rsidRDefault="007D2D75" w:rsidP="00524A8F">
            <w:pPr>
              <w:jc w:val="center"/>
              <w:rPr>
                <w:sz w:val="20"/>
                <w:szCs w:val="20"/>
              </w:rPr>
            </w:pPr>
            <w:r w:rsidRPr="00BD3832">
              <w:rPr>
                <w:sz w:val="20"/>
                <w:szCs w:val="20"/>
              </w:rPr>
              <w:t>(18.8%)</w:t>
            </w:r>
          </w:p>
        </w:tc>
        <w:tc>
          <w:tcPr>
            <w:tcW w:w="0" w:type="auto"/>
            <w:shd w:val="clear" w:color="auto" w:fill="FFFFFF" w:themeFill="background1"/>
            <w:vAlign w:val="center"/>
          </w:tcPr>
          <w:p w14:paraId="20BB2A90" w14:textId="77777777" w:rsidR="007D2D75" w:rsidRPr="00BD3832" w:rsidRDefault="007D2D75" w:rsidP="00524A8F">
            <w:pPr>
              <w:jc w:val="center"/>
              <w:rPr>
                <w:sz w:val="20"/>
                <w:szCs w:val="20"/>
              </w:rPr>
            </w:pPr>
            <w:r w:rsidRPr="00BD3832">
              <w:rPr>
                <w:sz w:val="20"/>
                <w:szCs w:val="20"/>
              </w:rPr>
              <w:t>90</w:t>
            </w:r>
          </w:p>
          <w:p w14:paraId="475C9148" w14:textId="77777777" w:rsidR="007D2D75" w:rsidRPr="00BD3832" w:rsidRDefault="007D2D75" w:rsidP="00524A8F">
            <w:pPr>
              <w:jc w:val="center"/>
              <w:rPr>
                <w:sz w:val="20"/>
                <w:szCs w:val="20"/>
              </w:rPr>
            </w:pPr>
            <w:r w:rsidRPr="00BD3832">
              <w:rPr>
                <w:sz w:val="20"/>
                <w:szCs w:val="20"/>
              </w:rPr>
              <w:t>(65.2%)</w:t>
            </w:r>
          </w:p>
        </w:tc>
        <w:tc>
          <w:tcPr>
            <w:tcW w:w="0" w:type="auto"/>
            <w:shd w:val="clear" w:color="auto" w:fill="FFFFFF" w:themeFill="background1"/>
            <w:vAlign w:val="center"/>
          </w:tcPr>
          <w:p w14:paraId="453E4F1F" w14:textId="77777777" w:rsidR="007D2D75" w:rsidRPr="00BD3832" w:rsidRDefault="007D2D75" w:rsidP="00524A8F">
            <w:pPr>
              <w:jc w:val="center"/>
              <w:rPr>
                <w:sz w:val="20"/>
                <w:szCs w:val="20"/>
              </w:rPr>
            </w:pPr>
            <w:r w:rsidRPr="00BD3832">
              <w:rPr>
                <w:sz w:val="20"/>
                <w:szCs w:val="20"/>
              </w:rPr>
              <w:t>22</w:t>
            </w:r>
          </w:p>
          <w:p w14:paraId="026E3B8C" w14:textId="77777777" w:rsidR="007D2D75" w:rsidRPr="00BD3832" w:rsidRDefault="007D2D75" w:rsidP="00524A8F">
            <w:pPr>
              <w:jc w:val="center"/>
              <w:rPr>
                <w:sz w:val="20"/>
                <w:szCs w:val="20"/>
              </w:rPr>
            </w:pPr>
            <w:r w:rsidRPr="00BD3832">
              <w:rPr>
                <w:sz w:val="20"/>
                <w:szCs w:val="20"/>
              </w:rPr>
              <w:t>(15.9%)</w:t>
            </w:r>
          </w:p>
        </w:tc>
        <w:tc>
          <w:tcPr>
            <w:tcW w:w="0" w:type="auto"/>
            <w:shd w:val="clear" w:color="auto" w:fill="FFFFFF" w:themeFill="background1"/>
          </w:tcPr>
          <w:p w14:paraId="59EF10D2"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43653384" w14:textId="77777777" w:rsidR="007D2D75" w:rsidRPr="00BD3832" w:rsidRDefault="007D2D75" w:rsidP="00524A8F">
            <w:pPr>
              <w:jc w:val="center"/>
              <w:rPr>
                <w:sz w:val="20"/>
                <w:szCs w:val="20"/>
              </w:rPr>
            </w:pPr>
            <w:r w:rsidRPr="00BD3832">
              <w:rPr>
                <w:sz w:val="20"/>
                <w:szCs w:val="20"/>
              </w:rPr>
              <w:t>11</w:t>
            </w:r>
          </w:p>
          <w:p w14:paraId="1C7616A9" w14:textId="77777777" w:rsidR="007D2D75" w:rsidRPr="00BD3832" w:rsidRDefault="007D2D75" w:rsidP="00524A8F">
            <w:pPr>
              <w:jc w:val="center"/>
              <w:rPr>
                <w:sz w:val="20"/>
                <w:szCs w:val="20"/>
              </w:rPr>
            </w:pPr>
            <w:r w:rsidRPr="00BD3832">
              <w:rPr>
                <w:sz w:val="20"/>
                <w:szCs w:val="20"/>
              </w:rPr>
              <w:t>(8.0%)</w:t>
            </w:r>
          </w:p>
        </w:tc>
        <w:tc>
          <w:tcPr>
            <w:tcW w:w="0" w:type="auto"/>
            <w:shd w:val="clear" w:color="auto" w:fill="FFFFFF" w:themeFill="background1"/>
            <w:vAlign w:val="center"/>
          </w:tcPr>
          <w:p w14:paraId="795024B6" w14:textId="77777777" w:rsidR="007D2D75" w:rsidRPr="00BD3832" w:rsidRDefault="007D2D75" w:rsidP="00524A8F">
            <w:pPr>
              <w:jc w:val="center"/>
              <w:rPr>
                <w:sz w:val="20"/>
                <w:szCs w:val="20"/>
              </w:rPr>
            </w:pPr>
            <w:r w:rsidRPr="00BD3832">
              <w:rPr>
                <w:sz w:val="20"/>
                <w:szCs w:val="20"/>
              </w:rPr>
              <w:t>78</w:t>
            </w:r>
          </w:p>
          <w:p w14:paraId="129D59B9" w14:textId="77777777" w:rsidR="007D2D75" w:rsidRPr="00BD3832" w:rsidRDefault="007D2D75" w:rsidP="00524A8F">
            <w:pPr>
              <w:jc w:val="center"/>
              <w:rPr>
                <w:sz w:val="20"/>
                <w:szCs w:val="20"/>
              </w:rPr>
            </w:pPr>
            <w:r w:rsidRPr="00BD3832">
              <w:rPr>
                <w:sz w:val="20"/>
                <w:szCs w:val="20"/>
              </w:rPr>
              <w:t>(56.5%)</w:t>
            </w:r>
          </w:p>
        </w:tc>
        <w:tc>
          <w:tcPr>
            <w:tcW w:w="0" w:type="auto"/>
            <w:shd w:val="clear" w:color="auto" w:fill="FFFFFF" w:themeFill="background1"/>
            <w:vAlign w:val="center"/>
          </w:tcPr>
          <w:p w14:paraId="3987CE92" w14:textId="77777777" w:rsidR="007D2D75" w:rsidRPr="00BD3832" w:rsidRDefault="007D2D75" w:rsidP="00524A8F">
            <w:pPr>
              <w:jc w:val="center"/>
              <w:rPr>
                <w:sz w:val="20"/>
                <w:szCs w:val="20"/>
              </w:rPr>
            </w:pPr>
            <w:r w:rsidRPr="00BD3832">
              <w:rPr>
                <w:sz w:val="20"/>
                <w:szCs w:val="20"/>
              </w:rPr>
              <w:t>49</w:t>
            </w:r>
          </w:p>
          <w:p w14:paraId="2A0C9201" w14:textId="77777777" w:rsidR="007D2D75" w:rsidRPr="00BD3832" w:rsidRDefault="007D2D75" w:rsidP="00524A8F">
            <w:pPr>
              <w:jc w:val="center"/>
              <w:rPr>
                <w:sz w:val="20"/>
                <w:szCs w:val="20"/>
              </w:rPr>
            </w:pPr>
            <w:r w:rsidRPr="00BD3832">
              <w:rPr>
                <w:sz w:val="20"/>
                <w:szCs w:val="20"/>
              </w:rPr>
              <w:t>(35.5%)</w:t>
            </w:r>
          </w:p>
        </w:tc>
        <w:tc>
          <w:tcPr>
            <w:tcW w:w="672" w:type="dxa"/>
            <w:shd w:val="clear" w:color="auto" w:fill="FFFFFF" w:themeFill="background1"/>
          </w:tcPr>
          <w:p w14:paraId="3F49F778" w14:textId="77777777" w:rsidR="007D2D75" w:rsidRPr="00BD3832" w:rsidRDefault="007D2D75" w:rsidP="00524A8F">
            <w:pPr>
              <w:jc w:val="center"/>
              <w:rPr>
                <w:sz w:val="20"/>
                <w:szCs w:val="20"/>
              </w:rPr>
            </w:pPr>
            <w:r w:rsidRPr="00BD3832">
              <w:rPr>
                <w:sz w:val="20"/>
                <w:szCs w:val="20"/>
              </w:rPr>
              <w:t>138</w:t>
            </w:r>
          </w:p>
        </w:tc>
      </w:tr>
      <w:tr w:rsidR="007D2D75" w:rsidRPr="00BD3832" w14:paraId="0AEDBBED" w14:textId="77777777" w:rsidTr="00524A8F">
        <w:trPr>
          <w:trHeight w:val="539"/>
        </w:trPr>
        <w:tc>
          <w:tcPr>
            <w:tcW w:w="9895" w:type="dxa"/>
            <w:gridSpan w:val="9"/>
            <w:shd w:val="clear" w:color="auto" w:fill="FFFFFF" w:themeFill="background1"/>
            <w:noWrap/>
            <w:vAlign w:val="center"/>
          </w:tcPr>
          <w:p w14:paraId="20878B0A" w14:textId="77777777" w:rsidR="007D2D75" w:rsidRPr="00BD3832" w:rsidRDefault="007D2D75" w:rsidP="00524A8F">
            <w:pPr>
              <w:rPr>
                <w:sz w:val="20"/>
                <w:szCs w:val="20"/>
              </w:rPr>
            </w:pPr>
            <w:r w:rsidRPr="00BD3832">
              <w:rPr>
                <w:b/>
                <w:bCs/>
                <w:sz w:val="20"/>
                <w:szCs w:val="20"/>
              </w:rPr>
              <w:t>Sex</w:t>
            </w:r>
          </w:p>
        </w:tc>
      </w:tr>
      <w:tr w:rsidR="007D2D75" w:rsidRPr="00BD3832" w14:paraId="5A043317" w14:textId="77777777" w:rsidTr="00524A8F">
        <w:trPr>
          <w:trHeight w:val="539"/>
        </w:trPr>
        <w:tc>
          <w:tcPr>
            <w:tcW w:w="0" w:type="auto"/>
            <w:shd w:val="clear" w:color="auto" w:fill="FFFFFF" w:themeFill="background1"/>
            <w:noWrap/>
            <w:vAlign w:val="center"/>
          </w:tcPr>
          <w:p w14:paraId="5D4F3CE7" w14:textId="77777777" w:rsidR="007D2D75" w:rsidRPr="00BD3832" w:rsidRDefault="007D2D75" w:rsidP="00524A8F">
            <w:pPr>
              <w:rPr>
                <w:bCs/>
                <w:sz w:val="20"/>
                <w:szCs w:val="20"/>
              </w:rPr>
            </w:pPr>
            <w:r w:rsidRPr="00BD3832">
              <w:rPr>
                <w:bCs/>
                <w:sz w:val="20"/>
                <w:szCs w:val="20"/>
              </w:rPr>
              <w:t>Male</w:t>
            </w:r>
          </w:p>
        </w:tc>
        <w:tc>
          <w:tcPr>
            <w:tcW w:w="0" w:type="auto"/>
            <w:shd w:val="clear" w:color="auto" w:fill="FFFFFF" w:themeFill="background1"/>
            <w:vAlign w:val="center"/>
          </w:tcPr>
          <w:p w14:paraId="43E04089" w14:textId="77777777" w:rsidR="007D2D75" w:rsidRPr="00BD3832" w:rsidRDefault="007D2D75" w:rsidP="00524A8F">
            <w:pPr>
              <w:jc w:val="center"/>
              <w:rPr>
                <w:sz w:val="20"/>
                <w:szCs w:val="20"/>
              </w:rPr>
            </w:pPr>
            <w:r w:rsidRPr="00BD3832">
              <w:rPr>
                <w:sz w:val="20"/>
                <w:szCs w:val="20"/>
              </w:rPr>
              <w:t>26 (6.7%)</w:t>
            </w:r>
          </w:p>
        </w:tc>
        <w:tc>
          <w:tcPr>
            <w:tcW w:w="0" w:type="auto"/>
            <w:shd w:val="clear" w:color="auto" w:fill="FFFFFF" w:themeFill="background1"/>
            <w:vAlign w:val="center"/>
          </w:tcPr>
          <w:p w14:paraId="0D18A0B6" w14:textId="77777777" w:rsidR="007D2D75" w:rsidRPr="00BD3832" w:rsidRDefault="007D2D75" w:rsidP="00524A8F">
            <w:pPr>
              <w:jc w:val="center"/>
              <w:rPr>
                <w:sz w:val="20"/>
                <w:szCs w:val="20"/>
              </w:rPr>
            </w:pPr>
            <w:r w:rsidRPr="00BD3832">
              <w:rPr>
                <w:rFonts w:ascii="Arial" w:hAnsi="Arial" w:cs="Arial"/>
                <w:sz w:val="18"/>
                <w:szCs w:val="18"/>
              </w:rPr>
              <w:t>282 (72.9%)</w:t>
            </w:r>
          </w:p>
        </w:tc>
        <w:tc>
          <w:tcPr>
            <w:tcW w:w="0" w:type="auto"/>
            <w:shd w:val="clear" w:color="auto" w:fill="FFFFFF" w:themeFill="background1"/>
            <w:vAlign w:val="center"/>
          </w:tcPr>
          <w:p w14:paraId="04DA30E6" w14:textId="77777777" w:rsidR="007D2D75" w:rsidRPr="00BD3832" w:rsidRDefault="007D2D75" w:rsidP="00524A8F">
            <w:pPr>
              <w:jc w:val="center"/>
              <w:rPr>
                <w:rFonts w:ascii="Arial" w:hAnsi="Arial" w:cs="Arial"/>
                <w:sz w:val="18"/>
                <w:szCs w:val="18"/>
              </w:rPr>
            </w:pPr>
            <w:r w:rsidRPr="00BD3832">
              <w:rPr>
                <w:rFonts w:ascii="Arial" w:hAnsi="Arial" w:cs="Arial"/>
                <w:sz w:val="18"/>
                <w:szCs w:val="18"/>
              </w:rPr>
              <w:t>79</w:t>
            </w:r>
          </w:p>
          <w:p w14:paraId="4192A5AC" w14:textId="77777777" w:rsidR="007D2D75" w:rsidRPr="00BD3832" w:rsidRDefault="007D2D75" w:rsidP="00524A8F">
            <w:pPr>
              <w:jc w:val="center"/>
              <w:rPr>
                <w:sz w:val="20"/>
                <w:szCs w:val="20"/>
              </w:rPr>
            </w:pPr>
            <w:r w:rsidRPr="00BD3832">
              <w:rPr>
                <w:rFonts w:ascii="Arial" w:hAnsi="Arial" w:cs="Arial"/>
                <w:sz w:val="18"/>
                <w:szCs w:val="18"/>
              </w:rPr>
              <w:t>(20.4%)</w:t>
            </w:r>
          </w:p>
        </w:tc>
        <w:tc>
          <w:tcPr>
            <w:tcW w:w="0" w:type="auto"/>
            <w:shd w:val="clear" w:color="auto" w:fill="FFFFFF" w:themeFill="background1"/>
          </w:tcPr>
          <w:p w14:paraId="31EA8137"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0C6BEAA2" w14:textId="77777777" w:rsidR="007D2D75" w:rsidRPr="00BD3832" w:rsidRDefault="007D2D75" w:rsidP="00524A8F">
            <w:pPr>
              <w:jc w:val="center"/>
              <w:rPr>
                <w:sz w:val="20"/>
                <w:szCs w:val="20"/>
              </w:rPr>
            </w:pPr>
            <w:r w:rsidRPr="00BD3832">
              <w:rPr>
                <w:sz w:val="20"/>
                <w:szCs w:val="20"/>
              </w:rPr>
              <w:t>13</w:t>
            </w:r>
          </w:p>
          <w:p w14:paraId="2314FF8D" w14:textId="77777777" w:rsidR="007D2D75" w:rsidRPr="00BD3832" w:rsidRDefault="007D2D75" w:rsidP="00524A8F">
            <w:pPr>
              <w:jc w:val="center"/>
              <w:rPr>
                <w:sz w:val="20"/>
                <w:szCs w:val="20"/>
              </w:rPr>
            </w:pPr>
            <w:r w:rsidRPr="00BD3832">
              <w:rPr>
                <w:sz w:val="20"/>
                <w:szCs w:val="20"/>
              </w:rPr>
              <w:t>(3.4%)</w:t>
            </w:r>
          </w:p>
        </w:tc>
        <w:tc>
          <w:tcPr>
            <w:tcW w:w="0" w:type="auto"/>
            <w:shd w:val="clear" w:color="auto" w:fill="FFFFFF" w:themeFill="background1"/>
            <w:vAlign w:val="center"/>
          </w:tcPr>
          <w:p w14:paraId="779C8EA0" w14:textId="77777777" w:rsidR="007D2D75" w:rsidRPr="00BD3832" w:rsidRDefault="007D2D75" w:rsidP="00524A8F">
            <w:pPr>
              <w:jc w:val="center"/>
              <w:rPr>
                <w:sz w:val="20"/>
                <w:szCs w:val="20"/>
              </w:rPr>
            </w:pPr>
            <w:r w:rsidRPr="00BD3832">
              <w:rPr>
                <w:sz w:val="20"/>
                <w:szCs w:val="20"/>
              </w:rPr>
              <w:t>212</w:t>
            </w:r>
          </w:p>
          <w:p w14:paraId="4C187820" w14:textId="77777777" w:rsidR="007D2D75" w:rsidRPr="00BD3832" w:rsidRDefault="007D2D75" w:rsidP="00524A8F">
            <w:pPr>
              <w:jc w:val="center"/>
              <w:rPr>
                <w:sz w:val="20"/>
                <w:szCs w:val="20"/>
              </w:rPr>
            </w:pPr>
            <w:r w:rsidRPr="00BD3832">
              <w:rPr>
                <w:sz w:val="20"/>
                <w:szCs w:val="20"/>
              </w:rPr>
              <w:t>(54.8%)</w:t>
            </w:r>
          </w:p>
        </w:tc>
        <w:tc>
          <w:tcPr>
            <w:tcW w:w="0" w:type="auto"/>
            <w:shd w:val="clear" w:color="auto" w:fill="FFFFFF" w:themeFill="background1"/>
            <w:vAlign w:val="center"/>
          </w:tcPr>
          <w:p w14:paraId="61C541F5" w14:textId="77777777" w:rsidR="007D2D75" w:rsidRPr="00BD3832" w:rsidRDefault="007D2D75" w:rsidP="00524A8F">
            <w:pPr>
              <w:jc w:val="center"/>
              <w:rPr>
                <w:sz w:val="20"/>
                <w:szCs w:val="20"/>
              </w:rPr>
            </w:pPr>
            <w:r w:rsidRPr="00BD3832">
              <w:rPr>
                <w:sz w:val="20"/>
                <w:szCs w:val="20"/>
              </w:rPr>
              <w:t>162</w:t>
            </w:r>
          </w:p>
          <w:p w14:paraId="67804824" w14:textId="77777777" w:rsidR="007D2D75" w:rsidRPr="00BD3832" w:rsidRDefault="007D2D75" w:rsidP="00524A8F">
            <w:pPr>
              <w:jc w:val="center"/>
              <w:rPr>
                <w:sz w:val="20"/>
                <w:szCs w:val="20"/>
              </w:rPr>
            </w:pPr>
            <w:r w:rsidRPr="00BD3832">
              <w:rPr>
                <w:sz w:val="20"/>
                <w:szCs w:val="20"/>
              </w:rPr>
              <w:t>(41.9%)</w:t>
            </w:r>
          </w:p>
        </w:tc>
        <w:tc>
          <w:tcPr>
            <w:tcW w:w="672" w:type="dxa"/>
            <w:shd w:val="clear" w:color="auto" w:fill="FFFFFF" w:themeFill="background1"/>
          </w:tcPr>
          <w:p w14:paraId="3F5C7BBF" w14:textId="77777777" w:rsidR="007D2D75" w:rsidRPr="00BD3832" w:rsidRDefault="007D2D75" w:rsidP="00524A8F">
            <w:pPr>
              <w:jc w:val="center"/>
              <w:rPr>
                <w:sz w:val="20"/>
                <w:szCs w:val="20"/>
              </w:rPr>
            </w:pPr>
            <w:r w:rsidRPr="00BD3832">
              <w:rPr>
                <w:sz w:val="20"/>
                <w:szCs w:val="20"/>
              </w:rPr>
              <w:t>387</w:t>
            </w:r>
          </w:p>
        </w:tc>
      </w:tr>
      <w:tr w:rsidR="007D2D75" w:rsidRPr="00BD3832" w14:paraId="1E99E722" w14:textId="77777777" w:rsidTr="00524A8F">
        <w:trPr>
          <w:trHeight w:val="539"/>
        </w:trPr>
        <w:tc>
          <w:tcPr>
            <w:tcW w:w="0" w:type="auto"/>
            <w:shd w:val="clear" w:color="auto" w:fill="FFFFFF" w:themeFill="background1"/>
            <w:noWrap/>
            <w:vAlign w:val="center"/>
          </w:tcPr>
          <w:p w14:paraId="6E28D7FD" w14:textId="77777777" w:rsidR="007D2D75" w:rsidRPr="00BD3832" w:rsidRDefault="007D2D75" w:rsidP="00524A8F">
            <w:pPr>
              <w:rPr>
                <w:bCs/>
                <w:sz w:val="20"/>
                <w:szCs w:val="20"/>
              </w:rPr>
            </w:pPr>
            <w:r w:rsidRPr="00BD3832">
              <w:rPr>
                <w:bCs/>
                <w:sz w:val="20"/>
                <w:szCs w:val="20"/>
              </w:rPr>
              <w:t>Female</w:t>
            </w:r>
          </w:p>
        </w:tc>
        <w:tc>
          <w:tcPr>
            <w:tcW w:w="0" w:type="auto"/>
            <w:shd w:val="clear" w:color="auto" w:fill="FFFFFF" w:themeFill="background1"/>
            <w:vAlign w:val="center"/>
          </w:tcPr>
          <w:p w14:paraId="2FF2EE8F" w14:textId="77777777" w:rsidR="007D2D75" w:rsidRPr="00BD3832" w:rsidRDefault="007D2D75" w:rsidP="00524A8F">
            <w:pPr>
              <w:jc w:val="center"/>
              <w:rPr>
                <w:sz w:val="20"/>
                <w:szCs w:val="20"/>
              </w:rPr>
            </w:pPr>
            <w:r w:rsidRPr="00BD3832">
              <w:rPr>
                <w:rFonts w:ascii="Arial" w:hAnsi="Arial" w:cs="Arial"/>
                <w:sz w:val="18"/>
                <w:szCs w:val="18"/>
              </w:rPr>
              <w:t>10 (76.9%)</w:t>
            </w:r>
          </w:p>
        </w:tc>
        <w:tc>
          <w:tcPr>
            <w:tcW w:w="0" w:type="auto"/>
            <w:shd w:val="clear" w:color="auto" w:fill="FFFFFF" w:themeFill="background1"/>
            <w:vAlign w:val="center"/>
          </w:tcPr>
          <w:p w14:paraId="15B6C249" w14:textId="77777777" w:rsidR="007D2D75" w:rsidRPr="00BD3832" w:rsidRDefault="007D2D75" w:rsidP="00524A8F">
            <w:pPr>
              <w:jc w:val="center"/>
              <w:rPr>
                <w:sz w:val="20"/>
                <w:szCs w:val="20"/>
              </w:rPr>
            </w:pPr>
            <w:r w:rsidRPr="00BD3832">
              <w:rPr>
                <w:sz w:val="20"/>
                <w:szCs w:val="20"/>
              </w:rPr>
              <w:t>3 (</w:t>
            </w:r>
            <w:r w:rsidRPr="00BD3832">
              <w:rPr>
                <w:rFonts w:ascii="Arial" w:hAnsi="Arial" w:cs="Arial"/>
                <w:sz w:val="18"/>
                <w:szCs w:val="18"/>
              </w:rPr>
              <w:t>23.1%)</w:t>
            </w:r>
          </w:p>
        </w:tc>
        <w:tc>
          <w:tcPr>
            <w:tcW w:w="0" w:type="auto"/>
            <w:shd w:val="clear" w:color="auto" w:fill="FFFFFF" w:themeFill="background1"/>
            <w:vAlign w:val="center"/>
          </w:tcPr>
          <w:p w14:paraId="1F48384C" w14:textId="77777777" w:rsidR="007D2D75" w:rsidRPr="00BD3832" w:rsidRDefault="007D2D75" w:rsidP="00524A8F">
            <w:pPr>
              <w:jc w:val="center"/>
              <w:rPr>
                <w:sz w:val="20"/>
                <w:szCs w:val="20"/>
              </w:rPr>
            </w:pPr>
            <w:r w:rsidRPr="00BD3832">
              <w:rPr>
                <w:rFonts w:ascii="Arial" w:hAnsi="Arial" w:cs="Arial"/>
                <w:sz w:val="18"/>
                <w:szCs w:val="18"/>
              </w:rPr>
              <w:t>0 (0.0%)</w:t>
            </w:r>
          </w:p>
        </w:tc>
        <w:tc>
          <w:tcPr>
            <w:tcW w:w="0" w:type="auto"/>
            <w:shd w:val="clear" w:color="auto" w:fill="FFFFFF" w:themeFill="background1"/>
          </w:tcPr>
          <w:p w14:paraId="30A483EB"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32658CB6" w14:textId="77777777" w:rsidR="007D2D75" w:rsidRPr="00BD3832" w:rsidRDefault="007D2D75" w:rsidP="00524A8F">
            <w:pPr>
              <w:jc w:val="center"/>
              <w:rPr>
                <w:sz w:val="20"/>
                <w:szCs w:val="20"/>
              </w:rPr>
            </w:pPr>
            <w:r w:rsidRPr="00BD3832">
              <w:rPr>
                <w:sz w:val="20"/>
                <w:szCs w:val="20"/>
              </w:rPr>
              <w:t>0 (0.0%)</w:t>
            </w:r>
          </w:p>
        </w:tc>
        <w:tc>
          <w:tcPr>
            <w:tcW w:w="0" w:type="auto"/>
            <w:shd w:val="clear" w:color="auto" w:fill="FFFFFF" w:themeFill="background1"/>
            <w:vAlign w:val="center"/>
          </w:tcPr>
          <w:p w14:paraId="7CD400C0" w14:textId="77777777" w:rsidR="007D2D75" w:rsidRPr="00BD3832" w:rsidRDefault="007D2D75" w:rsidP="00524A8F">
            <w:pPr>
              <w:jc w:val="center"/>
              <w:rPr>
                <w:sz w:val="20"/>
                <w:szCs w:val="20"/>
              </w:rPr>
            </w:pPr>
            <w:r w:rsidRPr="00BD3832">
              <w:rPr>
                <w:sz w:val="20"/>
                <w:szCs w:val="20"/>
              </w:rPr>
              <w:t>12</w:t>
            </w:r>
          </w:p>
          <w:p w14:paraId="6C2DAF66" w14:textId="77777777" w:rsidR="007D2D75" w:rsidRPr="00BD3832" w:rsidRDefault="007D2D75" w:rsidP="00524A8F">
            <w:pPr>
              <w:jc w:val="center"/>
              <w:rPr>
                <w:sz w:val="20"/>
                <w:szCs w:val="20"/>
              </w:rPr>
            </w:pPr>
            <w:r w:rsidRPr="00BD3832">
              <w:rPr>
                <w:sz w:val="20"/>
                <w:szCs w:val="20"/>
              </w:rPr>
              <w:t>(92.3%)</w:t>
            </w:r>
          </w:p>
        </w:tc>
        <w:tc>
          <w:tcPr>
            <w:tcW w:w="0" w:type="auto"/>
            <w:shd w:val="clear" w:color="auto" w:fill="FFFFFF" w:themeFill="background1"/>
            <w:vAlign w:val="center"/>
          </w:tcPr>
          <w:p w14:paraId="2FAEBA64" w14:textId="77777777" w:rsidR="007D2D75" w:rsidRPr="00BD3832" w:rsidRDefault="007D2D75" w:rsidP="00524A8F">
            <w:pPr>
              <w:jc w:val="center"/>
              <w:rPr>
                <w:sz w:val="20"/>
                <w:szCs w:val="20"/>
              </w:rPr>
            </w:pPr>
            <w:r w:rsidRPr="00BD3832">
              <w:rPr>
                <w:sz w:val="20"/>
                <w:szCs w:val="20"/>
              </w:rPr>
              <w:t>1</w:t>
            </w:r>
          </w:p>
          <w:p w14:paraId="5D315C2D" w14:textId="77777777" w:rsidR="007D2D75" w:rsidRPr="00BD3832" w:rsidRDefault="007D2D75" w:rsidP="00524A8F">
            <w:pPr>
              <w:jc w:val="center"/>
              <w:rPr>
                <w:sz w:val="20"/>
                <w:szCs w:val="20"/>
              </w:rPr>
            </w:pPr>
            <w:r w:rsidRPr="00BD3832">
              <w:rPr>
                <w:sz w:val="20"/>
                <w:szCs w:val="20"/>
              </w:rPr>
              <w:t>(7.7%)</w:t>
            </w:r>
          </w:p>
        </w:tc>
        <w:tc>
          <w:tcPr>
            <w:tcW w:w="672" w:type="dxa"/>
            <w:shd w:val="clear" w:color="auto" w:fill="FFFFFF" w:themeFill="background1"/>
          </w:tcPr>
          <w:p w14:paraId="49AA1FFC" w14:textId="77777777" w:rsidR="007D2D75" w:rsidRPr="00BD3832" w:rsidRDefault="007D2D75" w:rsidP="00524A8F">
            <w:pPr>
              <w:jc w:val="center"/>
              <w:rPr>
                <w:sz w:val="20"/>
                <w:szCs w:val="20"/>
              </w:rPr>
            </w:pPr>
            <w:r w:rsidRPr="00BD3832">
              <w:rPr>
                <w:sz w:val="20"/>
                <w:szCs w:val="20"/>
              </w:rPr>
              <w:t>13</w:t>
            </w:r>
          </w:p>
        </w:tc>
      </w:tr>
      <w:tr w:rsidR="007D2D75" w:rsidRPr="00BD3832" w14:paraId="14ED0BC4" w14:textId="77777777" w:rsidTr="00524A8F">
        <w:trPr>
          <w:trHeight w:val="539"/>
        </w:trPr>
        <w:tc>
          <w:tcPr>
            <w:tcW w:w="9895" w:type="dxa"/>
            <w:gridSpan w:val="9"/>
            <w:shd w:val="clear" w:color="auto" w:fill="FFFFFF" w:themeFill="background1"/>
            <w:noWrap/>
            <w:vAlign w:val="center"/>
          </w:tcPr>
          <w:p w14:paraId="1144BC00" w14:textId="77777777" w:rsidR="007D2D75" w:rsidRPr="00BD3832" w:rsidRDefault="007D2D75" w:rsidP="00524A8F">
            <w:pPr>
              <w:rPr>
                <w:sz w:val="20"/>
                <w:szCs w:val="20"/>
              </w:rPr>
            </w:pPr>
            <w:r w:rsidRPr="00BD3832">
              <w:rPr>
                <w:b/>
                <w:sz w:val="20"/>
                <w:szCs w:val="20"/>
              </w:rPr>
              <w:t>Living place</w:t>
            </w:r>
          </w:p>
        </w:tc>
      </w:tr>
      <w:tr w:rsidR="007D2D75" w:rsidRPr="00BD3832" w14:paraId="7E6954C5" w14:textId="77777777" w:rsidTr="00524A8F">
        <w:trPr>
          <w:trHeight w:val="539"/>
        </w:trPr>
        <w:tc>
          <w:tcPr>
            <w:tcW w:w="0" w:type="auto"/>
            <w:shd w:val="clear" w:color="auto" w:fill="FFFFFF" w:themeFill="background1"/>
            <w:noWrap/>
            <w:vAlign w:val="center"/>
          </w:tcPr>
          <w:p w14:paraId="64E927C8" w14:textId="77777777" w:rsidR="007D2D75" w:rsidRPr="00BD3832" w:rsidRDefault="007D2D75" w:rsidP="00524A8F">
            <w:pPr>
              <w:rPr>
                <w:sz w:val="20"/>
                <w:szCs w:val="20"/>
              </w:rPr>
            </w:pPr>
            <w:r w:rsidRPr="00BD3832">
              <w:rPr>
                <w:sz w:val="20"/>
                <w:szCs w:val="20"/>
              </w:rPr>
              <w:t>With family</w:t>
            </w:r>
          </w:p>
        </w:tc>
        <w:tc>
          <w:tcPr>
            <w:tcW w:w="0" w:type="auto"/>
            <w:shd w:val="clear" w:color="auto" w:fill="FFFFFF" w:themeFill="background1"/>
            <w:vAlign w:val="center"/>
          </w:tcPr>
          <w:p w14:paraId="5FA80BBB" w14:textId="77777777" w:rsidR="007D2D75" w:rsidRPr="00BD3832" w:rsidRDefault="007D2D75" w:rsidP="00524A8F">
            <w:pPr>
              <w:jc w:val="center"/>
              <w:rPr>
                <w:sz w:val="20"/>
                <w:szCs w:val="20"/>
              </w:rPr>
            </w:pPr>
            <w:r w:rsidRPr="00BD3832">
              <w:rPr>
                <w:sz w:val="20"/>
                <w:szCs w:val="20"/>
              </w:rPr>
              <w:t>36</w:t>
            </w:r>
          </w:p>
          <w:p w14:paraId="4CD6EA3C" w14:textId="77777777" w:rsidR="007D2D75" w:rsidRPr="00BD3832" w:rsidRDefault="007D2D75" w:rsidP="00524A8F">
            <w:pPr>
              <w:jc w:val="center"/>
              <w:rPr>
                <w:sz w:val="20"/>
                <w:szCs w:val="20"/>
              </w:rPr>
            </w:pPr>
            <w:r w:rsidRPr="00BD3832">
              <w:rPr>
                <w:sz w:val="20"/>
                <w:szCs w:val="20"/>
              </w:rPr>
              <w:t>(9.3%)</w:t>
            </w:r>
          </w:p>
        </w:tc>
        <w:tc>
          <w:tcPr>
            <w:tcW w:w="0" w:type="auto"/>
            <w:shd w:val="clear" w:color="auto" w:fill="FFFFFF" w:themeFill="background1"/>
            <w:vAlign w:val="center"/>
          </w:tcPr>
          <w:p w14:paraId="6BE4EFD0" w14:textId="77777777" w:rsidR="007D2D75" w:rsidRPr="00BD3832" w:rsidRDefault="007D2D75" w:rsidP="00524A8F">
            <w:pPr>
              <w:jc w:val="center"/>
              <w:rPr>
                <w:sz w:val="20"/>
                <w:szCs w:val="20"/>
              </w:rPr>
            </w:pPr>
            <w:r w:rsidRPr="00BD3832">
              <w:rPr>
                <w:sz w:val="20"/>
                <w:szCs w:val="20"/>
              </w:rPr>
              <w:t>275</w:t>
            </w:r>
          </w:p>
          <w:p w14:paraId="48D0ED9B" w14:textId="77777777" w:rsidR="007D2D75" w:rsidRPr="00BD3832" w:rsidRDefault="007D2D75" w:rsidP="00524A8F">
            <w:pPr>
              <w:jc w:val="center"/>
              <w:rPr>
                <w:sz w:val="20"/>
                <w:szCs w:val="20"/>
              </w:rPr>
            </w:pPr>
            <w:r w:rsidRPr="00BD3832">
              <w:rPr>
                <w:sz w:val="20"/>
                <w:szCs w:val="20"/>
              </w:rPr>
              <w:t>(70.7%)</w:t>
            </w:r>
          </w:p>
        </w:tc>
        <w:tc>
          <w:tcPr>
            <w:tcW w:w="0" w:type="auto"/>
            <w:shd w:val="clear" w:color="auto" w:fill="FFFFFF" w:themeFill="background1"/>
            <w:vAlign w:val="center"/>
          </w:tcPr>
          <w:p w14:paraId="123834A5" w14:textId="77777777" w:rsidR="007D2D75" w:rsidRPr="00BD3832" w:rsidRDefault="007D2D75" w:rsidP="00524A8F">
            <w:pPr>
              <w:jc w:val="center"/>
              <w:rPr>
                <w:sz w:val="20"/>
                <w:szCs w:val="20"/>
              </w:rPr>
            </w:pPr>
            <w:r w:rsidRPr="00BD3832">
              <w:rPr>
                <w:sz w:val="20"/>
                <w:szCs w:val="20"/>
              </w:rPr>
              <w:t>78</w:t>
            </w:r>
          </w:p>
          <w:p w14:paraId="11484F8C" w14:textId="77777777" w:rsidR="007D2D75" w:rsidRPr="00BD3832" w:rsidRDefault="007D2D75" w:rsidP="00524A8F">
            <w:pPr>
              <w:jc w:val="center"/>
              <w:rPr>
                <w:sz w:val="20"/>
                <w:szCs w:val="20"/>
              </w:rPr>
            </w:pPr>
            <w:r w:rsidRPr="00BD3832">
              <w:rPr>
                <w:sz w:val="20"/>
                <w:szCs w:val="20"/>
              </w:rPr>
              <w:t>(20.1%)</w:t>
            </w:r>
          </w:p>
        </w:tc>
        <w:tc>
          <w:tcPr>
            <w:tcW w:w="0" w:type="auto"/>
            <w:shd w:val="clear" w:color="auto" w:fill="FFFFFF" w:themeFill="background1"/>
          </w:tcPr>
          <w:p w14:paraId="1E206AC7"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5CAD219E" w14:textId="77777777" w:rsidR="007D2D75" w:rsidRPr="00BD3832" w:rsidRDefault="007D2D75" w:rsidP="00524A8F">
            <w:pPr>
              <w:jc w:val="center"/>
              <w:rPr>
                <w:sz w:val="20"/>
                <w:szCs w:val="20"/>
              </w:rPr>
            </w:pPr>
            <w:r w:rsidRPr="00BD3832">
              <w:rPr>
                <w:sz w:val="20"/>
                <w:szCs w:val="20"/>
              </w:rPr>
              <w:t>13</w:t>
            </w:r>
          </w:p>
          <w:p w14:paraId="78EF959E" w14:textId="77777777" w:rsidR="007D2D75" w:rsidRPr="00BD3832" w:rsidRDefault="007D2D75" w:rsidP="00524A8F">
            <w:pPr>
              <w:jc w:val="center"/>
              <w:rPr>
                <w:sz w:val="20"/>
                <w:szCs w:val="20"/>
              </w:rPr>
            </w:pPr>
            <w:r w:rsidRPr="00BD3832">
              <w:rPr>
                <w:sz w:val="20"/>
                <w:szCs w:val="20"/>
              </w:rPr>
              <w:t>(3.3%)</w:t>
            </w:r>
          </w:p>
        </w:tc>
        <w:tc>
          <w:tcPr>
            <w:tcW w:w="0" w:type="auto"/>
            <w:shd w:val="clear" w:color="auto" w:fill="FFFFFF" w:themeFill="background1"/>
            <w:vAlign w:val="center"/>
          </w:tcPr>
          <w:p w14:paraId="1A4BCBD5" w14:textId="77777777" w:rsidR="007D2D75" w:rsidRPr="00BD3832" w:rsidRDefault="007D2D75" w:rsidP="00524A8F">
            <w:pPr>
              <w:jc w:val="center"/>
              <w:rPr>
                <w:sz w:val="20"/>
                <w:szCs w:val="20"/>
              </w:rPr>
            </w:pPr>
            <w:r w:rsidRPr="00BD3832">
              <w:rPr>
                <w:sz w:val="20"/>
                <w:szCs w:val="20"/>
              </w:rPr>
              <w:t>216</w:t>
            </w:r>
          </w:p>
          <w:p w14:paraId="68D7608D" w14:textId="77777777" w:rsidR="007D2D75" w:rsidRPr="00BD3832" w:rsidRDefault="007D2D75" w:rsidP="00524A8F">
            <w:pPr>
              <w:jc w:val="center"/>
              <w:rPr>
                <w:sz w:val="20"/>
                <w:szCs w:val="20"/>
              </w:rPr>
            </w:pPr>
            <w:r w:rsidRPr="00BD3832">
              <w:rPr>
                <w:sz w:val="20"/>
                <w:szCs w:val="20"/>
              </w:rPr>
              <w:t>(55.5%)</w:t>
            </w:r>
          </w:p>
        </w:tc>
        <w:tc>
          <w:tcPr>
            <w:tcW w:w="0" w:type="auto"/>
            <w:shd w:val="clear" w:color="auto" w:fill="FFFFFF" w:themeFill="background1"/>
            <w:vAlign w:val="center"/>
          </w:tcPr>
          <w:p w14:paraId="299FE794" w14:textId="77777777" w:rsidR="007D2D75" w:rsidRPr="00BD3832" w:rsidRDefault="007D2D75" w:rsidP="00524A8F">
            <w:pPr>
              <w:jc w:val="center"/>
              <w:rPr>
                <w:sz w:val="20"/>
                <w:szCs w:val="20"/>
              </w:rPr>
            </w:pPr>
            <w:r w:rsidRPr="00BD3832">
              <w:rPr>
                <w:sz w:val="20"/>
                <w:szCs w:val="20"/>
              </w:rPr>
              <w:t>160</w:t>
            </w:r>
          </w:p>
          <w:p w14:paraId="7683D0E2" w14:textId="77777777" w:rsidR="007D2D75" w:rsidRPr="00BD3832" w:rsidRDefault="007D2D75" w:rsidP="00524A8F">
            <w:pPr>
              <w:jc w:val="center"/>
              <w:rPr>
                <w:sz w:val="20"/>
                <w:szCs w:val="20"/>
              </w:rPr>
            </w:pPr>
            <w:r w:rsidRPr="00BD3832">
              <w:rPr>
                <w:sz w:val="20"/>
                <w:szCs w:val="20"/>
              </w:rPr>
              <w:t>(41.1%)</w:t>
            </w:r>
          </w:p>
        </w:tc>
        <w:tc>
          <w:tcPr>
            <w:tcW w:w="672" w:type="dxa"/>
            <w:shd w:val="clear" w:color="auto" w:fill="FFFFFF" w:themeFill="background1"/>
          </w:tcPr>
          <w:p w14:paraId="39F1702E" w14:textId="77777777" w:rsidR="007D2D75" w:rsidRPr="00BD3832" w:rsidRDefault="007D2D75" w:rsidP="00524A8F">
            <w:pPr>
              <w:jc w:val="center"/>
              <w:rPr>
                <w:sz w:val="20"/>
                <w:szCs w:val="20"/>
              </w:rPr>
            </w:pPr>
            <w:r w:rsidRPr="00BD3832">
              <w:rPr>
                <w:sz w:val="20"/>
                <w:szCs w:val="20"/>
              </w:rPr>
              <w:t>389</w:t>
            </w:r>
          </w:p>
        </w:tc>
      </w:tr>
      <w:tr w:rsidR="007D2D75" w:rsidRPr="00BD3832" w14:paraId="5D85D606" w14:textId="77777777" w:rsidTr="00524A8F">
        <w:trPr>
          <w:trHeight w:val="539"/>
        </w:trPr>
        <w:tc>
          <w:tcPr>
            <w:tcW w:w="0" w:type="auto"/>
            <w:shd w:val="clear" w:color="auto" w:fill="FFFFFF" w:themeFill="background1"/>
            <w:noWrap/>
            <w:vAlign w:val="center"/>
          </w:tcPr>
          <w:p w14:paraId="29E61562" w14:textId="77777777" w:rsidR="007D2D75" w:rsidRPr="00BD3832" w:rsidRDefault="007D2D75" w:rsidP="00524A8F">
            <w:pPr>
              <w:rPr>
                <w:sz w:val="20"/>
                <w:szCs w:val="20"/>
              </w:rPr>
            </w:pPr>
            <w:r w:rsidRPr="00BD3832">
              <w:rPr>
                <w:sz w:val="20"/>
                <w:szCs w:val="20"/>
              </w:rPr>
              <w:t>Alone/Outside family</w:t>
            </w:r>
          </w:p>
        </w:tc>
        <w:tc>
          <w:tcPr>
            <w:tcW w:w="0" w:type="auto"/>
            <w:shd w:val="clear" w:color="auto" w:fill="FFFFFF" w:themeFill="background1"/>
            <w:vAlign w:val="center"/>
          </w:tcPr>
          <w:p w14:paraId="7ACF2857" w14:textId="77777777" w:rsidR="007D2D75" w:rsidRPr="00BD3832" w:rsidRDefault="007D2D75" w:rsidP="00524A8F">
            <w:pPr>
              <w:jc w:val="center"/>
              <w:rPr>
                <w:sz w:val="20"/>
                <w:szCs w:val="20"/>
              </w:rPr>
            </w:pPr>
            <w:r w:rsidRPr="00BD3832">
              <w:rPr>
                <w:sz w:val="20"/>
                <w:szCs w:val="20"/>
              </w:rPr>
              <w:t>0 (0.0%)</w:t>
            </w:r>
          </w:p>
        </w:tc>
        <w:tc>
          <w:tcPr>
            <w:tcW w:w="0" w:type="auto"/>
            <w:shd w:val="clear" w:color="auto" w:fill="FFFFFF" w:themeFill="background1"/>
            <w:vAlign w:val="center"/>
          </w:tcPr>
          <w:p w14:paraId="784B8657" w14:textId="77777777" w:rsidR="007D2D75" w:rsidRPr="00BD3832" w:rsidRDefault="007D2D75" w:rsidP="00524A8F">
            <w:pPr>
              <w:jc w:val="center"/>
              <w:rPr>
                <w:sz w:val="20"/>
                <w:szCs w:val="20"/>
              </w:rPr>
            </w:pPr>
            <w:r w:rsidRPr="00BD3832">
              <w:rPr>
                <w:sz w:val="20"/>
                <w:szCs w:val="20"/>
              </w:rPr>
              <w:t>10</w:t>
            </w:r>
          </w:p>
          <w:p w14:paraId="046DB7D0" w14:textId="77777777" w:rsidR="007D2D75" w:rsidRPr="00BD3832" w:rsidRDefault="007D2D75" w:rsidP="00524A8F">
            <w:pPr>
              <w:jc w:val="center"/>
              <w:rPr>
                <w:sz w:val="20"/>
                <w:szCs w:val="20"/>
              </w:rPr>
            </w:pPr>
            <w:r w:rsidRPr="00BD3832">
              <w:rPr>
                <w:sz w:val="20"/>
                <w:szCs w:val="20"/>
              </w:rPr>
              <w:t>(90.9%)</w:t>
            </w:r>
          </w:p>
        </w:tc>
        <w:tc>
          <w:tcPr>
            <w:tcW w:w="0" w:type="auto"/>
            <w:shd w:val="clear" w:color="auto" w:fill="FFFFFF" w:themeFill="background1"/>
            <w:vAlign w:val="center"/>
          </w:tcPr>
          <w:p w14:paraId="003151F3" w14:textId="77777777" w:rsidR="007D2D75" w:rsidRPr="00BD3832" w:rsidRDefault="007D2D75" w:rsidP="00524A8F">
            <w:pPr>
              <w:jc w:val="center"/>
              <w:rPr>
                <w:sz w:val="20"/>
                <w:szCs w:val="20"/>
              </w:rPr>
            </w:pPr>
            <w:r w:rsidRPr="00BD3832">
              <w:rPr>
                <w:sz w:val="20"/>
                <w:szCs w:val="20"/>
              </w:rPr>
              <w:t>1</w:t>
            </w:r>
          </w:p>
          <w:p w14:paraId="7F219145" w14:textId="77777777" w:rsidR="007D2D75" w:rsidRPr="00BD3832" w:rsidRDefault="007D2D75" w:rsidP="00524A8F">
            <w:pPr>
              <w:jc w:val="center"/>
              <w:rPr>
                <w:sz w:val="20"/>
                <w:szCs w:val="20"/>
              </w:rPr>
            </w:pPr>
            <w:r w:rsidRPr="00BD3832">
              <w:rPr>
                <w:sz w:val="20"/>
                <w:szCs w:val="20"/>
              </w:rPr>
              <w:t>(9.1%)</w:t>
            </w:r>
          </w:p>
        </w:tc>
        <w:tc>
          <w:tcPr>
            <w:tcW w:w="0" w:type="auto"/>
            <w:shd w:val="clear" w:color="auto" w:fill="FFFFFF" w:themeFill="background1"/>
          </w:tcPr>
          <w:p w14:paraId="45CEF489"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2F88065C" w14:textId="77777777" w:rsidR="007D2D75" w:rsidRPr="00BD3832" w:rsidRDefault="007D2D75" w:rsidP="00524A8F">
            <w:pPr>
              <w:jc w:val="center"/>
              <w:rPr>
                <w:sz w:val="20"/>
                <w:szCs w:val="20"/>
              </w:rPr>
            </w:pPr>
            <w:r w:rsidRPr="00BD3832">
              <w:rPr>
                <w:sz w:val="20"/>
                <w:szCs w:val="20"/>
              </w:rPr>
              <w:t>0 (0.0%)</w:t>
            </w:r>
          </w:p>
        </w:tc>
        <w:tc>
          <w:tcPr>
            <w:tcW w:w="0" w:type="auto"/>
            <w:shd w:val="clear" w:color="auto" w:fill="FFFFFF" w:themeFill="background1"/>
            <w:vAlign w:val="center"/>
          </w:tcPr>
          <w:p w14:paraId="1068C20E" w14:textId="77777777" w:rsidR="007D2D75" w:rsidRPr="00BD3832" w:rsidRDefault="007D2D75" w:rsidP="00524A8F">
            <w:pPr>
              <w:jc w:val="center"/>
              <w:rPr>
                <w:sz w:val="20"/>
                <w:szCs w:val="20"/>
              </w:rPr>
            </w:pPr>
            <w:r w:rsidRPr="00BD3832">
              <w:rPr>
                <w:sz w:val="20"/>
                <w:szCs w:val="20"/>
              </w:rPr>
              <w:t>8</w:t>
            </w:r>
          </w:p>
          <w:p w14:paraId="1DE94344" w14:textId="77777777" w:rsidR="007D2D75" w:rsidRPr="00BD3832" w:rsidRDefault="007D2D75" w:rsidP="00524A8F">
            <w:pPr>
              <w:jc w:val="center"/>
              <w:rPr>
                <w:sz w:val="20"/>
                <w:szCs w:val="20"/>
              </w:rPr>
            </w:pPr>
            <w:r w:rsidRPr="00BD3832">
              <w:rPr>
                <w:sz w:val="20"/>
                <w:szCs w:val="20"/>
              </w:rPr>
              <w:t>(72.7%)</w:t>
            </w:r>
          </w:p>
        </w:tc>
        <w:tc>
          <w:tcPr>
            <w:tcW w:w="0" w:type="auto"/>
            <w:shd w:val="clear" w:color="auto" w:fill="FFFFFF" w:themeFill="background1"/>
            <w:vAlign w:val="center"/>
          </w:tcPr>
          <w:p w14:paraId="18C659AD" w14:textId="77777777" w:rsidR="007D2D75" w:rsidRPr="00BD3832" w:rsidRDefault="007D2D75" w:rsidP="00524A8F">
            <w:pPr>
              <w:jc w:val="center"/>
              <w:rPr>
                <w:sz w:val="20"/>
                <w:szCs w:val="20"/>
              </w:rPr>
            </w:pPr>
            <w:r w:rsidRPr="00BD3832">
              <w:rPr>
                <w:sz w:val="20"/>
                <w:szCs w:val="20"/>
              </w:rPr>
              <w:t>3</w:t>
            </w:r>
          </w:p>
          <w:p w14:paraId="0C6B10C0" w14:textId="77777777" w:rsidR="007D2D75" w:rsidRPr="00BD3832" w:rsidRDefault="007D2D75" w:rsidP="00524A8F">
            <w:pPr>
              <w:jc w:val="center"/>
              <w:rPr>
                <w:sz w:val="20"/>
                <w:szCs w:val="20"/>
              </w:rPr>
            </w:pPr>
            <w:r w:rsidRPr="00BD3832">
              <w:rPr>
                <w:sz w:val="20"/>
                <w:szCs w:val="20"/>
              </w:rPr>
              <w:t>(27.3%)</w:t>
            </w:r>
          </w:p>
        </w:tc>
        <w:tc>
          <w:tcPr>
            <w:tcW w:w="672" w:type="dxa"/>
            <w:shd w:val="clear" w:color="auto" w:fill="FFFFFF" w:themeFill="background1"/>
          </w:tcPr>
          <w:p w14:paraId="026E537F" w14:textId="77777777" w:rsidR="007D2D75" w:rsidRPr="00BD3832" w:rsidRDefault="007D2D75" w:rsidP="00524A8F">
            <w:pPr>
              <w:jc w:val="center"/>
              <w:rPr>
                <w:sz w:val="20"/>
                <w:szCs w:val="20"/>
              </w:rPr>
            </w:pPr>
            <w:r w:rsidRPr="00BD3832">
              <w:rPr>
                <w:sz w:val="20"/>
                <w:szCs w:val="20"/>
              </w:rPr>
              <w:t>11</w:t>
            </w:r>
          </w:p>
        </w:tc>
      </w:tr>
      <w:tr w:rsidR="007D2D75" w:rsidRPr="00BD3832" w14:paraId="622EFC83" w14:textId="77777777" w:rsidTr="00524A8F">
        <w:trPr>
          <w:trHeight w:val="539"/>
        </w:trPr>
        <w:tc>
          <w:tcPr>
            <w:tcW w:w="9895" w:type="dxa"/>
            <w:gridSpan w:val="9"/>
            <w:shd w:val="clear" w:color="auto" w:fill="FFFFFF" w:themeFill="background1"/>
            <w:noWrap/>
            <w:vAlign w:val="center"/>
          </w:tcPr>
          <w:p w14:paraId="7270886F" w14:textId="77777777" w:rsidR="007D2D75" w:rsidRPr="00BD3832" w:rsidRDefault="007D2D75" w:rsidP="00524A8F">
            <w:pPr>
              <w:rPr>
                <w:sz w:val="20"/>
                <w:szCs w:val="20"/>
              </w:rPr>
            </w:pPr>
            <w:r w:rsidRPr="00BD3832">
              <w:rPr>
                <w:b/>
                <w:sz w:val="20"/>
                <w:szCs w:val="20"/>
              </w:rPr>
              <w:t>Family type</w:t>
            </w:r>
          </w:p>
        </w:tc>
      </w:tr>
      <w:tr w:rsidR="007D2D75" w:rsidRPr="00BD3832" w14:paraId="4F0F76F6" w14:textId="77777777" w:rsidTr="00524A8F">
        <w:trPr>
          <w:trHeight w:val="539"/>
        </w:trPr>
        <w:tc>
          <w:tcPr>
            <w:tcW w:w="0" w:type="auto"/>
            <w:shd w:val="clear" w:color="auto" w:fill="FFFFFF" w:themeFill="background1"/>
            <w:noWrap/>
            <w:vAlign w:val="center"/>
          </w:tcPr>
          <w:p w14:paraId="3F9A26E6" w14:textId="77777777" w:rsidR="007D2D75" w:rsidRPr="00BD3832" w:rsidRDefault="007D2D75" w:rsidP="00524A8F">
            <w:pPr>
              <w:rPr>
                <w:sz w:val="20"/>
                <w:szCs w:val="20"/>
              </w:rPr>
            </w:pPr>
            <w:r w:rsidRPr="00BD3832">
              <w:rPr>
                <w:sz w:val="20"/>
                <w:szCs w:val="20"/>
              </w:rPr>
              <w:t>Nuclear Family</w:t>
            </w:r>
          </w:p>
        </w:tc>
        <w:tc>
          <w:tcPr>
            <w:tcW w:w="0" w:type="auto"/>
            <w:shd w:val="clear" w:color="auto" w:fill="FFFFFF" w:themeFill="background1"/>
            <w:vAlign w:val="center"/>
          </w:tcPr>
          <w:p w14:paraId="17D32252" w14:textId="77777777" w:rsidR="007D2D75" w:rsidRPr="00BD3832" w:rsidRDefault="007D2D75" w:rsidP="00524A8F">
            <w:pPr>
              <w:jc w:val="center"/>
              <w:rPr>
                <w:sz w:val="20"/>
                <w:szCs w:val="20"/>
              </w:rPr>
            </w:pPr>
            <w:r w:rsidRPr="00BD3832">
              <w:rPr>
                <w:sz w:val="20"/>
                <w:szCs w:val="20"/>
              </w:rPr>
              <w:t>30</w:t>
            </w:r>
          </w:p>
          <w:p w14:paraId="19D85252" w14:textId="77777777" w:rsidR="007D2D75" w:rsidRPr="00BD3832" w:rsidRDefault="007D2D75" w:rsidP="00524A8F">
            <w:pPr>
              <w:jc w:val="center"/>
              <w:rPr>
                <w:sz w:val="20"/>
                <w:szCs w:val="20"/>
              </w:rPr>
            </w:pPr>
            <w:r w:rsidRPr="00BD3832">
              <w:rPr>
                <w:sz w:val="20"/>
                <w:szCs w:val="20"/>
              </w:rPr>
              <w:lastRenderedPageBreak/>
              <w:t>(10.2%)</w:t>
            </w:r>
          </w:p>
        </w:tc>
        <w:tc>
          <w:tcPr>
            <w:tcW w:w="0" w:type="auto"/>
            <w:shd w:val="clear" w:color="auto" w:fill="FFFFFF" w:themeFill="background1"/>
            <w:vAlign w:val="center"/>
          </w:tcPr>
          <w:p w14:paraId="1ADAE5EA" w14:textId="77777777" w:rsidR="007D2D75" w:rsidRPr="00BD3832" w:rsidRDefault="007D2D75" w:rsidP="00524A8F">
            <w:pPr>
              <w:jc w:val="center"/>
              <w:rPr>
                <w:sz w:val="20"/>
                <w:szCs w:val="20"/>
              </w:rPr>
            </w:pPr>
            <w:r w:rsidRPr="00BD3832">
              <w:rPr>
                <w:sz w:val="20"/>
                <w:szCs w:val="20"/>
              </w:rPr>
              <w:lastRenderedPageBreak/>
              <w:t>206</w:t>
            </w:r>
          </w:p>
          <w:p w14:paraId="5AB2F87B" w14:textId="77777777" w:rsidR="007D2D75" w:rsidRPr="00BD3832" w:rsidRDefault="007D2D75" w:rsidP="00524A8F">
            <w:pPr>
              <w:jc w:val="center"/>
              <w:rPr>
                <w:sz w:val="20"/>
                <w:szCs w:val="20"/>
              </w:rPr>
            </w:pPr>
            <w:r w:rsidRPr="00BD3832">
              <w:rPr>
                <w:sz w:val="20"/>
                <w:szCs w:val="20"/>
              </w:rPr>
              <w:lastRenderedPageBreak/>
              <w:t>(70.3%)</w:t>
            </w:r>
          </w:p>
        </w:tc>
        <w:tc>
          <w:tcPr>
            <w:tcW w:w="0" w:type="auto"/>
            <w:shd w:val="clear" w:color="auto" w:fill="FFFFFF" w:themeFill="background1"/>
            <w:vAlign w:val="center"/>
          </w:tcPr>
          <w:p w14:paraId="1EF3628C" w14:textId="77777777" w:rsidR="007D2D75" w:rsidRPr="00BD3832" w:rsidRDefault="007D2D75" w:rsidP="00524A8F">
            <w:pPr>
              <w:jc w:val="center"/>
              <w:rPr>
                <w:sz w:val="20"/>
                <w:szCs w:val="20"/>
              </w:rPr>
            </w:pPr>
            <w:r w:rsidRPr="00BD3832">
              <w:rPr>
                <w:sz w:val="20"/>
                <w:szCs w:val="20"/>
              </w:rPr>
              <w:lastRenderedPageBreak/>
              <w:t>57</w:t>
            </w:r>
          </w:p>
          <w:p w14:paraId="7A1862DB" w14:textId="77777777" w:rsidR="007D2D75" w:rsidRPr="00BD3832" w:rsidRDefault="007D2D75" w:rsidP="00524A8F">
            <w:pPr>
              <w:jc w:val="center"/>
              <w:rPr>
                <w:sz w:val="20"/>
                <w:szCs w:val="20"/>
              </w:rPr>
            </w:pPr>
            <w:r w:rsidRPr="00BD3832">
              <w:rPr>
                <w:sz w:val="20"/>
                <w:szCs w:val="20"/>
              </w:rPr>
              <w:lastRenderedPageBreak/>
              <w:t>(19.5%)</w:t>
            </w:r>
          </w:p>
        </w:tc>
        <w:tc>
          <w:tcPr>
            <w:tcW w:w="0" w:type="auto"/>
            <w:shd w:val="clear" w:color="auto" w:fill="FFFFFF" w:themeFill="background1"/>
          </w:tcPr>
          <w:p w14:paraId="14956F23"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43D543B1" w14:textId="77777777" w:rsidR="007D2D75" w:rsidRPr="00BD3832" w:rsidRDefault="007D2D75" w:rsidP="00524A8F">
            <w:pPr>
              <w:jc w:val="center"/>
              <w:rPr>
                <w:sz w:val="20"/>
                <w:szCs w:val="20"/>
              </w:rPr>
            </w:pPr>
            <w:r w:rsidRPr="00BD3832">
              <w:rPr>
                <w:sz w:val="20"/>
                <w:szCs w:val="20"/>
              </w:rPr>
              <w:t>12</w:t>
            </w:r>
          </w:p>
          <w:p w14:paraId="6792BD0F" w14:textId="77777777" w:rsidR="007D2D75" w:rsidRPr="00BD3832" w:rsidRDefault="007D2D75" w:rsidP="00524A8F">
            <w:pPr>
              <w:jc w:val="center"/>
              <w:rPr>
                <w:sz w:val="20"/>
                <w:szCs w:val="20"/>
              </w:rPr>
            </w:pPr>
            <w:r w:rsidRPr="00BD3832">
              <w:rPr>
                <w:sz w:val="20"/>
                <w:szCs w:val="20"/>
              </w:rPr>
              <w:lastRenderedPageBreak/>
              <w:t>(4.1%)</w:t>
            </w:r>
          </w:p>
        </w:tc>
        <w:tc>
          <w:tcPr>
            <w:tcW w:w="0" w:type="auto"/>
            <w:shd w:val="clear" w:color="auto" w:fill="FFFFFF" w:themeFill="background1"/>
            <w:vAlign w:val="center"/>
          </w:tcPr>
          <w:p w14:paraId="036BC78A" w14:textId="77777777" w:rsidR="007D2D75" w:rsidRPr="00BD3832" w:rsidRDefault="007D2D75" w:rsidP="00524A8F">
            <w:pPr>
              <w:jc w:val="center"/>
              <w:rPr>
                <w:sz w:val="20"/>
                <w:szCs w:val="20"/>
              </w:rPr>
            </w:pPr>
            <w:r w:rsidRPr="00BD3832">
              <w:rPr>
                <w:sz w:val="20"/>
                <w:szCs w:val="20"/>
              </w:rPr>
              <w:lastRenderedPageBreak/>
              <w:t>181</w:t>
            </w:r>
          </w:p>
          <w:p w14:paraId="58D29980" w14:textId="77777777" w:rsidR="007D2D75" w:rsidRPr="00BD3832" w:rsidRDefault="007D2D75" w:rsidP="00524A8F">
            <w:pPr>
              <w:jc w:val="center"/>
              <w:rPr>
                <w:sz w:val="20"/>
                <w:szCs w:val="20"/>
              </w:rPr>
            </w:pPr>
            <w:r w:rsidRPr="00BD3832">
              <w:rPr>
                <w:sz w:val="20"/>
                <w:szCs w:val="20"/>
              </w:rPr>
              <w:lastRenderedPageBreak/>
              <w:t>(61.8%)</w:t>
            </w:r>
          </w:p>
        </w:tc>
        <w:tc>
          <w:tcPr>
            <w:tcW w:w="0" w:type="auto"/>
            <w:shd w:val="clear" w:color="auto" w:fill="FFFFFF" w:themeFill="background1"/>
            <w:vAlign w:val="center"/>
          </w:tcPr>
          <w:p w14:paraId="2257AF53" w14:textId="77777777" w:rsidR="007D2D75" w:rsidRPr="00BD3832" w:rsidRDefault="007D2D75" w:rsidP="00524A8F">
            <w:pPr>
              <w:jc w:val="center"/>
              <w:rPr>
                <w:sz w:val="20"/>
                <w:szCs w:val="20"/>
              </w:rPr>
            </w:pPr>
            <w:r w:rsidRPr="00BD3832">
              <w:rPr>
                <w:sz w:val="20"/>
                <w:szCs w:val="20"/>
              </w:rPr>
              <w:lastRenderedPageBreak/>
              <w:t>100</w:t>
            </w:r>
          </w:p>
          <w:p w14:paraId="18EDC53E" w14:textId="77777777" w:rsidR="007D2D75" w:rsidRPr="00BD3832" w:rsidRDefault="007D2D75" w:rsidP="00524A8F">
            <w:pPr>
              <w:jc w:val="center"/>
              <w:rPr>
                <w:sz w:val="20"/>
                <w:szCs w:val="20"/>
              </w:rPr>
            </w:pPr>
            <w:r w:rsidRPr="00BD3832">
              <w:rPr>
                <w:sz w:val="20"/>
                <w:szCs w:val="20"/>
              </w:rPr>
              <w:lastRenderedPageBreak/>
              <w:t>(34.1%)</w:t>
            </w:r>
          </w:p>
        </w:tc>
        <w:tc>
          <w:tcPr>
            <w:tcW w:w="672" w:type="dxa"/>
            <w:shd w:val="clear" w:color="auto" w:fill="FFFFFF" w:themeFill="background1"/>
          </w:tcPr>
          <w:p w14:paraId="74B496F0" w14:textId="77777777" w:rsidR="007D2D75" w:rsidRPr="00BD3832" w:rsidRDefault="007D2D75" w:rsidP="00524A8F">
            <w:pPr>
              <w:jc w:val="center"/>
              <w:rPr>
                <w:sz w:val="20"/>
                <w:szCs w:val="20"/>
              </w:rPr>
            </w:pPr>
            <w:r w:rsidRPr="00BD3832">
              <w:rPr>
                <w:sz w:val="20"/>
                <w:szCs w:val="20"/>
              </w:rPr>
              <w:lastRenderedPageBreak/>
              <w:t>293</w:t>
            </w:r>
          </w:p>
        </w:tc>
      </w:tr>
      <w:tr w:rsidR="007D2D75" w:rsidRPr="00BD3832" w14:paraId="241F4842" w14:textId="77777777" w:rsidTr="00524A8F">
        <w:trPr>
          <w:trHeight w:val="539"/>
        </w:trPr>
        <w:tc>
          <w:tcPr>
            <w:tcW w:w="0" w:type="auto"/>
            <w:shd w:val="clear" w:color="auto" w:fill="FFFFFF" w:themeFill="background1"/>
            <w:noWrap/>
            <w:vAlign w:val="center"/>
          </w:tcPr>
          <w:p w14:paraId="1F53AC49" w14:textId="77777777" w:rsidR="007D2D75" w:rsidRPr="00BD3832" w:rsidRDefault="007D2D75" w:rsidP="00524A8F">
            <w:pPr>
              <w:rPr>
                <w:sz w:val="20"/>
                <w:szCs w:val="20"/>
              </w:rPr>
            </w:pPr>
            <w:r w:rsidRPr="00BD3832">
              <w:rPr>
                <w:sz w:val="20"/>
                <w:szCs w:val="20"/>
              </w:rPr>
              <w:t>Joint Family</w:t>
            </w:r>
          </w:p>
        </w:tc>
        <w:tc>
          <w:tcPr>
            <w:tcW w:w="0" w:type="auto"/>
            <w:shd w:val="clear" w:color="auto" w:fill="FFFFFF" w:themeFill="background1"/>
            <w:vAlign w:val="center"/>
          </w:tcPr>
          <w:p w14:paraId="68053C17" w14:textId="77777777" w:rsidR="007D2D75" w:rsidRPr="00BD3832" w:rsidRDefault="007D2D75" w:rsidP="00524A8F">
            <w:pPr>
              <w:jc w:val="center"/>
              <w:rPr>
                <w:sz w:val="20"/>
                <w:szCs w:val="20"/>
              </w:rPr>
            </w:pPr>
            <w:r w:rsidRPr="00BD3832">
              <w:rPr>
                <w:sz w:val="20"/>
                <w:szCs w:val="20"/>
              </w:rPr>
              <w:t>6</w:t>
            </w:r>
          </w:p>
          <w:p w14:paraId="2BDF3AD0" w14:textId="77777777" w:rsidR="007D2D75" w:rsidRPr="00BD3832" w:rsidRDefault="007D2D75" w:rsidP="00524A8F">
            <w:pPr>
              <w:jc w:val="center"/>
              <w:rPr>
                <w:sz w:val="20"/>
                <w:szCs w:val="20"/>
              </w:rPr>
            </w:pPr>
            <w:r w:rsidRPr="00BD3832">
              <w:rPr>
                <w:sz w:val="20"/>
                <w:szCs w:val="20"/>
              </w:rPr>
              <w:t>(5.6%)</w:t>
            </w:r>
          </w:p>
        </w:tc>
        <w:tc>
          <w:tcPr>
            <w:tcW w:w="0" w:type="auto"/>
            <w:shd w:val="clear" w:color="auto" w:fill="FFFFFF" w:themeFill="background1"/>
            <w:vAlign w:val="center"/>
          </w:tcPr>
          <w:p w14:paraId="2DE00C17" w14:textId="77777777" w:rsidR="007D2D75" w:rsidRPr="00BD3832" w:rsidRDefault="007D2D75" w:rsidP="00524A8F">
            <w:pPr>
              <w:jc w:val="center"/>
              <w:rPr>
                <w:sz w:val="20"/>
                <w:szCs w:val="20"/>
              </w:rPr>
            </w:pPr>
            <w:r w:rsidRPr="00BD3832">
              <w:rPr>
                <w:sz w:val="20"/>
                <w:szCs w:val="20"/>
              </w:rPr>
              <w:t>79</w:t>
            </w:r>
          </w:p>
          <w:p w14:paraId="073C8F9F" w14:textId="77777777" w:rsidR="007D2D75" w:rsidRPr="00BD3832" w:rsidRDefault="007D2D75" w:rsidP="00524A8F">
            <w:pPr>
              <w:jc w:val="center"/>
              <w:rPr>
                <w:sz w:val="20"/>
                <w:szCs w:val="20"/>
              </w:rPr>
            </w:pPr>
            <w:r w:rsidRPr="00BD3832">
              <w:rPr>
                <w:sz w:val="20"/>
                <w:szCs w:val="20"/>
              </w:rPr>
              <w:t>(73.8%)</w:t>
            </w:r>
          </w:p>
        </w:tc>
        <w:tc>
          <w:tcPr>
            <w:tcW w:w="0" w:type="auto"/>
            <w:shd w:val="clear" w:color="auto" w:fill="FFFFFF" w:themeFill="background1"/>
            <w:vAlign w:val="center"/>
          </w:tcPr>
          <w:p w14:paraId="395E8241" w14:textId="77777777" w:rsidR="007D2D75" w:rsidRPr="00BD3832" w:rsidRDefault="007D2D75" w:rsidP="00524A8F">
            <w:pPr>
              <w:jc w:val="center"/>
              <w:rPr>
                <w:sz w:val="20"/>
                <w:szCs w:val="20"/>
              </w:rPr>
            </w:pPr>
            <w:r w:rsidRPr="00BD3832">
              <w:rPr>
                <w:sz w:val="20"/>
                <w:szCs w:val="20"/>
              </w:rPr>
              <w:t>22</w:t>
            </w:r>
          </w:p>
          <w:p w14:paraId="79B7D9FE" w14:textId="77777777" w:rsidR="007D2D75" w:rsidRPr="00BD3832" w:rsidRDefault="007D2D75" w:rsidP="00524A8F">
            <w:pPr>
              <w:jc w:val="center"/>
              <w:rPr>
                <w:sz w:val="20"/>
                <w:szCs w:val="20"/>
              </w:rPr>
            </w:pPr>
            <w:r w:rsidRPr="00BD3832">
              <w:rPr>
                <w:sz w:val="20"/>
                <w:szCs w:val="20"/>
              </w:rPr>
              <w:t>(20.6%)</w:t>
            </w:r>
          </w:p>
        </w:tc>
        <w:tc>
          <w:tcPr>
            <w:tcW w:w="0" w:type="auto"/>
            <w:shd w:val="clear" w:color="auto" w:fill="FFFFFF" w:themeFill="background1"/>
          </w:tcPr>
          <w:p w14:paraId="1D32D212"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41B1CC7D" w14:textId="77777777" w:rsidR="007D2D75" w:rsidRPr="00BD3832" w:rsidRDefault="007D2D75" w:rsidP="00524A8F">
            <w:pPr>
              <w:jc w:val="center"/>
              <w:rPr>
                <w:sz w:val="20"/>
                <w:szCs w:val="20"/>
              </w:rPr>
            </w:pPr>
            <w:r w:rsidRPr="00BD3832">
              <w:rPr>
                <w:sz w:val="20"/>
                <w:szCs w:val="20"/>
              </w:rPr>
              <w:t>1</w:t>
            </w:r>
          </w:p>
          <w:p w14:paraId="5CFEA9FB" w14:textId="77777777" w:rsidR="007D2D75" w:rsidRPr="00BD3832" w:rsidRDefault="007D2D75" w:rsidP="00524A8F">
            <w:pPr>
              <w:jc w:val="center"/>
              <w:rPr>
                <w:sz w:val="20"/>
                <w:szCs w:val="20"/>
              </w:rPr>
            </w:pPr>
            <w:r w:rsidRPr="00BD3832">
              <w:rPr>
                <w:sz w:val="20"/>
                <w:szCs w:val="20"/>
              </w:rPr>
              <w:t>(0.9%)</w:t>
            </w:r>
          </w:p>
        </w:tc>
        <w:tc>
          <w:tcPr>
            <w:tcW w:w="0" w:type="auto"/>
            <w:shd w:val="clear" w:color="auto" w:fill="FFFFFF" w:themeFill="background1"/>
            <w:vAlign w:val="center"/>
          </w:tcPr>
          <w:p w14:paraId="30CBE278" w14:textId="77777777" w:rsidR="007D2D75" w:rsidRPr="00BD3832" w:rsidRDefault="007D2D75" w:rsidP="00524A8F">
            <w:pPr>
              <w:jc w:val="center"/>
              <w:rPr>
                <w:sz w:val="20"/>
                <w:szCs w:val="20"/>
              </w:rPr>
            </w:pPr>
            <w:r w:rsidRPr="00BD3832">
              <w:rPr>
                <w:sz w:val="20"/>
                <w:szCs w:val="20"/>
              </w:rPr>
              <w:t>43</w:t>
            </w:r>
          </w:p>
          <w:p w14:paraId="18BBD8BB" w14:textId="77777777" w:rsidR="007D2D75" w:rsidRPr="00BD3832" w:rsidRDefault="007D2D75" w:rsidP="00524A8F">
            <w:pPr>
              <w:jc w:val="center"/>
              <w:rPr>
                <w:sz w:val="20"/>
                <w:szCs w:val="20"/>
              </w:rPr>
            </w:pPr>
            <w:r w:rsidRPr="00BD3832">
              <w:rPr>
                <w:sz w:val="20"/>
                <w:szCs w:val="20"/>
              </w:rPr>
              <w:t>(40.2%)</w:t>
            </w:r>
          </w:p>
        </w:tc>
        <w:tc>
          <w:tcPr>
            <w:tcW w:w="0" w:type="auto"/>
            <w:shd w:val="clear" w:color="auto" w:fill="FFFFFF" w:themeFill="background1"/>
            <w:vAlign w:val="center"/>
          </w:tcPr>
          <w:p w14:paraId="79764E2E" w14:textId="77777777" w:rsidR="007D2D75" w:rsidRPr="00BD3832" w:rsidRDefault="007D2D75" w:rsidP="00524A8F">
            <w:pPr>
              <w:jc w:val="center"/>
              <w:rPr>
                <w:sz w:val="20"/>
                <w:szCs w:val="20"/>
              </w:rPr>
            </w:pPr>
            <w:r w:rsidRPr="00BD3832">
              <w:rPr>
                <w:sz w:val="20"/>
                <w:szCs w:val="20"/>
              </w:rPr>
              <w:t>63</w:t>
            </w:r>
          </w:p>
          <w:p w14:paraId="4AA22928" w14:textId="77777777" w:rsidR="007D2D75" w:rsidRPr="00BD3832" w:rsidRDefault="007D2D75" w:rsidP="00524A8F">
            <w:pPr>
              <w:jc w:val="center"/>
              <w:rPr>
                <w:sz w:val="20"/>
                <w:szCs w:val="20"/>
              </w:rPr>
            </w:pPr>
            <w:r w:rsidRPr="00BD3832">
              <w:rPr>
                <w:sz w:val="20"/>
                <w:szCs w:val="20"/>
              </w:rPr>
              <w:t>(58.9%)</w:t>
            </w:r>
          </w:p>
        </w:tc>
        <w:tc>
          <w:tcPr>
            <w:tcW w:w="672" w:type="dxa"/>
            <w:shd w:val="clear" w:color="auto" w:fill="FFFFFF" w:themeFill="background1"/>
          </w:tcPr>
          <w:p w14:paraId="4A11B37B" w14:textId="77777777" w:rsidR="007D2D75" w:rsidRPr="00BD3832" w:rsidRDefault="007D2D75" w:rsidP="00524A8F">
            <w:pPr>
              <w:jc w:val="center"/>
              <w:rPr>
                <w:sz w:val="20"/>
                <w:szCs w:val="20"/>
              </w:rPr>
            </w:pPr>
            <w:r w:rsidRPr="00BD3832">
              <w:rPr>
                <w:sz w:val="20"/>
                <w:szCs w:val="20"/>
              </w:rPr>
              <w:t>107</w:t>
            </w:r>
          </w:p>
        </w:tc>
      </w:tr>
      <w:tr w:rsidR="007D2D75" w:rsidRPr="00BD3832" w14:paraId="7A6BCBB0" w14:textId="77777777" w:rsidTr="00524A8F">
        <w:trPr>
          <w:trHeight w:val="539"/>
        </w:trPr>
        <w:tc>
          <w:tcPr>
            <w:tcW w:w="9895" w:type="dxa"/>
            <w:gridSpan w:val="9"/>
            <w:shd w:val="clear" w:color="auto" w:fill="FFFFFF" w:themeFill="background1"/>
            <w:noWrap/>
            <w:vAlign w:val="center"/>
          </w:tcPr>
          <w:p w14:paraId="5F23C5E5" w14:textId="77777777" w:rsidR="007D2D75" w:rsidRPr="00BD3832" w:rsidRDefault="007D2D75" w:rsidP="00524A8F">
            <w:pPr>
              <w:rPr>
                <w:sz w:val="20"/>
                <w:szCs w:val="20"/>
              </w:rPr>
            </w:pPr>
            <w:r w:rsidRPr="00BD3832">
              <w:rPr>
                <w:b/>
                <w:sz w:val="20"/>
                <w:szCs w:val="20"/>
              </w:rPr>
              <w:t>Education</w:t>
            </w:r>
          </w:p>
        </w:tc>
      </w:tr>
      <w:tr w:rsidR="007D2D75" w:rsidRPr="00BD3832" w14:paraId="6583A852" w14:textId="77777777" w:rsidTr="00524A8F">
        <w:trPr>
          <w:trHeight w:val="539"/>
        </w:trPr>
        <w:tc>
          <w:tcPr>
            <w:tcW w:w="0" w:type="auto"/>
            <w:shd w:val="clear" w:color="auto" w:fill="FFFFFF" w:themeFill="background1"/>
            <w:noWrap/>
            <w:vAlign w:val="center"/>
          </w:tcPr>
          <w:p w14:paraId="1472158D" w14:textId="77777777" w:rsidR="007D2D75" w:rsidRPr="00BD3832" w:rsidRDefault="007D2D75" w:rsidP="00524A8F">
            <w:pPr>
              <w:rPr>
                <w:sz w:val="20"/>
                <w:szCs w:val="20"/>
              </w:rPr>
            </w:pPr>
            <w:r w:rsidRPr="00BD3832">
              <w:rPr>
                <w:sz w:val="20"/>
                <w:szCs w:val="20"/>
              </w:rPr>
              <w:t>Primary- Secondary</w:t>
            </w:r>
          </w:p>
        </w:tc>
        <w:tc>
          <w:tcPr>
            <w:tcW w:w="0" w:type="auto"/>
            <w:shd w:val="clear" w:color="auto" w:fill="FFFFFF" w:themeFill="background1"/>
            <w:vAlign w:val="center"/>
          </w:tcPr>
          <w:p w14:paraId="77B18A60" w14:textId="77777777" w:rsidR="007D2D75" w:rsidRPr="00BD3832" w:rsidRDefault="007D2D75" w:rsidP="00524A8F">
            <w:pPr>
              <w:jc w:val="center"/>
              <w:rPr>
                <w:sz w:val="20"/>
                <w:szCs w:val="20"/>
              </w:rPr>
            </w:pPr>
            <w:r w:rsidRPr="00BD3832">
              <w:rPr>
                <w:sz w:val="20"/>
                <w:szCs w:val="20"/>
              </w:rPr>
              <w:t>2</w:t>
            </w:r>
          </w:p>
          <w:p w14:paraId="71168201" w14:textId="77777777" w:rsidR="007D2D75" w:rsidRPr="00BD3832" w:rsidRDefault="007D2D75" w:rsidP="00524A8F">
            <w:pPr>
              <w:jc w:val="center"/>
              <w:rPr>
                <w:sz w:val="20"/>
                <w:szCs w:val="20"/>
              </w:rPr>
            </w:pPr>
            <w:r w:rsidRPr="00BD3832">
              <w:rPr>
                <w:sz w:val="20"/>
                <w:szCs w:val="20"/>
              </w:rPr>
              <w:t>(14.3%)</w:t>
            </w:r>
          </w:p>
        </w:tc>
        <w:tc>
          <w:tcPr>
            <w:tcW w:w="0" w:type="auto"/>
            <w:shd w:val="clear" w:color="auto" w:fill="FFFFFF" w:themeFill="background1"/>
            <w:vAlign w:val="center"/>
          </w:tcPr>
          <w:p w14:paraId="07864765" w14:textId="77777777" w:rsidR="007D2D75" w:rsidRPr="00BD3832" w:rsidRDefault="007D2D75" w:rsidP="00524A8F">
            <w:pPr>
              <w:jc w:val="center"/>
              <w:rPr>
                <w:sz w:val="20"/>
                <w:szCs w:val="20"/>
              </w:rPr>
            </w:pPr>
            <w:r w:rsidRPr="00BD3832">
              <w:rPr>
                <w:sz w:val="20"/>
                <w:szCs w:val="20"/>
              </w:rPr>
              <w:t>11</w:t>
            </w:r>
          </w:p>
          <w:p w14:paraId="456D97E0" w14:textId="77777777" w:rsidR="007D2D75" w:rsidRPr="00BD3832" w:rsidRDefault="007D2D75" w:rsidP="00524A8F">
            <w:pPr>
              <w:jc w:val="center"/>
              <w:rPr>
                <w:sz w:val="20"/>
                <w:szCs w:val="20"/>
              </w:rPr>
            </w:pPr>
            <w:r w:rsidRPr="00BD3832">
              <w:rPr>
                <w:sz w:val="20"/>
                <w:szCs w:val="20"/>
              </w:rPr>
              <w:t>(78.6%)</w:t>
            </w:r>
          </w:p>
        </w:tc>
        <w:tc>
          <w:tcPr>
            <w:tcW w:w="0" w:type="auto"/>
            <w:shd w:val="clear" w:color="auto" w:fill="FFFFFF" w:themeFill="background1"/>
            <w:vAlign w:val="center"/>
          </w:tcPr>
          <w:p w14:paraId="18685055" w14:textId="77777777" w:rsidR="007D2D75" w:rsidRPr="00BD3832" w:rsidRDefault="007D2D75" w:rsidP="00524A8F">
            <w:pPr>
              <w:jc w:val="center"/>
              <w:rPr>
                <w:sz w:val="20"/>
                <w:szCs w:val="20"/>
              </w:rPr>
            </w:pPr>
            <w:r w:rsidRPr="00BD3832">
              <w:rPr>
                <w:sz w:val="20"/>
                <w:szCs w:val="20"/>
              </w:rPr>
              <w:t>1</w:t>
            </w:r>
          </w:p>
          <w:p w14:paraId="74DE8C31" w14:textId="77777777" w:rsidR="007D2D75" w:rsidRPr="00BD3832" w:rsidRDefault="007D2D75" w:rsidP="00524A8F">
            <w:pPr>
              <w:jc w:val="center"/>
              <w:rPr>
                <w:sz w:val="20"/>
                <w:szCs w:val="20"/>
              </w:rPr>
            </w:pPr>
            <w:r w:rsidRPr="00BD3832">
              <w:rPr>
                <w:sz w:val="20"/>
                <w:szCs w:val="20"/>
              </w:rPr>
              <w:t>(7.1%)</w:t>
            </w:r>
          </w:p>
        </w:tc>
        <w:tc>
          <w:tcPr>
            <w:tcW w:w="0" w:type="auto"/>
            <w:shd w:val="clear" w:color="auto" w:fill="FFFFFF" w:themeFill="background1"/>
          </w:tcPr>
          <w:p w14:paraId="18B5204D"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77A4DE0B" w14:textId="77777777" w:rsidR="007D2D75" w:rsidRPr="00BD3832" w:rsidRDefault="007D2D75" w:rsidP="00524A8F">
            <w:pPr>
              <w:jc w:val="center"/>
              <w:rPr>
                <w:sz w:val="20"/>
                <w:szCs w:val="20"/>
              </w:rPr>
            </w:pPr>
            <w:r w:rsidRPr="00BD3832">
              <w:rPr>
                <w:sz w:val="20"/>
                <w:szCs w:val="20"/>
              </w:rPr>
              <w:t>0 (0.0%)</w:t>
            </w:r>
          </w:p>
        </w:tc>
        <w:tc>
          <w:tcPr>
            <w:tcW w:w="0" w:type="auto"/>
            <w:shd w:val="clear" w:color="auto" w:fill="FFFFFF" w:themeFill="background1"/>
            <w:vAlign w:val="center"/>
          </w:tcPr>
          <w:p w14:paraId="0AE7556B" w14:textId="77777777" w:rsidR="007D2D75" w:rsidRPr="00BD3832" w:rsidRDefault="007D2D75" w:rsidP="00524A8F">
            <w:pPr>
              <w:jc w:val="center"/>
              <w:rPr>
                <w:sz w:val="20"/>
                <w:szCs w:val="20"/>
              </w:rPr>
            </w:pPr>
            <w:r w:rsidRPr="00BD3832">
              <w:rPr>
                <w:sz w:val="20"/>
                <w:szCs w:val="20"/>
              </w:rPr>
              <w:t>10</w:t>
            </w:r>
          </w:p>
          <w:p w14:paraId="67C4A271" w14:textId="77777777" w:rsidR="007D2D75" w:rsidRPr="00BD3832" w:rsidRDefault="007D2D75" w:rsidP="00524A8F">
            <w:pPr>
              <w:jc w:val="center"/>
              <w:rPr>
                <w:sz w:val="20"/>
                <w:szCs w:val="20"/>
              </w:rPr>
            </w:pPr>
            <w:r w:rsidRPr="00BD3832">
              <w:rPr>
                <w:sz w:val="20"/>
                <w:szCs w:val="20"/>
              </w:rPr>
              <w:t>(71.4%)</w:t>
            </w:r>
          </w:p>
        </w:tc>
        <w:tc>
          <w:tcPr>
            <w:tcW w:w="0" w:type="auto"/>
            <w:shd w:val="clear" w:color="auto" w:fill="FFFFFF" w:themeFill="background1"/>
            <w:vAlign w:val="center"/>
          </w:tcPr>
          <w:p w14:paraId="7D98A835" w14:textId="77777777" w:rsidR="007D2D75" w:rsidRPr="00BD3832" w:rsidRDefault="007D2D75" w:rsidP="00524A8F">
            <w:pPr>
              <w:jc w:val="center"/>
              <w:rPr>
                <w:sz w:val="20"/>
                <w:szCs w:val="20"/>
              </w:rPr>
            </w:pPr>
            <w:r w:rsidRPr="00BD3832">
              <w:rPr>
                <w:sz w:val="20"/>
                <w:szCs w:val="20"/>
              </w:rPr>
              <w:t>4</w:t>
            </w:r>
          </w:p>
          <w:p w14:paraId="6479ED51" w14:textId="77777777" w:rsidR="007D2D75" w:rsidRPr="00BD3832" w:rsidRDefault="007D2D75" w:rsidP="00524A8F">
            <w:pPr>
              <w:jc w:val="center"/>
              <w:rPr>
                <w:sz w:val="20"/>
                <w:szCs w:val="20"/>
              </w:rPr>
            </w:pPr>
            <w:r w:rsidRPr="00BD3832">
              <w:rPr>
                <w:sz w:val="20"/>
                <w:szCs w:val="20"/>
              </w:rPr>
              <w:t>(28.6%)</w:t>
            </w:r>
          </w:p>
        </w:tc>
        <w:tc>
          <w:tcPr>
            <w:tcW w:w="672" w:type="dxa"/>
            <w:shd w:val="clear" w:color="auto" w:fill="FFFFFF" w:themeFill="background1"/>
          </w:tcPr>
          <w:p w14:paraId="34922434" w14:textId="77777777" w:rsidR="007D2D75" w:rsidRPr="00BD3832" w:rsidRDefault="007D2D75" w:rsidP="00524A8F">
            <w:pPr>
              <w:jc w:val="center"/>
              <w:rPr>
                <w:sz w:val="20"/>
                <w:szCs w:val="20"/>
              </w:rPr>
            </w:pPr>
            <w:r w:rsidRPr="00BD3832">
              <w:rPr>
                <w:sz w:val="20"/>
                <w:szCs w:val="20"/>
              </w:rPr>
              <w:t>14</w:t>
            </w:r>
          </w:p>
        </w:tc>
      </w:tr>
      <w:tr w:rsidR="007D2D75" w:rsidRPr="00BD3832" w14:paraId="660DDAD1" w14:textId="77777777" w:rsidTr="00524A8F">
        <w:trPr>
          <w:trHeight w:val="539"/>
        </w:trPr>
        <w:tc>
          <w:tcPr>
            <w:tcW w:w="0" w:type="auto"/>
            <w:shd w:val="clear" w:color="auto" w:fill="FFFFFF" w:themeFill="background1"/>
            <w:noWrap/>
            <w:vAlign w:val="center"/>
          </w:tcPr>
          <w:p w14:paraId="06DD2BEE" w14:textId="77777777" w:rsidR="007D2D75" w:rsidRPr="00BD3832" w:rsidRDefault="007D2D75" w:rsidP="00524A8F">
            <w:pPr>
              <w:rPr>
                <w:sz w:val="20"/>
                <w:szCs w:val="20"/>
              </w:rPr>
            </w:pPr>
            <w:r w:rsidRPr="00BD3832">
              <w:rPr>
                <w:sz w:val="20"/>
                <w:szCs w:val="20"/>
              </w:rPr>
              <w:t>Higher education</w:t>
            </w:r>
          </w:p>
        </w:tc>
        <w:tc>
          <w:tcPr>
            <w:tcW w:w="0" w:type="auto"/>
            <w:shd w:val="clear" w:color="auto" w:fill="FFFFFF" w:themeFill="background1"/>
            <w:vAlign w:val="center"/>
          </w:tcPr>
          <w:p w14:paraId="6DEB10A4" w14:textId="77777777" w:rsidR="007D2D75" w:rsidRPr="00BD3832" w:rsidRDefault="007D2D75" w:rsidP="00524A8F">
            <w:pPr>
              <w:jc w:val="center"/>
              <w:rPr>
                <w:sz w:val="20"/>
                <w:szCs w:val="20"/>
              </w:rPr>
            </w:pPr>
            <w:r w:rsidRPr="00BD3832">
              <w:rPr>
                <w:sz w:val="20"/>
                <w:szCs w:val="20"/>
              </w:rPr>
              <w:t>34</w:t>
            </w:r>
          </w:p>
          <w:p w14:paraId="6DEA52D8" w14:textId="77777777" w:rsidR="007D2D75" w:rsidRPr="00BD3832" w:rsidRDefault="007D2D75" w:rsidP="00524A8F">
            <w:pPr>
              <w:jc w:val="center"/>
              <w:rPr>
                <w:sz w:val="20"/>
                <w:szCs w:val="20"/>
              </w:rPr>
            </w:pPr>
            <w:r w:rsidRPr="00BD3832">
              <w:rPr>
                <w:sz w:val="20"/>
                <w:szCs w:val="20"/>
              </w:rPr>
              <w:t>(8.8%)</w:t>
            </w:r>
          </w:p>
        </w:tc>
        <w:tc>
          <w:tcPr>
            <w:tcW w:w="0" w:type="auto"/>
            <w:shd w:val="clear" w:color="auto" w:fill="FFFFFF" w:themeFill="background1"/>
            <w:vAlign w:val="center"/>
          </w:tcPr>
          <w:p w14:paraId="51791EA1" w14:textId="77777777" w:rsidR="007D2D75" w:rsidRPr="00BD3832" w:rsidRDefault="007D2D75" w:rsidP="00524A8F">
            <w:pPr>
              <w:jc w:val="center"/>
              <w:rPr>
                <w:sz w:val="20"/>
                <w:szCs w:val="20"/>
              </w:rPr>
            </w:pPr>
            <w:r w:rsidRPr="00BD3832">
              <w:rPr>
                <w:sz w:val="20"/>
                <w:szCs w:val="20"/>
              </w:rPr>
              <w:t>274</w:t>
            </w:r>
          </w:p>
          <w:p w14:paraId="2E98F190" w14:textId="77777777" w:rsidR="007D2D75" w:rsidRPr="00BD3832" w:rsidRDefault="007D2D75" w:rsidP="00524A8F">
            <w:pPr>
              <w:jc w:val="center"/>
              <w:rPr>
                <w:sz w:val="20"/>
                <w:szCs w:val="20"/>
              </w:rPr>
            </w:pPr>
            <w:r w:rsidRPr="00BD3832">
              <w:rPr>
                <w:sz w:val="20"/>
                <w:szCs w:val="20"/>
              </w:rPr>
              <w:t>(71.0%)</w:t>
            </w:r>
          </w:p>
        </w:tc>
        <w:tc>
          <w:tcPr>
            <w:tcW w:w="0" w:type="auto"/>
            <w:shd w:val="clear" w:color="auto" w:fill="FFFFFF" w:themeFill="background1"/>
            <w:vAlign w:val="center"/>
          </w:tcPr>
          <w:p w14:paraId="3C77EA71" w14:textId="77777777" w:rsidR="007D2D75" w:rsidRPr="00BD3832" w:rsidRDefault="007D2D75" w:rsidP="00524A8F">
            <w:pPr>
              <w:jc w:val="center"/>
              <w:rPr>
                <w:sz w:val="20"/>
                <w:szCs w:val="20"/>
              </w:rPr>
            </w:pPr>
            <w:r w:rsidRPr="00BD3832">
              <w:rPr>
                <w:sz w:val="20"/>
                <w:szCs w:val="20"/>
              </w:rPr>
              <w:t>78</w:t>
            </w:r>
          </w:p>
          <w:p w14:paraId="5F69D5AE" w14:textId="77777777" w:rsidR="007D2D75" w:rsidRPr="00BD3832" w:rsidRDefault="007D2D75" w:rsidP="00524A8F">
            <w:pPr>
              <w:jc w:val="center"/>
              <w:rPr>
                <w:sz w:val="20"/>
                <w:szCs w:val="20"/>
              </w:rPr>
            </w:pPr>
            <w:r w:rsidRPr="00BD3832">
              <w:rPr>
                <w:sz w:val="20"/>
                <w:szCs w:val="20"/>
              </w:rPr>
              <w:t>(20.2%)</w:t>
            </w:r>
          </w:p>
        </w:tc>
        <w:tc>
          <w:tcPr>
            <w:tcW w:w="0" w:type="auto"/>
            <w:shd w:val="clear" w:color="auto" w:fill="FFFFFF" w:themeFill="background1"/>
          </w:tcPr>
          <w:p w14:paraId="7A374BE0"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3666BE25" w14:textId="77777777" w:rsidR="007D2D75" w:rsidRPr="00BD3832" w:rsidRDefault="007D2D75" w:rsidP="00524A8F">
            <w:pPr>
              <w:jc w:val="center"/>
              <w:rPr>
                <w:sz w:val="20"/>
                <w:szCs w:val="20"/>
              </w:rPr>
            </w:pPr>
            <w:r w:rsidRPr="00BD3832">
              <w:rPr>
                <w:sz w:val="20"/>
                <w:szCs w:val="20"/>
              </w:rPr>
              <w:t>13</w:t>
            </w:r>
          </w:p>
          <w:p w14:paraId="1E996F54" w14:textId="77777777" w:rsidR="007D2D75" w:rsidRPr="00BD3832" w:rsidRDefault="007D2D75" w:rsidP="00524A8F">
            <w:pPr>
              <w:jc w:val="center"/>
              <w:rPr>
                <w:sz w:val="20"/>
                <w:szCs w:val="20"/>
              </w:rPr>
            </w:pPr>
            <w:r w:rsidRPr="00BD3832">
              <w:rPr>
                <w:sz w:val="20"/>
                <w:szCs w:val="20"/>
              </w:rPr>
              <w:t>(3.4%)</w:t>
            </w:r>
          </w:p>
        </w:tc>
        <w:tc>
          <w:tcPr>
            <w:tcW w:w="0" w:type="auto"/>
            <w:shd w:val="clear" w:color="auto" w:fill="FFFFFF" w:themeFill="background1"/>
            <w:vAlign w:val="center"/>
          </w:tcPr>
          <w:p w14:paraId="7F50B3D7" w14:textId="77777777" w:rsidR="007D2D75" w:rsidRPr="00BD3832" w:rsidRDefault="007D2D75" w:rsidP="00524A8F">
            <w:pPr>
              <w:jc w:val="center"/>
              <w:rPr>
                <w:sz w:val="20"/>
                <w:szCs w:val="20"/>
              </w:rPr>
            </w:pPr>
            <w:r w:rsidRPr="00BD3832">
              <w:rPr>
                <w:sz w:val="20"/>
                <w:szCs w:val="20"/>
              </w:rPr>
              <w:t>214</w:t>
            </w:r>
          </w:p>
          <w:p w14:paraId="56104680" w14:textId="77777777" w:rsidR="007D2D75" w:rsidRPr="00BD3832" w:rsidRDefault="007D2D75" w:rsidP="00524A8F">
            <w:pPr>
              <w:jc w:val="center"/>
              <w:rPr>
                <w:sz w:val="20"/>
                <w:szCs w:val="20"/>
              </w:rPr>
            </w:pPr>
            <w:r w:rsidRPr="00BD3832">
              <w:rPr>
                <w:sz w:val="20"/>
                <w:szCs w:val="20"/>
              </w:rPr>
              <w:t>(55.4%)</w:t>
            </w:r>
          </w:p>
        </w:tc>
        <w:tc>
          <w:tcPr>
            <w:tcW w:w="0" w:type="auto"/>
            <w:shd w:val="clear" w:color="auto" w:fill="FFFFFF" w:themeFill="background1"/>
            <w:vAlign w:val="center"/>
          </w:tcPr>
          <w:p w14:paraId="496D7F08" w14:textId="77777777" w:rsidR="007D2D75" w:rsidRPr="00BD3832" w:rsidRDefault="007D2D75" w:rsidP="00524A8F">
            <w:pPr>
              <w:jc w:val="center"/>
              <w:rPr>
                <w:sz w:val="20"/>
                <w:szCs w:val="20"/>
              </w:rPr>
            </w:pPr>
            <w:r w:rsidRPr="00BD3832">
              <w:rPr>
                <w:sz w:val="20"/>
                <w:szCs w:val="20"/>
              </w:rPr>
              <w:t>159</w:t>
            </w:r>
          </w:p>
          <w:p w14:paraId="08AF2A47" w14:textId="77777777" w:rsidR="007D2D75" w:rsidRPr="00BD3832" w:rsidRDefault="007D2D75" w:rsidP="00524A8F">
            <w:pPr>
              <w:jc w:val="center"/>
              <w:rPr>
                <w:sz w:val="20"/>
                <w:szCs w:val="20"/>
              </w:rPr>
            </w:pPr>
            <w:r w:rsidRPr="00BD3832">
              <w:rPr>
                <w:sz w:val="20"/>
                <w:szCs w:val="20"/>
              </w:rPr>
              <w:t>(41.2%)</w:t>
            </w:r>
          </w:p>
        </w:tc>
        <w:tc>
          <w:tcPr>
            <w:tcW w:w="672" w:type="dxa"/>
            <w:shd w:val="clear" w:color="auto" w:fill="FFFFFF" w:themeFill="background1"/>
          </w:tcPr>
          <w:p w14:paraId="42F5AD80" w14:textId="77777777" w:rsidR="007D2D75" w:rsidRPr="00BD3832" w:rsidRDefault="007D2D75" w:rsidP="00524A8F">
            <w:pPr>
              <w:rPr>
                <w:sz w:val="20"/>
                <w:szCs w:val="20"/>
              </w:rPr>
            </w:pPr>
            <w:r w:rsidRPr="00BD3832">
              <w:rPr>
                <w:sz w:val="20"/>
                <w:szCs w:val="20"/>
              </w:rPr>
              <w:t>386</w:t>
            </w:r>
          </w:p>
        </w:tc>
      </w:tr>
      <w:tr w:rsidR="007D2D75" w:rsidRPr="00BD3832" w14:paraId="0F12B8B3" w14:textId="77777777" w:rsidTr="00524A8F">
        <w:trPr>
          <w:trHeight w:val="539"/>
        </w:trPr>
        <w:tc>
          <w:tcPr>
            <w:tcW w:w="9895" w:type="dxa"/>
            <w:gridSpan w:val="9"/>
            <w:shd w:val="clear" w:color="auto" w:fill="FFFFFF" w:themeFill="background1"/>
            <w:noWrap/>
            <w:vAlign w:val="center"/>
          </w:tcPr>
          <w:p w14:paraId="3C908387" w14:textId="77777777" w:rsidR="007D2D75" w:rsidRPr="00BD3832" w:rsidRDefault="007D2D75" w:rsidP="00524A8F">
            <w:pPr>
              <w:rPr>
                <w:sz w:val="20"/>
                <w:szCs w:val="20"/>
              </w:rPr>
            </w:pPr>
            <w:r w:rsidRPr="00BD3832">
              <w:rPr>
                <w:b/>
                <w:sz w:val="20"/>
                <w:szCs w:val="20"/>
              </w:rPr>
              <w:t>Occupational status</w:t>
            </w:r>
          </w:p>
        </w:tc>
      </w:tr>
      <w:tr w:rsidR="007D2D75" w:rsidRPr="00BD3832" w14:paraId="16909C1B" w14:textId="77777777" w:rsidTr="00524A8F">
        <w:trPr>
          <w:trHeight w:val="539"/>
        </w:trPr>
        <w:tc>
          <w:tcPr>
            <w:tcW w:w="0" w:type="auto"/>
            <w:shd w:val="clear" w:color="auto" w:fill="FFFFFF" w:themeFill="background1"/>
            <w:noWrap/>
          </w:tcPr>
          <w:p w14:paraId="5C4458A8" w14:textId="77777777" w:rsidR="007D2D75" w:rsidRPr="00BD3832" w:rsidRDefault="007D2D75" w:rsidP="00524A8F">
            <w:pPr>
              <w:rPr>
                <w:sz w:val="20"/>
              </w:rPr>
            </w:pPr>
            <w:r w:rsidRPr="00BD3832">
              <w:rPr>
                <w:sz w:val="20"/>
              </w:rPr>
              <w:t xml:space="preserve">Non-working </w:t>
            </w:r>
          </w:p>
        </w:tc>
        <w:tc>
          <w:tcPr>
            <w:tcW w:w="0" w:type="auto"/>
            <w:shd w:val="clear" w:color="auto" w:fill="FFFFFF" w:themeFill="background1"/>
            <w:vAlign w:val="center"/>
          </w:tcPr>
          <w:p w14:paraId="450A169F" w14:textId="77777777" w:rsidR="007D2D75" w:rsidRPr="00BD3832" w:rsidRDefault="007D2D75" w:rsidP="00524A8F">
            <w:pPr>
              <w:jc w:val="center"/>
              <w:rPr>
                <w:sz w:val="20"/>
                <w:szCs w:val="20"/>
              </w:rPr>
            </w:pPr>
            <w:r w:rsidRPr="00BD3832">
              <w:rPr>
                <w:sz w:val="20"/>
                <w:szCs w:val="20"/>
              </w:rPr>
              <w:t>8 (5.8%)</w:t>
            </w:r>
          </w:p>
        </w:tc>
        <w:tc>
          <w:tcPr>
            <w:tcW w:w="0" w:type="auto"/>
            <w:shd w:val="clear" w:color="auto" w:fill="FFFFFF" w:themeFill="background1"/>
            <w:vAlign w:val="center"/>
          </w:tcPr>
          <w:p w14:paraId="2F12B9B0" w14:textId="77777777" w:rsidR="007D2D75" w:rsidRPr="00BD3832" w:rsidRDefault="007D2D75" w:rsidP="00524A8F">
            <w:pPr>
              <w:jc w:val="center"/>
              <w:rPr>
                <w:sz w:val="20"/>
                <w:szCs w:val="20"/>
              </w:rPr>
            </w:pPr>
            <w:r w:rsidRPr="00BD3832">
              <w:rPr>
                <w:sz w:val="20"/>
                <w:szCs w:val="20"/>
              </w:rPr>
              <w:t>103 (74.6%)</w:t>
            </w:r>
          </w:p>
        </w:tc>
        <w:tc>
          <w:tcPr>
            <w:tcW w:w="0" w:type="auto"/>
            <w:shd w:val="clear" w:color="auto" w:fill="FFFFFF" w:themeFill="background1"/>
            <w:vAlign w:val="center"/>
          </w:tcPr>
          <w:p w14:paraId="7C6A6C4D" w14:textId="77777777" w:rsidR="007D2D75" w:rsidRPr="00BD3832" w:rsidRDefault="007D2D75" w:rsidP="00524A8F">
            <w:pPr>
              <w:jc w:val="center"/>
              <w:rPr>
                <w:sz w:val="20"/>
                <w:szCs w:val="20"/>
              </w:rPr>
            </w:pPr>
            <w:r w:rsidRPr="00BD3832">
              <w:rPr>
                <w:sz w:val="20"/>
                <w:szCs w:val="20"/>
              </w:rPr>
              <w:t>27 (19.6%)</w:t>
            </w:r>
          </w:p>
        </w:tc>
        <w:tc>
          <w:tcPr>
            <w:tcW w:w="0" w:type="auto"/>
            <w:shd w:val="clear" w:color="auto" w:fill="FFFFFF" w:themeFill="background1"/>
          </w:tcPr>
          <w:p w14:paraId="19C9BE3C"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6B93CBCD" w14:textId="77777777" w:rsidR="007D2D75" w:rsidRPr="00BD3832" w:rsidRDefault="007D2D75" w:rsidP="00524A8F">
            <w:pPr>
              <w:jc w:val="center"/>
              <w:rPr>
                <w:sz w:val="20"/>
                <w:szCs w:val="20"/>
              </w:rPr>
            </w:pPr>
            <w:r w:rsidRPr="00BD3832">
              <w:rPr>
                <w:sz w:val="20"/>
                <w:szCs w:val="20"/>
              </w:rPr>
              <w:t>2 (1.4%)</w:t>
            </w:r>
          </w:p>
        </w:tc>
        <w:tc>
          <w:tcPr>
            <w:tcW w:w="0" w:type="auto"/>
            <w:shd w:val="clear" w:color="auto" w:fill="FFFFFF" w:themeFill="background1"/>
            <w:vAlign w:val="center"/>
          </w:tcPr>
          <w:p w14:paraId="1FFE66AB" w14:textId="77777777" w:rsidR="007D2D75" w:rsidRPr="00BD3832" w:rsidRDefault="007D2D75" w:rsidP="00524A8F">
            <w:pPr>
              <w:jc w:val="center"/>
              <w:rPr>
                <w:sz w:val="20"/>
                <w:szCs w:val="20"/>
              </w:rPr>
            </w:pPr>
            <w:r w:rsidRPr="00BD3832">
              <w:rPr>
                <w:sz w:val="20"/>
                <w:szCs w:val="20"/>
              </w:rPr>
              <w:t>82 (59.4%)</w:t>
            </w:r>
          </w:p>
        </w:tc>
        <w:tc>
          <w:tcPr>
            <w:tcW w:w="0" w:type="auto"/>
            <w:shd w:val="clear" w:color="auto" w:fill="FFFFFF" w:themeFill="background1"/>
            <w:vAlign w:val="center"/>
          </w:tcPr>
          <w:p w14:paraId="7DB576DF" w14:textId="77777777" w:rsidR="007D2D75" w:rsidRPr="00BD3832" w:rsidRDefault="007D2D75" w:rsidP="00524A8F">
            <w:pPr>
              <w:jc w:val="center"/>
              <w:rPr>
                <w:sz w:val="20"/>
                <w:szCs w:val="20"/>
              </w:rPr>
            </w:pPr>
            <w:r w:rsidRPr="00BD3832">
              <w:rPr>
                <w:sz w:val="20"/>
                <w:szCs w:val="20"/>
              </w:rPr>
              <w:t>54 (39.1%)</w:t>
            </w:r>
          </w:p>
        </w:tc>
        <w:tc>
          <w:tcPr>
            <w:tcW w:w="672" w:type="dxa"/>
            <w:shd w:val="clear" w:color="auto" w:fill="FFFFFF" w:themeFill="background1"/>
          </w:tcPr>
          <w:p w14:paraId="359E5787" w14:textId="77777777" w:rsidR="007D2D75" w:rsidRPr="00BD3832" w:rsidRDefault="007D2D75" w:rsidP="00524A8F">
            <w:pPr>
              <w:jc w:val="center"/>
              <w:rPr>
                <w:sz w:val="20"/>
                <w:szCs w:val="20"/>
              </w:rPr>
            </w:pPr>
            <w:r w:rsidRPr="00BD3832">
              <w:rPr>
                <w:sz w:val="20"/>
                <w:szCs w:val="20"/>
              </w:rPr>
              <w:t>138</w:t>
            </w:r>
          </w:p>
        </w:tc>
      </w:tr>
      <w:tr w:rsidR="007D2D75" w:rsidRPr="00BD3832" w14:paraId="3AD7EEB6" w14:textId="77777777" w:rsidTr="00524A8F">
        <w:trPr>
          <w:trHeight w:val="539"/>
        </w:trPr>
        <w:tc>
          <w:tcPr>
            <w:tcW w:w="0" w:type="auto"/>
            <w:shd w:val="clear" w:color="auto" w:fill="FFFFFF" w:themeFill="background1"/>
            <w:noWrap/>
          </w:tcPr>
          <w:p w14:paraId="44C164EA" w14:textId="77777777" w:rsidR="007D2D75" w:rsidRPr="00BD3832" w:rsidRDefault="007D2D75" w:rsidP="00524A8F">
            <w:pPr>
              <w:rPr>
                <w:sz w:val="20"/>
              </w:rPr>
            </w:pPr>
            <w:r w:rsidRPr="00BD3832">
              <w:rPr>
                <w:sz w:val="20"/>
              </w:rPr>
              <w:t xml:space="preserve">Working </w:t>
            </w:r>
          </w:p>
        </w:tc>
        <w:tc>
          <w:tcPr>
            <w:tcW w:w="0" w:type="auto"/>
            <w:shd w:val="clear" w:color="auto" w:fill="FFFFFF" w:themeFill="background1"/>
            <w:vAlign w:val="center"/>
          </w:tcPr>
          <w:p w14:paraId="4A494C2F" w14:textId="77777777" w:rsidR="007D2D75" w:rsidRPr="00BD3832" w:rsidRDefault="007D2D75" w:rsidP="00524A8F">
            <w:pPr>
              <w:jc w:val="center"/>
              <w:rPr>
                <w:sz w:val="20"/>
                <w:szCs w:val="20"/>
              </w:rPr>
            </w:pPr>
            <w:r w:rsidRPr="00BD3832">
              <w:rPr>
                <w:sz w:val="20"/>
                <w:szCs w:val="20"/>
              </w:rPr>
              <w:t>28 (10.7%)</w:t>
            </w:r>
          </w:p>
        </w:tc>
        <w:tc>
          <w:tcPr>
            <w:tcW w:w="0" w:type="auto"/>
            <w:shd w:val="clear" w:color="auto" w:fill="FFFFFF" w:themeFill="background1"/>
            <w:vAlign w:val="center"/>
          </w:tcPr>
          <w:p w14:paraId="78FC857B" w14:textId="77777777" w:rsidR="007D2D75" w:rsidRPr="00BD3832" w:rsidRDefault="007D2D75" w:rsidP="00524A8F">
            <w:pPr>
              <w:jc w:val="center"/>
              <w:rPr>
                <w:sz w:val="20"/>
                <w:szCs w:val="20"/>
              </w:rPr>
            </w:pPr>
            <w:r w:rsidRPr="00BD3832">
              <w:rPr>
                <w:sz w:val="20"/>
                <w:szCs w:val="20"/>
              </w:rPr>
              <w:t>182 (69.5%)</w:t>
            </w:r>
          </w:p>
        </w:tc>
        <w:tc>
          <w:tcPr>
            <w:tcW w:w="0" w:type="auto"/>
            <w:shd w:val="clear" w:color="auto" w:fill="FFFFFF" w:themeFill="background1"/>
            <w:vAlign w:val="center"/>
          </w:tcPr>
          <w:p w14:paraId="0A99BACB" w14:textId="77777777" w:rsidR="007D2D75" w:rsidRPr="00BD3832" w:rsidRDefault="007D2D75" w:rsidP="00524A8F">
            <w:pPr>
              <w:jc w:val="center"/>
              <w:rPr>
                <w:sz w:val="20"/>
                <w:szCs w:val="20"/>
              </w:rPr>
            </w:pPr>
            <w:r w:rsidRPr="00BD3832">
              <w:rPr>
                <w:sz w:val="20"/>
                <w:szCs w:val="20"/>
              </w:rPr>
              <w:t>52 (19.8%)</w:t>
            </w:r>
          </w:p>
        </w:tc>
        <w:tc>
          <w:tcPr>
            <w:tcW w:w="0" w:type="auto"/>
            <w:shd w:val="clear" w:color="auto" w:fill="FFFFFF" w:themeFill="background1"/>
          </w:tcPr>
          <w:p w14:paraId="469FC201"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79E28C68" w14:textId="77777777" w:rsidR="007D2D75" w:rsidRPr="00BD3832" w:rsidRDefault="007D2D75" w:rsidP="00524A8F">
            <w:pPr>
              <w:jc w:val="center"/>
              <w:rPr>
                <w:sz w:val="20"/>
                <w:szCs w:val="20"/>
              </w:rPr>
            </w:pPr>
            <w:r w:rsidRPr="00BD3832">
              <w:rPr>
                <w:sz w:val="20"/>
                <w:szCs w:val="20"/>
              </w:rPr>
              <w:t>11 (4.2%)</w:t>
            </w:r>
          </w:p>
        </w:tc>
        <w:tc>
          <w:tcPr>
            <w:tcW w:w="0" w:type="auto"/>
            <w:shd w:val="clear" w:color="auto" w:fill="FFFFFF" w:themeFill="background1"/>
            <w:vAlign w:val="center"/>
          </w:tcPr>
          <w:p w14:paraId="03316F24" w14:textId="77777777" w:rsidR="007D2D75" w:rsidRPr="00BD3832" w:rsidRDefault="007D2D75" w:rsidP="00524A8F">
            <w:pPr>
              <w:jc w:val="center"/>
              <w:rPr>
                <w:sz w:val="20"/>
                <w:szCs w:val="20"/>
              </w:rPr>
            </w:pPr>
            <w:r w:rsidRPr="00BD3832">
              <w:rPr>
                <w:sz w:val="20"/>
                <w:szCs w:val="20"/>
              </w:rPr>
              <w:t>142 (54.2%)</w:t>
            </w:r>
          </w:p>
        </w:tc>
        <w:tc>
          <w:tcPr>
            <w:tcW w:w="0" w:type="auto"/>
            <w:shd w:val="clear" w:color="auto" w:fill="FFFFFF" w:themeFill="background1"/>
            <w:vAlign w:val="center"/>
          </w:tcPr>
          <w:p w14:paraId="1A816736" w14:textId="77777777" w:rsidR="007D2D75" w:rsidRPr="00BD3832" w:rsidRDefault="007D2D75" w:rsidP="00524A8F">
            <w:pPr>
              <w:jc w:val="center"/>
              <w:rPr>
                <w:sz w:val="20"/>
                <w:szCs w:val="20"/>
              </w:rPr>
            </w:pPr>
            <w:r w:rsidRPr="00BD3832">
              <w:rPr>
                <w:sz w:val="20"/>
                <w:szCs w:val="20"/>
              </w:rPr>
              <w:t>109 (41.6%)</w:t>
            </w:r>
          </w:p>
        </w:tc>
        <w:tc>
          <w:tcPr>
            <w:tcW w:w="672" w:type="dxa"/>
            <w:shd w:val="clear" w:color="auto" w:fill="FFFFFF" w:themeFill="background1"/>
          </w:tcPr>
          <w:p w14:paraId="71613FC2" w14:textId="77777777" w:rsidR="007D2D75" w:rsidRPr="00BD3832" w:rsidRDefault="007D2D75" w:rsidP="00524A8F">
            <w:pPr>
              <w:jc w:val="center"/>
              <w:rPr>
                <w:sz w:val="20"/>
                <w:szCs w:val="20"/>
              </w:rPr>
            </w:pPr>
            <w:r w:rsidRPr="00BD3832">
              <w:rPr>
                <w:sz w:val="20"/>
                <w:szCs w:val="20"/>
              </w:rPr>
              <w:t>262</w:t>
            </w:r>
          </w:p>
        </w:tc>
      </w:tr>
      <w:tr w:rsidR="007D2D75" w:rsidRPr="00BD3832" w14:paraId="1D093067" w14:textId="77777777" w:rsidTr="00524A8F">
        <w:trPr>
          <w:trHeight w:val="539"/>
        </w:trPr>
        <w:tc>
          <w:tcPr>
            <w:tcW w:w="9895" w:type="dxa"/>
            <w:gridSpan w:val="9"/>
            <w:shd w:val="clear" w:color="auto" w:fill="FFFFFF" w:themeFill="background1"/>
            <w:noWrap/>
            <w:vAlign w:val="center"/>
          </w:tcPr>
          <w:p w14:paraId="08ED9210" w14:textId="77777777" w:rsidR="007D2D75" w:rsidRPr="00BD3832" w:rsidRDefault="007D2D75" w:rsidP="00524A8F">
            <w:pPr>
              <w:rPr>
                <w:sz w:val="20"/>
                <w:szCs w:val="20"/>
              </w:rPr>
            </w:pPr>
            <w:r w:rsidRPr="00BD3832">
              <w:rPr>
                <w:b/>
                <w:sz w:val="20"/>
                <w:szCs w:val="20"/>
              </w:rPr>
              <w:t>Socio-economic condition</w:t>
            </w:r>
          </w:p>
        </w:tc>
      </w:tr>
      <w:tr w:rsidR="007D2D75" w:rsidRPr="00BD3832" w14:paraId="5583CC57" w14:textId="77777777" w:rsidTr="00524A8F">
        <w:trPr>
          <w:trHeight w:val="539"/>
        </w:trPr>
        <w:tc>
          <w:tcPr>
            <w:tcW w:w="0" w:type="auto"/>
            <w:shd w:val="clear" w:color="auto" w:fill="FFFFFF" w:themeFill="background1"/>
            <w:noWrap/>
            <w:vAlign w:val="center"/>
          </w:tcPr>
          <w:p w14:paraId="0492A8ED" w14:textId="77777777" w:rsidR="007D2D75" w:rsidRPr="00BD3832" w:rsidRDefault="007D2D75" w:rsidP="00524A8F">
            <w:pPr>
              <w:rPr>
                <w:sz w:val="20"/>
                <w:szCs w:val="20"/>
              </w:rPr>
            </w:pPr>
            <w:r w:rsidRPr="00BD3832">
              <w:rPr>
                <w:sz w:val="20"/>
                <w:szCs w:val="20"/>
              </w:rPr>
              <w:t>Low and middle income</w:t>
            </w:r>
          </w:p>
        </w:tc>
        <w:tc>
          <w:tcPr>
            <w:tcW w:w="0" w:type="auto"/>
            <w:shd w:val="clear" w:color="auto" w:fill="FFFFFF" w:themeFill="background1"/>
            <w:vAlign w:val="center"/>
          </w:tcPr>
          <w:p w14:paraId="096746D8" w14:textId="77777777" w:rsidR="007D2D75" w:rsidRPr="00BD3832" w:rsidRDefault="007D2D75" w:rsidP="00524A8F">
            <w:pPr>
              <w:jc w:val="center"/>
              <w:rPr>
                <w:sz w:val="20"/>
                <w:szCs w:val="20"/>
              </w:rPr>
            </w:pPr>
            <w:r w:rsidRPr="00BD3832">
              <w:rPr>
                <w:sz w:val="20"/>
                <w:szCs w:val="20"/>
              </w:rPr>
              <w:t>2</w:t>
            </w:r>
          </w:p>
          <w:p w14:paraId="5A158F87" w14:textId="77777777" w:rsidR="007D2D75" w:rsidRPr="00BD3832" w:rsidRDefault="007D2D75" w:rsidP="00524A8F">
            <w:pPr>
              <w:jc w:val="center"/>
              <w:rPr>
                <w:sz w:val="20"/>
                <w:szCs w:val="20"/>
              </w:rPr>
            </w:pPr>
            <w:r w:rsidRPr="00BD3832">
              <w:rPr>
                <w:sz w:val="20"/>
                <w:szCs w:val="20"/>
              </w:rPr>
              <w:t>(8.3%)</w:t>
            </w:r>
          </w:p>
        </w:tc>
        <w:tc>
          <w:tcPr>
            <w:tcW w:w="0" w:type="auto"/>
            <w:shd w:val="clear" w:color="auto" w:fill="FFFFFF" w:themeFill="background1"/>
            <w:vAlign w:val="center"/>
          </w:tcPr>
          <w:p w14:paraId="08301DB1" w14:textId="77777777" w:rsidR="007D2D75" w:rsidRPr="00BD3832" w:rsidRDefault="007D2D75" w:rsidP="00524A8F">
            <w:pPr>
              <w:jc w:val="center"/>
              <w:rPr>
                <w:sz w:val="20"/>
                <w:szCs w:val="20"/>
              </w:rPr>
            </w:pPr>
            <w:r w:rsidRPr="00BD3832">
              <w:rPr>
                <w:sz w:val="20"/>
                <w:szCs w:val="20"/>
              </w:rPr>
              <w:t>20</w:t>
            </w:r>
          </w:p>
          <w:p w14:paraId="38EFB524" w14:textId="77777777" w:rsidR="007D2D75" w:rsidRPr="00BD3832" w:rsidRDefault="007D2D75" w:rsidP="00524A8F">
            <w:pPr>
              <w:jc w:val="center"/>
              <w:rPr>
                <w:sz w:val="20"/>
                <w:szCs w:val="20"/>
              </w:rPr>
            </w:pPr>
            <w:r w:rsidRPr="00BD3832">
              <w:rPr>
                <w:sz w:val="20"/>
                <w:szCs w:val="20"/>
              </w:rPr>
              <w:t>(83.3%)</w:t>
            </w:r>
          </w:p>
        </w:tc>
        <w:tc>
          <w:tcPr>
            <w:tcW w:w="0" w:type="auto"/>
            <w:shd w:val="clear" w:color="auto" w:fill="FFFFFF" w:themeFill="background1"/>
            <w:vAlign w:val="center"/>
          </w:tcPr>
          <w:p w14:paraId="5F04F580" w14:textId="77777777" w:rsidR="007D2D75" w:rsidRPr="00BD3832" w:rsidRDefault="007D2D75" w:rsidP="00524A8F">
            <w:pPr>
              <w:jc w:val="center"/>
              <w:rPr>
                <w:sz w:val="20"/>
                <w:szCs w:val="20"/>
              </w:rPr>
            </w:pPr>
            <w:r w:rsidRPr="00BD3832">
              <w:rPr>
                <w:sz w:val="20"/>
                <w:szCs w:val="20"/>
              </w:rPr>
              <w:t>2</w:t>
            </w:r>
          </w:p>
          <w:p w14:paraId="5C4B1E05" w14:textId="77777777" w:rsidR="007D2D75" w:rsidRPr="00BD3832" w:rsidRDefault="007D2D75" w:rsidP="00524A8F">
            <w:pPr>
              <w:jc w:val="center"/>
              <w:rPr>
                <w:sz w:val="20"/>
                <w:szCs w:val="20"/>
              </w:rPr>
            </w:pPr>
            <w:r w:rsidRPr="00BD3832">
              <w:rPr>
                <w:sz w:val="20"/>
                <w:szCs w:val="20"/>
              </w:rPr>
              <w:t>(8.3%)</w:t>
            </w:r>
          </w:p>
        </w:tc>
        <w:tc>
          <w:tcPr>
            <w:tcW w:w="0" w:type="auto"/>
            <w:shd w:val="clear" w:color="auto" w:fill="FFFFFF" w:themeFill="background1"/>
          </w:tcPr>
          <w:p w14:paraId="48CB7C95"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41774701" w14:textId="77777777" w:rsidR="007D2D75" w:rsidRPr="00BD3832" w:rsidRDefault="007D2D75" w:rsidP="00524A8F">
            <w:pPr>
              <w:jc w:val="center"/>
              <w:rPr>
                <w:sz w:val="20"/>
                <w:szCs w:val="20"/>
              </w:rPr>
            </w:pPr>
            <w:r w:rsidRPr="00BD3832">
              <w:rPr>
                <w:sz w:val="20"/>
                <w:szCs w:val="20"/>
              </w:rPr>
              <w:t>0 (0.0%)</w:t>
            </w:r>
          </w:p>
        </w:tc>
        <w:tc>
          <w:tcPr>
            <w:tcW w:w="0" w:type="auto"/>
            <w:shd w:val="clear" w:color="auto" w:fill="FFFFFF" w:themeFill="background1"/>
            <w:vAlign w:val="center"/>
          </w:tcPr>
          <w:p w14:paraId="17EBDA44" w14:textId="77777777" w:rsidR="007D2D75" w:rsidRPr="00BD3832" w:rsidRDefault="007D2D75" w:rsidP="00524A8F">
            <w:pPr>
              <w:jc w:val="center"/>
              <w:rPr>
                <w:sz w:val="20"/>
                <w:szCs w:val="20"/>
              </w:rPr>
            </w:pPr>
            <w:r w:rsidRPr="00BD3832">
              <w:rPr>
                <w:sz w:val="20"/>
                <w:szCs w:val="20"/>
              </w:rPr>
              <w:t>13</w:t>
            </w:r>
          </w:p>
          <w:p w14:paraId="4E212191" w14:textId="77777777" w:rsidR="007D2D75" w:rsidRPr="00BD3832" w:rsidRDefault="007D2D75" w:rsidP="00524A8F">
            <w:pPr>
              <w:jc w:val="center"/>
              <w:rPr>
                <w:sz w:val="20"/>
                <w:szCs w:val="20"/>
              </w:rPr>
            </w:pPr>
            <w:r w:rsidRPr="00BD3832">
              <w:rPr>
                <w:sz w:val="20"/>
                <w:szCs w:val="20"/>
              </w:rPr>
              <w:t>(54.2%)</w:t>
            </w:r>
          </w:p>
        </w:tc>
        <w:tc>
          <w:tcPr>
            <w:tcW w:w="0" w:type="auto"/>
            <w:shd w:val="clear" w:color="auto" w:fill="FFFFFF" w:themeFill="background1"/>
            <w:vAlign w:val="center"/>
          </w:tcPr>
          <w:p w14:paraId="6811A0B9" w14:textId="77777777" w:rsidR="007D2D75" w:rsidRPr="00BD3832" w:rsidRDefault="007D2D75" w:rsidP="00524A8F">
            <w:pPr>
              <w:jc w:val="center"/>
              <w:rPr>
                <w:sz w:val="20"/>
                <w:szCs w:val="20"/>
              </w:rPr>
            </w:pPr>
            <w:r w:rsidRPr="00BD3832">
              <w:rPr>
                <w:sz w:val="20"/>
                <w:szCs w:val="20"/>
              </w:rPr>
              <w:t>11</w:t>
            </w:r>
          </w:p>
          <w:p w14:paraId="074FCC60" w14:textId="77777777" w:rsidR="007D2D75" w:rsidRPr="00BD3832" w:rsidRDefault="007D2D75" w:rsidP="00524A8F">
            <w:pPr>
              <w:jc w:val="center"/>
              <w:rPr>
                <w:sz w:val="20"/>
                <w:szCs w:val="20"/>
              </w:rPr>
            </w:pPr>
            <w:r w:rsidRPr="00BD3832">
              <w:rPr>
                <w:sz w:val="20"/>
                <w:szCs w:val="20"/>
              </w:rPr>
              <w:t>(45.8%)</w:t>
            </w:r>
          </w:p>
        </w:tc>
        <w:tc>
          <w:tcPr>
            <w:tcW w:w="672" w:type="dxa"/>
            <w:shd w:val="clear" w:color="auto" w:fill="FFFFFF" w:themeFill="background1"/>
          </w:tcPr>
          <w:p w14:paraId="1B603952" w14:textId="77777777" w:rsidR="007D2D75" w:rsidRPr="00BD3832" w:rsidRDefault="007D2D75" w:rsidP="00524A8F">
            <w:pPr>
              <w:jc w:val="center"/>
              <w:rPr>
                <w:sz w:val="20"/>
                <w:szCs w:val="20"/>
              </w:rPr>
            </w:pPr>
            <w:r w:rsidRPr="00BD3832">
              <w:rPr>
                <w:sz w:val="20"/>
                <w:szCs w:val="20"/>
              </w:rPr>
              <w:t>24</w:t>
            </w:r>
          </w:p>
        </w:tc>
      </w:tr>
      <w:tr w:rsidR="007D2D75" w:rsidRPr="00BD3832" w14:paraId="07303201" w14:textId="77777777" w:rsidTr="00524A8F">
        <w:trPr>
          <w:trHeight w:val="539"/>
        </w:trPr>
        <w:tc>
          <w:tcPr>
            <w:tcW w:w="0" w:type="auto"/>
            <w:shd w:val="clear" w:color="auto" w:fill="FFFFFF" w:themeFill="background1"/>
            <w:noWrap/>
            <w:vAlign w:val="center"/>
          </w:tcPr>
          <w:p w14:paraId="3C42FF5F" w14:textId="77777777" w:rsidR="007D2D75" w:rsidRPr="00BD3832" w:rsidRDefault="007D2D75" w:rsidP="00524A8F">
            <w:pPr>
              <w:rPr>
                <w:sz w:val="20"/>
                <w:szCs w:val="20"/>
              </w:rPr>
            </w:pPr>
            <w:r w:rsidRPr="00BD3832">
              <w:rPr>
                <w:sz w:val="20"/>
                <w:szCs w:val="20"/>
              </w:rPr>
              <w:t>Upper and high income</w:t>
            </w:r>
          </w:p>
        </w:tc>
        <w:tc>
          <w:tcPr>
            <w:tcW w:w="0" w:type="auto"/>
            <w:shd w:val="clear" w:color="auto" w:fill="FFFFFF" w:themeFill="background1"/>
            <w:vAlign w:val="center"/>
          </w:tcPr>
          <w:p w14:paraId="714BAA36" w14:textId="77777777" w:rsidR="007D2D75" w:rsidRPr="00BD3832" w:rsidRDefault="007D2D75" w:rsidP="00524A8F">
            <w:pPr>
              <w:jc w:val="center"/>
              <w:rPr>
                <w:sz w:val="20"/>
                <w:szCs w:val="20"/>
              </w:rPr>
            </w:pPr>
            <w:r w:rsidRPr="00BD3832">
              <w:rPr>
                <w:sz w:val="20"/>
                <w:szCs w:val="20"/>
              </w:rPr>
              <w:t>34</w:t>
            </w:r>
          </w:p>
          <w:p w14:paraId="7ECDDD7D" w14:textId="77777777" w:rsidR="007D2D75" w:rsidRPr="00BD3832" w:rsidRDefault="007D2D75" w:rsidP="00524A8F">
            <w:pPr>
              <w:jc w:val="center"/>
              <w:rPr>
                <w:sz w:val="20"/>
                <w:szCs w:val="20"/>
              </w:rPr>
            </w:pPr>
            <w:r w:rsidRPr="00BD3832">
              <w:rPr>
                <w:sz w:val="20"/>
                <w:szCs w:val="20"/>
              </w:rPr>
              <w:t>(9.0%)</w:t>
            </w:r>
          </w:p>
        </w:tc>
        <w:tc>
          <w:tcPr>
            <w:tcW w:w="0" w:type="auto"/>
            <w:shd w:val="clear" w:color="auto" w:fill="FFFFFF" w:themeFill="background1"/>
            <w:vAlign w:val="center"/>
          </w:tcPr>
          <w:p w14:paraId="3AB6F8A0" w14:textId="77777777" w:rsidR="007D2D75" w:rsidRPr="00BD3832" w:rsidRDefault="007D2D75" w:rsidP="00524A8F">
            <w:pPr>
              <w:jc w:val="center"/>
              <w:rPr>
                <w:sz w:val="20"/>
                <w:szCs w:val="20"/>
              </w:rPr>
            </w:pPr>
            <w:r w:rsidRPr="00BD3832">
              <w:rPr>
                <w:sz w:val="20"/>
                <w:szCs w:val="20"/>
              </w:rPr>
              <w:t>265</w:t>
            </w:r>
          </w:p>
          <w:p w14:paraId="186CE17A" w14:textId="77777777" w:rsidR="007D2D75" w:rsidRPr="00BD3832" w:rsidRDefault="007D2D75" w:rsidP="00524A8F">
            <w:pPr>
              <w:jc w:val="center"/>
              <w:rPr>
                <w:sz w:val="20"/>
                <w:szCs w:val="20"/>
              </w:rPr>
            </w:pPr>
            <w:r w:rsidRPr="00BD3832">
              <w:rPr>
                <w:sz w:val="20"/>
                <w:szCs w:val="20"/>
              </w:rPr>
              <w:t>(70.5%)</w:t>
            </w:r>
          </w:p>
        </w:tc>
        <w:tc>
          <w:tcPr>
            <w:tcW w:w="0" w:type="auto"/>
            <w:shd w:val="clear" w:color="auto" w:fill="FFFFFF" w:themeFill="background1"/>
            <w:vAlign w:val="center"/>
          </w:tcPr>
          <w:p w14:paraId="2412C683" w14:textId="77777777" w:rsidR="007D2D75" w:rsidRPr="00BD3832" w:rsidRDefault="007D2D75" w:rsidP="00524A8F">
            <w:pPr>
              <w:jc w:val="center"/>
              <w:rPr>
                <w:sz w:val="20"/>
                <w:szCs w:val="20"/>
              </w:rPr>
            </w:pPr>
            <w:r w:rsidRPr="00BD3832">
              <w:rPr>
                <w:sz w:val="20"/>
                <w:szCs w:val="20"/>
              </w:rPr>
              <w:t>77</w:t>
            </w:r>
          </w:p>
          <w:p w14:paraId="7F56441C" w14:textId="77777777" w:rsidR="007D2D75" w:rsidRPr="00BD3832" w:rsidRDefault="007D2D75" w:rsidP="00524A8F">
            <w:pPr>
              <w:jc w:val="center"/>
              <w:rPr>
                <w:sz w:val="20"/>
                <w:szCs w:val="20"/>
              </w:rPr>
            </w:pPr>
            <w:r w:rsidRPr="00BD3832">
              <w:rPr>
                <w:sz w:val="20"/>
                <w:szCs w:val="20"/>
              </w:rPr>
              <w:t>(20.5%)</w:t>
            </w:r>
          </w:p>
        </w:tc>
        <w:tc>
          <w:tcPr>
            <w:tcW w:w="0" w:type="auto"/>
            <w:shd w:val="clear" w:color="auto" w:fill="FFFFFF" w:themeFill="background1"/>
          </w:tcPr>
          <w:p w14:paraId="2B7FF30A"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669B8CB0" w14:textId="77777777" w:rsidR="007D2D75" w:rsidRPr="00BD3832" w:rsidRDefault="007D2D75" w:rsidP="00524A8F">
            <w:pPr>
              <w:jc w:val="center"/>
              <w:rPr>
                <w:sz w:val="20"/>
                <w:szCs w:val="20"/>
              </w:rPr>
            </w:pPr>
            <w:r w:rsidRPr="00BD3832">
              <w:rPr>
                <w:sz w:val="20"/>
                <w:szCs w:val="20"/>
              </w:rPr>
              <w:t>13</w:t>
            </w:r>
          </w:p>
          <w:p w14:paraId="787135C5" w14:textId="77777777" w:rsidR="007D2D75" w:rsidRPr="00BD3832" w:rsidRDefault="007D2D75" w:rsidP="00524A8F">
            <w:pPr>
              <w:jc w:val="center"/>
              <w:rPr>
                <w:sz w:val="20"/>
                <w:szCs w:val="20"/>
              </w:rPr>
            </w:pPr>
            <w:r w:rsidRPr="00BD3832">
              <w:rPr>
                <w:sz w:val="20"/>
                <w:szCs w:val="20"/>
              </w:rPr>
              <w:t>(3.5%)</w:t>
            </w:r>
          </w:p>
        </w:tc>
        <w:tc>
          <w:tcPr>
            <w:tcW w:w="0" w:type="auto"/>
            <w:shd w:val="clear" w:color="auto" w:fill="FFFFFF" w:themeFill="background1"/>
            <w:vAlign w:val="center"/>
          </w:tcPr>
          <w:p w14:paraId="2A28ADBF" w14:textId="77777777" w:rsidR="007D2D75" w:rsidRPr="00BD3832" w:rsidRDefault="007D2D75" w:rsidP="00524A8F">
            <w:pPr>
              <w:jc w:val="center"/>
              <w:rPr>
                <w:sz w:val="20"/>
                <w:szCs w:val="20"/>
              </w:rPr>
            </w:pPr>
            <w:r w:rsidRPr="00BD3832">
              <w:rPr>
                <w:sz w:val="20"/>
                <w:szCs w:val="20"/>
              </w:rPr>
              <w:t>211</w:t>
            </w:r>
          </w:p>
          <w:p w14:paraId="759E3081" w14:textId="77777777" w:rsidR="007D2D75" w:rsidRPr="00BD3832" w:rsidRDefault="007D2D75" w:rsidP="00524A8F">
            <w:pPr>
              <w:jc w:val="center"/>
              <w:rPr>
                <w:sz w:val="20"/>
                <w:szCs w:val="20"/>
              </w:rPr>
            </w:pPr>
            <w:r w:rsidRPr="00BD3832">
              <w:rPr>
                <w:sz w:val="20"/>
                <w:szCs w:val="20"/>
              </w:rPr>
              <w:t>(56.1%)</w:t>
            </w:r>
          </w:p>
        </w:tc>
        <w:tc>
          <w:tcPr>
            <w:tcW w:w="0" w:type="auto"/>
            <w:shd w:val="clear" w:color="auto" w:fill="FFFFFF" w:themeFill="background1"/>
            <w:vAlign w:val="center"/>
          </w:tcPr>
          <w:p w14:paraId="50B7C6F0" w14:textId="77777777" w:rsidR="007D2D75" w:rsidRPr="00BD3832" w:rsidRDefault="007D2D75" w:rsidP="00524A8F">
            <w:pPr>
              <w:jc w:val="center"/>
              <w:rPr>
                <w:sz w:val="20"/>
                <w:szCs w:val="20"/>
              </w:rPr>
            </w:pPr>
            <w:r w:rsidRPr="00BD3832">
              <w:rPr>
                <w:sz w:val="20"/>
                <w:szCs w:val="20"/>
              </w:rPr>
              <w:t>152</w:t>
            </w:r>
          </w:p>
          <w:p w14:paraId="3557CB9E" w14:textId="77777777" w:rsidR="007D2D75" w:rsidRPr="00BD3832" w:rsidRDefault="007D2D75" w:rsidP="00524A8F">
            <w:pPr>
              <w:jc w:val="center"/>
              <w:rPr>
                <w:sz w:val="20"/>
                <w:szCs w:val="20"/>
              </w:rPr>
            </w:pPr>
            <w:r w:rsidRPr="00BD3832">
              <w:rPr>
                <w:sz w:val="20"/>
                <w:szCs w:val="20"/>
              </w:rPr>
              <w:t>(40.4%)</w:t>
            </w:r>
          </w:p>
        </w:tc>
        <w:tc>
          <w:tcPr>
            <w:tcW w:w="672" w:type="dxa"/>
            <w:shd w:val="clear" w:color="auto" w:fill="FFFFFF" w:themeFill="background1"/>
          </w:tcPr>
          <w:p w14:paraId="042B2B7E" w14:textId="77777777" w:rsidR="007D2D75" w:rsidRPr="00BD3832" w:rsidRDefault="007D2D75" w:rsidP="00524A8F">
            <w:pPr>
              <w:jc w:val="center"/>
              <w:rPr>
                <w:sz w:val="20"/>
                <w:szCs w:val="20"/>
              </w:rPr>
            </w:pPr>
            <w:r w:rsidRPr="00BD3832">
              <w:rPr>
                <w:sz w:val="20"/>
                <w:szCs w:val="20"/>
              </w:rPr>
              <w:t>376</w:t>
            </w:r>
          </w:p>
        </w:tc>
      </w:tr>
      <w:tr w:rsidR="007D2D75" w:rsidRPr="00BD3832" w14:paraId="60C06A67" w14:textId="77777777" w:rsidTr="00524A8F">
        <w:trPr>
          <w:trHeight w:val="539"/>
        </w:trPr>
        <w:tc>
          <w:tcPr>
            <w:tcW w:w="9895" w:type="dxa"/>
            <w:gridSpan w:val="9"/>
            <w:shd w:val="clear" w:color="auto" w:fill="FFFFFF" w:themeFill="background1"/>
            <w:noWrap/>
            <w:vAlign w:val="center"/>
          </w:tcPr>
          <w:p w14:paraId="5EFB10CD" w14:textId="77777777" w:rsidR="007D2D75" w:rsidRPr="00BD3832" w:rsidRDefault="007D2D75" w:rsidP="00524A8F">
            <w:pPr>
              <w:rPr>
                <w:sz w:val="20"/>
                <w:szCs w:val="20"/>
              </w:rPr>
            </w:pPr>
            <w:r w:rsidRPr="00BD3832">
              <w:rPr>
                <w:b/>
                <w:sz w:val="20"/>
                <w:szCs w:val="20"/>
              </w:rPr>
              <w:t>Religion</w:t>
            </w:r>
          </w:p>
        </w:tc>
      </w:tr>
      <w:tr w:rsidR="007D2D75" w:rsidRPr="00BD3832" w14:paraId="21D01404" w14:textId="77777777" w:rsidTr="00524A8F">
        <w:trPr>
          <w:trHeight w:val="539"/>
        </w:trPr>
        <w:tc>
          <w:tcPr>
            <w:tcW w:w="0" w:type="auto"/>
            <w:shd w:val="clear" w:color="auto" w:fill="FFFFFF" w:themeFill="background1"/>
            <w:noWrap/>
            <w:vAlign w:val="center"/>
          </w:tcPr>
          <w:p w14:paraId="50BEDAC4" w14:textId="77777777" w:rsidR="007D2D75" w:rsidRPr="00BD3832" w:rsidRDefault="007D2D75" w:rsidP="00524A8F">
            <w:pPr>
              <w:rPr>
                <w:sz w:val="20"/>
                <w:szCs w:val="20"/>
              </w:rPr>
            </w:pPr>
            <w:r w:rsidRPr="00BD3832">
              <w:rPr>
                <w:sz w:val="20"/>
                <w:szCs w:val="20"/>
              </w:rPr>
              <w:t>Muslims</w:t>
            </w:r>
          </w:p>
        </w:tc>
        <w:tc>
          <w:tcPr>
            <w:tcW w:w="0" w:type="auto"/>
            <w:shd w:val="clear" w:color="auto" w:fill="FFFFFF" w:themeFill="background1"/>
            <w:vAlign w:val="center"/>
          </w:tcPr>
          <w:p w14:paraId="44DB79E1" w14:textId="77777777" w:rsidR="007D2D75" w:rsidRPr="00BD3832" w:rsidRDefault="007D2D75" w:rsidP="00524A8F">
            <w:pPr>
              <w:jc w:val="center"/>
              <w:rPr>
                <w:sz w:val="20"/>
                <w:szCs w:val="20"/>
              </w:rPr>
            </w:pPr>
            <w:r w:rsidRPr="00BD3832">
              <w:rPr>
                <w:sz w:val="20"/>
                <w:szCs w:val="20"/>
              </w:rPr>
              <w:t>33</w:t>
            </w:r>
          </w:p>
          <w:p w14:paraId="32DF7D10" w14:textId="77777777" w:rsidR="007D2D75" w:rsidRPr="00BD3832" w:rsidRDefault="007D2D75" w:rsidP="00524A8F">
            <w:pPr>
              <w:jc w:val="center"/>
              <w:rPr>
                <w:sz w:val="20"/>
                <w:szCs w:val="20"/>
              </w:rPr>
            </w:pPr>
            <w:r w:rsidRPr="00BD3832">
              <w:rPr>
                <w:sz w:val="20"/>
                <w:szCs w:val="20"/>
              </w:rPr>
              <w:t>(8.7%)</w:t>
            </w:r>
          </w:p>
        </w:tc>
        <w:tc>
          <w:tcPr>
            <w:tcW w:w="0" w:type="auto"/>
            <w:shd w:val="clear" w:color="auto" w:fill="FFFFFF" w:themeFill="background1"/>
            <w:vAlign w:val="center"/>
          </w:tcPr>
          <w:p w14:paraId="42CD9DDD" w14:textId="77777777" w:rsidR="007D2D75" w:rsidRPr="00BD3832" w:rsidRDefault="007D2D75" w:rsidP="00524A8F">
            <w:pPr>
              <w:jc w:val="center"/>
              <w:rPr>
                <w:sz w:val="20"/>
                <w:szCs w:val="20"/>
              </w:rPr>
            </w:pPr>
            <w:r w:rsidRPr="00BD3832">
              <w:rPr>
                <w:sz w:val="20"/>
                <w:szCs w:val="20"/>
              </w:rPr>
              <w:t>269</w:t>
            </w:r>
          </w:p>
          <w:p w14:paraId="652DF2F6" w14:textId="77777777" w:rsidR="007D2D75" w:rsidRPr="00BD3832" w:rsidRDefault="007D2D75" w:rsidP="00524A8F">
            <w:pPr>
              <w:jc w:val="center"/>
              <w:rPr>
                <w:sz w:val="20"/>
                <w:szCs w:val="20"/>
              </w:rPr>
            </w:pPr>
            <w:r w:rsidRPr="00BD3832">
              <w:rPr>
                <w:sz w:val="20"/>
                <w:szCs w:val="20"/>
              </w:rPr>
              <w:t>(71.2%)</w:t>
            </w:r>
          </w:p>
        </w:tc>
        <w:tc>
          <w:tcPr>
            <w:tcW w:w="0" w:type="auto"/>
            <w:shd w:val="clear" w:color="auto" w:fill="FFFFFF" w:themeFill="background1"/>
            <w:vAlign w:val="center"/>
          </w:tcPr>
          <w:p w14:paraId="2ECEB2BE" w14:textId="77777777" w:rsidR="007D2D75" w:rsidRPr="00BD3832" w:rsidRDefault="007D2D75" w:rsidP="00524A8F">
            <w:pPr>
              <w:jc w:val="center"/>
              <w:rPr>
                <w:sz w:val="20"/>
                <w:szCs w:val="20"/>
              </w:rPr>
            </w:pPr>
            <w:r w:rsidRPr="00BD3832">
              <w:rPr>
                <w:sz w:val="20"/>
                <w:szCs w:val="20"/>
              </w:rPr>
              <w:t>76</w:t>
            </w:r>
          </w:p>
          <w:p w14:paraId="4AABE1AA" w14:textId="77777777" w:rsidR="007D2D75" w:rsidRPr="00BD3832" w:rsidRDefault="007D2D75" w:rsidP="00524A8F">
            <w:pPr>
              <w:jc w:val="center"/>
              <w:rPr>
                <w:sz w:val="20"/>
                <w:szCs w:val="20"/>
              </w:rPr>
            </w:pPr>
            <w:r w:rsidRPr="00BD3832">
              <w:rPr>
                <w:sz w:val="20"/>
                <w:szCs w:val="20"/>
              </w:rPr>
              <w:t>(20.1%)</w:t>
            </w:r>
          </w:p>
        </w:tc>
        <w:tc>
          <w:tcPr>
            <w:tcW w:w="0" w:type="auto"/>
            <w:shd w:val="clear" w:color="auto" w:fill="FFFFFF" w:themeFill="background1"/>
          </w:tcPr>
          <w:p w14:paraId="3EFD0AE7"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0C981916" w14:textId="77777777" w:rsidR="007D2D75" w:rsidRPr="00BD3832" w:rsidRDefault="007D2D75" w:rsidP="00524A8F">
            <w:pPr>
              <w:jc w:val="center"/>
              <w:rPr>
                <w:sz w:val="20"/>
                <w:szCs w:val="20"/>
              </w:rPr>
            </w:pPr>
            <w:r w:rsidRPr="00BD3832">
              <w:rPr>
                <w:sz w:val="20"/>
                <w:szCs w:val="20"/>
              </w:rPr>
              <w:t>12</w:t>
            </w:r>
          </w:p>
          <w:p w14:paraId="42071A50" w14:textId="77777777" w:rsidR="007D2D75" w:rsidRPr="00BD3832" w:rsidRDefault="007D2D75" w:rsidP="00524A8F">
            <w:pPr>
              <w:jc w:val="center"/>
              <w:rPr>
                <w:sz w:val="20"/>
                <w:szCs w:val="20"/>
              </w:rPr>
            </w:pPr>
            <w:r w:rsidRPr="00BD3832">
              <w:rPr>
                <w:sz w:val="20"/>
                <w:szCs w:val="20"/>
              </w:rPr>
              <w:t>(3.2%)</w:t>
            </w:r>
          </w:p>
        </w:tc>
        <w:tc>
          <w:tcPr>
            <w:tcW w:w="0" w:type="auto"/>
            <w:shd w:val="clear" w:color="auto" w:fill="FFFFFF" w:themeFill="background1"/>
            <w:vAlign w:val="center"/>
          </w:tcPr>
          <w:p w14:paraId="2589472E" w14:textId="77777777" w:rsidR="007D2D75" w:rsidRPr="00BD3832" w:rsidRDefault="007D2D75" w:rsidP="00524A8F">
            <w:pPr>
              <w:jc w:val="center"/>
              <w:rPr>
                <w:sz w:val="20"/>
                <w:szCs w:val="20"/>
              </w:rPr>
            </w:pPr>
            <w:r w:rsidRPr="00BD3832">
              <w:rPr>
                <w:sz w:val="20"/>
                <w:szCs w:val="20"/>
              </w:rPr>
              <w:t>213</w:t>
            </w:r>
          </w:p>
          <w:p w14:paraId="1E7C7A91" w14:textId="77777777" w:rsidR="007D2D75" w:rsidRPr="00BD3832" w:rsidRDefault="007D2D75" w:rsidP="00524A8F">
            <w:pPr>
              <w:jc w:val="center"/>
              <w:rPr>
                <w:sz w:val="20"/>
                <w:szCs w:val="20"/>
              </w:rPr>
            </w:pPr>
            <w:r w:rsidRPr="00BD3832">
              <w:rPr>
                <w:sz w:val="20"/>
                <w:szCs w:val="20"/>
              </w:rPr>
              <w:t>(56.3%)</w:t>
            </w:r>
          </w:p>
        </w:tc>
        <w:tc>
          <w:tcPr>
            <w:tcW w:w="0" w:type="auto"/>
            <w:shd w:val="clear" w:color="auto" w:fill="FFFFFF" w:themeFill="background1"/>
            <w:vAlign w:val="center"/>
          </w:tcPr>
          <w:p w14:paraId="2876D1C3" w14:textId="77777777" w:rsidR="007D2D75" w:rsidRPr="00BD3832" w:rsidRDefault="007D2D75" w:rsidP="00524A8F">
            <w:pPr>
              <w:jc w:val="center"/>
              <w:rPr>
                <w:sz w:val="20"/>
                <w:szCs w:val="20"/>
              </w:rPr>
            </w:pPr>
            <w:r w:rsidRPr="00BD3832">
              <w:rPr>
                <w:sz w:val="20"/>
                <w:szCs w:val="20"/>
              </w:rPr>
              <w:t>153</w:t>
            </w:r>
          </w:p>
          <w:p w14:paraId="7159EB72" w14:textId="77777777" w:rsidR="007D2D75" w:rsidRPr="00BD3832" w:rsidRDefault="007D2D75" w:rsidP="00524A8F">
            <w:pPr>
              <w:jc w:val="center"/>
              <w:rPr>
                <w:sz w:val="20"/>
                <w:szCs w:val="20"/>
              </w:rPr>
            </w:pPr>
            <w:r w:rsidRPr="00BD3832">
              <w:rPr>
                <w:sz w:val="20"/>
                <w:szCs w:val="20"/>
              </w:rPr>
              <w:t>(40.5%)</w:t>
            </w:r>
          </w:p>
        </w:tc>
        <w:tc>
          <w:tcPr>
            <w:tcW w:w="672" w:type="dxa"/>
            <w:shd w:val="clear" w:color="auto" w:fill="FFFFFF" w:themeFill="background1"/>
          </w:tcPr>
          <w:p w14:paraId="21AA6ACE" w14:textId="77777777" w:rsidR="007D2D75" w:rsidRPr="00BD3832" w:rsidRDefault="007D2D75" w:rsidP="00524A8F">
            <w:pPr>
              <w:jc w:val="center"/>
              <w:rPr>
                <w:sz w:val="20"/>
                <w:szCs w:val="20"/>
              </w:rPr>
            </w:pPr>
            <w:r w:rsidRPr="00BD3832">
              <w:rPr>
                <w:sz w:val="20"/>
                <w:szCs w:val="20"/>
              </w:rPr>
              <w:t>378</w:t>
            </w:r>
          </w:p>
        </w:tc>
      </w:tr>
      <w:tr w:rsidR="007D2D75" w:rsidRPr="00BD3832" w14:paraId="15F58C4A" w14:textId="77777777" w:rsidTr="00524A8F">
        <w:trPr>
          <w:trHeight w:val="539"/>
        </w:trPr>
        <w:tc>
          <w:tcPr>
            <w:tcW w:w="0" w:type="auto"/>
            <w:shd w:val="clear" w:color="auto" w:fill="FFFFFF" w:themeFill="background1"/>
            <w:noWrap/>
            <w:vAlign w:val="center"/>
          </w:tcPr>
          <w:p w14:paraId="469C9340" w14:textId="77777777" w:rsidR="007D2D75" w:rsidRPr="00BD3832" w:rsidRDefault="007D2D75" w:rsidP="00524A8F">
            <w:pPr>
              <w:rPr>
                <w:sz w:val="20"/>
                <w:szCs w:val="20"/>
              </w:rPr>
            </w:pPr>
            <w:r w:rsidRPr="00BD3832">
              <w:rPr>
                <w:sz w:val="20"/>
                <w:szCs w:val="20"/>
              </w:rPr>
              <w:t>Hindu and others</w:t>
            </w:r>
          </w:p>
        </w:tc>
        <w:tc>
          <w:tcPr>
            <w:tcW w:w="0" w:type="auto"/>
            <w:shd w:val="clear" w:color="auto" w:fill="FFFFFF" w:themeFill="background1"/>
            <w:vAlign w:val="center"/>
          </w:tcPr>
          <w:p w14:paraId="7FC9E81F" w14:textId="77777777" w:rsidR="007D2D75" w:rsidRPr="00BD3832" w:rsidRDefault="007D2D75" w:rsidP="00524A8F">
            <w:pPr>
              <w:jc w:val="center"/>
              <w:rPr>
                <w:sz w:val="20"/>
                <w:szCs w:val="20"/>
              </w:rPr>
            </w:pPr>
            <w:r w:rsidRPr="00BD3832">
              <w:rPr>
                <w:sz w:val="20"/>
                <w:szCs w:val="20"/>
              </w:rPr>
              <w:t>3</w:t>
            </w:r>
          </w:p>
          <w:p w14:paraId="7FDAE059" w14:textId="77777777" w:rsidR="007D2D75" w:rsidRPr="00BD3832" w:rsidRDefault="007D2D75" w:rsidP="00524A8F">
            <w:pPr>
              <w:jc w:val="center"/>
              <w:rPr>
                <w:sz w:val="20"/>
                <w:szCs w:val="20"/>
              </w:rPr>
            </w:pPr>
            <w:r w:rsidRPr="00BD3832">
              <w:rPr>
                <w:sz w:val="20"/>
                <w:szCs w:val="20"/>
              </w:rPr>
              <w:t>(13.6%)</w:t>
            </w:r>
          </w:p>
        </w:tc>
        <w:tc>
          <w:tcPr>
            <w:tcW w:w="0" w:type="auto"/>
            <w:shd w:val="clear" w:color="auto" w:fill="FFFFFF" w:themeFill="background1"/>
            <w:vAlign w:val="center"/>
          </w:tcPr>
          <w:p w14:paraId="0ADDB68A" w14:textId="77777777" w:rsidR="007D2D75" w:rsidRPr="00BD3832" w:rsidRDefault="007D2D75" w:rsidP="00524A8F">
            <w:pPr>
              <w:jc w:val="center"/>
              <w:rPr>
                <w:sz w:val="20"/>
                <w:szCs w:val="20"/>
              </w:rPr>
            </w:pPr>
            <w:r w:rsidRPr="00BD3832">
              <w:rPr>
                <w:sz w:val="20"/>
                <w:szCs w:val="20"/>
              </w:rPr>
              <w:t>16</w:t>
            </w:r>
          </w:p>
          <w:p w14:paraId="76B07783" w14:textId="77777777" w:rsidR="007D2D75" w:rsidRPr="00BD3832" w:rsidRDefault="007D2D75" w:rsidP="00524A8F">
            <w:pPr>
              <w:jc w:val="center"/>
              <w:rPr>
                <w:sz w:val="20"/>
                <w:szCs w:val="20"/>
              </w:rPr>
            </w:pPr>
            <w:r w:rsidRPr="00BD3832">
              <w:rPr>
                <w:sz w:val="20"/>
                <w:szCs w:val="20"/>
              </w:rPr>
              <w:t>(72.7%)</w:t>
            </w:r>
          </w:p>
        </w:tc>
        <w:tc>
          <w:tcPr>
            <w:tcW w:w="0" w:type="auto"/>
            <w:shd w:val="clear" w:color="auto" w:fill="FFFFFF" w:themeFill="background1"/>
            <w:vAlign w:val="center"/>
          </w:tcPr>
          <w:p w14:paraId="6AE5E34F" w14:textId="77777777" w:rsidR="007D2D75" w:rsidRPr="00BD3832" w:rsidRDefault="007D2D75" w:rsidP="00524A8F">
            <w:pPr>
              <w:jc w:val="center"/>
              <w:rPr>
                <w:sz w:val="20"/>
                <w:szCs w:val="20"/>
              </w:rPr>
            </w:pPr>
            <w:r w:rsidRPr="00BD3832">
              <w:rPr>
                <w:sz w:val="20"/>
                <w:szCs w:val="20"/>
              </w:rPr>
              <w:t>3</w:t>
            </w:r>
          </w:p>
          <w:p w14:paraId="104E3E52" w14:textId="77777777" w:rsidR="007D2D75" w:rsidRPr="00BD3832" w:rsidRDefault="007D2D75" w:rsidP="00524A8F">
            <w:pPr>
              <w:jc w:val="center"/>
              <w:rPr>
                <w:sz w:val="20"/>
                <w:szCs w:val="20"/>
              </w:rPr>
            </w:pPr>
            <w:r w:rsidRPr="00BD3832">
              <w:rPr>
                <w:sz w:val="20"/>
                <w:szCs w:val="20"/>
              </w:rPr>
              <w:t>(13.6%)</w:t>
            </w:r>
          </w:p>
        </w:tc>
        <w:tc>
          <w:tcPr>
            <w:tcW w:w="0" w:type="auto"/>
            <w:shd w:val="clear" w:color="auto" w:fill="FFFFFF" w:themeFill="background1"/>
          </w:tcPr>
          <w:p w14:paraId="24B98391" w14:textId="77777777" w:rsidR="007D2D75" w:rsidRPr="00BD3832" w:rsidRDefault="007D2D75" w:rsidP="00524A8F">
            <w:pPr>
              <w:jc w:val="center"/>
              <w:rPr>
                <w:sz w:val="20"/>
                <w:szCs w:val="20"/>
              </w:rPr>
            </w:pPr>
          </w:p>
        </w:tc>
        <w:tc>
          <w:tcPr>
            <w:tcW w:w="0" w:type="auto"/>
            <w:shd w:val="clear" w:color="auto" w:fill="FFFFFF" w:themeFill="background1"/>
            <w:noWrap/>
            <w:vAlign w:val="center"/>
          </w:tcPr>
          <w:p w14:paraId="7BF918DB" w14:textId="77777777" w:rsidR="007D2D75" w:rsidRPr="00BD3832" w:rsidRDefault="007D2D75" w:rsidP="00524A8F">
            <w:pPr>
              <w:jc w:val="center"/>
              <w:rPr>
                <w:sz w:val="20"/>
                <w:szCs w:val="20"/>
              </w:rPr>
            </w:pPr>
            <w:r w:rsidRPr="00BD3832">
              <w:rPr>
                <w:sz w:val="20"/>
                <w:szCs w:val="20"/>
              </w:rPr>
              <w:t>1</w:t>
            </w:r>
          </w:p>
          <w:p w14:paraId="1E3B78D4" w14:textId="77777777" w:rsidR="007D2D75" w:rsidRPr="00BD3832" w:rsidRDefault="007D2D75" w:rsidP="00524A8F">
            <w:pPr>
              <w:jc w:val="center"/>
              <w:rPr>
                <w:sz w:val="20"/>
                <w:szCs w:val="20"/>
              </w:rPr>
            </w:pPr>
            <w:r w:rsidRPr="00BD3832">
              <w:rPr>
                <w:sz w:val="20"/>
                <w:szCs w:val="20"/>
              </w:rPr>
              <w:t>(4.5%)</w:t>
            </w:r>
          </w:p>
        </w:tc>
        <w:tc>
          <w:tcPr>
            <w:tcW w:w="0" w:type="auto"/>
            <w:shd w:val="clear" w:color="auto" w:fill="FFFFFF" w:themeFill="background1"/>
            <w:vAlign w:val="center"/>
          </w:tcPr>
          <w:p w14:paraId="6A972CD0" w14:textId="77777777" w:rsidR="007D2D75" w:rsidRPr="00BD3832" w:rsidRDefault="007D2D75" w:rsidP="00524A8F">
            <w:pPr>
              <w:jc w:val="center"/>
              <w:rPr>
                <w:sz w:val="20"/>
                <w:szCs w:val="20"/>
              </w:rPr>
            </w:pPr>
            <w:r w:rsidRPr="00BD3832">
              <w:rPr>
                <w:sz w:val="20"/>
                <w:szCs w:val="20"/>
              </w:rPr>
              <w:t>11</w:t>
            </w:r>
          </w:p>
          <w:p w14:paraId="449F128F" w14:textId="77777777" w:rsidR="007D2D75" w:rsidRPr="00BD3832" w:rsidRDefault="007D2D75" w:rsidP="00524A8F">
            <w:pPr>
              <w:jc w:val="center"/>
              <w:rPr>
                <w:sz w:val="20"/>
                <w:szCs w:val="20"/>
              </w:rPr>
            </w:pPr>
            <w:r w:rsidRPr="00BD3832">
              <w:rPr>
                <w:sz w:val="20"/>
                <w:szCs w:val="20"/>
              </w:rPr>
              <w:t>(50.0%)</w:t>
            </w:r>
          </w:p>
        </w:tc>
        <w:tc>
          <w:tcPr>
            <w:tcW w:w="0" w:type="auto"/>
            <w:shd w:val="clear" w:color="auto" w:fill="FFFFFF" w:themeFill="background1"/>
            <w:vAlign w:val="center"/>
          </w:tcPr>
          <w:p w14:paraId="2597E07A" w14:textId="77777777" w:rsidR="007D2D75" w:rsidRPr="00BD3832" w:rsidRDefault="007D2D75" w:rsidP="00524A8F">
            <w:pPr>
              <w:jc w:val="center"/>
              <w:rPr>
                <w:sz w:val="20"/>
                <w:szCs w:val="20"/>
              </w:rPr>
            </w:pPr>
            <w:r w:rsidRPr="00BD3832">
              <w:rPr>
                <w:sz w:val="20"/>
                <w:szCs w:val="20"/>
              </w:rPr>
              <w:t>10</w:t>
            </w:r>
          </w:p>
          <w:p w14:paraId="4E8B6AB5" w14:textId="77777777" w:rsidR="007D2D75" w:rsidRPr="00BD3832" w:rsidRDefault="007D2D75" w:rsidP="00524A8F">
            <w:pPr>
              <w:jc w:val="center"/>
              <w:rPr>
                <w:sz w:val="20"/>
                <w:szCs w:val="20"/>
              </w:rPr>
            </w:pPr>
            <w:r w:rsidRPr="00BD3832">
              <w:rPr>
                <w:sz w:val="20"/>
                <w:szCs w:val="20"/>
              </w:rPr>
              <w:t>(45.5%)</w:t>
            </w:r>
          </w:p>
        </w:tc>
        <w:tc>
          <w:tcPr>
            <w:tcW w:w="672" w:type="dxa"/>
            <w:shd w:val="clear" w:color="auto" w:fill="FFFFFF" w:themeFill="background1"/>
          </w:tcPr>
          <w:p w14:paraId="5589790B" w14:textId="77777777" w:rsidR="007D2D75" w:rsidRPr="00BD3832" w:rsidRDefault="007D2D75" w:rsidP="00524A8F">
            <w:pPr>
              <w:jc w:val="center"/>
              <w:rPr>
                <w:sz w:val="20"/>
                <w:szCs w:val="20"/>
              </w:rPr>
            </w:pPr>
            <w:r w:rsidRPr="00BD3832">
              <w:rPr>
                <w:sz w:val="20"/>
                <w:szCs w:val="20"/>
              </w:rPr>
              <w:t>22</w:t>
            </w:r>
          </w:p>
        </w:tc>
      </w:tr>
    </w:tbl>
    <w:p w14:paraId="2C7AC5F8" w14:textId="7D097EC0" w:rsidR="007D2D75" w:rsidRPr="00BD3832" w:rsidRDefault="007D2D75" w:rsidP="00A94A56">
      <w:pPr>
        <w:jc w:val="both"/>
        <w:rPr>
          <w:b/>
          <w:bCs/>
          <w:szCs w:val="22"/>
        </w:rPr>
      </w:pPr>
    </w:p>
    <w:p w14:paraId="70508CC6" w14:textId="77777777" w:rsidR="007D2D75" w:rsidRPr="00BD3832" w:rsidRDefault="007D2D75" w:rsidP="00A94A56">
      <w:pPr>
        <w:jc w:val="both"/>
        <w:rPr>
          <w:b/>
        </w:rPr>
      </w:pPr>
    </w:p>
    <w:p w14:paraId="1B2A39A5" w14:textId="77777777" w:rsidR="00BD3832" w:rsidRPr="00BD3832" w:rsidRDefault="00BD3832">
      <w:pPr>
        <w:spacing w:line="240" w:lineRule="auto"/>
        <w:rPr>
          <w:b/>
        </w:rPr>
      </w:pPr>
      <w:r w:rsidRPr="00BD3832">
        <w:rPr>
          <w:b/>
        </w:rPr>
        <w:br w:type="page"/>
      </w:r>
    </w:p>
    <w:p w14:paraId="67386EA2" w14:textId="352658D2" w:rsidR="00172E23" w:rsidRPr="00BD3832" w:rsidRDefault="00172E23" w:rsidP="00172E23">
      <w:r w:rsidRPr="00BD3832">
        <w:rPr>
          <w:b/>
        </w:rPr>
        <w:lastRenderedPageBreak/>
        <w:t>Table 3.</w:t>
      </w:r>
      <w:r w:rsidRPr="00BD3832">
        <w:t xml:space="preserve"> Adjusted predicting factors associated with participants’ knowledge on adverse health effects of tobacco-use</w:t>
      </w:r>
    </w:p>
    <w:tbl>
      <w:tblPr>
        <w:tblW w:w="11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40"/>
        <w:gridCol w:w="2856"/>
        <w:gridCol w:w="2070"/>
        <w:gridCol w:w="1620"/>
        <w:gridCol w:w="900"/>
        <w:gridCol w:w="1720"/>
        <w:gridCol w:w="975"/>
      </w:tblGrid>
      <w:tr w:rsidR="007D2D75" w:rsidRPr="00BD3832" w14:paraId="0E277DD8" w14:textId="77777777" w:rsidTr="00524A8F">
        <w:trPr>
          <w:jc w:val="center"/>
        </w:trPr>
        <w:tc>
          <w:tcPr>
            <w:tcW w:w="5866" w:type="dxa"/>
            <w:gridSpan w:val="3"/>
            <w:shd w:val="clear" w:color="auto" w:fill="FFFFFF" w:themeFill="background1"/>
            <w:vAlign w:val="center"/>
          </w:tcPr>
          <w:p w14:paraId="48F6B4BF" w14:textId="77777777" w:rsidR="007D2D75" w:rsidRPr="00BD3832" w:rsidRDefault="007D2D75" w:rsidP="00524A8F">
            <w:pPr>
              <w:spacing w:line="360" w:lineRule="auto"/>
              <w:jc w:val="center"/>
              <w:rPr>
                <w:sz w:val="20"/>
                <w:szCs w:val="20"/>
              </w:rPr>
            </w:pPr>
          </w:p>
          <w:p w14:paraId="3B80DDFA" w14:textId="77777777" w:rsidR="007D2D75" w:rsidRPr="00BD3832" w:rsidRDefault="007D2D75" w:rsidP="00524A8F">
            <w:pPr>
              <w:spacing w:line="360" w:lineRule="auto"/>
              <w:rPr>
                <w:sz w:val="20"/>
                <w:szCs w:val="20"/>
              </w:rPr>
            </w:pPr>
            <w:r w:rsidRPr="00BD3832">
              <w:rPr>
                <w:sz w:val="20"/>
                <w:szCs w:val="20"/>
              </w:rPr>
              <w:t>Characteristics/ Predictors</w:t>
            </w:r>
          </w:p>
        </w:tc>
        <w:tc>
          <w:tcPr>
            <w:tcW w:w="1620" w:type="dxa"/>
            <w:shd w:val="clear" w:color="auto" w:fill="FFFFFF" w:themeFill="background1"/>
            <w:vAlign w:val="center"/>
          </w:tcPr>
          <w:p w14:paraId="59D08A73" w14:textId="1579BAB9" w:rsidR="007D2D75" w:rsidRPr="00BD3832" w:rsidRDefault="007D2D75" w:rsidP="00524A8F">
            <w:pPr>
              <w:pBdr>
                <w:bottom w:val="single" w:sz="4" w:space="1" w:color="auto"/>
              </w:pBdr>
              <w:spacing w:line="360" w:lineRule="auto"/>
              <w:jc w:val="center"/>
              <w:rPr>
                <w:sz w:val="20"/>
                <w:szCs w:val="20"/>
              </w:rPr>
            </w:pPr>
            <w:r w:rsidRPr="00BD3832">
              <w:rPr>
                <w:sz w:val="20"/>
                <w:szCs w:val="20"/>
              </w:rPr>
              <w:t>Simple logistic regression</w:t>
            </w:r>
          </w:p>
          <w:p w14:paraId="305C3452" w14:textId="77777777" w:rsidR="007D2D75" w:rsidRPr="00BD3832" w:rsidRDefault="007D2D75" w:rsidP="00524A8F">
            <w:pPr>
              <w:pBdr>
                <w:bottom w:val="single" w:sz="4" w:space="1" w:color="auto"/>
              </w:pBdr>
              <w:spacing w:line="360" w:lineRule="auto"/>
              <w:jc w:val="center"/>
              <w:rPr>
                <w:sz w:val="20"/>
                <w:szCs w:val="20"/>
              </w:rPr>
            </w:pPr>
            <w:r w:rsidRPr="00BD3832">
              <w:rPr>
                <w:sz w:val="20"/>
                <w:szCs w:val="20"/>
              </w:rPr>
              <w:t>analysis</w:t>
            </w:r>
          </w:p>
          <w:p w14:paraId="5C4FFFC2" w14:textId="77777777" w:rsidR="007D2D75" w:rsidRPr="00BD3832" w:rsidRDefault="007D2D75" w:rsidP="00524A8F">
            <w:pPr>
              <w:spacing w:line="360" w:lineRule="auto"/>
              <w:jc w:val="center"/>
              <w:rPr>
                <w:sz w:val="20"/>
                <w:szCs w:val="20"/>
              </w:rPr>
            </w:pPr>
            <w:r w:rsidRPr="00BD3832">
              <w:rPr>
                <w:sz w:val="20"/>
                <w:szCs w:val="20"/>
              </w:rPr>
              <w:t>OR (95% CI)</w:t>
            </w:r>
          </w:p>
        </w:tc>
        <w:tc>
          <w:tcPr>
            <w:tcW w:w="900" w:type="dxa"/>
            <w:shd w:val="clear" w:color="auto" w:fill="FFFFFF" w:themeFill="background1"/>
            <w:vAlign w:val="center"/>
          </w:tcPr>
          <w:p w14:paraId="0413AABE" w14:textId="77777777" w:rsidR="007D2D75" w:rsidRPr="00BD3832" w:rsidRDefault="007D2D75" w:rsidP="00524A8F">
            <w:pPr>
              <w:spacing w:line="360" w:lineRule="auto"/>
              <w:jc w:val="center"/>
              <w:rPr>
                <w:i/>
                <w:sz w:val="20"/>
                <w:szCs w:val="20"/>
              </w:rPr>
            </w:pPr>
          </w:p>
          <w:p w14:paraId="0189F8C5" w14:textId="77777777" w:rsidR="007D2D75" w:rsidRPr="00BD3832" w:rsidRDefault="007D2D75" w:rsidP="00524A8F">
            <w:pPr>
              <w:spacing w:line="360" w:lineRule="auto"/>
              <w:jc w:val="center"/>
              <w:rPr>
                <w:i/>
                <w:sz w:val="20"/>
                <w:szCs w:val="20"/>
              </w:rPr>
            </w:pPr>
            <w:r w:rsidRPr="00BD3832">
              <w:rPr>
                <w:i/>
                <w:sz w:val="20"/>
                <w:szCs w:val="20"/>
              </w:rPr>
              <w:t>P-value</w:t>
            </w:r>
          </w:p>
        </w:tc>
        <w:tc>
          <w:tcPr>
            <w:tcW w:w="1720" w:type="dxa"/>
            <w:shd w:val="clear" w:color="auto" w:fill="FFFFFF" w:themeFill="background1"/>
            <w:vAlign w:val="center"/>
          </w:tcPr>
          <w:p w14:paraId="25194475" w14:textId="79FD0546" w:rsidR="007D2D75" w:rsidRPr="00BD3832" w:rsidRDefault="007D2D75" w:rsidP="00524A8F">
            <w:pPr>
              <w:pBdr>
                <w:bottom w:val="single" w:sz="4" w:space="1" w:color="auto"/>
              </w:pBdr>
              <w:spacing w:line="360" w:lineRule="auto"/>
              <w:jc w:val="center"/>
              <w:rPr>
                <w:sz w:val="20"/>
                <w:szCs w:val="20"/>
              </w:rPr>
            </w:pPr>
            <w:r w:rsidRPr="00BD3832">
              <w:rPr>
                <w:sz w:val="20"/>
                <w:szCs w:val="20"/>
              </w:rPr>
              <w:t>Multiple logistic regression analysis</w:t>
            </w:r>
          </w:p>
          <w:p w14:paraId="5563FA65" w14:textId="77777777" w:rsidR="007D2D75" w:rsidRPr="00BD3832" w:rsidRDefault="007D2D75" w:rsidP="00524A8F">
            <w:pPr>
              <w:spacing w:line="360" w:lineRule="auto"/>
              <w:jc w:val="center"/>
              <w:rPr>
                <w:sz w:val="20"/>
                <w:szCs w:val="20"/>
              </w:rPr>
            </w:pPr>
            <w:r w:rsidRPr="00BD3832">
              <w:rPr>
                <w:sz w:val="20"/>
                <w:szCs w:val="20"/>
              </w:rPr>
              <w:t>AOR (95% CI)</w:t>
            </w:r>
          </w:p>
        </w:tc>
        <w:tc>
          <w:tcPr>
            <w:tcW w:w="975" w:type="dxa"/>
            <w:shd w:val="clear" w:color="auto" w:fill="FFFFFF" w:themeFill="background1"/>
            <w:vAlign w:val="center"/>
          </w:tcPr>
          <w:p w14:paraId="7789DB61" w14:textId="77777777" w:rsidR="007D2D75" w:rsidRPr="00BD3832" w:rsidRDefault="007D2D75" w:rsidP="00524A8F">
            <w:pPr>
              <w:spacing w:line="360" w:lineRule="auto"/>
              <w:jc w:val="center"/>
              <w:rPr>
                <w:i/>
                <w:sz w:val="20"/>
                <w:szCs w:val="20"/>
              </w:rPr>
            </w:pPr>
          </w:p>
          <w:p w14:paraId="7EB202EF" w14:textId="77777777" w:rsidR="007D2D75" w:rsidRPr="00BD3832" w:rsidRDefault="007D2D75" w:rsidP="00524A8F">
            <w:pPr>
              <w:spacing w:line="360" w:lineRule="auto"/>
              <w:jc w:val="center"/>
              <w:rPr>
                <w:i/>
                <w:sz w:val="20"/>
                <w:szCs w:val="20"/>
              </w:rPr>
            </w:pPr>
            <w:r w:rsidRPr="00BD3832">
              <w:rPr>
                <w:i/>
                <w:sz w:val="20"/>
                <w:szCs w:val="20"/>
              </w:rPr>
              <w:t>P-value</w:t>
            </w:r>
          </w:p>
        </w:tc>
      </w:tr>
      <w:tr w:rsidR="007D2D75" w:rsidRPr="00BD3832" w14:paraId="3157F37C" w14:textId="77777777" w:rsidTr="00524A8F">
        <w:trPr>
          <w:trHeight w:val="458"/>
          <w:jc w:val="center"/>
        </w:trPr>
        <w:tc>
          <w:tcPr>
            <w:tcW w:w="11081" w:type="dxa"/>
            <w:gridSpan w:val="7"/>
            <w:shd w:val="clear" w:color="auto" w:fill="FFFFFF" w:themeFill="background1"/>
            <w:vAlign w:val="center"/>
          </w:tcPr>
          <w:p w14:paraId="1C13740E" w14:textId="77777777" w:rsidR="007D2D75" w:rsidRPr="00BD3832" w:rsidRDefault="007D2D75" w:rsidP="00524A8F">
            <w:pPr>
              <w:spacing w:line="360" w:lineRule="auto"/>
              <w:rPr>
                <w:sz w:val="20"/>
                <w:szCs w:val="20"/>
              </w:rPr>
            </w:pPr>
            <w:r w:rsidRPr="00BD3832">
              <w:rPr>
                <w:i/>
                <w:sz w:val="20"/>
                <w:szCs w:val="20"/>
              </w:rPr>
              <w:t>Socio-demographic predictors</w:t>
            </w:r>
          </w:p>
        </w:tc>
      </w:tr>
      <w:tr w:rsidR="007D2D75" w:rsidRPr="00BD3832" w14:paraId="50C6B138" w14:textId="77777777" w:rsidTr="00524A8F">
        <w:trPr>
          <w:jc w:val="center"/>
        </w:trPr>
        <w:tc>
          <w:tcPr>
            <w:tcW w:w="3796" w:type="dxa"/>
            <w:gridSpan w:val="2"/>
            <w:vMerge w:val="restart"/>
            <w:shd w:val="clear" w:color="auto" w:fill="FFFFFF" w:themeFill="background1"/>
            <w:vAlign w:val="center"/>
          </w:tcPr>
          <w:p w14:paraId="1624B0F2" w14:textId="77777777" w:rsidR="007D2D75" w:rsidRPr="00BD3832" w:rsidRDefault="007D2D75" w:rsidP="00524A8F">
            <w:pPr>
              <w:spacing w:line="360" w:lineRule="auto"/>
              <w:rPr>
                <w:sz w:val="20"/>
                <w:szCs w:val="20"/>
              </w:rPr>
            </w:pPr>
            <w:r w:rsidRPr="00BD3832">
              <w:rPr>
                <w:sz w:val="20"/>
                <w:szCs w:val="20"/>
              </w:rPr>
              <w:t>Age</w:t>
            </w:r>
          </w:p>
        </w:tc>
        <w:tc>
          <w:tcPr>
            <w:tcW w:w="2070" w:type="dxa"/>
            <w:shd w:val="clear" w:color="auto" w:fill="FFFFFF" w:themeFill="background1"/>
            <w:vAlign w:val="center"/>
          </w:tcPr>
          <w:p w14:paraId="18A4DFAD" w14:textId="77777777" w:rsidR="007D2D75" w:rsidRPr="00BD3832" w:rsidRDefault="007D2D75" w:rsidP="00524A8F">
            <w:pPr>
              <w:rPr>
                <w:sz w:val="20"/>
                <w:szCs w:val="20"/>
              </w:rPr>
            </w:pPr>
            <w:r w:rsidRPr="00BD3832">
              <w:rPr>
                <w:sz w:val="20"/>
                <w:szCs w:val="20"/>
              </w:rPr>
              <w:t xml:space="preserve">&lt;30 Years </w:t>
            </w:r>
            <w:r w:rsidRPr="00BD3832">
              <w:rPr>
                <w:sz w:val="20"/>
                <w:szCs w:val="20"/>
                <w:vertAlign w:val="superscript"/>
              </w:rPr>
              <w:t>RC</w:t>
            </w:r>
          </w:p>
        </w:tc>
        <w:tc>
          <w:tcPr>
            <w:tcW w:w="1620" w:type="dxa"/>
            <w:shd w:val="clear" w:color="auto" w:fill="FFFFFF" w:themeFill="background1"/>
            <w:vAlign w:val="center"/>
          </w:tcPr>
          <w:p w14:paraId="0825A653"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276A73A7" w14:textId="77777777" w:rsidR="007D2D75" w:rsidRPr="00BD3832" w:rsidRDefault="007D2D75" w:rsidP="00524A8F">
            <w:pPr>
              <w:spacing w:line="360" w:lineRule="auto"/>
              <w:jc w:val="center"/>
              <w:rPr>
                <w:sz w:val="20"/>
                <w:szCs w:val="20"/>
              </w:rPr>
            </w:pPr>
            <w:r w:rsidRPr="00BD3832">
              <w:rPr>
                <w:sz w:val="20"/>
                <w:szCs w:val="20"/>
              </w:rPr>
              <w:t>0.167</w:t>
            </w:r>
          </w:p>
        </w:tc>
        <w:tc>
          <w:tcPr>
            <w:tcW w:w="1720" w:type="dxa"/>
            <w:shd w:val="clear" w:color="auto" w:fill="FFFFFF" w:themeFill="background1"/>
            <w:vAlign w:val="center"/>
          </w:tcPr>
          <w:p w14:paraId="39E39BAB"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6BD7CC54" w14:textId="1F953EAE" w:rsidR="007D2D75" w:rsidRPr="00BD3832" w:rsidRDefault="007D2D75" w:rsidP="00524A8F">
            <w:pPr>
              <w:spacing w:line="360" w:lineRule="auto"/>
              <w:jc w:val="center"/>
              <w:rPr>
                <w:sz w:val="20"/>
                <w:szCs w:val="20"/>
              </w:rPr>
            </w:pPr>
            <w:r w:rsidRPr="00BD3832">
              <w:rPr>
                <w:sz w:val="20"/>
                <w:szCs w:val="20"/>
              </w:rPr>
              <w:t>0</w:t>
            </w:r>
            <w:r w:rsidRPr="00BD3832">
              <w:rPr>
                <w:rFonts w:ascii="Arial" w:hAnsi="Arial" w:cs="Arial"/>
                <w:sz w:val="18"/>
                <w:szCs w:val="18"/>
              </w:rPr>
              <w:t>.168</w:t>
            </w:r>
          </w:p>
        </w:tc>
      </w:tr>
      <w:tr w:rsidR="007D2D75" w:rsidRPr="00BD3832" w14:paraId="2EA7F2AF" w14:textId="77777777" w:rsidTr="00524A8F">
        <w:trPr>
          <w:jc w:val="center"/>
        </w:trPr>
        <w:tc>
          <w:tcPr>
            <w:tcW w:w="3796" w:type="dxa"/>
            <w:gridSpan w:val="2"/>
            <w:vMerge/>
            <w:shd w:val="clear" w:color="auto" w:fill="FFFFFF" w:themeFill="background1"/>
            <w:vAlign w:val="center"/>
          </w:tcPr>
          <w:p w14:paraId="7189912D" w14:textId="77777777" w:rsidR="007D2D75" w:rsidRPr="00BD3832" w:rsidRDefault="007D2D75" w:rsidP="00524A8F">
            <w:pPr>
              <w:spacing w:line="360" w:lineRule="auto"/>
              <w:rPr>
                <w:sz w:val="20"/>
                <w:szCs w:val="20"/>
              </w:rPr>
            </w:pPr>
          </w:p>
        </w:tc>
        <w:tc>
          <w:tcPr>
            <w:tcW w:w="2070" w:type="dxa"/>
            <w:shd w:val="clear" w:color="auto" w:fill="FFFFFF" w:themeFill="background1"/>
            <w:vAlign w:val="center"/>
          </w:tcPr>
          <w:p w14:paraId="45935166" w14:textId="77777777" w:rsidR="007D2D75" w:rsidRPr="00BD3832" w:rsidRDefault="007D2D75" w:rsidP="00524A8F">
            <w:pPr>
              <w:rPr>
                <w:sz w:val="20"/>
                <w:szCs w:val="20"/>
              </w:rPr>
            </w:pPr>
            <w:r w:rsidRPr="00BD3832">
              <w:rPr>
                <w:sz w:val="20"/>
                <w:szCs w:val="20"/>
              </w:rPr>
              <w:t>&gt;30  Years</w:t>
            </w:r>
          </w:p>
        </w:tc>
        <w:tc>
          <w:tcPr>
            <w:tcW w:w="1620" w:type="dxa"/>
            <w:shd w:val="clear" w:color="auto" w:fill="FFFFFF" w:themeFill="background1"/>
            <w:vAlign w:val="center"/>
          </w:tcPr>
          <w:p w14:paraId="3FA69F2E" w14:textId="77777777" w:rsidR="007D2D75" w:rsidRPr="00BD3832" w:rsidRDefault="007D2D75" w:rsidP="00524A8F">
            <w:pPr>
              <w:spacing w:line="360" w:lineRule="auto"/>
              <w:rPr>
                <w:sz w:val="20"/>
                <w:szCs w:val="20"/>
              </w:rPr>
            </w:pPr>
            <w:r w:rsidRPr="00BD3832">
              <w:rPr>
                <w:sz w:val="20"/>
                <w:szCs w:val="20"/>
              </w:rPr>
              <w:t>0.682 (0.39-1.17)</w:t>
            </w:r>
          </w:p>
        </w:tc>
        <w:tc>
          <w:tcPr>
            <w:tcW w:w="900" w:type="dxa"/>
            <w:vMerge/>
            <w:shd w:val="clear" w:color="auto" w:fill="FFFFFF" w:themeFill="background1"/>
            <w:vAlign w:val="center"/>
          </w:tcPr>
          <w:p w14:paraId="76357B7A" w14:textId="77777777" w:rsidR="007D2D75" w:rsidRPr="00BD3832" w:rsidRDefault="007D2D75" w:rsidP="00524A8F">
            <w:pPr>
              <w:spacing w:line="360" w:lineRule="auto"/>
              <w:jc w:val="center"/>
              <w:rPr>
                <w:sz w:val="20"/>
                <w:szCs w:val="20"/>
              </w:rPr>
            </w:pPr>
          </w:p>
        </w:tc>
        <w:tc>
          <w:tcPr>
            <w:tcW w:w="1720" w:type="dxa"/>
            <w:shd w:val="clear" w:color="auto" w:fill="FFFFFF" w:themeFill="background1"/>
            <w:vAlign w:val="center"/>
          </w:tcPr>
          <w:p w14:paraId="2B67DC83" w14:textId="77777777" w:rsidR="007D2D75" w:rsidRPr="00BD3832" w:rsidRDefault="007D2D75" w:rsidP="00524A8F">
            <w:pPr>
              <w:spacing w:line="360" w:lineRule="auto"/>
              <w:rPr>
                <w:sz w:val="20"/>
                <w:szCs w:val="20"/>
              </w:rPr>
            </w:pPr>
            <w:r w:rsidRPr="00BD3832">
              <w:rPr>
                <w:sz w:val="20"/>
                <w:szCs w:val="20"/>
              </w:rPr>
              <w:t>0.68 (0.39-1.17)</w:t>
            </w:r>
          </w:p>
        </w:tc>
        <w:tc>
          <w:tcPr>
            <w:tcW w:w="975" w:type="dxa"/>
            <w:vMerge/>
            <w:shd w:val="clear" w:color="auto" w:fill="FFFFFF" w:themeFill="background1"/>
            <w:vAlign w:val="center"/>
          </w:tcPr>
          <w:p w14:paraId="4A836AE0" w14:textId="77777777" w:rsidR="007D2D75" w:rsidRPr="00BD3832" w:rsidRDefault="007D2D75" w:rsidP="00524A8F">
            <w:pPr>
              <w:spacing w:line="360" w:lineRule="auto"/>
              <w:jc w:val="center"/>
              <w:rPr>
                <w:sz w:val="20"/>
                <w:szCs w:val="20"/>
              </w:rPr>
            </w:pPr>
          </w:p>
        </w:tc>
      </w:tr>
      <w:tr w:rsidR="007D2D75" w:rsidRPr="00BD3832" w14:paraId="242390A4" w14:textId="77777777" w:rsidTr="00524A8F">
        <w:trPr>
          <w:jc w:val="center"/>
        </w:trPr>
        <w:tc>
          <w:tcPr>
            <w:tcW w:w="3796" w:type="dxa"/>
            <w:gridSpan w:val="2"/>
            <w:vMerge w:val="restart"/>
            <w:shd w:val="clear" w:color="auto" w:fill="FFFFFF" w:themeFill="background1"/>
            <w:vAlign w:val="center"/>
          </w:tcPr>
          <w:p w14:paraId="7C15FF35" w14:textId="77777777" w:rsidR="007D2D75" w:rsidRPr="00BD3832" w:rsidRDefault="007D2D75" w:rsidP="00524A8F">
            <w:pPr>
              <w:rPr>
                <w:bCs/>
                <w:sz w:val="20"/>
                <w:szCs w:val="20"/>
              </w:rPr>
            </w:pPr>
            <w:r w:rsidRPr="00BD3832">
              <w:rPr>
                <w:bCs/>
                <w:sz w:val="20"/>
                <w:szCs w:val="20"/>
              </w:rPr>
              <w:t xml:space="preserve">Living status </w:t>
            </w:r>
          </w:p>
        </w:tc>
        <w:tc>
          <w:tcPr>
            <w:tcW w:w="2070" w:type="dxa"/>
            <w:shd w:val="clear" w:color="auto" w:fill="FFFFFF" w:themeFill="background1"/>
          </w:tcPr>
          <w:p w14:paraId="72EC9A13" w14:textId="77777777" w:rsidR="007D2D75" w:rsidRPr="00BD3832" w:rsidRDefault="007D2D75" w:rsidP="00524A8F">
            <w:pPr>
              <w:rPr>
                <w:sz w:val="20"/>
                <w:szCs w:val="20"/>
              </w:rPr>
            </w:pPr>
            <w:r w:rsidRPr="00BD3832">
              <w:rPr>
                <w:sz w:val="20"/>
                <w:szCs w:val="20"/>
              </w:rPr>
              <w:t xml:space="preserve">Living alone/others </w:t>
            </w:r>
            <w:r w:rsidRPr="00BD3832">
              <w:rPr>
                <w:sz w:val="20"/>
                <w:szCs w:val="20"/>
                <w:vertAlign w:val="superscript"/>
              </w:rPr>
              <w:t>RC</w:t>
            </w:r>
          </w:p>
        </w:tc>
        <w:tc>
          <w:tcPr>
            <w:tcW w:w="1620" w:type="dxa"/>
            <w:shd w:val="clear" w:color="auto" w:fill="FFFFFF" w:themeFill="background1"/>
          </w:tcPr>
          <w:p w14:paraId="79DFB49F"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1621435B" w14:textId="77777777" w:rsidR="007D2D75" w:rsidRPr="00BD3832" w:rsidRDefault="007D2D75" w:rsidP="00524A8F">
            <w:pPr>
              <w:spacing w:line="360" w:lineRule="auto"/>
              <w:jc w:val="center"/>
              <w:rPr>
                <w:sz w:val="20"/>
                <w:szCs w:val="20"/>
              </w:rPr>
            </w:pPr>
            <w:r w:rsidRPr="00BD3832">
              <w:rPr>
                <w:sz w:val="20"/>
                <w:szCs w:val="20"/>
              </w:rPr>
              <w:t>0.384</w:t>
            </w:r>
          </w:p>
        </w:tc>
        <w:tc>
          <w:tcPr>
            <w:tcW w:w="1720" w:type="dxa"/>
            <w:shd w:val="clear" w:color="auto" w:fill="FFFFFF" w:themeFill="background1"/>
          </w:tcPr>
          <w:p w14:paraId="1521BCD3"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50B75423" w14:textId="77777777" w:rsidR="007D2D75" w:rsidRPr="00BD3832" w:rsidRDefault="007D2D75" w:rsidP="00524A8F">
            <w:pPr>
              <w:spacing w:line="360" w:lineRule="auto"/>
              <w:jc w:val="center"/>
              <w:rPr>
                <w:sz w:val="20"/>
                <w:szCs w:val="20"/>
              </w:rPr>
            </w:pPr>
            <w:r w:rsidRPr="00BD3832">
              <w:rPr>
                <w:rFonts w:ascii="Arial" w:hAnsi="Arial" w:cs="Arial"/>
                <w:sz w:val="18"/>
                <w:szCs w:val="18"/>
              </w:rPr>
              <w:t>0.974</w:t>
            </w:r>
          </w:p>
        </w:tc>
      </w:tr>
      <w:tr w:rsidR="007D2D75" w:rsidRPr="00BD3832" w14:paraId="687A8A53" w14:textId="77777777" w:rsidTr="00524A8F">
        <w:trPr>
          <w:jc w:val="center"/>
        </w:trPr>
        <w:tc>
          <w:tcPr>
            <w:tcW w:w="3796" w:type="dxa"/>
            <w:gridSpan w:val="2"/>
            <w:vMerge/>
            <w:shd w:val="clear" w:color="auto" w:fill="FFFFFF" w:themeFill="background1"/>
            <w:vAlign w:val="center"/>
          </w:tcPr>
          <w:p w14:paraId="0370B9D3" w14:textId="77777777" w:rsidR="007D2D75" w:rsidRPr="00BD3832" w:rsidRDefault="007D2D75" w:rsidP="00524A8F">
            <w:pPr>
              <w:rPr>
                <w:bCs/>
                <w:sz w:val="20"/>
                <w:szCs w:val="20"/>
              </w:rPr>
            </w:pPr>
          </w:p>
        </w:tc>
        <w:tc>
          <w:tcPr>
            <w:tcW w:w="2070" w:type="dxa"/>
            <w:shd w:val="clear" w:color="auto" w:fill="FFFFFF" w:themeFill="background1"/>
          </w:tcPr>
          <w:p w14:paraId="169589C1" w14:textId="77777777" w:rsidR="007D2D75" w:rsidRPr="00BD3832" w:rsidRDefault="007D2D75" w:rsidP="00524A8F">
            <w:pPr>
              <w:rPr>
                <w:sz w:val="20"/>
                <w:szCs w:val="20"/>
              </w:rPr>
            </w:pPr>
            <w:r w:rsidRPr="00BD3832">
              <w:rPr>
                <w:sz w:val="20"/>
                <w:szCs w:val="20"/>
              </w:rPr>
              <w:t>Living with family</w:t>
            </w:r>
          </w:p>
        </w:tc>
        <w:tc>
          <w:tcPr>
            <w:tcW w:w="1620" w:type="dxa"/>
            <w:shd w:val="clear" w:color="auto" w:fill="FFFFFF" w:themeFill="background1"/>
          </w:tcPr>
          <w:p w14:paraId="01D26A23" w14:textId="77777777" w:rsidR="007D2D75" w:rsidRPr="00BD3832" w:rsidRDefault="007D2D75" w:rsidP="00524A8F">
            <w:pPr>
              <w:spacing w:line="360" w:lineRule="auto"/>
              <w:rPr>
                <w:strike/>
                <w:sz w:val="20"/>
                <w:szCs w:val="20"/>
              </w:rPr>
            </w:pPr>
            <w:r w:rsidRPr="00BD3832">
              <w:rPr>
                <w:sz w:val="20"/>
                <w:szCs w:val="20"/>
              </w:rPr>
              <w:t>2.50 (</w:t>
            </w:r>
            <w:r w:rsidRPr="00BD3832">
              <w:rPr>
                <w:strike/>
                <w:sz w:val="20"/>
                <w:szCs w:val="20"/>
              </w:rPr>
              <w:t>1.32</w:t>
            </w:r>
            <w:r w:rsidRPr="00BD3832">
              <w:rPr>
                <w:sz w:val="20"/>
                <w:szCs w:val="20"/>
              </w:rPr>
              <w:t xml:space="preserve"> 0.32-19.89)</w:t>
            </w:r>
          </w:p>
        </w:tc>
        <w:tc>
          <w:tcPr>
            <w:tcW w:w="900" w:type="dxa"/>
            <w:vMerge/>
            <w:shd w:val="clear" w:color="auto" w:fill="FFFFFF" w:themeFill="background1"/>
            <w:vAlign w:val="center"/>
          </w:tcPr>
          <w:p w14:paraId="003E7CF6"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2E63708E" w14:textId="77777777" w:rsidR="007D2D75" w:rsidRPr="00BD3832" w:rsidRDefault="007D2D75" w:rsidP="00524A8F">
            <w:pPr>
              <w:spacing w:line="360" w:lineRule="auto"/>
              <w:rPr>
                <w:sz w:val="20"/>
                <w:szCs w:val="20"/>
              </w:rPr>
            </w:pPr>
            <w:r w:rsidRPr="00BD3832">
              <w:rPr>
                <w:sz w:val="20"/>
                <w:szCs w:val="20"/>
              </w:rPr>
              <w:t>0.95 (0.05-17.41)</w:t>
            </w:r>
          </w:p>
        </w:tc>
        <w:tc>
          <w:tcPr>
            <w:tcW w:w="975" w:type="dxa"/>
            <w:vMerge/>
            <w:shd w:val="clear" w:color="auto" w:fill="FFFFFF" w:themeFill="background1"/>
            <w:vAlign w:val="center"/>
          </w:tcPr>
          <w:p w14:paraId="37E1B21B" w14:textId="77777777" w:rsidR="007D2D75" w:rsidRPr="00BD3832" w:rsidRDefault="007D2D75" w:rsidP="00524A8F">
            <w:pPr>
              <w:spacing w:line="360" w:lineRule="auto"/>
              <w:jc w:val="center"/>
              <w:rPr>
                <w:sz w:val="20"/>
                <w:szCs w:val="20"/>
              </w:rPr>
            </w:pPr>
          </w:p>
        </w:tc>
      </w:tr>
      <w:tr w:rsidR="007D2D75" w:rsidRPr="00BD3832" w14:paraId="5545702D" w14:textId="77777777" w:rsidTr="00524A8F">
        <w:trPr>
          <w:jc w:val="center"/>
        </w:trPr>
        <w:tc>
          <w:tcPr>
            <w:tcW w:w="3796" w:type="dxa"/>
            <w:gridSpan w:val="2"/>
            <w:vMerge w:val="restart"/>
            <w:shd w:val="clear" w:color="auto" w:fill="FFFFFF" w:themeFill="background1"/>
            <w:vAlign w:val="center"/>
          </w:tcPr>
          <w:p w14:paraId="40198E29" w14:textId="77777777" w:rsidR="007D2D75" w:rsidRPr="00BD3832" w:rsidRDefault="007D2D75" w:rsidP="00524A8F">
            <w:pPr>
              <w:rPr>
                <w:bCs/>
                <w:sz w:val="20"/>
                <w:szCs w:val="20"/>
              </w:rPr>
            </w:pPr>
            <w:r w:rsidRPr="00BD3832">
              <w:rPr>
                <w:bCs/>
                <w:sz w:val="20"/>
                <w:szCs w:val="20"/>
              </w:rPr>
              <w:t xml:space="preserve">Family type </w:t>
            </w:r>
          </w:p>
        </w:tc>
        <w:tc>
          <w:tcPr>
            <w:tcW w:w="2070" w:type="dxa"/>
            <w:shd w:val="clear" w:color="auto" w:fill="FFFFFF" w:themeFill="background1"/>
          </w:tcPr>
          <w:p w14:paraId="2F6F85F9" w14:textId="77777777" w:rsidR="007D2D75" w:rsidRPr="00BD3832" w:rsidRDefault="007D2D75" w:rsidP="00524A8F">
            <w:pPr>
              <w:rPr>
                <w:sz w:val="20"/>
                <w:szCs w:val="20"/>
              </w:rPr>
            </w:pPr>
            <w:r w:rsidRPr="00BD3832">
              <w:rPr>
                <w:sz w:val="20"/>
                <w:szCs w:val="20"/>
              </w:rPr>
              <w:t xml:space="preserve">Nuclear family </w:t>
            </w:r>
            <w:r w:rsidRPr="00BD3832">
              <w:rPr>
                <w:sz w:val="20"/>
                <w:szCs w:val="20"/>
                <w:vertAlign w:val="superscript"/>
              </w:rPr>
              <w:t>RC</w:t>
            </w:r>
          </w:p>
        </w:tc>
        <w:tc>
          <w:tcPr>
            <w:tcW w:w="1620" w:type="dxa"/>
            <w:shd w:val="clear" w:color="auto" w:fill="FFFFFF" w:themeFill="background1"/>
          </w:tcPr>
          <w:p w14:paraId="64737B72"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3D53A406" w14:textId="77777777" w:rsidR="007D2D75" w:rsidRPr="00BD3832" w:rsidRDefault="007D2D75" w:rsidP="00524A8F">
            <w:pPr>
              <w:spacing w:line="360" w:lineRule="auto"/>
              <w:jc w:val="center"/>
              <w:rPr>
                <w:sz w:val="20"/>
                <w:szCs w:val="20"/>
              </w:rPr>
            </w:pPr>
            <w:r w:rsidRPr="00BD3832">
              <w:rPr>
                <w:sz w:val="20"/>
                <w:szCs w:val="20"/>
              </w:rPr>
              <w:t>0.806</w:t>
            </w:r>
          </w:p>
        </w:tc>
        <w:tc>
          <w:tcPr>
            <w:tcW w:w="1720" w:type="dxa"/>
            <w:shd w:val="clear" w:color="auto" w:fill="FFFFFF" w:themeFill="background1"/>
          </w:tcPr>
          <w:p w14:paraId="4CC84B54"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55F93A7B" w14:textId="77777777" w:rsidR="007D2D75" w:rsidRPr="00BD3832" w:rsidRDefault="007D2D75" w:rsidP="00524A8F">
            <w:pPr>
              <w:spacing w:line="360" w:lineRule="auto"/>
              <w:jc w:val="center"/>
              <w:rPr>
                <w:sz w:val="20"/>
                <w:szCs w:val="20"/>
              </w:rPr>
            </w:pPr>
            <w:r w:rsidRPr="00BD3832">
              <w:rPr>
                <w:rFonts w:ascii="Arial" w:hAnsi="Arial" w:cs="Arial"/>
                <w:sz w:val="18"/>
                <w:szCs w:val="18"/>
              </w:rPr>
              <w:t>0.415</w:t>
            </w:r>
          </w:p>
        </w:tc>
      </w:tr>
      <w:tr w:rsidR="007D2D75" w:rsidRPr="00BD3832" w14:paraId="467F2E45" w14:textId="77777777" w:rsidTr="00524A8F">
        <w:trPr>
          <w:jc w:val="center"/>
        </w:trPr>
        <w:tc>
          <w:tcPr>
            <w:tcW w:w="3796" w:type="dxa"/>
            <w:gridSpan w:val="2"/>
            <w:vMerge/>
            <w:shd w:val="clear" w:color="auto" w:fill="FFFFFF" w:themeFill="background1"/>
            <w:vAlign w:val="center"/>
          </w:tcPr>
          <w:p w14:paraId="63ED52F9" w14:textId="77777777" w:rsidR="007D2D75" w:rsidRPr="00BD3832" w:rsidRDefault="007D2D75" w:rsidP="00524A8F">
            <w:pPr>
              <w:rPr>
                <w:bCs/>
                <w:sz w:val="20"/>
                <w:szCs w:val="20"/>
              </w:rPr>
            </w:pPr>
          </w:p>
        </w:tc>
        <w:tc>
          <w:tcPr>
            <w:tcW w:w="2070" w:type="dxa"/>
            <w:shd w:val="clear" w:color="auto" w:fill="FFFFFF" w:themeFill="background1"/>
          </w:tcPr>
          <w:p w14:paraId="2295187D" w14:textId="77777777" w:rsidR="007D2D75" w:rsidRPr="00BD3832" w:rsidRDefault="007D2D75" w:rsidP="00524A8F">
            <w:pPr>
              <w:rPr>
                <w:sz w:val="20"/>
                <w:szCs w:val="20"/>
              </w:rPr>
            </w:pPr>
            <w:r w:rsidRPr="00BD3832">
              <w:rPr>
                <w:sz w:val="20"/>
                <w:szCs w:val="20"/>
              </w:rPr>
              <w:t>Joint family</w:t>
            </w:r>
          </w:p>
        </w:tc>
        <w:tc>
          <w:tcPr>
            <w:tcW w:w="1620" w:type="dxa"/>
            <w:shd w:val="clear" w:color="auto" w:fill="FFFFFF" w:themeFill="background1"/>
          </w:tcPr>
          <w:p w14:paraId="4CD93AD1" w14:textId="77777777" w:rsidR="007D2D75" w:rsidRPr="00BD3832" w:rsidRDefault="007D2D75" w:rsidP="00524A8F">
            <w:pPr>
              <w:spacing w:line="360" w:lineRule="auto"/>
              <w:rPr>
                <w:sz w:val="20"/>
                <w:szCs w:val="20"/>
              </w:rPr>
            </w:pPr>
            <w:r w:rsidRPr="00BD3832">
              <w:rPr>
                <w:sz w:val="20"/>
                <w:szCs w:val="20"/>
              </w:rPr>
              <w:t>1.07 (.62-1.85)</w:t>
            </w:r>
          </w:p>
        </w:tc>
        <w:tc>
          <w:tcPr>
            <w:tcW w:w="900" w:type="dxa"/>
            <w:vMerge/>
            <w:shd w:val="clear" w:color="auto" w:fill="FFFFFF" w:themeFill="background1"/>
            <w:vAlign w:val="center"/>
          </w:tcPr>
          <w:p w14:paraId="44B241BC"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1B30ABF9" w14:textId="77777777" w:rsidR="007D2D75" w:rsidRPr="00BD3832" w:rsidRDefault="007D2D75" w:rsidP="00524A8F">
            <w:pPr>
              <w:spacing w:line="360" w:lineRule="auto"/>
              <w:rPr>
                <w:sz w:val="20"/>
                <w:szCs w:val="20"/>
              </w:rPr>
            </w:pPr>
            <w:r w:rsidRPr="00BD3832">
              <w:rPr>
                <w:sz w:val="20"/>
                <w:szCs w:val="20"/>
              </w:rPr>
              <w:t>1.27 (0.71-2.28)</w:t>
            </w:r>
          </w:p>
        </w:tc>
        <w:tc>
          <w:tcPr>
            <w:tcW w:w="975" w:type="dxa"/>
            <w:vMerge/>
            <w:shd w:val="clear" w:color="auto" w:fill="FFFFFF" w:themeFill="background1"/>
            <w:vAlign w:val="center"/>
          </w:tcPr>
          <w:p w14:paraId="35422B2D" w14:textId="77777777" w:rsidR="007D2D75" w:rsidRPr="00BD3832" w:rsidRDefault="007D2D75" w:rsidP="00524A8F">
            <w:pPr>
              <w:spacing w:line="360" w:lineRule="auto"/>
              <w:jc w:val="center"/>
              <w:rPr>
                <w:sz w:val="20"/>
                <w:szCs w:val="20"/>
              </w:rPr>
            </w:pPr>
          </w:p>
        </w:tc>
      </w:tr>
      <w:tr w:rsidR="007D2D75" w:rsidRPr="00BD3832" w14:paraId="4DBEFF0A" w14:textId="77777777" w:rsidTr="00524A8F">
        <w:trPr>
          <w:jc w:val="center"/>
        </w:trPr>
        <w:tc>
          <w:tcPr>
            <w:tcW w:w="3796" w:type="dxa"/>
            <w:gridSpan w:val="2"/>
            <w:vMerge w:val="restart"/>
            <w:shd w:val="clear" w:color="auto" w:fill="FFFFFF" w:themeFill="background1"/>
            <w:vAlign w:val="center"/>
          </w:tcPr>
          <w:p w14:paraId="181EED80" w14:textId="77777777" w:rsidR="007D2D75" w:rsidRPr="00BD3832" w:rsidRDefault="007D2D75" w:rsidP="00524A8F">
            <w:pPr>
              <w:rPr>
                <w:sz w:val="20"/>
                <w:szCs w:val="20"/>
              </w:rPr>
            </w:pPr>
            <w:r w:rsidRPr="00BD3832">
              <w:rPr>
                <w:bCs/>
                <w:sz w:val="20"/>
                <w:szCs w:val="20"/>
              </w:rPr>
              <w:t>Education</w:t>
            </w:r>
          </w:p>
        </w:tc>
        <w:tc>
          <w:tcPr>
            <w:tcW w:w="2070" w:type="dxa"/>
            <w:shd w:val="clear" w:color="auto" w:fill="FFFFFF" w:themeFill="background1"/>
          </w:tcPr>
          <w:p w14:paraId="758A1892" w14:textId="77777777" w:rsidR="007D2D75" w:rsidRPr="00BD3832" w:rsidRDefault="007D2D75" w:rsidP="00524A8F">
            <w:pPr>
              <w:rPr>
                <w:sz w:val="20"/>
                <w:szCs w:val="20"/>
              </w:rPr>
            </w:pPr>
            <w:r w:rsidRPr="00BD3832">
              <w:rPr>
                <w:sz w:val="20"/>
                <w:szCs w:val="20"/>
              </w:rPr>
              <w:t xml:space="preserve">Primary- Secondary </w:t>
            </w:r>
            <w:r w:rsidRPr="00BD3832">
              <w:rPr>
                <w:sz w:val="20"/>
                <w:szCs w:val="20"/>
                <w:vertAlign w:val="superscript"/>
              </w:rPr>
              <w:t>RC</w:t>
            </w:r>
          </w:p>
        </w:tc>
        <w:tc>
          <w:tcPr>
            <w:tcW w:w="1620" w:type="dxa"/>
            <w:shd w:val="clear" w:color="auto" w:fill="FFFFFF" w:themeFill="background1"/>
          </w:tcPr>
          <w:p w14:paraId="4DDD8768"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18C31273" w14:textId="77777777" w:rsidR="007D2D75" w:rsidRPr="00BD3832" w:rsidRDefault="007D2D75" w:rsidP="00524A8F">
            <w:pPr>
              <w:spacing w:line="360" w:lineRule="auto"/>
              <w:jc w:val="center"/>
              <w:rPr>
                <w:sz w:val="20"/>
                <w:szCs w:val="20"/>
              </w:rPr>
            </w:pPr>
            <w:r w:rsidRPr="00BD3832">
              <w:rPr>
                <w:sz w:val="20"/>
                <w:szCs w:val="20"/>
              </w:rPr>
              <w:t>0.254</w:t>
            </w:r>
          </w:p>
        </w:tc>
        <w:tc>
          <w:tcPr>
            <w:tcW w:w="1720" w:type="dxa"/>
            <w:shd w:val="clear" w:color="auto" w:fill="FFFFFF" w:themeFill="background1"/>
          </w:tcPr>
          <w:p w14:paraId="0EA78372" w14:textId="77777777" w:rsidR="007D2D75" w:rsidRPr="00BD3832" w:rsidRDefault="007D2D75" w:rsidP="00524A8F">
            <w:pPr>
              <w:spacing w:line="360" w:lineRule="auto"/>
              <w:rPr>
                <w:strike/>
                <w:sz w:val="20"/>
                <w:szCs w:val="20"/>
              </w:rPr>
            </w:pPr>
            <w:r w:rsidRPr="00BD3832">
              <w:rPr>
                <w:strike/>
                <w:sz w:val="20"/>
                <w:szCs w:val="20"/>
              </w:rPr>
              <w:t>1</w:t>
            </w:r>
          </w:p>
        </w:tc>
        <w:tc>
          <w:tcPr>
            <w:tcW w:w="975" w:type="dxa"/>
            <w:vMerge w:val="restart"/>
            <w:shd w:val="clear" w:color="auto" w:fill="FFFFFF" w:themeFill="background1"/>
            <w:vAlign w:val="center"/>
          </w:tcPr>
          <w:p w14:paraId="4B6A72B2" w14:textId="77777777" w:rsidR="007D2D75" w:rsidRPr="00BD3832" w:rsidRDefault="007D2D75" w:rsidP="00524A8F">
            <w:pPr>
              <w:spacing w:line="360" w:lineRule="auto"/>
              <w:jc w:val="center"/>
              <w:rPr>
                <w:strike/>
                <w:sz w:val="20"/>
                <w:szCs w:val="20"/>
              </w:rPr>
            </w:pPr>
            <w:r w:rsidRPr="00BD3832">
              <w:rPr>
                <w:strike/>
                <w:sz w:val="20"/>
                <w:szCs w:val="20"/>
              </w:rPr>
              <w:t>0.024</w:t>
            </w:r>
          </w:p>
        </w:tc>
      </w:tr>
      <w:tr w:rsidR="007D2D75" w:rsidRPr="00BD3832" w14:paraId="7232C211" w14:textId="77777777" w:rsidTr="00524A8F">
        <w:trPr>
          <w:jc w:val="center"/>
        </w:trPr>
        <w:tc>
          <w:tcPr>
            <w:tcW w:w="3796" w:type="dxa"/>
            <w:gridSpan w:val="2"/>
            <w:vMerge/>
            <w:shd w:val="clear" w:color="auto" w:fill="FFFFFF" w:themeFill="background1"/>
            <w:vAlign w:val="center"/>
          </w:tcPr>
          <w:p w14:paraId="334AFD72" w14:textId="77777777" w:rsidR="007D2D75" w:rsidRPr="00BD3832" w:rsidRDefault="007D2D75" w:rsidP="00524A8F">
            <w:pPr>
              <w:spacing w:line="360" w:lineRule="auto"/>
              <w:rPr>
                <w:sz w:val="20"/>
                <w:szCs w:val="20"/>
              </w:rPr>
            </w:pPr>
          </w:p>
        </w:tc>
        <w:tc>
          <w:tcPr>
            <w:tcW w:w="2070" w:type="dxa"/>
            <w:shd w:val="clear" w:color="auto" w:fill="FFFFFF" w:themeFill="background1"/>
          </w:tcPr>
          <w:p w14:paraId="5EE9DDF2" w14:textId="77777777" w:rsidR="007D2D75" w:rsidRPr="00BD3832" w:rsidRDefault="007D2D75" w:rsidP="00524A8F">
            <w:pPr>
              <w:rPr>
                <w:sz w:val="20"/>
                <w:szCs w:val="20"/>
              </w:rPr>
            </w:pPr>
            <w:r w:rsidRPr="00BD3832">
              <w:rPr>
                <w:sz w:val="20"/>
                <w:szCs w:val="20"/>
              </w:rPr>
              <w:t>Higher education</w:t>
            </w:r>
          </w:p>
        </w:tc>
        <w:tc>
          <w:tcPr>
            <w:tcW w:w="1620" w:type="dxa"/>
            <w:shd w:val="clear" w:color="auto" w:fill="FFFFFF" w:themeFill="background1"/>
          </w:tcPr>
          <w:p w14:paraId="4CF47D75" w14:textId="77777777" w:rsidR="007D2D75" w:rsidRPr="00BD3832" w:rsidRDefault="007D2D75" w:rsidP="00524A8F">
            <w:pPr>
              <w:spacing w:line="360" w:lineRule="auto"/>
              <w:rPr>
                <w:sz w:val="20"/>
                <w:szCs w:val="20"/>
              </w:rPr>
            </w:pPr>
            <w:r w:rsidRPr="00BD3832">
              <w:rPr>
                <w:sz w:val="20"/>
                <w:szCs w:val="20"/>
              </w:rPr>
              <w:t>3.29 (</w:t>
            </w:r>
            <w:r w:rsidRPr="00BD3832">
              <w:rPr>
                <w:strike/>
                <w:sz w:val="20"/>
                <w:szCs w:val="20"/>
              </w:rPr>
              <w:t>1</w:t>
            </w:r>
            <w:r w:rsidRPr="00BD3832">
              <w:rPr>
                <w:sz w:val="20"/>
                <w:szCs w:val="20"/>
              </w:rPr>
              <w:t xml:space="preserve"> 0.42-25.55)</w:t>
            </w:r>
          </w:p>
        </w:tc>
        <w:tc>
          <w:tcPr>
            <w:tcW w:w="900" w:type="dxa"/>
            <w:vMerge/>
            <w:shd w:val="clear" w:color="auto" w:fill="FFFFFF" w:themeFill="background1"/>
            <w:vAlign w:val="center"/>
          </w:tcPr>
          <w:p w14:paraId="5A7DC499"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25EC0C48" w14:textId="77777777" w:rsidR="007D2D75" w:rsidRPr="00BD3832" w:rsidRDefault="007D2D75" w:rsidP="00524A8F">
            <w:pPr>
              <w:spacing w:line="360" w:lineRule="auto"/>
              <w:rPr>
                <w:strike/>
                <w:sz w:val="20"/>
                <w:szCs w:val="20"/>
              </w:rPr>
            </w:pPr>
            <w:r w:rsidRPr="00BD3832">
              <w:rPr>
                <w:strike/>
                <w:sz w:val="20"/>
                <w:szCs w:val="20"/>
              </w:rPr>
              <w:t>3.38  (1.43-26.81)</w:t>
            </w:r>
          </w:p>
        </w:tc>
        <w:tc>
          <w:tcPr>
            <w:tcW w:w="975" w:type="dxa"/>
            <w:vMerge/>
            <w:shd w:val="clear" w:color="auto" w:fill="FFFFFF" w:themeFill="background1"/>
            <w:vAlign w:val="center"/>
          </w:tcPr>
          <w:p w14:paraId="6B9FF2CE" w14:textId="77777777" w:rsidR="007D2D75" w:rsidRPr="00BD3832" w:rsidRDefault="007D2D75" w:rsidP="00524A8F">
            <w:pPr>
              <w:spacing w:line="360" w:lineRule="auto"/>
              <w:jc w:val="center"/>
              <w:rPr>
                <w:sz w:val="20"/>
                <w:szCs w:val="20"/>
              </w:rPr>
            </w:pPr>
          </w:p>
        </w:tc>
      </w:tr>
      <w:tr w:rsidR="007D2D75" w:rsidRPr="00BD3832" w14:paraId="32269EF1" w14:textId="77777777" w:rsidTr="00524A8F">
        <w:trPr>
          <w:jc w:val="center"/>
        </w:trPr>
        <w:tc>
          <w:tcPr>
            <w:tcW w:w="3796" w:type="dxa"/>
            <w:gridSpan w:val="2"/>
            <w:vMerge w:val="restart"/>
            <w:shd w:val="clear" w:color="auto" w:fill="FFFFFF" w:themeFill="background1"/>
            <w:vAlign w:val="center"/>
          </w:tcPr>
          <w:p w14:paraId="204C027C" w14:textId="77777777" w:rsidR="007D2D75" w:rsidRPr="00BD3832" w:rsidRDefault="007D2D75" w:rsidP="00524A8F">
            <w:pPr>
              <w:rPr>
                <w:bCs/>
                <w:sz w:val="20"/>
                <w:szCs w:val="20"/>
              </w:rPr>
            </w:pPr>
            <w:r w:rsidRPr="00BD3832">
              <w:rPr>
                <w:bCs/>
                <w:sz w:val="20"/>
                <w:szCs w:val="20"/>
              </w:rPr>
              <w:t xml:space="preserve">Socio- economic condition </w:t>
            </w:r>
          </w:p>
        </w:tc>
        <w:tc>
          <w:tcPr>
            <w:tcW w:w="2070" w:type="dxa"/>
            <w:shd w:val="clear" w:color="auto" w:fill="FFFFFF" w:themeFill="background1"/>
          </w:tcPr>
          <w:p w14:paraId="1F080FB6" w14:textId="77777777" w:rsidR="007D2D75" w:rsidRPr="00BD3832" w:rsidRDefault="007D2D75" w:rsidP="00524A8F">
            <w:pPr>
              <w:rPr>
                <w:sz w:val="20"/>
                <w:szCs w:val="20"/>
              </w:rPr>
            </w:pPr>
            <w:r w:rsidRPr="00BD3832">
              <w:rPr>
                <w:sz w:val="20"/>
                <w:szCs w:val="20"/>
              </w:rPr>
              <w:t xml:space="preserve">Low and middle income </w:t>
            </w:r>
            <w:r w:rsidRPr="00BD3832">
              <w:rPr>
                <w:sz w:val="20"/>
                <w:szCs w:val="20"/>
                <w:vertAlign w:val="superscript"/>
              </w:rPr>
              <w:t>RC</w:t>
            </w:r>
          </w:p>
        </w:tc>
        <w:tc>
          <w:tcPr>
            <w:tcW w:w="1620" w:type="dxa"/>
            <w:shd w:val="clear" w:color="auto" w:fill="FFFFFF" w:themeFill="background1"/>
          </w:tcPr>
          <w:p w14:paraId="134F8998"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6D5E42D7" w14:textId="05F36BFE" w:rsidR="007D2D75" w:rsidRPr="00BD3832" w:rsidRDefault="007D2D75" w:rsidP="004A3C4F">
            <w:pPr>
              <w:spacing w:line="360" w:lineRule="auto"/>
              <w:rPr>
                <w:strike/>
                <w:sz w:val="20"/>
                <w:szCs w:val="20"/>
              </w:rPr>
            </w:pPr>
          </w:p>
          <w:p w14:paraId="54371BE7" w14:textId="77777777" w:rsidR="007D2D75" w:rsidRPr="00BD3832" w:rsidRDefault="007D2D75" w:rsidP="00524A8F">
            <w:pPr>
              <w:spacing w:line="360" w:lineRule="auto"/>
              <w:jc w:val="center"/>
              <w:rPr>
                <w:sz w:val="20"/>
                <w:szCs w:val="20"/>
              </w:rPr>
            </w:pPr>
            <w:r w:rsidRPr="00BD3832">
              <w:rPr>
                <w:sz w:val="20"/>
                <w:szCs w:val="20"/>
              </w:rPr>
              <w:t>0.165</w:t>
            </w:r>
          </w:p>
        </w:tc>
        <w:tc>
          <w:tcPr>
            <w:tcW w:w="1720" w:type="dxa"/>
            <w:shd w:val="clear" w:color="auto" w:fill="FFFFFF" w:themeFill="background1"/>
          </w:tcPr>
          <w:p w14:paraId="6136590A"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6B8A4283"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0.235</w:t>
            </w:r>
          </w:p>
        </w:tc>
      </w:tr>
      <w:tr w:rsidR="007D2D75" w:rsidRPr="00BD3832" w14:paraId="1A19D550" w14:textId="77777777" w:rsidTr="00524A8F">
        <w:trPr>
          <w:jc w:val="center"/>
        </w:trPr>
        <w:tc>
          <w:tcPr>
            <w:tcW w:w="3796" w:type="dxa"/>
            <w:gridSpan w:val="2"/>
            <w:vMerge/>
            <w:shd w:val="clear" w:color="auto" w:fill="FFFFFF" w:themeFill="background1"/>
            <w:vAlign w:val="center"/>
          </w:tcPr>
          <w:p w14:paraId="0EAC4711" w14:textId="77777777" w:rsidR="007D2D75" w:rsidRPr="00BD3832" w:rsidRDefault="007D2D75" w:rsidP="00524A8F">
            <w:pPr>
              <w:rPr>
                <w:sz w:val="20"/>
                <w:szCs w:val="20"/>
              </w:rPr>
            </w:pPr>
          </w:p>
        </w:tc>
        <w:tc>
          <w:tcPr>
            <w:tcW w:w="2070" w:type="dxa"/>
            <w:shd w:val="clear" w:color="auto" w:fill="FFFFFF" w:themeFill="background1"/>
          </w:tcPr>
          <w:p w14:paraId="022EFD8B" w14:textId="77777777" w:rsidR="007D2D75" w:rsidRPr="00BD3832" w:rsidRDefault="007D2D75" w:rsidP="00524A8F">
            <w:pPr>
              <w:rPr>
                <w:sz w:val="20"/>
                <w:szCs w:val="20"/>
              </w:rPr>
            </w:pPr>
            <w:r w:rsidRPr="00BD3832">
              <w:rPr>
                <w:sz w:val="20"/>
                <w:szCs w:val="20"/>
              </w:rPr>
              <w:t>Upper and high income</w:t>
            </w:r>
          </w:p>
        </w:tc>
        <w:tc>
          <w:tcPr>
            <w:tcW w:w="1620" w:type="dxa"/>
            <w:shd w:val="clear" w:color="auto" w:fill="FFFFFF" w:themeFill="background1"/>
          </w:tcPr>
          <w:p w14:paraId="1B17D222" w14:textId="77777777" w:rsidR="007D2D75" w:rsidRPr="00BD3832" w:rsidRDefault="007D2D75" w:rsidP="00524A8F">
            <w:pPr>
              <w:spacing w:line="360" w:lineRule="auto"/>
              <w:rPr>
                <w:sz w:val="20"/>
                <w:szCs w:val="20"/>
              </w:rPr>
            </w:pPr>
            <w:r w:rsidRPr="00BD3832">
              <w:rPr>
                <w:sz w:val="20"/>
                <w:szCs w:val="20"/>
              </w:rPr>
              <w:t>2.83 (0.65-12.31)</w:t>
            </w:r>
          </w:p>
          <w:p w14:paraId="7BE52C61" w14:textId="77777777" w:rsidR="007D2D75" w:rsidRPr="00BD3832" w:rsidRDefault="007D2D75" w:rsidP="00524A8F">
            <w:pPr>
              <w:spacing w:line="360" w:lineRule="auto"/>
              <w:rPr>
                <w:strike/>
                <w:sz w:val="20"/>
                <w:szCs w:val="20"/>
              </w:rPr>
            </w:pPr>
          </w:p>
        </w:tc>
        <w:tc>
          <w:tcPr>
            <w:tcW w:w="900" w:type="dxa"/>
            <w:vMerge/>
            <w:shd w:val="clear" w:color="auto" w:fill="FFFFFF" w:themeFill="background1"/>
            <w:vAlign w:val="center"/>
          </w:tcPr>
          <w:p w14:paraId="21E470C3"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092D75A6" w14:textId="77777777" w:rsidR="007D2D75" w:rsidRPr="00BD3832" w:rsidRDefault="007D2D75" w:rsidP="00524A8F">
            <w:pPr>
              <w:spacing w:line="360" w:lineRule="auto"/>
              <w:rPr>
                <w:sz w:val="20"/>
                <w:szCs w:val="20"/>
              </w:rPr>
            </w:pPr>
            <w:r w:rsidRPr="00BD3832">
              <w:rPr>
                <w:sz w:val="20"/>
                <w:szCs w:val="20"/>
              </w:rPr>
              <w:t>3.55 (0.43-28.78)</w:t>
            </w:r>
          </w:p>
        </w:tc>
        <w:tc>
          <w:tcPr>
            <w:tcW w:w="975" w:type="dxa"/>
            <w:vMerge/>
            <w:shd w:val="clear" w:color="auto" w:fill="FFFFFF" w:themeFill="background1"/>
            <w:vAlign w:val="center"/>
          </w:tcPr>
          <w:p w14:paraId="300710BC" w14:textId="77777777" w:rsidR="007D2D75" w:rsidRPr="00BD3832" w:rsidRDefault="007D2D75" w:rsidP="00524A8F">
            <w:pPr>
              <w:spacing w:line="360" w:lineRule="auto"/>
              <w:jc w:val="center"/>
              <w:rPr>
                <w:sz w:val="20"/>
                <w:szCs w:val="20"/>
              </w:rPr>
            </w:pPr>
          </w:p>
        </w:tc>
      </w:tr>
      <w:tr w:rsidR="007D2D75" w:rsidRPr="00BD3832" w14:paraId="58F19E79" w14:textId="77777777" w:rsidTr="00524A8F">
        <w:trPr>
          <w:jc w:val="center"/>
        </w:trPr>
        <w:tc>
          <w:tcPr>
            <w:tcW w:w="3796" w:type="dxa"/>
            <w:gridSpan w:val="2"/>
            <w:vMerge w:val="restart"/>
            <w:shd w:val="clear" w:color="auto" w:fill="FFFFFF" w:themeFill="background1"/>
            <w:vAlign w:val="center"/>
          </w:tcPr>
          <w:p w14:paraId="6C192FCF" w14:textId="77777777" w:rsidR="007D2D75" w:rsidRPr="00BD3832" w:rsidRDefault="007D2D75" w:rsidP="00524A8F">
            <w:pPr>
              <w:rPr>
                <w:sz w:val="20"/>
                <w:szCs w:val="20"/>
              </w:rPr>
            </w:pPr>
            <w:r w:rsidRPr="00BD3832">
              <w:rPr>
                <w:sz w:val="20"/>
                <w:szCs w:val="20"/>
              </w:rPr>
              <w:t>Religion</w:t>
            </w:r>
          </w:p>
        </w:tc>
        <w:tc>
          <w:tcPr>
            <w:tcW w:w="2070" w:type="dxa"/>
            <w:shd w:val="clear" w:color="auto" w:fill="FFFFFF" w:themeFill="background1"/>
            <w:vAlign w:val="center"/>
          </w:tcPr>
          <w:p w14:paraId="1D4BF88F" w14:textId="77777777" w:rsidR="007D2D75" w:rsidRPr="00BD3832" w:rsidRDefault="007D2D75" w:rsidP="00524A8F">
            <w:pPr>
              <w:rPr>
                <w:sz w:val="20"/>
                <w:szCs w:val="20"/>
              </w:rPr>
            </w:pPr>
            <w:r w:rsidRPr="00BD3832">
              <w:rPr>
                <w:sz w:val="20"/>
                <w:szCs w:val="20"/>
              </w:rPr>
              <w:t xml:space="preserve">Hindu and others </w:t>
            </w:r>
            <w:r w:rsidRPr="00BD3832">
              <w:rPr>
                <w:sz w:val="20"/>
                <w:szCs w:val="20"/>
                <w:vertAlign w:val="superscript"/>
              </w:rPr>
              <w:t>RC</w:t>
            </w:r>
          </w:p>
        </w:tc>
        <w:tc>
          <w:tcPr>
            <w:tcW w:w="1620" w:type="dxa"/>
            <w:shd w:val="clear" w:color="auto" w:fill="FFFFFF" w:themeFill="background1"/>
          </w:tcPr>
          <w:p w14:paraId="068B5035"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2990B4F5" w14:textId="77777777" w:rsidR="007D2D75" w:rsidRPr="00BD3832" w:rsidRDefault="007D2D75" w:rsidP="00524A8F">
            <w:pPr>
              <w:spacing w:line="360" w:lineRule="auto"/>
              <w:jc w:val="center"/>
              <w:rPr>
                <w:sz w:val="20"/>
                <w:szCs w:val="20"/>
              </w:rPr>
            </w:pPr>
            <w:r w:rsidRPr="00BD3832">
              <w:rPr>
                <w:sz w:val="20"/>
                <w:szCs w:val="20"/>
              </w:rPr>
              <w:t>0.462</w:t>
            </w:r>
          </w:p>
        </w:tc>
        <w:tc>
          <w:tcPr>
            <w:tcW w:w="1720" w:type="dxa"/>
            <w:shd w:val="clear" w:color="auto" w:fill="FFFFFF" w:themeFill="background1"/>
          </w:tcPr>
          <w:p w14:paraId="2F7ADB38"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7738CBDC" w14:textId="77777777" w:rsidR="007D2D75" w:rsidRPr="00BD3832" w:rsidRDefault="007D2D75" w:rsidP="00524A8F">
            <w:pPr>
              <w:spacing w:line="360" w:lineRule="auto"/>
              <w:jc w:val="center"/>
              <w:rPr>
                <w:sz w:val="20"/>
                <w:szCs w:val="20"/>
              </w:rPr>
            </w:pPr>
            <w:r w:rsidRPr="00BD3832">
              <w:rPr>
                <w:sz w:val="20"/>
                <w:szCs w:val="20"/>
              </w:rPr>
              <w:t>0.444</w:t>
            </w:r>
          </w:p>
        </w:tc>
      </w:tr>
      <w:tr w:rsidR="007D2D75" w:rsidRPr="00BD3832" w14:paraId="0FB45FCE" w14:textId="77777777" w:rsidTr="00524A8F">
        <w:trPr>
          <w:jc w:val="center"/>
        </w:trPr>
        <w:tc>
          <w:tcPr>
            <w:tcW w:w="3796" w:type="dxa"/>
            <w:gridSpan w:val="2"/>
            <w:vMerge/>
            <w:shd w:val="clear" w:color="auto" w:fill="FFFFFF" w:themeFill="background1"/>
            <w:vAlign w:val="center"/>
          </w:tcPr>
          <w:p w14:paraId="485962FF" w14:textId="77777777" w:rsidR="007D2D75" w:rsidRPr="00BD3832" w:rsidRDefault="007D2D75" w:rsidP="00524A8F">
            <w:pPr>
              <w:rPr>
                <w:sz w:val="20"/>
                <w:szCs w:val="20"/>
              </w:rPr>
            </w:pPr>
          </w:p>
        </w:tc>
        <w:tc>
          <w:tcPr>
            <w:tcW w:w="2070" w:type="dxa"/>
            <w:shd w:val="clear" w:color="auto" w:fill="FFFFFF" w:themeFill="background1"/>
            <w:vAlign w:val="center"/>
          </w:tcPr>
          <w:p w14:paraId="28379EB7" w14:textId="77777777" w:rsidR="007D2D75" w:rsidRPr="00BD3832" w:rsidRDefault="007D2D75" w:rsidP="00524A8F">
            <w:pPr>
              <w:rPr>
                <w:sz w:val="20"/>
                <w:szCs w:val="20"/>
              </w:rPr>
            </w:pPr>
            <w:r w:rsidRPr="00BD3832">
              <w:rPr>
                <w:sz w:val="20"/>
                <w:szCs w:val="20"/>
              </w:rPr>
              <w:t xml:space="preserve">Muslims </w:t>
            </w:r>
          </w:p>
        </w:tc>
        <w:tc>
          <w:tcPr>
            <w:tcW w:w="1620" w:type="dxa"/>
            <w:shd w:val="clear" w:color="auto" w:fill="FFFFFF" w:themeFill="background1"/>
          </w:tcPr>
          <w:p w14:paraId="78D0904B" w14:textId="77777777" w:rsidR="007D2D75" w:rsidRPr="00BD3832" w:rsidRDefault="007D2D75" w:rsidP="00524A8F">
            <w:pPr>
              <w:spacing w:line="360" w:lineRule="auto"/>
              <w:rPr>
                <w:sz w:val="20"/>
                <w:szCs w:val="20"/>
              </w:rPr>
            </w:pPr>
            <w:r w:rsidRPr="00BD3832">
              <w:rPr>
                <w:sz w:val="20"/>
                <w:szCs w:val="20"/>
              </w:rPr>
              <w:t>1.59 (0.46-5.53)</w:t>
            </w:r>
          </w:p>
        </w:tc>
        <w:tc>
          <w:tcPr>
            <w:tcW w:w="900" w:type="dxa"/>
            <w:vMerge/>
            <w:shd w:val="clear" w:color="auto" w:fill="FFFFFF" w:themeFill="background1"/>
          </w:tcPr>
          <w:p w14:paraId="743C87D3" w14:textId="77777777" w:rsidR="007D2D75" w:rsidRPr="00BD3832" w:rsidRDefault="007D2D75" w:rsidP="00524A8F">
            <w:pPr>
              <w:spacing w:line="360" w:lineRule="auto"/>
              <w:rPr>
                <w:sz w:val="20"/>
                <w:szCs w:val="20"/>
              </w:rPr>
            </w:pPr>
          </w:p>
        </w:tc>
        <w:tc>
          <w:tcPr>
            <w:tcW w:w="1720" w:type="dxa"/>
            <w:shd w:val="clear" w:color="auto" w:fill="FFFFFF" w:themeFill="background1"/>
          </w:tcPr>
          <w:p w14:paraId="46F97D71" w14:textId="77777777" w:rsidR="007D2D75" w:rsidRPr="00BD3832" w:rsidRDefault="007D2D75" w:rsidP="00524A8F">
            <w:pPr>
              <w:spacing w:line="360" w:lineRule="auto"/>
              <w:rPr>
                <w:sz w:val="20"/>
                <w:szCs w:val="20"/>
              </w:rPr>
            </w:pPr>
            <w:r w:rsidRPr="00BD3832">
              <w:rPr>
                <w:sz w:val="20"/>
                <w:szCs w:val="20"/>
              </w:rPr>
              <w:t>1.63 (0.46-5.76)</w:t>
            </w:r>
          </w:p>
        </w:tc>
        <w:tc>
          <w:tcPr>
            <w:tcW w:w="975" w:type="dxa"/>
            <w:vMerge/>
            <w:shd w:val="clear" w:color="auto" w:fill="FFFFFF" w:themeFill="background1"/>
          </w:tcPr>
          <w:p w14:paraId="6C4E3782" w14:textId="77777777" w:rsidR="007D2D75" w:rsidRPr="00BD3832" w:rsidRDefault="007D2D75" w:rsidP="00524A8F">
            <w:pPr>
              <w:spacing w:line="360" w:lineRule="auto"/>
              <w:rPr>
                <w:sz w:val="20"/>
                <w:szCs w:val="20"/>
              </w:rPr>
            </w:pPr>
          </w:p>
        </w:tc>
      </w:tr>
      <w:tr w:rsidR="007D2D75" w:rsidRPr="00BD3832" w14:paraId="50F8B421" w14:textId="77777777" w:rsidTr="00524A8F">
        <w:trPr>
          <w:trHeight w:val="440"/>
          <w:jc w:val="center"/>
        </w:trPr>
        <w:tc>
          <w:tcPr>
            <w:tcW w:w="11081" w:type="dxa"/>
            <w:gridSpan w:val="7"/>
            <w:shd w:val="clear" w:color="auto" w:fill="FFFFFF" w:themeFill="background1"/>
            <w:vAlign w:val="center"/>
          </w:tcPr>
          <w:p w14:paraId="15CC12C4" w14:textId="77777777" w:rsidR="007D2D75" w:rsidRPr="00BD3832" w:rsidRDefault="007D2D75" w:rsidP="00524A8F">
            <w:pPr>
              <w:spacing w:line="360" w:lineRule="auto"/>
              <w:rPr>
                <w:i/>
                <w:sz w:val="20"/>
                <w:szCs w:val="20"/>
              </w:rPr>
            </w:pPr>
            <w:r w:rsidRPr="00BD3832">
              <w:rPr>
                <w:i/>
                <w:sz w:val="20"/>
                <w:szCs w:val="20"/>
              </w:rPr>
              <w:t>Predictors of overall knowledge on health effects of tobacco-use at HHs level</w:t>
            </w:r>
          </w:p>
        </w:tc>
      </w:tr>
      <w:tr w:rsidR="007D2D75" w:rsidRPr="00BD3832" w14:paraId="08392946" w14:textId="77777777" w:rsidTr="00524A8F">
        <w:trPr>
          <w:jc w:val="center"/>
        </w:trPr>
        <w:tc>
          <w:tcPr>
            <w:tcW w:w="940" w:type="dxa"/>
            <w:vMerge w:val="restart"/>
            <w:shd w:val="clear" w:color="auto" w:fill="FFFFFF" w:themeFill="background1"/>
            <w:textDirection w:val="btLr"/>
            <w:vAlign w:val="center"/>
          </w:tcPr>
          <w:p w14:paraId="70234867" w14:textId="77777777" w:rsidR="007D2D75" w:rsidRPr="00BD3832" w:rsidRDefault="007D2D75" w:rsidP="00524A8F">
            <w:pPr>
              <w:ind w:left="113" w:right="113"/>
              <w:jc w:val="center"/>
              <w:rPr>
                <w:sz w:val="20"/>
                <w:szCs w:val="20"/>
              </w:rPr>
            </w:pPr>
            <w:r w:rsidRPr="00BD3832">
              <w:rPr>
                <w:i/>
                <w:sz w:val="20"/>
                <w:szCs w:val="20"/>
              </w:rPr>
              <w:t>Predictors of knowledge of general /environmental health effects</w:t>
            </w:r>
          </w:p>
        </w:tc>
        <w:tc>
          <w:tcPr>
            <w:tcW w:w="2856" w:type="dxa"/>
            <w:vMerge w:val="restart"/>
            <w:shd w:val="clear" w:color="auto" w:fill="FFFFFF" w:themeFill="background1"/>
          </w:tcPr>
          <w:p w14:paraId="149D7F46" w14:textId="77777777" w:rsidR="007D2D75" w:rsidRPr="00BD3832" w:rsidRDefault="007D2D75" w:rsidP="00524A8F">
            <w:pPr>
              <w:rPr>
                <w:sz w:val="20"/>
                <w:szCs w:val="20"/>
              </w:rPr>
            </w:pPr>
            <w:r w:rsidRPr="00BD3832">
              <w:rPr>
                <w:sz w:val="20"/>
                <w:szCs w:val="20"/>
              </w:rPr>
              <w:t>Tobacco in any form can affect your health</w:t>
            </w:r>
          </w:p>
        </w:tc>
        <w:tc>
          <w:tcPr>
            <w:tcW w:w="2070" w:type="dxa"/>
            <w:shd w:val="clear" w:color="auto" w:fill="FFFFFF" w:themeFill="background1"/>
          </w:tcPr>
          <w:p w14:paraId="79284A9C"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19C34CFE"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746D6BBC" w14:textId="77777777" w:rsidR="007D2D75" w:rsidRPr="00BD3832" w:rsidRDefault="007D2D75" w:rsidP="00524A8F">
            <w:pPr>
              <w:spacing w:line="360" w:lineRule="auto"/>
              <w:jc w:val="center"/>
              <w:rPr>
                <w:sz w:val="20"/>
                <w:szCs w:val="20"/>
              </w:rPr>
            </w:pPr>
            <w:r w:rsidRPr="00BD3832">
              <w:rPr>
                <w:sz w:val="20"/>
                <w:szCs w:val="20"/>
              </w:rPr>
              <w:t>0.155</w:t>
            </w:r>
          </w:p>
        </w:tc>
        <w:tc>
          <w:tcPr>
            <w:tcW w:w="1720" w:type="dxa"/>
            <w:shd w:val="clear" w:color="auto" w:fill="FFFFFF" w:themeFill="background1"/>
          </w:tcPr>
          <w:p w14:paraId="24CB05BB"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0A15FA8A" w14:textId="77777777" w:rsidR="007D2D75" w:rsidRPr="00BD3832" w:rsidRDefault="007D2D75" w:rsidP="00524A8F">
            <w:pPr>
              <w:spacing w:line="360" w:lineRule="auto"/>
              <w:jc w:val="center"/>
              <w:rPr>
                <w:sz w:val="20"/>
                <w:szCs w:val="20"/>
              </w:rPr>
            </w:pPr>
            <w:r w:rsidRPr="00BD3832">
              <w:rPr>
                <w:sz w:val="20"/>
                <w:szCs w:val="20"/>
              </w:rPr>
              <w:t>0.004</w:t>
            </w:r>
          </w:p>
        </w:tc>
      </w:tr>
      <w:tr w:rsidR="007D2D75" w:rsidRPr="00BD3832" w14:paraId="7CE8EE3D" w14:textId="77777777" w:rsidTr="00524A8F">
        <w:trPr>
          <w:jc w:val="center"/>
        </w:trPr>
        <w:tc>
          <w:tcPr>
            <w:tcW w:w="940" w:type="dxa"/>
            <w:vMerge/>
            <w:shd w:val="clear" w:color="auto" w:fill="FFFFFF" w:themeFill="background1"/>
          </w:tcPr>
          <w:p w14:paraId="13F10B32" w14:textId="77777777" w:rsidR="007D2D75" w:rsidRPr="00BD3832" w:rsidRDefault="007D2D75" w:rsidP="00524A8F">
            <w:pPr>
              <w:jc w:val="right"/>
              <w:rPr>
                <w:sz w:val="20"/>
                <w:szCs w:val="20"/>
              </w:rPr>
            </w:pPr>
          </w:p>
        </w:tc>
        <w:tc>
          <w:tcPr>
            <w:tcW w:w="2856" w:type="dxa"/>
            <w:vMerge/>
            <w:shd w:val="clear" w:color="auto" w:fill="FFFFFF" w:themeFill="background1"/>
          </w:tcPr>
          <w:p w14:paraId="21472973" w14:textId="77777777" w:rsidR="007D2D75" w:rsidRPr="00BD3832" w:rsidRDefault="007D2D75" w:rsidP="00524A8F">
            <w:pPr>
              <w:rPr>
                <w:sz w:val="20"/>
                <w:szCs w:val="20"/>
              </w:rPr>
            </w:pPr>
          </w:p>
        </w:tc>
        <w:tc>
          <w:tcPr>
            <w:tcW w:w="2070" w:type="dxa"/>
            <w:shd w:val="clear" w:color="auto" w:fill="FFFFFF" w:themeFill="background1"/>
          </w:tcPr>
          <w:p w14:paraId="420DE1AA"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29971C23" w14:textId="77777777" w:rsidR="007D2D75" w:rsidRPr="00BD3832" w:rsidRDefault="007D2D75" w:rsidP="00524A8F">
            <w:pPr>
              <w:spacing w:line="360" w:lineRule="auto"/>
              <w:rPr>
                <w:sz w:val="20"/>
                <w:szCs w:val="20"/>
              </w:rPr>
            </w:pPr>
            <w:r w:rsidRPr="00BD3832">
              <w:rPr>
                <w:sz w:val="20"/>
                <w:szCs w:val="20"/>
              </w:rPr>
              <w:t>4.36 (0.57-33.28)</w:t>
            </w:r>
          </w:p>
        </w:tc>
        <w:tc>
          <w:tcPr>
            <w:tcW w:w="900" w:type="dxa"/>
            <w:vMerge/>
            <w:shd w:val="clear" w:color="auto" w:fill="FFFFFF" w:themeFill="background1"/>
            <w:vAlign w:val="center"/>
          </w:tcPr>
          <w:p w14:paraId="251F3B57"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011B55D2" w14:textId="77777777" w:rsidR="007D2D75" w:rsidRPr="00BD3832" w:rsidRDefault="007D2D75" w:rsidP="00524A8F">
            <w:pPr>
              <w:spacing w:line="360" w:lineRule="auto"/>
              <w:rPr>
                <w:sz w:val="20"/>
                <w:szCs w:val="20"/>
              </w:rPr>
            </w:pPr>
            <w:r w:rsidRPr="00BD3832">
              <w:rPr>
                <w:sz w:val="20"/>
                <w:szCs w:val="20"/>
              </w:rPr>
              <w:t>20.92 (2.60-167.83)</w:t>
            </w:r>
          </w:p>
        </w:tc>
        <w:tc>
          <w:tcPr>
            <w:tcW w:w="975" w:type="dxa"/>
            <w:vMerge/>
            <w:shd w:val="clear" w:color="auto" w:fill="FFFFFF" w:themeFill="background1"/>
            <w:vAlign w:val="center"/>
          </w:tcPr>
          <w:p w14:paraId="10B7F970" w14:textId="77777777" w:rsidR="007D2D75" w:rsidRPr="00BD3832" w:rsidRDefault="007D2D75" w:rsidP="00524A8F">
            <w:pPr>
              <w:spacing w:line="360" w:lineRule="auto"/>
              <w:jc w:val="center"/>
              <w:rPr>
                <w:sz w:val="20"/>
                <w:szCs w:val="20"/>
              </w:rPr>
            </w:pPr>
          </w:p>
        </w:tc>
      </w:tr>
      <w:tr w:rsidR="007D2D75" w:rsidRPr="00BD3832" w14:paraId="39FE2DA7" w14:textId="77777777" w:rsidTr="00524A8F">
        <w:trPr>
          <w:trHeight w:val="330"/>
          <w:jc w:val="center"/>
        </w:trPr>
        <w:tc>
          <w:tcPr>
            <w:tcW w:w="940" w:type="dxa"/>
            <w:vMerge/>
            <w:shd w:val="clear" w:color="auto" w:fill="FFFFFF" w:themeFill="background1"/>
          </w:tcPr>
          <w:p w14:paraId="0F089A7A" w14:textId="77777777" w:rsidR="007D2D75" w:rsidRPr="00BD3832" w:rsidRDefault="007D2D75" w:rsidP="00524A8F">
            <w:pPr>
              <w:jc w:val="right"/>
              <w:rPr>
                <w:sz w:val="20"/>
                <w:szCs w:val="20"/>
              </w:rPr>
            </w:pPr>
          </w:p>
        </w:tc>
        <w:tc>
          <w:tcPr>
            <w:tcW w:w="2856" w:type="dxa"/>
            <w:vMerge w:val="restart"/>
            <w:shd w:val="clear" w:color="auto" w:fill="FFFFFF" w:themeFill="background1"/>
          </w:tcPr>
          <w:p w14:paraId="581B0360" w14:textId="77777777" w:rsidR="007D2D75" w:rsidRPr="00BD3832" w:rsidRDefault="007D2D75" w:rsidP="00524A8F">
            <w:pPr>
              <w:rPr>
                <w:sz w:val="20"/>
                <w:szCs w:val="20"/>
              </w:rPr>
            </w:pPr>
            <w:r w:rsidRPr="00BD3832">
              <w:rPr>
                <w:sz w:val="20"/>
                <w:szCs w:val="20"/>
              </w:rPr>
              <w:t>Tobacco residue can also cause harm at home ground</w:t>
            </w:r>
          </w:p>
        </w:tc>
        <w:tc>
          <w:tcPr>
            <w:tcW w:w="2070" w:type="dxa"/>
            <w:shd w:val="clear" w:color="auto" w:fill="FFFFFF" w:themeFill="background1"/>
          </w:tcPr>
          <w:p w14:paraId="1F5D578A"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5AF3FE8E"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5D797AFB" w14:textId="77777777" w:rsidR="007D2D75" w:rsidRPr="00BD3832" w:rsidRDefault="007D2D75" w:rsidP="00524A8F">
            <w:pPr>
              <w:spacing w:line="360" w:lineRule="auto"/>
              <w:jc w:val="center"/>
              <w:rPr>
                <w:sz w:val="20"/>
                <w:szCs w:val="20"/>
              </w:rPr>
            </w:pPr>
            <w:r w:rsidRPr="00BD3832">
              <w:rPr>
                <w:sz w:val="20"/>
                <w:szCs w:val="20"/>
              </w:rPr>
              <w:t>&lt;0.001</w:t>
            </w:r>
          </w:p>
        </w:tc>
        <w:tc>
          <w:tcPr>
            <w:tcW w:w="1720" w:type="dxa"/>
            <w:shd w:val="clear" w:color="auto" w:fill="FFFFFF" w:themeFill="background1"/>
          </w:tcPr>
          <w:p w14:paraId="186FD085"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149F2FEC" w14:textId="77777777" w:rsidR="007D2D75" w:rsidRPr="00BD3832" w:rsidRDefault="007D2D75" w:rsidP="00524A8F">
            <w:pPr>
              <w:spacing w:line="360" w:lineRule="auto"/>
              <w:jc w:val="center"/>
              <w:rPr>
                <w:sz w:val="20"/>
                <w:szCs w:val="20"/>
              </w:rPr>
            </w:pPr>
            <w:r w:rsidRPr="00BD3832">
              <w:rPr>
                <w:sz w:val="20"/>
                <w:szCs w:val="20"/>
              </w:rPr>
              <w:t>&lt;0.001</w:t>
            </w:r>
          </w:p>
        </w:tc>
      </w:tr>
      <w:tr w:rsidR="007D2D75" w:rsidRPr="00BD3832" w14:paraId="47B6B6F2" w14:textId="77777777" w:rsidTr="00524A8F">
        <w:trPr>
          <w:trHeight w:val="285"/>
          <w:jc w:val="center"/>
        </w:trPr>
        <w:tc>
          <w:tcPr>
            <w:tcW w:w="940" w:type="dxa"/>
            <w:vMerge/>
            <w:shd w:val="clear" w:color="auto" w:fill="FFFFFF" w:themeFill="background1"/>
          </w:tcPr>
          <w:p w14:paraId="672A2CFE" w14:textId="77777777" w:rsidR="007D2D75" w:rsidRPr="00BD3832" w:rsidRDefault="007D2D75" w:rsidP="00524A8F">
            <w:pPr>
              <w:jc w:val="right"/>
              <w:rPr>
                <w:bCs/>
                <w:sz w:val="20"/>
                <w:szCs w:val="20"/>
              </w:rPr>
            </w:pPr>
          </w:p>
        </w:tc>
        <w:tc>
          <w:tcPr>
            <w:tcW w:w="2856" w:type="dxa"/>
            <w:vMerge/>
            <w:shd w:val="clear" w:color="auto" w:fill="FFFFFF" w:themeFill="background1"/>
          </w:tcPr>
          <w:p w14:paraId="580CF77F" w14:textId="77777777" w:rsidR="007D2D75" w:rsidRPr="00BD3832" w:rsidRDefault="007D2D75" w:rsidP="00524A8F">
            <w:pPr>
              <w:rPr>
                <w:bCs/>
                <w:sz w:val="20"/>
                <w:szCs w:val="20"/>
              </w:rPr>
            </w:pPr>
          </w:p>
        </w:tc>
        <w:tc>
          <w:tcPr>
            <w:tcW w:w="2070" w:type="dxa"/>
            <w:shd w:val="clear" w:color="auto" w:fill="FFFFFF" w:themeFill="background1"/>
          </w:tcPr>
          <w:p w14:paraId="047F9A35"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2E4B9947" w14:textId="77777777" w:rsidR="007D2D75" w:rsidRPr="00BD3832" w:rsidRDefault="007D2D75" w:rsidP="00524A8F">
            <w:pPr>
              <w:spacing w:line="360" w:lineRule="auto"/>
              <w:rPr>
                <w:sz w:val="20"/>
                <w:szCs w:val="20"/>
              </w:rPr>
            </w:pPr>
            <w:r w:rsidRPr="00BD3832">
              <w:rPr>
                <w:sz w:val="20"/>
                <w:szCs w:val="20"/>
              </w:rPr>
              <w:t>0.08 (0.05-0.15)</w:t>
            </w:r>
          </w:p>
        </w:tc>
        <w:tc>
          <w:tcPr>
            <w:tcW w:w="900" w:type="dxa"/>
            <w:vMerge/>
            <w:shd w:val="clear" w:color="auto" w:fill="FFFFFF" w:themeFill="background1"/>
            <w:vAlign w:val="center"/>
          </w:tcPr>
          <w:p w14:paraId="25441136"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3BACEC26" w14:textId="77777777" w:rsidR="007D2D75" w:rsidRPr="00BD3832" w:rsidRDefault="007D2D75" w:rsidP="00524A8F">
            <w:pPr>
              <w:spacing w:line="360" w:lineRule="auto"/>
              <w:rPr>
                <w:sz w:val="20"/>
                <w:szCs w:val="20"/>
              </w:rPr>
            </w:pPr>
            <w:r w:rsidRPr="00BD3832">
              <w:rPr>
                <w:sz w:val="20"/>
                <w:szCs w:val="20"/>
              </w:rPr>
              <w:t>0.07 (0.04-0.15)</w:t>
            </w:r>
          </w:p>
        </w:tc>
        <w:tc>
          <w:tcPr>
            <w:tcW w:w="975" w:type="dxa"/>
            <w:vMerge/>
            <w:shd w:val="clear" w:color="auto" w:fill="FFFFFF" w:themeFill="background1"/>
            <w:vAlign w:val="center"/>
          </w:tcPr>
          <w:p w14:paraId="73EC34E9" w14:textId="77777777" w:rsidR="007D2D75" w:rsidRPr="00BD3832" w:rsidRDefault="007D2D75" w:rsidP="00524A8F">
            <w:pPr>
              <w:spacing w:line="360" w:lineRule="auto"/>
              <w:jc w:val="center"/>
              <w:rPr>
                <w:sz w:val="20"/>
                <w:szCs w:val="20"/>
              </w:rPr>
            </w:pPr>
          </w:p>
        </w:tc>
      </w:tr>
      <w:tr w:rsidR="007D2D75" w:rsidRPr="00BD3832" w14:paraId="1B3E5922" w14:textId="77777777" w:rsidTr="00524A8F">
        <w:trPr>
          <w:trHeight w:val="278"/>
          <w:jc w:val="center"/>
        </w:trPr>
        <w:tc>
          <w:tcPr>
            <w:tcW w:w="940" w:type="dxa"/>
            <w:vMerge/>
            <w:shd w:val="clear" w:color="auto" w:fill="FFFFFF" w:themeFill="background1"/>
          </w:tcPr>
          <w:p w14:paraId="479535C2" w14:textId="77777777" w:rsidR="007D2D75" w:rsidRPr="00BD3832" w:rsidRDefault="007D2D75" w:rsidP="00524A8F">
            <w:pPr>
              <w:jc w:val="right"/>
              <w:rPr>
                <w:sz w:val="20"/>
                <w:szCs w:val="20"/>
              </w:rPr>
            </w:pPr>
          </w:p>
        </w:tc>
        <w:tc>
          <w:tcPr>
            <w:tcW w:w="2856" w:type="dxa"/>
            <w:vMerge w:val="restart"/>
            <w:shd w:val="clear" w:color="auto" w:fill="FFFFFF" w:themeFill="background1"/>
          </w:tcPr>
          <w:p w14:paraId="423C3722" w14:textId="77777777" w:rsidR="007D2D75" w:rsidRPr="00BD3832" w:rsidRDefault="007D2D75" w:rsidP="00524A8F">
            <w:pPr>
              <w:rPr>
                <w:bCs/>
                <w:sz w:val="20"/>
                <w:szCs w:val="20"/>
              </w:rPr>
            </w:pPr>
            <w:r w:rsidRPr="00BD3832">
              <w:rPr>
                <w:bCs/>
                <w:sz w:val="20"/>
                <w:szCs w:val="20"/>
              </w:rPr>
              <w:t xml:space="preserve">Lack of proper ventilation SHS causes  harm for women and children </w:t>
            </w:r>
          </w:p>
        </w:tc>
        <w:tc>
          <w:tcPr>
            <w:tcW w:w="2070" w:type="dxa"/>
            <w:shd w:val="clear" w:color="auto" w:fill="FFFFFF" w:themeFill="background1"/>
          </w:tcPr>
          <w:p w14:paraId="1B1BDD29"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17001E27"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7A9170BE" w14:textId="77777777" w:rsidR="007D2D75" w:rsidRPr="00BD3832" w:rsidRDefault="007D2D75" w:rsidP="00524A8F">
            <w:pPr>
              <w:spacing w:line="360" w:lineRule="auto"/>
              <w:jc w:val="center"/>
              <w:rPr>
                <w:sz w:val="20"/>
                <w:szCs w:val="20"/>
              </w:rPr>
            </w:pPr>
            <w:r w:rsidRPr="00BD3832">
              <w:rPr>
                <w:sz w:val="20"/>
                <w:szCs w:val="20"/>
              </w:rPr>
              <w:t>0.139</w:t>
            </w:r>
          </w:p>
        </w:tc>
        <w:tc>
          <w:tcPr>
            <w:tcW w:w="1720" w:type="dxa"/>
            <w:shd w:val="clear" w:color="auto" w:fill="FFFFFF" w:themeFill="background1"/>
          </w:tcPr>
          <w:p w14:paraId="389F1A2A" w14:textId="77777777" w:rsidR="007D2D75" w:rsidRPr="00BD3832" w:rsidRDefault="007D2D75" w:rsidP="00524A8F">
            <w:pPr>
              <w:spacing w:line="360" w:lineRule="auto"/>
              <w:rPr>
                <w:strike/>
                <w:sz w:val="20"/>
                <w:szCs w:val="20"/>
              </w:rPr>
            </w:pPr>
            <w:r w:rsidRPr="00BD3832">
              <w:rPr>
                <w:strike/>
                <w:sz w:val="20"/>
                <w:szCs w:val="20"/>
              </w:rPr>
              <w:t>1</w:t>
            </w:r>
          </w:p>
        </w:tc>
        <w:tc>
          <w:tcPr>
            <w:tcW w:w="975" w:type="dxa"/>
            <w:vMerge w:val="restart"/>
            <w:shd w:val="clear" w:color="auto" w:fill="FFFFFF" w:themeFill="background1"/>
            <w:vAlign w:val="center"/>
          </w:tcPr>
          <w:p w14:paraId="4ABBA1E3" w14:textId="77777777" w:rsidR="007D2D75" w:rsidRPr="00BD3832" w:rsidRDefault="007D2D75" w:rsidP="00524A8F">
            <w:pPr>
              <w:spacing w:line="360" w:lineRule="auto"/>
              <w:jc w:val="center"/>
              <w:rPr>
                <w:strike/>
                <w:sz w:val="20"/>
                <w:szCs w:val="20"/>
              </w:rPr>
            </w:pPr>
            <w:r w:rsidRPr="00BD3832">
              <w:rPr>
                <w:strike/>
                <w:sz w:val="20"/>
                <w:szCs w:val="20"/>
              </w:rPr>
              <w:t>0.262</w:t>
            </w:r>
          </w:p>
        </w:tc>
      </w:tr>
      <w:tr w:rsidR="007D2D75" w:rsidRPr="00BD3832" w14:paraId="1AE3F858" w14:textId="77777777" w:rsidTr="00524A8F">
        <w:trPr>
          <w:trHeight w:val="195"/>
          <w:jc w:val="center"/>
        </w:trPr>
        <w:tc>
          <w:tcPr>
            <w:tcW w:w="940" w:type="dxa"/>
            <w:vMerge/>
            <w:shd w:val="clear" w:color="auto" w:fill="FFFFFF" w:themeFill="background1"/>
          </w:tcPr>
          <w:p w14:paraId="41EE34C2" w14:textId="77777777" w:rsidR="007D2D75" w:rsidRPr="00BD3832" w:rsidRDefault="007D2D75" w:rsidP="00524A8F">
            <w:pPr>
              <w:jc w:val="right"/>
              <w:rPr>
                <w:sz w:val="20"/>
                <w:szCs w:val="20"/>
              </w:rPr>
            </w:pPr>
          </w:p>
        </w:tc>
        <w:tc>
          <w:tcPr>
            <w:tcW w:w="2856" w:type="dxa"/>
            <w:vMerge/>
            <w:shd w:val="clear" w:color="auto" w:fill="FFFFFF" w:themeFill="background1"/>
          </w:tcPr>
          <w:p w14:paraId="6A6AD449" w14:textId="77777777" w:rsidR="007D2D75" w:rsidRPr="00BD3832" w:rsidRDefault="007D2D75" w:rsidP="00524A8F">
            <w:pPr>
              <w:rPr>
                <w:sz w:val="20"/>
                <w:szCs w:val="20"/>
              </w:rPr>
            </w:pPr>
          </w:p>
        </w:tc>
        <w:tc>
          <w:tcPr>
            <w:tcW w:w="2070" w:type="dxa"/>
            <w:shd w:val="clear" w:color="auto" w:fill="FFFFFF" w:themeFill="background1"/>
          </w:tcPr>
          <w:p w14:paraId="1F5EDE3F"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1580D5AE" w14:textId="77777777" w:rsidR="007D2D75" w:rsidRPr="00BD3832" w:rsidRDefault="007D2D75" w:rsidP="00524A8F">
            <w:pPr>
              <w:spacing w:line="360" w:lineRule="auto"/>
              <w:rPr>
                <w:sz w:val="20"/>
                <w:szCs w:val="20"/>
              </w:rPr>
            </w:pPr>
            <w:r w:rsidRPr="00BD3832">
              <w:rPr>
                <w:sz w:val="20"/>
                <w:szCs w:val="20"/>
              </w:rPr>
              <w:t>4.63 (</w:t>
            </w:r>
            <w:r w:rsidRPr="00BD3832">
              <w:rPr>
                <w:strike/>
                <w:sz w:val="20"/>
                <w:szCs w:val="20"/>
              </w:rPr>
              <w:t>1</w:t>
            </w:r>
            <w:r w:rsidRPr="00BD3832">
              <w:rPr>
                <w:sz w:val="20"/>
                <w:szCs w:val="20"/>
              </w:rPr>
              <w:t xml:space="preserve"> 0.61-35.25)</w:t>
            </w:r>
          </w:p>
        </w:tc>
        <w:tc>
          <w:tcPr>
            <w:tcW w:w="900" w:type="dxa"/>
            <w:vMerge/>
            <w:shd w:val="clear" w:color="auto" w:fill="FFFFFF" w:themeFill="background1"/>
            <w:vAlign w:val="center"/>
          </w:tcPr>
          <w:p w14:paraId="0A922FEF"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25458E63" w14:textId="77777777" w:rsidR="007D2D75" w:rsidRPr="00BD3832" w:rsidRDefault="007D2D75" w:rsidP="00524A8F">
            <w:pPr>
              <w:spacing w:line="360" w:lineRule="auto"/>
              <w:rPr>
                <w:strike/>
                <w:sz w:val="20"/>
                <w:szCs w:val="20"/>
              </w:rPr>
            </w:pPr>
            <w:r w:rsidRPr="00BD3832">
              <w:rPr>
                <w:strike/>
                <w:sz w:val="20"/>
                <w:szCs w:val="20"/>
              </w:rPr>
              <w:t>6.11 ( 1.26-144.49)</w:t>
            </w:r>
          </w:p>
        </w:tc>
        <w:tc>
          <w:tcPr>
            <w:tcW w:w="975" w:type="dxa"/>
            <w:vMerge/>
            <w:shd w:val="clear" w:color="auto" w:fill="FFFFFF" w:themeFill="background1"/>
            <w:vAlign w:val="center"/>
          </w:tcPr>
          <w:p w14:paraId="78742608" w14:textId="77777777" w:rsidR="007D2D75" w:rsidRPr="00BD3832" w:rsidRDefault="007D2D75" w:rsidP="00524A8F">
            <w:pPr>
              <w:spacing w:line="360" w:lineRule="auto"/>
              <w:jc w:val="center"/>
              <w:rPr>
                <w:sz w:val="20"/>
                <w:szCs w:val="20"/>
              </w:rPr>
            </w:pPr>
          </w:p>
        </w:tc>
      </w:tr>
      <w:tr w:rsidR="007D2D75" w:rsidRPr="00BD3832" w14:paraId="1A94D753" w14:textId="77777777" w:rsidTr="00524A8F">
        <w:trPr>
          <w:trHeight w:val="180"/>
          <w:jc w:val="center"/>
        </w:trPr>
        <w:tc>
          <w:tcPr>
            <w:tcW w:w="940" w:type="dxa"/>
            <w:vMerge/>
            <w:shd w:val="clear" w:color="auto" w:fill="FFFFFF" w:themeFill="background1"/>
          </w:tcPr>
          <w:p w14:paraId="36BB1020" w14:textId="77777777" w:rsidR="007D2D75" w:rsidRPr="00BD3832" w:rsidRDefault="007D2D75" w:rsidP="00524A8F">
            <w:pPr>
              <w:jc w:val="right"/>
              <w:rPr>
                <w:sz w:val="20"/>
                <w:szCs w:val="20"/>
              </w:rPr>
            </w:pPr>
          </w:p>
        </w:tc>
        <w:tc>
          <w:tcPr>
            <w:tcW w:w="2856" w:type="dxa"/>
            <w:vMerge w:val="restart"/>
            <w:shd w:val="clear" w:color="auto" w:fill="FFFFFF" w:themeFill="background1"/>
          </w:tcPr>
          <w:p w14:paraId="41667264" w14:textId="77777777" w:rsidR="007D2D75" w:rsidRPr="00BD3832" w:rsidRDefault="007D2D75" w:rsidP="00524A8F">
            <w:pPr>
              <w:rPr>
                <w:sz w:val="20"/>
                <w:szCs w:val="20"/>
              </w:rPr>
            </w:pPr>
            <w:r w:rsidRPr="00BD3832">
              <w:rPr>
                <w:sz w:val="20"/>
                <w:szCs w:val="20"/>
              </w:rPr>
              <w:t>Chewing tobacco is also harmful for health at home</w:t>
            </w:r>
          </w:p>
        </w:tc>
        <w:tc>
          <w:tcPr>
            <w:tcW w:w="2070" w:type="dxa"/>
            <w:shd w:val="clear" w:color="auto" w:fill="FFFFFF" w:themeFill="background1"/>
          </w:tcPr>
          <w:p w14:paraId="123F4D35"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2181ACCB" w14:textId="77777777" w:rsidR="007D2D75" w:rsidRPr="00BD3832" w:rsidRDefault="007D2D75" w:rsidP="00524A8F">
            <w:pPr>
              <w:spacing w:line="360" w:lineRule="auto"/>
              <w:rPr>
                <w:sz w:val="20"/>
                <w:szCs w:val="20"/>
              </w:rPr>
            </w:pPr>
            <w:r w:rsidRPr="00BD3832">
              <w:rPr>
                <w:sz w:val="20"/>
                <w:szCs w:val="20"/>
              </w:rPr>
              <w:t>1</w:t>
            </w:r>
          </w:p>
        </w:tc>
        <w:tc>
          <w:tcPr>
            <w:tcW w:w="900" w:type="dxa"/>
            <w:shd w:val="clear" w:color="auto" w:fill="FFFFFF" w:themeFill="background1"/>
            <w:vAlign w:val="center"/>
          </w:tcPr>
          <w:p w14:paraId="06CEA69D"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40DA97B9"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72C56A88" w14:textId="77777777" w:rsidR="007D2D75" w:rsidRPr="00BD3832" w:rsidRDefault="007D2D75" w:rsidP="00524A8F">
            <w:pPr>
              <w:spacing w:line="360" w:lineRule="auto"/>
              <w:jc w:val="center"/>
              <w:rPr>
                <w:strike/>
                <w:sz w:val="20"/>
                <w:szCs w:val="20"/>
              </w:rPr>
            </w:pPr>
            <w:r w:rsidRPr="00BD3832">
              <w:rPr>
                <w:sz w:val="20"/>
                <w:szCs w:val="20"/>
              </w:rPr>
              <w:t>0.063</w:t>
            </w:r>
          </w:p>
        </w:tc>
      </w:tr>
      <w:tr w:rsidR="007D2D75" w:rsidRPr="00BD3832" w14:paraId="6837FFAD" w14:textId="77777777" w:rsidTr="00524A8F">
        <w:trPr>
          <w:trHeight w:val="467"/>
          <w:jc w:val="center"/>
        </w:trPr>
        <w:tc>
          <w:tcPr>
            <w:tcW w:w="940" w:type="dxa"/>
            <w:vMerge/>
            <w:shd w:val="clear" w:color="auto" w:fill="FFFFFF" w:themeFill="background1"/>
          </w:tcPr>
          <w:p w14:paraId="5B153EA0" w14:textId="77777777" w:rsidR="007D2D75" w:rsidRPr="00BD3832" w:rsidRDefault="007D2D75" w:rsidP="00524A8F">
            <w:pPr>
              <w:jc w:val="right"/>
              <w:rPr>
                <w:sz w:val="20"/>
                <w:szCs w:val="20"/>
              </w:rPr>
            </w:pPr>
          </w:p>
        </w:tc>
        <w:tc>
          <w:tcPr>
            <w:tcW w:w="2856" w:type="dxa"/>
            <w:vMerge/>
            <w:shd w:val="clear" w:color="auto" w:fill="FFFFFF" w:themeFill="background1"/>
          </w:tcPr>
          <w:p w14:paraId="59107829" w14:textId="77777777" w:rsidR="007D2D75" w:rsidRPr="00BD3832" w:rsidRDefault="007D2D75" w:rsidP="00524A8F">
            <w:pPr>
              <w:jc w:val="right"/>
              <w:rPr>
                <w:sz w:val="20"/>
                <w:szCs w:val="20"/>
              </w:rPr>
            </w:pPr>
          </w:p>
        </w:tc>
        <w:tc>
          <w:tcPr>
            <w:tcW w:w="2070" w:type="dxa"/>
            <w:shd w:val="clear" w:color="auto" w:fill="FFFFFF" w:themeFill="background1"/>
          </w:tcPr>
          <w:p w14:paraId="67DE9648"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61383CBE" w14:textId="77777777" w:rsidR="007D2D75" w:rsidRPr="00BD3832" w:rsidRDefault="007D2D75" w:rsidP="00524A8F">
            <w:pPr>
              <w:spacing w:line="360" w:lineRule="auto"/>
              <w:rPr>
                <w:sz w:val="20"/>
                <w:szCs w:val="20"/>
              </w:rPr>
            </w:pPr>
            <w:r w:rsidRPr="00BD3832">
              <w:rPr>
                <w:sz w:val="20"/>
                <w:szCs w:val="20"/>
              </w:rPr>
              <w:t>0.06 (0.02-0.15)</w:t>
            </w:r>
          </w:p>
        </w:tc>
        <w:tc>
          <w:tcPr>
            <w:tcW w:w="900" w:type="dxa"/>
            <w:shd w:val="clear" w:color="auto" w:fill="FFFFFF" w:themeFill="background1"/>
            <w:vAlign w:val="center"/>
          </w:tcPr>
          <w:p w14:paraId="457F3724" w14:textId="77777777" w:rsidR="007D2D75" w:rsidRPr="00BD3832" w:rsidRDefault="007D2D75" w:rsidP="00524A8F">
            <w:pPr>
              <w:spacing w:line="360" w:lineRule="auto"/>
              <w:jc w:val="center"/>
              <w:rPr>
                <w:sz w:val="20"/>
                <w:szCs w:val="20"/>
              </w:rPr>
            </w:pPr>
            <w:r w:rsidRPr="00BD3832">
              <w:rPr>
                <w:sz w:val="20"/>
                <w:szCs w:val="20"/>
              </w:rPr>
              <w:t>&lt;0.001</w:t>
            </w:r>
          </w:p>
        </w:tc>
        <w:tc>
          <w:tcPr>
            <w:tcW w:w="1720" w:type="dxa"/>
            <w:shd w:val="clear" w:color="auto" w:fill="FFFFFF" w:themeFill="background1"/>
          </w:tcPr>
          <w:p w14:paraId="296DF5F8" w14:textId="77777777" w:rsidR="007D2D75" w:rsidRPr="00BD3832" w:rsidRDefault="007D2D75" w:rsidP="00524A8F">
            <w:pPr>
              <w:spacing w:line="360" w:lineRule="auto"/>
              <w:rPr>
                <w:sz w:val="20"/>
                <w:szCs w:val="20"/>
              </w:rPr>
            </w:pPr>
            <w:r w:rsidRPr="00BD3832">
              <w:rPr>
                <w:sz w:val="20"/>
                <w:szCs w:val="20"/>
              </w:rPr>
              <w:t>0.36 (0.12-1.05)</w:t>
            </w:r>
          </w:p>
        </w:tc>
        <w:tc>
          <w:tcPr>
            <w:tcW w:w="975" w:type="dxa"/>
            <w:vMerge/>
            <w:shd w:val="clear" w:color="auto" w:fill="FFFFFF" w:themeFill="background1"/>
            <w:vAlign w:val="center"/>
          </w:tcPr>
          <w:p w14:paraId="7A81FF9C" w14:textId="77777777" w:rsidR="007D2D75" w:rsidRPr="00BD3832" w:rsidRDefault="007D2D75" w:rsidP="00524A8F">
            <w:pPr>
              <w:spacing w:line="360" w:lineRule="auto"/>
              <w:jc w:val="center"/>
              <w:rPr>
                <w:sz w:val="20"/>
                <w:szCs w:val="20"/>
              </w:rPr>
            </w:pPr>
          </w:p>
        </w:tc>
      </w:tr>
      <w:tr w:rsidR="007D2D75" w:rsidRPr="00BD3832" w14:paraId="06AD643B" w14:textId="77777777" w:rsidTr="00524A8F">
        <w:trPr>
          <w:trHeight w:val="225"/>
          <w:jc w:val="center"/>
        </w:trPr>
        <w:tc>
          <w:tcPr>
            <w:tcW w:w="940" w:type="dxa"/>
            <w:vMerge w:val="restart"/>
            <w:shd w:val="clear" w:color="auto" w:fill="FFFFFF" w:themeFill="background1"/>
            <w:textDirection w:val="btLr"/>
            <w:vAlign w:val="center"/>
          </w:tcPr>
          <w:p w14:paraId="4758815D" w14:textId="77777777" w:rsidR="007D2D75" w:rsidRPr="00BD3832" w:rsidRDefault="007D2D75" w:rsidP="00524A8F">
            <w:pPr>
              <w:ind w:left="113" w:right="113"/>
              <w:jc w:val="center"/>
              <w:rPr>
                <w:sz w:val="20"/>
                <w:szCs w:val="20"/>
              </w:rPr>
            </w:pPr>
            <w:r w:rsidRPr="00BD3832">
              <w:rPr>
                <w:i/>
                <w:sz w:val="20"/>
                <w:szCs w:val="20"/>
              </w:rPr>
              <w:t>Predictors of knowledge of specific health effects</w:t>
            </w:r>
          </w:p>
        </w:tc>
        <w:tc>
          <w:tcPr>
            <w:tcW w:w="2856" w:type="dxa"/>
            <w:vMerge w:val="restart"/>
            <w:shd w:val="clear" w:color="auto" w:fill="FFFFFF" w:themeFill="background1"/>
          </w:tcPr>
          <w:p w14:paraId="2967ADBE" w14:textId="77777777" w:rsidR="007D2D75" w:rsidRPr="00BD3832" w:rsidRDefault="007D2D75" w:rsidP="00524A8F">
            <w:pPr>
              <w:rPr>
                <w:sz w:val="20"/>
                <w:szCs w:val="20"/>
              </w:rPr>
            </w:pPr>
            <w:r w:rsidRPr="00BD3832">
              <w:rPr>
                <w:sz w:val="20"/>
                <w:szCs w:val="20"/>
              </w:rPr>
              <w:t>Heart diseases</w:t>
            </w:r>
          </w:p>
        </w:tc>
        <w:tc>
          <w:tcPr>
            <w:tcW w:w="2070" w:type="dxa"/>
            <w:shd w:val="clear" w:color="auto" w:fill="FFFFFF" w:themeFill="background1"/>
          </w:tcPr>
          <w:p w14:paraId="09812D84"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3BBBCC1D"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2E923FFD" w14:textId="77777777" w:rsidR="007D2D75" w:rsidRPr="00BD3832" w:rsidRDefault="007D2D75" w:rsidP="00524A8F">
            <w:pPr>
              <w:spacing w:line="360" w:lineRule="auto"/>
              <w:jc w:val="center"/>
              <w:rPr>
                <w:sz w:val="20"/>
                <w:szCs w:val="20"/>
              </w:rPr>
            </w:pPr>
            <w:r w:rsidRPr="00BD3832">
              <w:rPr>
                <w:sz w:val="20"/>
                <w:szCs w:val="20"/>
              </w:rPr>
              <w:t>0.403</w:t>
            </w:r>
          </w:p>
        </w:tc>
        <w:tc>
          <w:tcPr>
            <w:tcW w:w="1720" w:type="dxa"/>
            <w:shd w:val="clear" w:color="auto" w:fill="FFFFFF" w:themeFill="background1"/>
          </w:tcPr>
          <w:p w14:paraId="3BADA361"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2C279C8C"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0.799</w:t>
            </w:r>
          </w:p>
        </w:tc>
      </w:tr>
      <w:tr w:rsidR="007D2D75" w:rsidRPr="00BD3832" w14:paraId="58472842" w14:textId="77777777" w:rsidTr="00524A8F">
        <w:trPr>
          <w:trHeight w:val="195"/>
          <w:jc w:val="center"/>
        </w:trPr>
        <w:tc>
          <w:tcPr>
            <w:tcW w:w="940" w:type="dxa"/>
            <w:vMerge/>
            <w:shd w:val="clear" w:color="auto" w:fill="FFFFFF" w:themeFill="background1"/>
          </w:tcPr>
          <w:p w14:paraId="44EAD5D8" w14:textId="77777777" w:rsidR="007D2D75" w:rsidRPr="00BD3832" w:rsidRDefault="007D2D75" w:rsidP="00524A8F">
            <w:pPr>
              <w:rPr>
                <w:sz w:val="20"/>
                <w:szCs w:val="20"/>
              </w:rPr>
            </w:pPr>
          </w:p>
        </w:tc>
        <w:tc>
          <w:tcPr>
            <w:tcW w:w="2856" w:type="dxa"/>
            <w:vMerge/>
            <w:shd w:val="clear" w:color="auto" w:fill="FFFFFF" w:themeFill="background1"/>
          </w:tcPr>
          <w:p w14:paraId="001A91F8" w14:textId="77777777" w:rsidR="007D2D75" w:rsidRPr="00BD3832" w:rsidRDefault="007D2D75" w:rsidP="00524A8F">
            <w:pPr>
              <w:rPr>
                <w:sz w:val="20"/>
                <w:szCs w:val="20"/>
              </w:rPr>
            </w:pPr>
          </w:p>
        </w:tc>
        <w:tc>
          <w:tcPr>
            <w:tcW w:w="2070" w:type="dxa"/>
            <w:shd w:val="clear" w:color="auto" w:fill="FFFFFF" w:themeFill="background1"/>
          </w:tcPr>
          <w:p w14:paraId="165E8A0C"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43E2B59E" w14:textId="77777777" w:rsidR="007D2D75" w:rsidRPr="00BD3832" w:rsidRDefault="007D2D75" w:rsidP="00524A8F">
            <w:pPr>
              <w:spacing w:line="360" w:lineRule="auto"/>
              <w:rPr>
                <w:sz w:val="20"/>
                <w:szCs w:val="20"/>
              </w:rPr>
            </w:pPr>
            <w:r w:rsidRPr="00BD3832">
              <w:rPr>
                <w:sz w:val="20"/>
                <w:szCs w:val="20"/>
              </w:rPr>
              <w:t>0.80 (0.49-1.32)</w:t>
            </w:r>
          </w:p>
        </w:tc>
        <w:tc>
          <w:tcPr>
            <w:tcW w:w="900" w:type="dxa"/>
            <w:vMerge/>
            <w:shd w:val="clear" w:color="auto" w:fill="FFFFFF" w:themeFill="background1"/>
            <w:vAlign w:val="center"/>
          </w:tcPr>
          <w:p w14:paraId="6B5E4CA3"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235CD2F7" w14:textId="77777777" w:rsidR="007D2D75" w:rsidRPr="00BD3832" w:rsidRDefault="007D2D75" w:rsidP="00524A8F">
            <w:pPr>
              <w:spacing w:line="360" w:lineRule="auto"/>
              <w:rPr>
                <w:strike/>
                <w:sz w:val="20"/>
                <w:szCs w:val="20"/>
              </w:rPr>
            </w:pPr>
            <w:r w:rsidRPr="00BD3832">
              <w:rPr>
                <w:sz w:val="20"/>
                <w:szCs w:val="20"/>
              </w:rPr>
              <w:t>1.07 (0.62-1.82)</w:t>
            </w:r>
          </w:p>
        </w:tc>
        <w:tc>
          <w:tcPr>
            <w:tcW w:w="975" w:type="dxa"/>
            <w:vMerge/>
            <w:shd w:val="clear" w:color="auto" w:fill="FFFFFF" w:themeFill="background1"/>
            <w:vAlign w:val="center"/>
          </w:tcPr>
          <w:p w14:paraId="3B160EEB" w14:textId="77777777" w:rsidR="007D2D75" w:rsidRPr="00BD3832" w:rsidRDefault="007D2D75" w:rsidP="00524A8F">
            <w:pPr>
              <w:spacing w:line="360" w:lineRule="auto"/>
              <w:jc w:val="center"/>
              <w:rPr>
                <w:sz w:val="20"/>
                <w:szCs w:val="20"/>
              </w:rPr>
            </w:pPr>
          </w:p>
        </w:tc>
      </w:tr>
      <w:tr w:rsidR="007D2D75" w:rsidRPr="00BD3832" w14:paraId="7CBA8E8D" w14:textId="77777777" w:rsidTr="00524A8F">
        <w:trPr>
          <w:trHeight w:val="240"/>
          <w:jc w:val="center"/>
        </w:trPr>
        <w:tc>
          <w:tcPr>
            <w:tcW w:w="940" w:type="dxa"/>
            <w:vMerge/>
            <w:shd w:val="clear" w:color="auto" w:fill="FFFFFF" w:themeFill="background1"/>
          </w:tcPr>
          <w:p w14:paraId="3CE0527B" w14:textId="77777777" w:rsidR="007D2D75" w:rsidRPr="00BD3832" w:rsidRDefault="007D2D75" w:rsidP="00524A8F">
            <w:pPr>
              <w:rPr>
                <w:sz w:val="20"/>
                <w:szCs w:val="20"/>
              </w:rPr>
            </w:pPr>
          </w:p>
        </w:tc>
        <w:tc>
          <w:tcPr>
            <w:tcW w:w="2856" w:type="dxa"/>
            <w:vMerge w:val="restart"/>
            <w:shd w:val="clear" w:color="auto" w:fill="FFFFFF" w:themeFill="background1"/>
          </w:tcPr>
          <w:p w14:paraId="04C8FEBF" w14:textId="77777777" w:rsidR="007D2D75" w:rsidRPr="00BD3832" w:rsidRDefault="007D2D75" w:rsidP="00524A8F">
            <w:pPr>
              <w:rPr>
                <w:sz w:val="20"/>
                <w:szCs w:val="20"/>
              </w:rPr>
            </w:pPr>
            <w:r w:rsidRPr="00BD3832">
              <w:rPr>
                <w:sz w:val="20"/>
                <w:szCs w:val="20"/>
              </w:rPr>
              <w:t>Asthma</w:t>
            </w:r>
          </w:p>
        </w:tc>
        <w:tc>
          <w:tcPr>
            <w:tcW w:w="2070" w:type="dxa"/>
            <w:shd w:val="clear" w:color="auto" w:fill="FFFFFF" w:themeFill="background1"/>
          </w:tcPr>
          <w:p w14:paraId="2DE1927F"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41BDD2F3"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2A5292B0" w14:textId="77777777" w:rsidR="007D2D75" w:rsidRPr="00BD3832" w:rsidRDefault="007D2D75" w:rsidP="00524A8F">
            <w:pPr>
              <w:spacing w:line="360" w:lineRule="auto"/>
              <w:jc w:val="center"/>
              <w:rPr>
                <w:sz w:val="20"/>
                <w:szCs w:val="20"/>
              </w:rPr>
            </w:pPr>
            <w:r w:rsidRPr="00BD3832">
              <w:rPr>
                <w:sz w:val="20"/>
                <w:szCs w:val="20"/>
              </w:rPr>
              <w:t>&lt;0.001</w:t>
            </w:r>
          </w:p>
        </w:tc>
        <w:tc>
          <w:tcPr>
            <w:tcW w:w="1720" w:type="dxa"/>
            <w:shd w:val="clear" w:color="auto" w:fill="FFFFFF" w:themeFill="background1"/>
          </w:tcPr>
          <w:p w14:paraId="3CD23EAF"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68BB83C2" w14:textId="77777777" w:rsidR="007D2D75" w:rsidRPr="00BD3832" w:rsidRDefault="007D2D75" w:rsidP="00524A8F">
            <w:pPr>
              <w:spacing w:line="360" w:lineRule="auto"/>
              <w:jc w:val="center"/>
              <w:rPr>
                <w:sz w:val="20"/>
                <w:szCs w:val="20"/>
              </w:rPr>
            </w:pPr>
            <w:r w:rsidRPr="00BD3832">
              <w:rPr>
                <w:sz w:val="20"/>
                <w:szCs w:val="20"/>
              </w:rPr>
              <w:t>&lt;0.001</w:t>
            </w:r>
          </w:p>
        </w:tc>
      </w:tr>
      <w:tr w:rsidR="007D2D75" w:rsidRPr="00BD3832" w14:paraId="2F3686AD" w14:textId="77777777" w:rsidTr="00524A8F">
        <w:trPr>
          <w:trHeight w:val="165"/>
          <w:jc w:val="center"/>
        </w:trPr>
        <w:tc>
          <w:tcPr>
            <w:tcW w:w="940" w:type="dxa"/>
            <w:vMerge/>
            <w:shd w:val="clear" w:color="auto" w:fill="FFFFFF" w:themeFill="background1"/>
          </w:tcPr>
          <w:p w14:paraId="1BFBB8B4" w14:textId="77777777" w:rsidR="007D2D75" w:rsidRPr="00BD3832" w:rsidRDefault="007D2D75" w:rsidP="00524A8F">
            <w:pPr>
              <w:rPr>
                <w:sz w:val="20"/>
                <w:szCs w:val="20"/>
              </w:rPr>
            </w:pPr>
          </w:p>
        </w:tc>
        <w:tc>
          <w:tcPr>
            <w:tcW w:w="2856" w:type="dxa"/>
            <w:vMerge/>
            <w:shd w:val="clear" w:color="auto" w:fill="FFFFFF" w:themeFill="background1"/>
          </w:tcPr>
          <w:p w14:paraId="22E98013" w14:textId="77777777" w:rsidR="007D2D75" w:rsidRPr="00BD3832" w:rsidRDefault="007D2D75" w:rsidP="00524A8F">
            <w:pPr>
              <w:rPr>
                <w:sz w:val="20"/>
                <w:szCs w:val="20"/>
              </w:rPr>
            </w:pPr>
          </w:p>
        </w:tc>
        <w:tc>
          <w:tcPr>
            <w:tcW w:w="2070" w:type="dxa"/>
            <w:shd w:val="clear" w:color="auto" w:fill="FFFFFF" w:themeFill="background1"/>
          </w:tcPr>
          <w:p w14:paraId="72E31298"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0C70370A" w14:textId="77777777" w:rsidR="007D2D75" w:rsidRPr="00BD3832" w:rsidRDefault="007D2D75" w:rsidP="00524A8F">
            <w:pPr>
              <w:spacing w:line="360" w:lineRule="auto"/>
              <w:rPr>
                <w:sz w:val="20"/>
                <w:szCs w:val="20"/>
              </w:rPr>
            </w:pPr>
            <w:r w:rsidRPr="00BD3832">
              <w:rPr>
                <w:sz w:val="20"/>
                <w:szCs w:val="20"/>
              </w:rPr>
              <w:t>0.30 (0.18-0.50)</w:t>
            </w:r>
          </w:p>
          <w:p w14:paraId="47FC2232" w14:textId="77777777" w:rsidR="007D2D75" w:rsidRPr="00BD3832" w:rsidRDefault="007D2D75" w:rsidP="00524A8F">
            <w:pPr>
              <w:spacing w:line="360" w:lineRule="auto"/>
              <w:rPr>
                <w:strike/>
                <w:sz w:val="20"/>
                <w:szCs w:val="20"/>
              </w:rPr>
            </w:pPr>
          </w:p>
        </w:tc>
        <w:tc>
          <w:tcPr>
            <w:tcW w:w="900" w:type="dxa"/>
            <w:vMerge/>
            <w:shd w:val="clear" w:color="auto" w:fill="FFFFFF" w:themeFill="background1"/>
            <w:vAlign w:val="center"/>
          </w:tcPr>
          <w:p w14:paraId="2EB8AE68"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06CE31E9" w14:textId="77777777" w:rsidR="007D2D75" w:rsidRPr="00BD3832" w:rsidRDefault="007D2D75" w:rsidP="00524A8F">
            <w:pPr>
              <w:spacing w:line="360" w:lineRule="auto"/>
              <w:rPr>
                <w:sz w:val="20"/>
                <w:szCs w:val="20"/>
              </w:rPr>
            </w:pPr>
            <w:r w:rsidRPr="00BD3832">
              <w:rPr>
                <w:sz w:val="20"/>
                <w:szCs w:val="20"/>
              </w:rPr>
              <w:t>0.29 (0.17-0.49)</w:t>
            </w:r>
          </w:p>
        </w:tc>
        <w:tc>
          <w:tcPr>
            <w:tcW w:w="975" w:type="dxa"/>
            <w:vMerge/>
            <w:shd w:val="clear" w:color="auto" w:fill="FFFFFF" w:themeFill="background1"/>
            <w:vAlign w:val="center"/>
          </w:tcPr>
          <w:p w14:paraId="2F5D73F7" w14:textId="77777777" w:rsidR="007D2D75" w:rsidRPr="00BD3832" w:rsidRDefault="007D2D75" w:rsidP="00524A8F">
            <w:pPr>
              <w:spacing w:line="360" w:lineRule="auto"/>
              <w:jc w:val="center"/>
              <w:rPr>
                <w:sz w:val="20"/>
                <w:szCs w:val="20"/>
              </w:rPr>
            </w:pPr>
          </w:p>
        </w:tc>
      </w:tr>
      <w:tr w:rsidR="007D2D75" w:rsidRPr="00BD3832" w14:paraId="668DFA8C" w14:textId="77777777" w:rsidTr="00524A8F">
        <w:trPr>
          <w:trHeight w:val="210"/>
          <w:jc w:val="center"/>
        </w:trPr>
        <w:tc>
          <w:tcPr>
            <w:tcW w:w="940" w:type="dxa"/>
            <w:vMerge/>
            <w:shd w:val="clear" w:color="auto" w:fill="FFFFFF" w:themeFill="background1"/>
          </w:tcPr>
          <w:p w14:paraId="59D95A50" w14:textId="77777777" w:rsidR="007D2D75" w:rsidRPr="00BD3832" w:rsidRDefault="007D2D75" w:rsidP="00524A8F">
            <w:pPr>
              <w:rPr>
                <w:sz w:val="20"/>
                <w:szCs w:val="20"/>
              </w:rPr>
            </w:pPr>
          </w:p>
        </w:tc>
        <w:tc>
          <w:tcPr>
            <w:tcW w:w="2856" w:type="dxa"/>
            <w:vMerge w:val="restart"/>
            <w:shd w:val="clear" w:color="auto" w:fill="FFFFFF" w:themeFill="background1"/>
          </w:tcPr>
          <w:p w14:paraId="026A8323" w14:textId="77777777" w:rsidR="007D2D75" w:rsidRPr="00BD3832" w:rsidRDefault="007D2D75" w:rsidP="00524A8F">
            <w:pPr>
              <w:rPr>
                <w:sz w:val="20"/>
                <w:szCs w:val="20"/>
              </w:rPr>
            </w:pPr>
            <w:r w:rsidRPr="00BD3832">
              <w:rPr>
                <w:sz w:val="20"/>
                <w:szCs w:val="20"/>
              </w:rPr>
              <w:t>Mouth infections</w:t>
            </w:r>
          </w:p>
        </w:tc>
        <w:tc>
          <w:tcPr>
            <w:tcW w:w="2070" w:type="dxa"/>
            <w:shd w:val="clear" w:color="auto" w:fill="FFFFFF" w:themeFill="background1"/>
          </w:tcPr>
          <w:p w14:paraId="4B35818C"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5EB7BBAA"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33D4B52C" w14:textId="77777777" w:rsidR="007D2D75" w:rsidRPr="00BD3832" w:rsidRDefault="007D2D75" w:rsidP="00524A8F">
            <w:pPr>
              <w:spacing w:line="360" w:lineRule="auto"/>
              <w:jc w:val="center"/>
              <w:rPr>
                <w:sz w:val="20"/>
                <w:szCs w:val="20"/>
              </w:rPr>
            </w:pPr>
            <w:r w:rsidRPr="00BD3832">
              <w:rPr>
                <w:sz w:val="20"/>
                <w:szCs w:val="20"/>
              </w:rPr>
              <w:t>0.229</w:t>
            </w:r>
          </w:p>
        </w:tc>
        <w:tc>
          <w:tcPr>
            <w:tcW w:w="1720" w:type="dxa"/>
            <w:shd w:val="clear" w:color="auto" w:fill="FFFFFF" w:themeFill="background1"/>
          </w:tcPr>
          <w:p w14:paraId="02373380"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3E97F48F"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0.659</w:t>
            </w:r>
          </w:p>
        </w:tc>
      </w:tr>
      <w:tr w:rsidR="007D2D75" w:rsidRPr="00BD3832" w14:paraId="4A3C96D2" w14:textId="77777777" w:rsidTr="00524A8F">
        <w:trPr>
          <w:trHeight w:val="195"/>
          <w:jc w:val="center"/>
        </w:trPr>
        <w:tc>
          <w:tcPr>
            <w:tcW w:w="940" w:type="dxa"/>
            <w:vMerge/>
            <w:shd w:val="clear" w:color="auto" w:fill="FFFFFF" w:themeFill="background1"/>
          </w:tcPr>
          <w:p w14:paraId="6FD1BC93" w14:textId="77777777" w:rsidR="007D2D75" w:rsidRPr="00BD3832" w:rsidRDefault="007D2D75" w:rsidP="00524A8F">
            <w:pPr>
              <w:rPr>
                <w:sz w:val="20"/>
                <w:szCs w:val="20"/>
              </w:rPr>
            </w:pPr>
          </w:p>
        </w:tc>
        <w:tc>
          <w:tcPr>
            <w:tcW w:w="2856" w:type="dxa"/>
            <w:vMerge/>
            <w:shd w:val="clear" w:color="auto" w:fill="FFFFFF" w:themeFill="background1"/>
          </w:tcPr>
          <w:p w14:paraId="5C3C4CEF" w14:textId="77777777" w:rsidR="007D2D75" w:rsidRPr="00BD3832" w:rsidRDefault="007D2D75" w:rsidP="00524A8F">
            <w:pPr>
              <w:rPr>
                <w:sz w:val="20"/>
                <w:szCs w:val="20"/>
              </w:rPr>
            </w:pPr>
          </w:p>
        </w:tc>
        <w:tc>
          <w:tcPr>
            <w:tcW w:w="2070" w:type="dxa"/>
            <w:shd w:val="clear" w:color="auto" w:fill="FFFFFF" w:themeFill="background1"/>
          </w:tcPr>
          <w:p w14:paraId="10605EA5"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2871E75D" w14:textId="77777777" w:rsidR="007D2D75" w:rsidRPr="00BD3832" w:rsidRDefault="007D2D75" w:rsidP="00524A8F">
            <w:pPr>
              <w:spacing w:line="360" w:lineRule="auto"/>
              <w:rPr>
                <w:sz w:val="20"/>
                <w:szCs w:val="20"/>
              </w:rPr>
            </w:pPr>
            <w:r w:rsidRPr="00BD3832">
              <w:rPr>
                <w:sz w:val="20"/>
                <w:szCs w:val="20"/>
              </w:rPr>
              <w:t>0.73 (0.44-1.22)</w:t>
            </w:r>
          </w:p>
        </w:tc>
        <w:tc>
          <w:tcPr>
            <w:tcW w:w="900" w:type="dxa"/>
            <w:vMerge/>
            <w:shd w:val="clear" w:color="auto" w:fill="FFFFFF" w:themeFill="background1"/>
            <w:vAlign w:val="center"/>
          </w:tcPr>
          <w:p w14:paraId="34C5ADCF"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6BC1DA72" w14:textId="77777777" w:rsidR="007D2D75" w:rsidRPr="00BD3832" w:rsidRDefault="007D2D75" w:rsidP="00524A8F">
            <w:pPr>
              <w:spacing w:line="360" w:lineRule="auto"/>
              <w:rPr>
                <w:sz w:val="20"/>
                <w:szCs w:val="20"/>
              </w:rPr>
            </w:pPr>
            <w:r w:rsidRPr="00BD3832">
              <w:rPr>
                <w:sz w:val="20"/>
                <w:szCs w:val="20"/>
              </w:rPr>
              <w:t>0.88 (0.52-1.51)</w:t>
            </w:r>
          </w:p>
        </w:tc>
        <w:tc>
          <w:tcPr>
            <w:tcW w:w="975" w:type="dxa"/>
            <w:vMerge/>
            <w:shd w:val="clear" w:color="auto" w:fill="FFFFFF" w:themeFill="background1"/>
            <w:vAlign w:val="center"/>
          </w:tcPr>
          <w:p w14:paraId="06E64047" w14:textId="77777777" w:rsidR="007D2D75" w:rsidRPr="00BD3832" w:rsidRDefault="007D2D75" w:rsidP="00524A8F">
            <w:pPr>
              <w:spacing w:line="360" w:lineRule="auto"/>
              <w:jc w:val="center"/>
              <w:rPr>
                <w:sz w:val="20"/>
                <w:szCs w:val="20"/>
              </w:rPr>
            </w:pPr>
          </w:p>
        </w:tc>
      </w:tr>
      <w:tr w:rsidR="007D2D75" w:rsidRPr="00BD3832" w14:paraId="510859AF" w14:textId="77777777" w:rsidTr="00524A8F">
        <w:trPr>
          <w:trHeight w:val="70"/>
          <w:jc w:val="center"/>
        </w:trPr>
        <w:tc>
          <w:tcPr>
            <w:tcW w:w="940" w:type="dxa"/>
            <w:vMerge/>
            <w:shd w:val="clear" w:color="auto" w:fill="FFFFFF" w:themeFill="background1"/>
          </w:tcPr>
          <w:p w14:paraId="1172C484" w14:textId="77777777" w:rsidR="007D2D75" w:rsidRPr="00BD3832" w:rsidRDefault="007D2D75" w:rsidP="00524A8F">
            <w:pPr>
              <w:rPr>
                <w:sz w:val="20"/>
                <w:szCs w:val="20"/>
              </w:rPr>
            </w:pPr>
          </w:p>
        </w:tc>
        <w:tc>
          <w:tcPr>
            <w:tcW w:w="2856" w:type="dxa"/>
            <w:vMerge w:val="restart"/>
            <w:shd w:val="clear" w:color="auto" w:fill="FFFFFF" w:themeFill="background1"/>
          </w:tcPr>
          <w:p w14:paraId="7AE9C7B4" w14:textId="77777777" w:rsidR="007D2D75" w:rsidRPr="00BD3832" w:rsidRDefault="007D2D75" w:rsidP="00524A8F">
            <w:pPr>
              <w:rPr>
                <w:sz w:val="20"/>
                <w:szCs w:val="20"/>
              </w:rPr>
            </w:pPr>
            <w:r w:rsidRPr="00BD3832">
              <w:rPr>
                <w:sz w:val="20"/>
                <w:szCs w:val="20"/>
              </w:rPr>
              <w:t>Loss of taste</w:t>
            </w:r>
          </w:p>
        </w:tc>
        <w:tc>
          <w:tcPr>
            <w:tcW w:w="2070" w:type="dxa"/>
            <w:shd w:val="clear" w:color="auto" w:fill="FFFFFF" w:themeFill="background1"/>
          </w:tcPr>
          <w:p w14:paraId="759F36BA"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780384F6"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339210C9" w14:textId="77777777" w:rsidR="007D2D75" w:rsidRPr="00BD3832" w:rsidRDefault="007D2D75" w:rsidP="00524A8F">
            <w:pPr>
              <w:spacing w:line="360" w:lineRule="auto"/>
              <w:jc w:val="center"/>
              <w:rPr>
                <w:sz w:val="20"/>
                <w:szCs w:val="20"/>
              </w:rPr>
            </w:pPr>
            <w:r w:rsidRPr="00BD3832">
              <w:rPr>
                <w:sz w:val="20"/>
                <w:szCs w:val="20"/>
              </w:rPr>
              <w:t>0.062</w:t>
            </w:r>
          </w:p>
        </w:tc>
        <w:tc>
          <w:tcPr>
            <w:tcW w:w="1720" w:type="dxa"/>
            <w:shd w:val="clear" w:color="auto" w:fill="FFFFFF" w:themeFill="background1"/>
          </w:tcPr>
          <w:p w14:paraId="059ABDB3"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7BCF0BE5" w14:textId="77777777" w:rsidR="007D2D75" w:rsidRPr="00BD3832" w:rsidRDefault="007D2D75" w:rsidP="00524A8F">
            <w:pPr>
              <w:spacing w:line="360" w:lineRule="auto"/>
              <w:jc w:val="center"/>
              <w:rPr>
                <w:sz w:val="20"/>
                <w:szCs w:val="20"/>
              </w:rPr>
            </w:pPr>
            <w:r w:rsidRPr="00BD3832">
              <w:rPr>
                <w:sz w:val="20"/>
                <w:szCs w:val="20"/>
              </w:rPr>
              <w:t>0.077</w:t>
            </w:r>
          </w:p>
        </w:tc>
      </w:tr>
      <w:tr w:rsidR="007D2D75" w:rsidRPr="00BD3832" w14:paraId="3ED07974" w14:textId="77777777" w:rsidTr="00524A8F">
        <w:trPr>
          <w:trHeight w:val="210"/>
          <w:jc w:val="center"/>
        </w:trPr>
        <w:tc>
          <w:tcPr>
            <w:tcW w:w="940" w:type="dxa"/>
            <w:vMerge/>
            <w:shd w:val="clear" w:color="auto" w:fill="FFFFFF" w:themeFill="background1"/>
          </w:tcPr>
          <w:p w14:paraId="48657467" w14:textId="77777777" w:rsidR="007D2D75" w:rsidRPr="00BD3832" w:rsidRDefault="007D2D75" w:rsidP="00524A8F">
            <w:pPr>
              <w:rPr>
                <w:sz w:val="20"/>
                <w:szCs w:val="20"/>
              </w:rPr>
            </w:pPr>
          </w:p>
        </w:tc>
        <w:tc>
          <w:tcPr>
            <w:tcW w:w="2856" w:type="dxa"/>
            <w:vMerge/>
            <w:shd w:val="clear" w:color="auto" w:fill="FFFFFF" w:themeFill="background1"/>
          </w:tcPr>
          <w:p w14:paraId="772F677C" w14:textId="77777777" w:rsidR="007D2D75" w:rsidRPr="00BD3832" w:rsidRDefault="007D2D75" w:rsidP="00524A8F">
            <w:pPr>
              <w:rPr>
                <w:sz w:val="20"/>
                <w:szCs w:val="20"/>
              </w:rPr>
            </w:pPr>
          </w:p>
        </w:tc>
        <w:tc>
          <w:tcPr>
            <w:tcW w:w="2070" w:type="dxa"/>
            <w:shd w:val="clear" w:color="auto" w:fill="FFFFFF" w:themeFill="background1"/>
          </w:tcPr>
          <w:p w14:paraId="70A1F89B"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10CB3631" w14:textId="27B73B5A" w:rsidR="007D2D75" w:rsidRPr="00BD3832" w:rsidRDefault="007D2D75" w:rsidP="00524A8F">
            <w:pPr>
              <w:spacing w:line="360" w:lineRule="auto"/>
              <w:rPr>
                <w:strike/>
                <w:sz w:val="20"/>
                <w:szCs w:val="20"/>
              </w:rPr>
            </w:pPr>
          </w:p>
          <w:p w14:paraId="5EEAAE38" w14:textId="77777777" w:rsidR="007D2D75" w:rsidRPr="00BD3832" w:rsidRDefault="007D2D75" w:rsidP="00524A8F">
            <w:pPr>
              <w:spacing w:line="360" w:lineRule="auto"/>
              <w:rPr>
                <w:sz w:val="20"/>
                <w:szCs w:val="20"/>
              </w:rPr>
            </w:pPr>
            <w:r w:rsidRPr="00BD3832">
              <w:rPr>
                <w:sz w:val="20"/>
                <w:szCs w:val="20"/>
              </w:rPr>
              <w:t>0.61 (0.36-1.03)</w:t>
            </w:r>
          </w:p>
        </w:tc>
        <w:tc>
          <w:tcPr>
            <w:tcW w:w="900" w:type="dxa"/>
            <w:vMerge/>
            <w:shd w:val="clear" w:color="auto" w:fill="FFFFFF" w:themeFill="background1"/>
            <w:vAlign w:val="center"/>
          </w:tcPr>
          <w:p w14:paraId="6C2A91ED"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382D2D68" w14:textId="24F68E20" w:rsidR="007D2D75" w:rsidRPr="00BD3832" w:rsidRDefault="007D2D75" w:rsidP="00524A8F">
            <w:pPr>
              <w:spacing w:line="360" w:lineRule="auto"/>
              <w:rPr>
                <w:strike/>
                <w:sz w:val="20"/>
                <w:szCs w:val="20"/>
              </w:rPr>
            </w:pPr>
          </w:p>
          <w:p w14:paraId="3833AF72" w14:textId="77777777" w:rsidR="007D2D75" w:rsidRPr="00BD3832" w:rsidRDefault="007D2D75" w:rsidP="00524A8F">
            <w:pPr>
              <w:spacing w:line="360" w:lineRule="auto"/>
              <w:rPr>
                <w:sz w:val="20"/>
                <w:szCs w:val="20"/>
              </w:rPr>
            </w:pPr>
            <w:r w:rsidRPr="00BD3832">
              <w:rPr>
                <w:sz w:val="20"/>
                <w:szCs w:val="20"/>
              </w:rPr>
              <w:t>0.60 (0.34-1.05)</w:t>
            </w:r>
          </w:p>
        </w:tc>
        <w:tc>
          <w:tcPr>
            <w:tcW w:w="975" w:type="dxa"/>
            <w:vMerge/>
            <w:shd w:val="clear" w:color="auto" w:fill="FFFFFF" w:themeFill="background1"/>
            <w:vAlign w:val="center"/>
          </w:tcPr>
          <w:p w14:paraId="31DE78E3" w14:textId="77777777" w:rsidR="007D2D75" w:rsidRPr="00BD3832" w:rsidRDefault="007D2D75" w:rsidP="00524A8F">
            <w:pPr>
              <w:spacing w:line="360" w:lineRule="auto"/>
              <w:jc w:val="center"/>
              <w:rPr>
                <w:sz w:val="20"/>
                <w:szCs w:val="20"/>
              </w:rPr>
            </w:pPr>
          </w:p>
        </w:tc>
      </w:tr>
      <w:tr w:rsidR="007D2D75" w:rsidRPr="00BD3832" w14:paraId="6555F58B" w14:textId="77777777" w:rsidTr="00524A8F">
        <w:trPr>
          <w:trHeight w:val="240"/>
          <w:jc w:val="center"/>
        </w:trPr>
        <w:tc>
          <w:tcPr>
            <w:tcW w:w="940" w:type="dxa"/>
            <w:vMerge/>
            <w:shd w:val="clear" w:color="auto" w:fill="FFFFFF" w:themeFill="background1"/>
          </w:tcPr>
          <w:p w14:paraId="5ED01A93" w14:textId="77777777" w:rsidR="007D2D75" w:rsidRPr="00BD3832" w:rsidRDefault="007D2D75" w:rsidP="00524A8F">
            <w:pPr>
              <w:rPr>
                <w:sz w:val="20"/>
                <w:szCs w:val="20"/>
              </w:rPr>
            </w:pPr>
          </w:p>
        </w:tc>
        <w:tc>
          <w:tcPr>
            <w:tcW w:w="2856" w:type="dxa"/>
            <w:vMerge w:val="restart"/>
            <w:shd w:val="clear" w:color="auto" w:fill="FFFFFF" w:themeFill="background1"/>
          </w:tcPr>
          <w:p w14:paraId="70986585" w14:textId="77777777" w:rsidR="007D2D75" w:rsidRPr="00BD3832" w:rsidRDefault="007D2D75" w:rsidP="00524A8F">
            <w:pPr>
              <w:rPr>
                <w:sz w:val="20"/>
                <w:szCs w:val="20"/>
              </w:rPr>
            </w:pPr>
            <w:r w:rsidRPr="00BD3832">
              <w:rPr>
                <w:sz w:val="20"/>
                <w:szCs w:val="20"/>
              </w:rPr>
              <w:t xml:space="preserve">Stroke </w:t>
            </w:r>
          </w:p>
        </w:tc>
        <w:tc>
          <w:tcPr>
            <w:tcW w:w="2070" w:type="dxa"/>
            <w:shd w:val="clear" w:color="auto" w:fill="FFFFFF" w:themeFill="background1"/>
          </w:tcPr>
          <w:p w14:paraId="217BA3A4"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1F419C07"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330B7D07" w14:textId="77777777" w:rsidR="007D2D75" w:rsidRPr="00BD3832" w:rsidRDefault="007D2D75" w:rsidP="00524A8F">
            <w:pPr>
              <w:spacing w:line="360" w:lineRule="auto"/>
              <w:jc w:val="center"/>
              <w:rPr>
                <w:sz w:val="20"/>
                <w:szCs w:val="20"/>
              </w:rPr>
            </w:pPr>
          </w:p>
          <w:p w14:paraId="5AC85021" w14:textId="77777777" w:rsidR="007D2D75" w:rsidRPr="00BD3832" w:rsidRDefault="007D2D75" w:rsidP="00524A8F">
            <w:pPr>
              <w:spacing w:line="360" w:lineRule="auto"/>
              <w:rPr>
                <w:sz w:val="20"/>
                <w:szCs w:val="20"/>
              </w:rPr>
            </w:pPr>
            <w:r w:rsidRPr="00BD3832">
              <w:rPr>
                <w:sz w:val="20"/>
                <w:szCs w:val="20"/>
              </w:rPr>
              <w:t>0.139</w:t>
            </w:r>
          </w:p>
        </w:tc>
        <w:tc>
          <w:tcPr>
            <w:tcW w:w="1720" w:type="dxa"/>
            <w:shd w:val="clear" w:color="auto" w:fill="FFFFFF" w:themeFill="background1"/>
          </w:tcPr>
          <w:p w14:paraId="51B6F2FB" w14:textId="77777777" w:rsidR="007D2D75" w:rsidRPr="00BD3832" w:rsidRDefault="007D2D75" w:rsidP="00524A8F">
            <w:pPr>
              <w:spacing w:line="360" w:lineRule="auto"/>
              <w:rPr>
                <w:strike/>
                <w:sz w:val="20"/>
                <w:szCs w:val="20"/>
              </w:rPr>
            </w:pPr>
            <w:r w:rsidRPr="00BD3832">
              <w:rPr>
                <w:strike/>
                <w:sz w:val="20"/>
                <w:szCs w:val="20"/>
              </w:rPr>
              <w:t>1</w:t>
            </w:r>
          </w:p>
        </w:tc>
        <w:tc>
          <w:tcPr>
            <w:tcW w:w="975" w:type="dxa"/>
            <w:vMerge w:val="restart"/>
            <w:shd w:val="clear" w:color="auto" w:fill="FFFFFF" w:themeFill="background1"/>
            <w:vAlign w:val="center"/>
          </w:tcPr>
          <w:p w14:paraId="72945DB9" w14:textId="77777777" w:rsidR="007D2D75" w:rsidRPr="00BD3832" w:rsidRDefault="007D2D75" w:rsidP="00524A8F">
            <w:pPr>
              <w:spacing w:line="360" w:lineRule="auto"/>
              <w:jc w:val="center"/>
              <w:rPr>
                <w:strike/>
                <w:sz w:val="20"/>
                <w:szCs w:val="20"/>
              </w:rPr>
            </w:pPr>
          </w:p>
          <w:p w14:paraId="40DC7A8B" w14:textId="77777777" w:rsidR="007D2D75" w:rsidRPr="00BD3832" w:rsidRDefault="007D2D75" w:rsidP="00524A8F">
            <w:pPr>
              <w:spacing w:line="360" w:lineRule="auto"/>
              <w:jc w:val="center"/>
              <w:rPr>
                <w:strike/>
                <w:sz w:val="20"/>
                <w:szCs w:val="20"/>
              </w:rPr>
            </w:pPr>
            <w:r w:rsidRPr="00BD3832">
              <w:rPr>
                <w:strike/>
                <w:sz w:val="20"/>
                <w:szCs w:val="20"/>
              </w:rPr>
              <w:t>0.243</w:t>
            </w:r>
          </w:p>
        </w:tc>
      </w:tr>
      <w:tr w:rsidR="007D2D75" w:rsidRPr="00BD3832" w14:paraId="1213D404" w14:textId="77777777" w:rsidTr="00524A8F">
        <w:trPr>
          <w:trHeight w:val="165"/>
          <w:jc w:val="center"/>
        </w:trPr>
        <w:tc>
          <w:tcPr>
            <w:tcW w:w="940" w:type="dxa"/>
            <w:vMerge/>
            <w:shd w:val="clear" w:color="auto" w:fill="FFFFFF" w:themeFill="background1"/>
          </w:tcPr>
          <w:p w14:paraId="2DB9C78A" w14:textId="77777777" w:rsidR="007D2D75" w:rsidRPr="00BD3832" w:rsidRDefault="007D2D75" w:rsidP="00524A8F">
            <w:pPr>
              <w:rPr>
                <w:sz w:val="20"/>
                <w:szCs w:val="20"/>
              </w:rPr>
            </w:pPr>
          </w:p>
        </w:tc>
        <w:tc>
          <w:tcPr>
            <w:tcW w:w="2856" w:type="dxa"/>
            <w:vMerge/>
            <w:shd w:val="clear" w:color="auto" w:fill="FFFFFF" w:themeFill="background1"/>
          </w:tcPr>
          <w:p w14:paraId="4B28BE24" w14:textId="77777777" w:rsidR="007D2D75" w:rsidRPr="00BD3832" w:rsidRDefault="007D2D75" w:rsidP="00524A8F">
            <w:pPr>
              <w:rPr>
                <w:sz w:val="20"/>
                <w:szCs w:val="20"/>
              </w:rPr>
            </w:pPr>
          </w:p>
        </w:tc>
        <w:tc>
          <w:tcPr>
            <w:tcW w:w="2070" w:type="dxa"/>
            <w:shd w:val="clear" w:color="auto" w:fill="FFFFFF" w:themeFill="background1"/>
          </w:tcPr>
          <w:p w14:paraId="75135014"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00F409C7" w14:textId="77777777" w:rsidR="007D2D75" w:rsidRPr="00BD3832" w:rsidRDefault="007D2D75" w:rsidP="00524A8F">
            <w:pPr>
              <w:spacing w:line="360" w:lineRule="auto"/>
              <w:rPr>
                <w:sz w:val="20"/>
                <w:szCs w:val="20"/>
              </w:rPr>
            </w:pPr>
            <w:r w:rsidRPr="00BD3832">
              <w:rPr>
                <w:sz w:val="20"/>
                <w:szCs w:val="20"/>
              </w:rPr>
              <w:t>4.63 (0.61-35.24)</w:t>
            </w:r>
          </w:p>
        </w:tc>
        <w:tc>
          <w:tcPr>
            <w:tcW w:w="900" w:type="dxa"/>
            <w:vMerge/>
            <w:shd w:val="clear" w:color="auto" w:fill="FFFFFF" w:themeFill="background1"/>
            <w:vAlign w:val="center"/>
          </w:tcPr>
          <w:p w14:paraId="2D27CA2C"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6A83BA46" w14:textId="77777777" w:rsidR="007D2D75" w:rsidRPr="00BD3832" w:rsidRDefault="007D2D75" w:rsidP="00524A8F">
            <w:pPr>
              <w:spacing w:line="360" w:lineRule="auto"/>
              <w:rPr>
                <w:strike/>
                <w:sz w:val="20"/>
                <w:szCs w:val="20"/>
              </w:rPr>
            </w:pPr>
            <w:r w:rsidRPr="00BD3832">
              <w:rPr>
                <w:strike/>
                <w:sz w:val="20"/>
                <w:szCs w:val="20"/>
              </w:rPr>
              <w:t>5.74 (.305-107.98)</w:t>
            </w:r>
          </w:p>
        </w:tc>
        <w:tc>
          <w:tcPr>
            <w:tcW w:w="975" w:type="dxa"/>
            <w:vMerge/>
            <w:shd w:val="clear" w:color="auto" w:fill="FFFFFF" w:themeFill="background1"/>
            <w:vAlign w:val="center"/>
          </w:tcPr>
          <w:p w14:paraId="5A8DEEED" w14:textId="77777777" w:rsidR="007D2D75" w:rsidRPr="00BD3832" w:rsidRDefault="007D2D75" w:rsidP="00524A8F">
            <w:pPr>
              <w:spacing w:line="360" w:lineRule="auto"/>
              <w:jc w:val="center"/>
              <w:rPr>
                <w:strike/>
                <w:sz w:val="20"/>
                <w:szCs w:val="20"/>
              </w:rPr>
            </w:pPr>
          </w:p>
        </w:tc>
      </w:tr>
      <w:tr w:rsidR="007D2D75" w:rsidRPr="00BD3832" w14:paraId="475BF11F" w14:textId="77777777" w:rsidTr="00524A8F">
        <w:trPr>
          <w:trHeight w:val="165"/>
          <w:jc w:val="center"/>
        </w:trPr>
        <w:tc>
          <w:tcPr>
            <w:tcW w:w="940" w:type="dxa"/>
            <w:vMerge/>
            <w:shd w:val="clear" w:color="auto" w:fill="FFFFFF" w:themeFill="background1"/>
          </w:tcPr>
          <w:p w14:paraId="1DB94FBC" w14:textId="77777777" w:rsidR="007D2D75" w:rsidRPr="00BD3832" w:rsidRDefault="007D2D75" w:rsidP="00524A8F">
            <w:pPr>
              <w:rPr>
                <w:sz w:val="20"/>
                <w:szCs w:val="20"/>
              </w:rPr>
            </w:pPr>
          </w:p>
        </w:tc>
        <w:tc>
          <w:tcPr>
            <w:tcW w:w="2856" w:type="dxa"/>
            <w:vMerge w:val="restart"/>
            <w:shd w:val="clear" w:color="auto" w:fill="FFFFFF" w:themeFill="background1"/>
          </w:tcPr>
          <w:p w14:paraId="69348E33" w14:textId="77777777" w:rsidR="007D2D75" w:rsidRPr="00BD3832" w:rsidRDefault="007D2D75" w:rsidP="00524A8F">
            <w:pPr>
              <w:rPr>
                <w:sz w:val="20"/>
                <w:szCs w:val="20"/>
              </w:rPr>
            </w:pPr>
            <w:r w:rsidRPr="00BD3832">
              <w:rPr>
                <w:sz w:val="20"/>
                <w:szCs w:val="20"/>
              </w:rPr>
              <w:t>Cancer</w:t>
            </w:r>
          </w:p>
        </w:tc>
        <w:tc>
          <w:tcPr>
            <w:tcW w:w="2070" w:type="dxa"/>
            <w:shd w:val="clear" w:color="auto" w:fill="FFFFFF" w:themeFill="background1"/>
          </w:tcPr>
          <w:p w14:paraId="20402F7E"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596ABD01"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6EE1AD19" w14:textId="77777777" w:rsidR="007D2D75" w:rsidRPr="00BD3832" w:rsidRDefault="007D2D75" w:rsidP="00524A8F">
            <w:pPr>
              <w:spacing w:line="360" w:lineRule="auto"/>
              <w:jc w:val="center"/>
              <w:rPr>
                <w:sz w:val="20"/>
                <w:szCs w:val="20"/>
              </w:rPr>
            </w:pPr>
            <w:r w:rsidRPr="00BD3832">
              <w:rPr>
                <w:sz w:val="20"/>
                <w:szCs w:val="20"/>
              </w:rPr>
              <w:t>0.175</w:t>
            </w:r>
          </w:p>
        </w:tc>
        <w:tc>
          <w:tcPr>
            <w:tcW w:w="1720" w:type="dxa"/>
            <w:shd w:val="clear" w:color="auto" w:fill="FFFFFF" w:themeFill="background1"/>
          </w:tcPr>
          <w:p w14:paraId="62BA7AD6"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5E2833E6"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0.162</w:t>
            </w:r>
          </w:p>
        </w:tc>
      </w:tr>
      <w:tr w:rsidR="007D2D75" w:rsidRPr="00BD3832" w14:paraId="4B25F4C5" w14:textId="77777777" w:rsidTr="00524A8F">
        <w:trPr>
          <w:trHeight w:val="165"/>
          <w:jc w:val="center"/>
        </w:trPr>
        <w:tc>
          <w:tcPr>
            <w:tcW w:w="940" w:type="dxa"/>
            <w:vMerge/>
            <w:shd w:val="clear" w:color="auto" w:fill="FFFFFF" w:themeFill="background1"/>
          </w:tcPr>
          <w:p w14:paraId="2D3E01B0" w14:textId="77777777" w:rsidR="007D2D75" w:rsidRPr="00BD3832" w:rsidRDefault="007D2D75" w:rsidP="00524A8F">
            <w:pPr>
              <w:rPr>
                <w:sz w:val="20"/>
                <w:szCs w:val="20"/>
              </w:rPr>
            </w:pPr>
          </w:p>
        </w:tc>
        <w:tc>
          <w:tcPr>
            <w:tcW w:w="2856" w:type="dxa"/>
            <w:vMerge/>
            <w:shd w:val="clear" w:color="auto" w:fill="FFFFFF" w:themeFill="background1"/>
          </w:tcPr>
          <w:p w14:paraId="3ED38518" w14:textId="77777777" w:rsidR="007D2D75" w:rsidRPr="00BD3832" w:rsidRDefault="007D2D75" w:rsidP="00524A8F">
            <w:pPr>
              <w:rPr>
                <w:sz w:val="20"/>
                <w:szCs w:val="20"/>
              </w:rPr>
            </w:pPr>
          </w:p>
        </w:tc>
        <w:tc>
          <w:tcPr>
            <w:tcW w:w="2070" w:type="dxa"/>
            <w:shd w:val="clear" w:color="auto" w:fill="FFFFFF" w:themeFill="background1"/>
          </w:tcPr>
          <w:p w14:paraId="53A5C07C"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18D63BED" w14:textId="77777777" w:rsidR="007D2D75" w:rsidRPr="00BD3832" w:rsidRDefault="007D2D75" w:rsidP="00524A8F">
            <w:pPr>
              <w:spacing w:line="360" w:lineRule="auto"/>
              <w:rPr>
                <w:sz w:val="20"/>
                <w:szCs w:val="20"/>
              </w:rPr>
            </w:pPr>
            <w:r w:rsidRPr="00BD3832">
              <w:rPr>
                <w:sz w:val="20"/>
                <w:szCs w:val="20"/>
              </w:rPr>
              <w:t>4.09 (0.53-31.32)</w:t>
            </w:r>
          </w:p>
        </w:tc>
        <w:tc>
          <w:tcPr>
            <w:tcW w:w="900" w:type="dxa"/>
            <w:vMerge/>
            <w:shd w:val="clear" w:color="auto" w:fill="FFFFFF" w:themeFill="background1"/>
            <w:vAlign w:val="center"/>
          </w:tcPr>
          <w:p w14:paraId="6DC5B5A2"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2DF50164" w14:textId="77777777" w:rsidR="007D2D75" w:rsidRPr="00BD3832" w:rsidRDefault="007D2D75" w:rsidP="00524A8F">
            <w:pPr>
              <w:spacing w:line="360" w:lineRule="auto"/>
              <w:rPr>
                <w:strike/>
                <w:sz w:val="20"/>
                <w:szCs w:val="20"/>
              </w:rPr>
            </w:pPr>
            <w:r w:rsidRPr="00BD3832">
              <w:rPr>
                <w:sz w:val="20"/>
                <w:szCs w:val="20"/>
              </w:rPr>
              <w:t>4.37 (0.55-34.61)</w:t>
            </w:r>
          </w:p>
        </w:tc>
        <w:tc>
          <w:tcPr>
            <w:tcW w:w="975" w:type="dxa"/>
            <w:vMerge/>
            <w:shd w:val="clear" w:color="auto" w:fill="FFFFFF" w:themeFill="background1"/>
            <w:vAlign w:val="center"/>
          </w:tcPr>
          <w:p w14:paraId="2B432D19" w14:textId="77777777" w:rsidR="007D2D75" w:rsidRPr="00BD3832" w:rsidRDefault="007D2D75" w:rsidP="00524A8F">
            <w:pPr>
              <w:spacing w:line="360" w:lineRule="auto"/>
              <w:jc w:val="center"/>
              <w:rPr>
                <w:sz w:val="20"/>
                <w:szCs w:val="20"/>
              </w:rPr>
            </w:pPr>
          </w:p>
        </w:tc>
      </w:tr>
      <w:tr w:rsidR="007D2D75" w:rsidRPr="00BD3832" w14:paraId="54C83785" w14:textId="77777777" w:rsidTr="00524A8F">
        <w:trPr>
          <w:trHeight w:val="165"/>
          <w:jc w:val="center"/>
        </w:trPr>
        <w:tc>
          <w:tcPr>
            <w:tcW w:w="940" w:type="dxa"/>
            <w:vMerge w:val="restart"/>
            <w:shd w:val="clear" w:color="auto" w:fill="FFFFFF" w:themeFill="background1"/>
            <w:textDirection w:val="btLr"/>
            <w:vAlign w:val="center"/>
          </w:tcPr>
          <w:p w14:paraId="0A2BF77F" w14:textId="77777777" w:rsidR="007D2D75" w:rsidRPr="00BD3832" w:rsidRDefault="007D2D75" w:rsidP="00524A8F">
            <w:pPr>
              <w:ind w:left="113" w:right="113"/>
              <w:jc w:val="center"/>
              <w:rPr>
                <w:i/>
                <w:sz w:val="20"/>
                <w:szCs w:val="20"/>
              </w:rPr>
            </w:pPr>
          </w:p>
          <w:p w14:paraId="53C27304" w14:textId="77777777" w:rsidR="007D2D75" w:rsidRPr="00BD3832" w:rsidRDefault="007D2D75" w:rsidP="00524A8F">
            <w:pPr>
              <w:ind w:left="113" w:right="113"/>
              <w:jc w:val="center"/>
              <w:rPr>
                <w:i/>
                <w:sz w:val="20"/>
                <w:szCs w:val="20"/>
              </w:rPr>
            </w:pPr>
            <w:r w:rsidRPr="00BD3832">
              <w:rPr>
                <w:i/>
                <w:sz w:val="20"/>
                <w:szCs w:val="20"/>
              </w:rPr>
              <w:t>Predictors of knowledge of specific pregnancy induced outcome</w:t>
            </w:r>
          </w:p>
          <w:p w14:paraId="65C33CEA" w14:textId="77777777" w:rsidR="007D2D75" w:rsidRPr="00BD3832" w:rsidRDefault="007D2D75" w:rsidP="00524A8F">
            <w:pPr>
              <w:ind w:left="113" w:right="113"/>
              <w:jc w:val="center"/>
              <w:rPr>
                <w:sz w:val="20"/>
                <w:szCs w:val="20"/>
              </w:rPr>
            </w:pPr>
          </w:p>
        </w:tc>
        <w:tc>
          <w:tcPr>
            <w:tcW w:w="2856" w:type="dxa"/>
            <w:vMerge w:val="restart"/>
            <w:shd w:val="clear" w:color="auto" w:fill="FFFFFF" w:themeFill="background1"/>
          </w:tcPr>
          <w:p w14:paraId="0E04BC65" w14:textId="77777777" w:rsidR="007D2D75" w:rsidRPr="00BD3832" w:rsidRDefault="007D2D75" w:rsidP="00524A8F">
            <w:pPr>
              <w:rPr>
                <w:sz w:val="20"/>
                <w:szCs w:val="20"/>
              </w:rPr>
            </w:pPr>
            <w:r w:rsidRPr="00BD3832">
              <w:rPr>
                <w:sz w:val="20"/>
                <w:szCs w:val="20"/>
              </w:rPr>
              <w:t>Infertility</w:t>
            </w:r>
          </w:p>
        </w:tc>
        <w:tc>
          <w:tcPr>
            <w:tcW w:w="2070" w:type="dxa"/>
            <w:shd w:val="clear" w:color="auto" w:fill="FFFFFF" w:themeFill="background1"/>
          </w:tcPr>
          <w:p w14:paraId="66BC2AEF"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5BC7EE29"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200884D8" w14:textId="77777777" w:rsidR="007D2D75" w:rsidRPr="00BD3832" w:rsidRDefault="007D2D75" w:rsidP="00524A8F">
            <w:pPr>
              <w:spacing w:line="360" w:lineRule="auto"/>
              <w:jc w:val="center"/>
              <w:rPr>
                <w:sz w:val="20"/>
                <w:szCs w:val="20"/>
              </w:rPr>
            </w:pPr>
            <w:r w:rsidRPr="00BD3832">
              <w:rPr>
                <w:sz w:val="20"/>
                <w:szCs w:val="20"/>
              </w:rPr>
              <w:t>0.004</w:t>
            </w:r>
          </w:p>
        </w:tc>
        <w:tc>
          <w:tcPr>
            <w:tcW w:w="1720" w:type="dxa"/>
            <w:shd w:val="clear" w:color="auto" w:fill="FFFFFF" w:themeFill="background1"/>
          </w:tcPr>
          <w:p w14:paraId="01DD262B"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5D95BEDE"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0.004</w:t>
            </w:r>
          </w:p>
        </w:tc>
      </w:tr>
      <w:tr w:rsidR="007D2D75" w:rsidRPr="00BD3832" w14:paraId="41B63E77" w14:textId="77777777" w:rsidTr="00524A8F">
        <w:trPr>
          <w:trHeight w:val="165"/>
          <w:jc w:val="center"/>
        </w:trPr>
        <w:tc>
          <w:tcPr>
            <w:tcW w:w="940" w:type="dxa"/>
            <w:vMerge/>
            <w:shd w:val="clear" w:color="auto" w:fill="FFFFFF" w:themeFill="background1"/>
          </w:tcPr>
          <w:p w14:paraId="2006C03C" w14:textId="77777777" w:rsidR="007D2D75" w:rsidRPr="00BD3832" w:rsidRDefault="007D2D75" w:rsidP="00524A8F">
            <w:pPr>
              <w:rPr>
                <w:sz w:val="20"/>
                <w:szCs w:val="20"/>
              </w:rPr>
            </w:pPr>
          </w:p>
        </w:tc>
        <w:tc>
          <w:tcPr>
            <w:tcW w:w="2856" w:type="dxa"/>
            <w:vMerge/>
            <w:shd w:val="clear" w:color="auto" w:fill="FFFFFF" w:themeFill="background1"/>
          </w:tcPr>
          <w:p w14:paraId="3E098C3F" w14:textId="77777777" w:rsidR="007D2D75" w:rsidRPr="00BD3832" w:rsidRDefault="007D2D75" w:rsidP="00524A8F">
            <w:pPr>
              <w:rPr>
                <w:sz w:val="20"/>
                <w:szCs w:val="20"/>
              </w:rPr>
            </w:pPr>
          </w:p>
        </w:tc>
        <w:tc>
          <w:tcPr>
            <w:tcW w:w="2070" w:type="dxa"/>
            <w:shd w:val="clear" w:color="auto" w:fill="FFFFFF" w:themeFill="background1"/>
          </w:tcPr>
          <w:p w14:paraId="0F562D8C"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781E1378" w14:textId="77777777" w:rsidR="007D2D75" w:rsidRPr="00BD3832" w:rsidRDefault="007D2D75" w:rsidP="00524A8F">
            <w:pPr>
              <w:spacing w:line="360" w:lineRule="auto"/>
              <w:rPr>
                <w:sz w:val="20"/>
                <w:szCs w:val="20"/>
              </w:rPr>
            </w:pPr>
            <w:r w:rsidRPr="00BD3832">
              <w:rPr>
                <w:sz w:val="20"/>
                <w:szCs w:val="20"/>
              </w:rPr>
              <w:t>0.43 (0.24-0.77)</w:t>
            </w:r>
          </w:p>
        </w:tc>
        <w:tc>
          <w:tcPr>
            <w:tcW w:w="900" w:type="dxa"/>
            <w:vMerge/>
            <w:shd w:val="clear" w:color="auto" w:fill="FFFFFF" w:themeFill="background1"/>
            <w:vAlign w:val="center"/>
          </w:tcPr>
          <w:p w14:paraId="34DDEAF7"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4EAB5121" w14:textId="77777777" w:rsidR="007D2D75" w:rsidRPr="00BD3832" w:rsidRDefault="007D2D75" w:rsidP="00524A8F">
            <w:pPr>
              <w:spacing w:line="360" w:lineRule="auto"/>
              <w:rPr>
                <w:sz w:val="20"/>
                <w:szCs w:val="20"/>
              </w:rPr>
            </w:pPr>
            <w:r w:rsidRPr="00BD3832">
              <w:rPr>
                <w:sz w:val="20"/>
                <w:szCs w:val="20"/>
              </w:rPr>
              <w:t>0.43 (0.24-0.77)</w:t>
            </w:r>
          </w:p>
        </w:tc>
        <w:tc>
          <w:tcPr>
            <w:tcW w:w="975" w:type="dxa"/>
            <w:vMerge/>
            <w:shd w:val="clear" w:color="auto" w:fill="FFFFFF" w:themeFill="background1"/>
            <w:vAlign w:val="center"/>
          </w:tcPr>
          <w:p w14:paraId="1D542FB0" w14:textId="77777777" w:rsidR="007D2D75" w:rsidRPr="00BD3832" w:rsidRDefault="007D2D75" w:rsidP="00524A8F">
            <w:pPr>
              <w:spacing w:line="360" w:lineRule="auto"/>
              <w:jc w:val="center"/>
              <w:rPr>
                <w:sz w:val="20"/>
                <w:szCs w:val="20"/>
              </w:rPr>
            </w:pPr>
          </w:p>
        </w:tc>
      </w:tr>
      <w:tr w:rsidR="007D2D75" w:rsidRPr="00BD3832" w14:paraId="71876B0A" w14:textId="77777777" w:rsidTr="00524A8F">
        <w:trPr>
          <w:trHeight w:val="165"/>
          <w:jc w:val="center"/>
        </w:trPr>
        <w:tc>
          <w:tcPr>
            <w:tcW w:w="940" w:type="dxa"/>
            <w:vMerge/>
            <w:shd w:val="clear" w:color="auto" w:fill="FFFFFF" w:themeFill="background1"/>
          </w:tcPr>
          <w:p w14:paraId="078738AB" w14:textId="77777777" w:rsidR="007D2D75" w:rsidRPr="00BD3832" w:rsidRDefault="007D2D75" w:rsidP="00524A8F">
            <w:pPr>
              <w:rPr>
                <w:sz w:val="20"/>
                <w:szCs w:val="20"/>
              </w:rPr>
            </w:pPr>
          </w:p>
        </w:tc>
        <w:tc>
          <w:tcPr>
            <w:tcW w:w="2856" w:type="dxa"/>
            <w:vMerge w:val="restart"/>
            <w:shd w:val="clear" w:color="auto" w:fill="FFFFFF" w:themeFill="background1"/>
          </w:tcPr>
          <w:p w14:paraId="6995BF00" w14:textId="48313048" w:rsidR="007D2D75" w:rsidRPr="00BD3832" w:rsidRDefault="007D2D75" w:rsidP="00524A8F">
            <w:pPr>
              <w:rPr>
                <w:sz w:val="20"/>
                <w:szCs w:val="20"/>
              </w:rPr>
            </w:pPr>
            <w:r w:rsidRPr="00BD3832">
              <w:rPr>
                <w:sz w:val="20"/>
                <w:szCs w:val="20"/>
              </w:rPr>
              <w:t>Pre-eclampsia</w:t>
            </w:r>
          </w:p>
        </w:tc>
        <w:tc>
          <w:tcPr>
            <w:tcW w:w="2070" w:type="dxa"/>
            <w:shd w:val="clear" w:color="auto" w:fill="FFFFFF" w:themeFill="background1"/>
          </w:tcPr>
          <w:p w14:paraId="30CD5CC2"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516C5EAF"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4579421B" w14:textId="77777777" w:rsidR="007D2D75" w:rsidRPr="00BD3832" w:rsidRDefault="007D2D75" w:rsidP="00524A8F">
            <w:pPr>
              <w:spacing w:line="360" w:lineRule="auto"/>
              <w:jc w:val="center"/>
              <w:rPr>
                <w:sz w:val="20"/>
                <w:szCs w:val="20"/>
              </w:rPr>
            </w:pPr>
            <w:r w:rsidRPr="00BD3832">
              <w:rPr>
                <w:sz w:val="20"/>
                <w:szCs w:val="20"/>
              </w:rPr>
              <w:t>0.036</w:t>
            </w:r>
          </w:p>
        </w:tc>
        <w:tc>
          <w:tcPr>
            <w:tcW w:w="1720" w:type="dxa"/>
            <w:shd w:val="clear" w:color="auto" w:fill="FFFFFF" w:themeFill="background1"/>
          </w:tcPr>
          <w:p w14:paraId="57E9DA2D"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2F588231" w14:textId="77777777" w:rsidR="007D2D75" w:rsidRPr="00BD3832" w:rsidRDefault="007D2D75" w:rsidP="00524A8F">
            <w:pPr>
              <w:spacing w:line="360" w:lineRule="auto"/>
              <w:jc w:val="center"/>
              <w:rPr>
                <w:sz w:val="20"/>
                <w:szCs w:val="20"/>
              </w:rPr>
            </w:pPr>
            <w:r w:rsidRPr="00BD3832">
              <w:rPr>
                <w:sz w:val="20"/>
                <w:szCs w:val="20"/>
              </w:rPr>
              <w:t>0.030</w:t>
            </w:r>
          </w:p>
        </w:tc>
      </w:tr>
      <w:tr w:rsidR="007D2D75" w:rsidRPr="00BD3832" w14:paraId="5688F9F3" w14:textId="77777777" w:rsidTr="00524A8F">
        <w:trPr>
          <w:trHeight w:val="165"/>
          <w:jc w:val="center"/>
        </w:trPr>
        <w:tc>
          <w:tcPr>
            <w:tcW w:w="940" w:type="dxa"/>
            <w:vMerge/>
            <w:shd w:val="clear" w:color="auto" w:fill="FFFFFF" w:themeFill="background1"/>
          </w:tcPr>
          <w:p w14:paraId="73224548" w14:textId="77777777" w:rsidR="007D2D75" w:rsidRPr="00BD3832" w:rsidRDefault="007D2D75" w:rsidP="00524A8F">
            <w:pPr>
              <w:rPr>
                <w:sz w:val="20"/>
                <w:szCs w:val="20"/>
              </w:rPr>
            </w:pPr>
          </w:p>
        </w:tc>
        <w:tc>
          <w:tcPr>
            <w:tcW w:w="2856" w:type="dxa"/>
            <w:vMerge/>
            <w:shd w:val="clear" w:color="auto" w:fill="FFFFFF" w:themeFill="background1"/>
          </w:tcPr>
          <w:p w14:paraId="04C8D5AB" w14:textId="77777777" w:rsidR="007D2D75" w:rsidRPr="00BD3832" w:rsidRDefault="007D2D75" w:rsidP="00524A8F">
            <w:pPr>
              <w:rPr>
                <w:sz w:val="20"/>
                <w:szCs w:val="20"/>
              </w:rPr>
            </w:pPr>
          </w:p>
        </w:tc>
        <w:tc>
          <w:tcPr>
            <w:tcW w:w="2070" w:type="dxa"/>
            <w:shd w:val="clear" w:color="auto" w:fill="FFFFFF" w:themeFill="background1"/>
          </w:tcPr>
          <w:p w14:paraId="27B9B400"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1A3B244B" w14:textId="77777777" w:rsidR="007D2D75" w:rsidRPr="00BD3832" w:rsidRDefault="007D2D75" w:rsidP="00524A8F">
            <w:pPr>
              <w:spacing w:line="360" w:lineRule="auto"/>
              <w:rPr>
                <w:sz w:val="20"/>
                <w:szCs w:val="20"/>
              </w:rPr>
            </w:pPr>
            <w:r w:rsidRPr="00BD3832">
              <w:rPr>
                <w:sz w:val="20"/>
                <w:szCs w:val="20"/>
              </w:rPr>
              <w:t>0.39 (0.16-0.94)</w:t>
            </w:r>
          </w:p>
        </w:tc>
        <w:tc>
          <w:tcPr>
            <w:tcW w:w="900" w:type="dxa"/>
            <w:vMerge/>
            <w:shd w:val="clear" w:color="auto" w:fill="FFFFFF" w:themeFill="background1"/>
            <w:vAlign w:val="center"/>
          </w:tcPr>
          <w:p w14:paraId="69EBFEE0"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493393A8" w14:textId="77777777" w:rsidR="007D2D75" w:rsidRPr="00BD3832" w:rsidRDefault="007D2D75" w:rsidP="00524A8F">
            <w:pPr>
              <w:spacing w:line="360" w:lineRule="auto"/>
              <w:rPr>
                <w:sz w:val="20"/>
                <w:szCs w:val="20"/>
              </w:rPr>
            </w:pPr>
            <w:r w:rsidRPr="00BD3832">
              <w:rPr>
                <w:sz w:val="20"/>
                <w:szCs w:val="20"/>
              </w:rPr>
              <w:t>0.36 (0.14-0.90)</w:t>
            </w:r>
          </w:p>
        </w:tc>
        <w:tc>
          <w:tcPr>
            <w:tcW w:w="975" w:type="dxa"/>
            <w:vMerge/>
            <w:shd w:val="clear" w:color="auto" w:fill="FFFFFF" w:themeFill="background1"/>
            <w:vAlign w:val="center"/>
          </w:tcPr>
          <w:p w14:paraId="5AB46B65" w14:textId="77777777" w:rsidR="007D2D75" w:rsidRPr="00BD3832" w:rsidRDefault="007D2D75" w:rsidP="00524A8F">
            <w:pPr>
              <w:spacing w:line="360" w:lineRule="auto"/>
              <w:jc w:val="center"/>
              <w:rPr>
                <w:sz w:val="20"/>
                <w:szCs w:val="20"/>
              </w:rPr>
            </w:pPr>
          </w:p>
        </w:tc>
      </w:tr>
      <w:tr w:rsidR="007D2D75" w:rsidRPr="00BD3832" w14:paraId="735C4656" w14:textId="77777777" w:rsidTr="00524A8F">
        <w:trPr>
          <w:trHeight w:val="165"/>
          <w:jc w:val="center"/>
        </w:trPr>
        <w:tc>
          <w:tcPr>
            <w:tcW w:w="940" w:type="dxa"/>
            <w:vMerge/>
            <w:shd w:val="clear" w:color="auto" w:fill="FFFFFF" w:themeFill="background1"/>
          </w:tcPr>
          <w:p w14:paraId="5FE9CD92" w14:textId="77777777" w:rsidR="007D2D75" w:rsidRPr="00BD3832" w:rsidRDefault="007D2D75" w:rsidP="00524A8F">
            <w:pPr>
              <w:rPr>
                <w:sz w:val="20"/>
                <w:szCs w:val="20"/>
              </w:rPr>
            </w:pPr>
          </w:p>
        </w:tc>
        <w:tc>
          <w:tcPr>
            <w:tcW w:w="2856" w:type="dxa"/>
            <w:vMerge w:val="restart"/>
            <w:shd w:val="clear" w:color="auto" w:fill="FFFFFF" w:themeFill="background1"/>
          </w:tcPr>
          <w:p w14:paraId="27804244" w14:textId="77777777" w:rsidR="007D2D75" w:rsidRPr="00BD3832" w:rsidRDefault="007D2D75" w:rsidP="00524A8F">
            <w:pPr>
              <w:rPr>
                <w:sz w:val="20"/>
                <w:szCs w:val="20"/>
              </w:rPr>
            </w:pPr>
            <w:r w:rsidRPr="00BD3832">
              <w:rPr>
                <w:sz w:val="20"/>
                <w:szCs w:val="20"/>
              </w:rPr>
              <w:t>Abortion</w:t>
            </w:r>
          </w:p>
        </w:tc>
        <w:tc>
          <w:tcPr>
            <w:tcW w:w="2070" w:type="dxa"/>
            <w:shd w:val="clear" w:color="auto" w:fill="FFFFFF" w:themeFill="background1"/>
          </w:tcPr>
          <w:p w14:paraId="7E7AF793"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4E78D08A"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0BE52E01" w14:textId="77777777" w:rsidR="007D2D75" w:rsidRPr="00BD3832" w:rsidRDefault="007D2D75" w:rsidP="00524A8F">
            <w:pPr>
              <w:spacing w:line="360" w:lineRule="auto"/>
              <w:jc w:val="center"/>
              <w:rPr>
                <w:sz w:val="20"/>
                <w:szCs w:val="20"/>
              </w:rPr>
            </w:pPr>
            <w:r w:rsidRPr="00BD3832">
              <w:rPr>
                <w:sz w:val="20"/>
                <w:szCs w:val="20"/>
              </w:rPr>
              <w:t>0.457</w:t>
            </w:r>
          </w:p>
        </w:tc>
        <w:tc>
          <w:tcPr>
            <w:tcW w:w="1720" w:type="dxa"/>
            <w:shd w:val="clear" w:color="auto" w:fill="FFFFFF" w:themeFill="background1"/>
          </w:tcPr>
          <w:p w14:paraId="7222971B"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44405727" w14:textId="77777777" w:rsidR="007D2D75" w:rsidRPr="00BD3832" w:rsidRDefault="007D2D75" w:rsidP="00524A8F">
            <w:pPr>
              <w:spacing w:line="360" w:lineRule="auto"/>
              <w:jc w:val="center"/>
              <w:rPr>
                <w:sz w:val="20"/>
                <w:szCs w:val="20"/>
              </w:rPr>
            </w:pPr>
            <w:r w:rsidRPr="00BD3832">
              <w:rPr>
                <w:sz w:val="20"/>
                <w:szCs w:val="20"/>
              </w:rPr>
              <w:t>0.296</w:t>
            </w:r>
          </w:p>
        </w:tc>
      </w:tr>
      <w:tr w:rsidR="007D2D75" w:rsidRPr="00BD3832" w14:paraId="2624B544" w14:textId="77777777" w:rsidTr="00524A8F">
        <w:trPr>
          <w:trHeight w:val="165"/>
          <w:jc w:val="center"/>
        </w:trPr>
        <w:tc>
          <w:tcPr>
            <w:tcW w:w="940" w:type="dxa"/>
            <w:vMerge/>
            <w:shd w:val="clear" w:color="auto" w:fill="FFFFFF" w:themeFill="background1"/>
          </w:tcPr>
          <w:p w14:paraId="360342E9" w14:textId="77777777" w:rsidR="007D2D75" w:rsidRPr="00BD3832" w:rsidRDefault="007D2D75" w:rsidP="00524A8F">
            <w:pPr>
              <w:rPr>
                <w:sz w:val="20"/>
                <w:szCs w:val="20"/>
              </w:rPr>
            </w:pPr>
          </w:p>
        </w:tc>
        <w:tc>
          <w:tcPr>
            <w:tcW w:w="2856" w:type="dxa"/>
            <w:vMerge/>
            <w:shd w:val="clear" w:color="auto" w:fill="FFFFFF" w:themeFill="background1"/>
          </w:tcPr>
          <w:p w14:paraId="362AAD40" w14:textId="77777777" w:rsidR="007D2D75" w:rsidRPr="00BD3832" w:rsidRDefault="007D2D75" w:rsidP="00524A8F">
            <w:pPr>
              <w:rPr>
                <w:sz w:val="20"/>
                <w:szCs w:val="20"/>
              </w:rPr>
            </w:pPr>
          </w:p>
        </w:tc>
        <w:tc>
          <w:tcPr>
            <w:tcW w:w="2070" w:type="dxa"/>
            <w:shd w:val="clear" w:color="auto" w:fill="FFFFFF" w:themeFill="background1"/>
          </w:tcPr>
          <w:p w14:paraId="1E454A77"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63468561" w14:textId="77777777" w:rsidR="007D2D75" w:rsidRPr="00BD3832" w:rsidRDefault="007D2D75" w:rsidP="00524A8F">
            <w:pPr>
              <w:spacing w:line="360" w:lineRule="auto"/>
              <w:rPr>
                <w:sz w:val="20"/>
                <w:szCs w:val="20"/>
              </w:rPr>
            </w:pPr>
            <w:r w:rsidRPr="00BD3832">
              <w:rPr>
                <w:sz w:val="20"/>
                <w:szCs w:val="20"/>
              </w:rPr>
              <w:t>1.33 (0.62-2.85)</w:t>
            </w:r>
          </w:p>
        </w:tc>
        <w:tc>
          <w:tcPr>
            <w:tcW w:w="900" w:type="dxa"/>
            <w:vMerge/>
            <w:shd w:val="clear" w:color="auto" w:fill="FFFFFF" w:themeFill="background1"/>
            <w:vAlign w:val="center"/>
          </w:tcPr>
          <w:p w14:paraId="2377C563"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4F394152" w14:textId="77777777" w:rsidR="007D2D75" w:rsidRPr="00BD3832" w:rsidRDefault="007D2D75" w:rsidP="00524A8F">
            <w:pPr>
              <w:spacing w:line="360" w:lineRule="auto"/>
              <w:rPr>
                <w:sz w:val="20"/>
                <w:szCs w:val="20"/>
              </w:rPr>
            </w:pPr>
            <w:r w:rsidRPr="00BD3832">
              <w:rPr>
                <w:sz w:val="20"/>
                <w:szCs w:val="20"/>
              </w:rPr>
              <w:t>1.52 (0.69-3.33)</w:t>
            </w:r>
          </w:p>
        </w:tc>
        <w:tc>
          <w:tcPr>
            <w:tcW w:w="975" w:type="dxa"/>
            <w:vMerge/>
            <w:shd w:val="clear" w:color="auto" w:fill="FFFFFF" w:themeFill="background1"/>
            <w:vAlign w:val="center"/>
          </w:tcPr>
          <w:p w14:paraId="628BBED4" w14:textId="77777777" w:rsidR="007D2D75" w:rsidRPr="00BD3832" w:rsidRDefault="007D2D75" w:rsidP="00524A8F">
            <w:pPr>
              <w:spacing w:line="360" w:lineRule="auto"/>
              <w:jc w:val="center"/>
              <w:rPr>
                <w:sz w:val="20"/>
                <w:szCs w:val="20"/>
              </w:rPr>
            </w:pPr>
          </w:p>
        </w:tc>
      </w:tr>
      <w:tr w:rsidR="007D2D75" w:rsidRPr="00BD3832" w14:paraId="3D30AE29" w14:textId="77777777" w:rsidTr="00524A8F">
        <w:trPr>
          <w:trHeight w:val="165"/>
          <w:jc w:val="center"/>
        </w:trPr>
        <w:tc>
          <w:tcPr>
            <w:tcW w:w="940" w:type="dxa"/>
            <w:vMerge/>
            <w:shd w:val="clear" w:color="auto" w:fill="FFFFFF" w:themeFill="background1"/>
          </w:tcPr>
          <w:p w14:paraId="694ABAE8" w14:textId="77777777" w:rsidR="007D2D75" w:rsidRPr="00BD3832" w:rsidRDefault="007D2D75" w:rsidP="00524A8F">
            <w:pPr>
              <w:rPr>
                <w:sz w:val="20"/>
                <w:szCs w:val="20"/>
              </w:rPr>
            </w:pPr>
          </w:p>
        </w:tc>
        <w:tc>
          <w:tcPr>
            <w:tcW w:w="2856" w:type="dxa"/>
            <w:vMerge w:val="restart"/>
            <w:shd w:val="clear" w:color="auto" w:fill="FFFFFF" w:themeFill="background1"/>
          </w:tcPr>
          <w:p w14:paraId="72F141E0" w14:textId="77777777" w:rsidR="007D2D75" w:rsidRPr="00BD3832" w:rsidRDefault="007D2D75" w:rsidP="00524A8F">
            <w:pPr>
              <w:rPr>
                <w:sz w:val="20"/>
                <w:szCs w:val="20"/>
              </w:rPr>
            </w:pPr>
            <w:r w:rsidRPr="00BD3832">
              <w:rPr>
                <w:sz w:val="20"/>
                <w:szCs w:val="20"/>
              </w:rPr>
              <w:t>Still birth</w:t>
            </w:r>
          </w:p>
        </w:tc>
        <w:tc>
          <w:tcPr>
            <w:tcW w:w="2070" w:type="dxa"/>
            <w:shd w:val="clear" w:color="auto" w:fill="FFFFFF" w:themeFill="background1"/>
          </w:tcPr>
          <w:p w14:paraId="2C792849"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3F0B4060"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0E26DD5A" w14:textId="77777777" w:rsidR="007D2D75" w:rsidRPr="00BD3832" w:rsidRDefault="007D2D75" w:rsidP="00524A8F">
            <w:pPr>
              <w:spacing w:line="360" w:lineRule="auto"/>
              <w:jc w:val="center"/>
              <w:rPr>
                <w:sz w:val="20"/>
                <w:szCs w:val="20"/>
              </w:rPr>
            </w:pPr>
            <w:r w:rsidRPr="00BD3832">
              <w:rPr>
                <w:sz w:val="20"/>
                <w:szCs w:val="20"/>
              </w:rPr>
              <w:t>0.526</w:t>
            </w:r>
          </w:p>
        </w:tc>
        <w:tc>
          <w:tcPr>
            <w:tcW w:w="1720" w:type="dxa"/>
            <w:shd w:val="clear" w:color="auto" w:fill="FFFFFF" w:themeFill="background1"/>
          </w:tcPr>
          <w:p w14:paraId="040686BD"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01FC0AA3" w14:textId="77777777" w:rsidR="007D2D75" w:rsidRPr="00BD3832" w:rsidRDefault="007D2D75" w:rsidP="00524A8F">
            <w:pPr>
              <w:spacing w:line="360" w:lineRule="auto"/>
              <w:jc w:val="center"/>
              <w:rPr>
                <w:sz w:val="20"/>
                <w:szCs w:val="20"/>
              </w:rPr>
            </w:pPr>
            <w:r w:rsidRPr="00BD3832">
              <w:rPr>
                <w:sz w:val="20"/>
                <w:szCs w:val="20"/>
              </w:rPr>
              <w:t>0.118</w:t>
            </w:r>
          </w:p>
        </w:tc>
      </w:tr>
      <w:tr w:rsidR="007D2D75" w:rsidRPr="00BD3832" w14:paraId="20FB78B0" w14:textId="77777777" w:rsidTr="00524A8F">
        <w:trPr>
          <w:trHeight w:val="165"/>
          <w:jc w:val="center"/>
        </w:trPr>
        <w:tc>
          <w:tcPr>
            <w:tcW w:w="940" w:type="dxa"/>
            <w:vMerge/>
            <w:shd w:val="clear" w:color="auto" w:fill="FFFFFF" w:themeFill="background1"/>
          </w:tcPr>
          <w:p w14:paraId="0F96356A" w14:textId="77777777" w:rsidR="007D2D75" w:rsidRPr="00BD3832" w:rsidRDefault="007D2D75" w:rsidP="00524A8F">
            <w:pPr>
              <w:rPr>
                <w:sz w:val="20"/>
                <w:szCs w:val="20"/>
              </w:rPr>
            </w:pPr>
          </w:p>
        </w:tc>
        <w:tc>
          <w:tcPr>
            <w:tcW w:w="2856" w:type="dxa"/>
            <w:vMerge/>
            <w:shd w:val="clear" w:color="auto" w:fill="FFFFFF" w:themeFill="background1"/>
          </w:tcPr>
          <w:p w14:paraId="108BD7D0" w14:textId="77777777" w:rsidR="007D2D75" w:rsidRPr="00BD3832" w:rsidRDefault="007D2D75" w:rsidP="00524A8F">
            <w:pPr>
              <w:rPr>
                <w:sz w:val="20"/>
                <w:szCs w:val="20"/>
              </w:rPr>
            </w:pPr>
          </w:p>
        </w:tc>
        <w:tc>
          <w:tcPr>
            <w:tcW w:w="2070" w:type="dxa"/>
            <w:shd w:val="clear" w:color="auto" w:fill="FFFFFF" w:themeFill="background1"/>
          </w:tcPr>
          <w:p w14:paraId="5FE2F1CB"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0ED8C0C1" w14:textId="77777777" w:rsidR="007D2D75" w:rsidRPr="00BD3832" w:rsidRDefault="007D2D75" w:rsidP="00524A8F">
            <w:pPr>
              <w:spacing w:line="360" w:lineRule="auto"/>
              <w:rPr>
                <w:sz w:val="20"/>
                <w:szCs w:val="20"/>
              </w:rPr>
            </w:pPr>
            <w:r w:rsidRPr="00BD3832">
              <w:rPr>
                <w:sz w:val="20"/>
                <w:szCs w:val="20"/>
              </w:rPr>
              <w:t>1.19 (0.70-2.03)</w:t>
            </w:r>
          </w:p>
        </w:tc>
        <w:tc>
          <w:tcPr>
            <w:tcW w:w="900" w:type="dxa"/>
            <w:vMerge/>
            <w:shd w:val="clear" w:color="auto" w:fill="FFFFFF" w:themeFill="background1"/>
            <w:vAlign w:val="center"/>
          </w:tcPr>
          <w:p w14:paraId="2C67777E" w14:textId="77777777" w:rsidR="007D2D75" w:rsidRPr="00BD3832" w:rsidRDefault="007D2D75" w:rsidP="00524A8F">
            <w:pPr>
              <w:spacing w:line="360" w:lineRule="auto"/>
              <w:jc w:val="center"/>
              <w:rPr>
                <w:sz w:val="20"/>
                <w:szCs w:val="20"/>
              </w:rPr>
            </w:pPr>
          </w:p>
        </w:tc>
        <w:tc>
          <w:tcPr>
            <w:tcW w:w="1720" w:type="dxa"/>
            <w:shd w:val="clear" w:color="auto" w:fill="FFFFFF" w:themeFill="background1"/>
          </w:tcPr>
          <w:p w14:paraId="32F8088E" w14:textId="77777777" w:rsidR="007D2D75" w:rsidRPr="00BD3832" w:rsidRDefault="007D2D75" w:rsidP="00524A8F">
            <w:pPr>
              <w:spacing w:line="360" w:lineRule="auto"/>
              <w:rPr>
                <w:sz w:val="20"/>
                <w:szCs w:val="20"/>
              </w:rPr>
            </w:pPr>
            <w:r w:rsidRPr="00BD3832">
              <w:rPr>
                <w:sz w:val="20"/>
                <w:szCs w:val="20"/>
              </w:rPr>
              <w:t>1.57 (0.89-2.78)</w:t>
            </w:r>
          </w:p>
        </w:tc>
        <w:tc>
          <w:tcPr>
            <w:tcW w:w="975" w:type="dxa"/>
            <w:vMerge/>
            <w:shd w:val="clear" w:color="auto" w:fill="FFFFFF" w:themeFill="background1"/>
            <w:vAlign w:val="center"/>
          </w:tcPr>
          <w:p w14:paraId="706D023B" w14:textId="77777777" w:rsidR="007D2D75" w:rsidRPr="00BD3832" w:rsidRDefault="007D2D75" w:rsidP="00524A8F">
            <w:pPr>
              <w:spacing w:line="360" w:lineRule="auto"/>
              <w:jc w:val="center"/>
              <w:rPr>
                <w:sz w:val="20"/>
                <w:szCs w:val="20"/>
              </w:rPr>
            </w:pPr>
          </w:p>
        </w:tc>
      </w:tr>
      <w:tr w:rsidR="007D2D75" w:rsidRPr="00BD3832" w14:paraId="7DCB5AD3" w14:textId="77777777" w:rsidTr="00524A8F">
        <w:trPr>
          <w:trHeight w:val="165"/>
          <w:jc w:val="center"/>
        </w:trPr>
        <w:tc>
          <w:tcPr>
            <w:tcW w:w="940" w:type="dxa"/>
            <w:vMerge/>
            <w:shd w:val="clear" w:color="auto" w:fill="FFFFFF" w:themeFill="background1"/>
          </w:tcPr>
          <w:p w14:paraId="6A51B71A" w14:textId="77777777" w:rsidR="007D2D75" w:rsidRPr="00BD3832" w:rsidRDefault="007D2D75" w:rsidP="00524A8F">
            <w:pPr>
              <w:rPr>
                <w:sz w:val="20"/>
                <w:szCs w:val="20"/>
              </w:rPr>
            </w:pPr>
          </w:p>
        </w:tc>
        <w:tc>
          <w:tcPr>
            <w:tcW w:w="2856" w:type="dxa"/>
            <w:vMerge w:val="restart"/>
            <w:shd w:val="clear" w:color="auto" w:fill="FFFFFF" w:themeFill="background1"/>
          </w:tcPr>
          <w:p w14:paraId="5BEA3F01" w14:textId="77777777" w:rsidR="007D2D75" w:rsidRPr="00BD3832" w:rsidRDefault="007D2D75" w:rsidP="00524A8F">
            <w:pPr>
              <w:rPr>
                <w:sz w:val="20"/>
                <w:szCs w:val="20"/>
              </w:rPr>
            </w:pPr>
            <w:r w:rsidRPr="00BD3832">
              <w:rPr>
                <w:sz w:val="20"/>
                <w:szCs w:val="20"/>
              </w:rPr>
              <w:t>Low birth weight</w:t>
            </w:r>
          </w:p>
        </w:tc>
        <w:tc>
          <w:tcPr>
            <w:tcW w:w="2070" w:type="dxa"/>
            <w:shd w:val="clear" w:color="auto" w:fill="FFFFFF" w:themeFill="background1"/>
          </w:tcPr>
          <w:p w14:paraId="447FEC0B" w14:textId="77777777" w:rsidR="007D2D75" w:rsidRPr="00BD3832" w:rsidRDefault="007D2D75" w:rsidP="00524A8F">
            <w:pPr>
              <w:spacing w:line="360" w:lineRule="auto"/>
              <w:rPr>
                <w:sz w:val="20"/>
                <w:szCs w:val="20"/>
              </w:rPr>
            </w:pPr>
            <w:r w:rsidRPr="00BD3832">
              <w:rPr>
                <w:sz w:val="20"/>
                <w:szCs w:val="20"/>
              </w:rPr>
              <w:t xml:space="preserve">Don’t know </w:t>
            </w:r>
            <w:r w:rsidRPr="00BD3832">
              <w:rPr>
                <w:sz w:val="20"/>
                <w:szCs w:val="20"/>
                <w:vertAlign w:val="superscript"/>
              </w:rPr>
              <w:t>RC</w:t>
            </w:r>
          </w:p>
        </w:tc>
        <w:tc>
          <w:tcPr>
            <w:tcW w:w="1620" w:type="dxa"/>
            <w:shd w:val="clear" w:color="auto" w:fill="FFFFFF" w:themeFill="background1"/>
          </w:tcPr>
          <w:p w14:paraId="7A8F444C"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653C23CC" w14:textId="77777777" w:rsidR="007D2D75" w:rsidRPr="00BD3832" w:rsidRDefault="007D2D75" w:rsidP="00524A8F">
            <w:pPr>
              <w:spacing w:line="360" w:lineRule="auto"/>
              <w:jc w:val="center"/>
              <w:rPr>
                <w:sz w:val="20"/>
                <w:szCs w:val="20"/>
              </w:rPr>
            </w:pPr>
            <w:r w:rsidRPr="00BD3832">
              <w:rPr>
                <w:sz w:val="20"/>
                <w:szCs w:val="20"/>
              </w:rPr>
              <w:t>0.175</w:t>
            </w:r>
          </w:p>
        </w:tc>
        <w:tc>
          <w:tcPr>
            <w:tcW w:w="1720" w:type="dxa"/>
            <w:shd w:val="clear" w:color="auto" w:fill="FFFFFF" w:themeFill="background1"/>
          </w:tcPr>
          <w:p w14:paraId="4F36439E" w14:textId="77777777" w:rsidR="007D2D75" w:rsidRPr="00BD3832" w:rsidRDefault="007D2D75" w:rsidP="00524A8F">
            <w:pPr>
              <w:spacing w:line="360" w:lineRule="auto"/>
              <w:rPr>
                <w:sz w:val="20"/>
                <w:szCs w:val="20"/>
              </w:rPr>
            </w:pPr>
            <w:r w:rsidRPr="00BD3832">
              <w:rPr>
                <w:sz w:val="20"/>
                <w:szCs w:val="20"/>
              </w:rPr>
              <w:t>1</w:t>
            </w:r>
          </w:p>
        </w:tc>
        <w:tc>
          <w:tcPr>
            <w:tcW w:w="975" w:type="dxa"/>
            <w:vMerge w:val="restart"/>
            <w:shd w:val="clear" w:color="auto" w:fill="FFFFFF" w:themeFill="background1"/>
            <w:vAlign w:val="center"/>
          </w:tcPr>
          <w:p w14:paraId="215CBD00"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0.215</w:t>
            </w:r>
          </w:p>
        </w:tc>
      </w:tr>
      <w:tr w:rsidR="007D2D75" w:rsidRPr="00BD3832" w14:paraId="3E4219F1" w14:textId="77777777" w:rsidTr="00524A8F">
        <w:trPr>
          <w:trHeight w:val="165"/>
          <w:jc w:val="center"/>
        </w:trPr>
        <w:tc>
          <w:tcPr>
            <w:tcW w:w="940" w:type="dxa"/>
            <w:vMerge/>
            <w:shd w:val="clear" w:color="auto" w:fill="FFFFFF" w:themeFill="background1"/>
          </w:tcPr>
          <w:p w14:paraId="7D6848D5" w14:textId="77777777" w:rsidR="007D2D75" w:rsidRPr="00BD3832" w:rsidRDefault="007D2D75" w:rsidP="00524A8F">
            <w:pPr>
              <w:rPr>
                <w:sz w:val="20"/>
                <w:szCs w:val="20"/>
              </w:rPr>
            </w:pPr>
          </w:p>
        </w:tc>
        <w:tc>
          <w:tcPr>
            <w:tcW w:w="2856" w:type="dxa"/>
            <w:vMerge/>
            <w:shd w:val="clear" w:color="auto" w:fill="FFFFFF" w:themeFill="background1"/>
          </w:tcPr>
          <w:p w14:paraId="24BF2112" w14:textId="77777777" w:rsidR="007D2D75" w:rsidRPr="00BD3832" w:rsidRDefault="007D2D75" w:rsidP="00524A8F">
            <w:pPr>
              <w:rPr>
                <w:sz w:val="20"/>
                <w:szCs w:val="20"/>
              </w:rPr>
            </w:pPr>
          </w:p>
        </w:tc>
        <w:tc>
          <w:tcPr>
            <w:tcW w:w="2070" w:type="dxa"/>
            <w:shd w:val="clear" w:color="auto" w:fill="FFFFFF" w:themeFill="background1"/>
          </w:tcPr>
          <w:p w14:paraId="53647599" w14:textId="77777777" w:rsidR="007D2D75" w:rsidRPr="00BD3832" w:rsidRDefault="007D2D75" w:rsidP="00524A8F">
            <w:pPr>
              <w:spacing w:line="360" w:lineRule="auto"/>
              <w:rPr>
                <w:sz w:val="20"/>
                <w:szCs w:val="20"/>
              </w:rPr>
            </w:pPr>
            <w:r w:rsidRPr="00BD3832">
              <w:rPr>
                <w:sz w:val="20"/>
                <w:szCs w:val="20"/>
              </w:rPr>
              <w:t>Yes</w:t>
            </w:r>
          </w:p>
        </w:tc>
        <w:tc>
          <w:tcPr>
            <w:tcW w:w="1620" w:type="dxa"/>
            <w:shd w:val="clear" w:color="auto" w:fill="FFFFFF" w:themeFill="background1"/>
          </w:tcPr>
          <w:p w14:paraId="5000420D" w14:textId="77777777" w:rsidR="007D2D75" w:rsidRPr="00BD3832" w:rsidRDefault="007D2D75" w:rsidP="00524A8F">
            <w:pPr>
              <w:spacing w:line="360" w:lineRule="auto"/>
              <w:rPr>
                <w:sz w:val="20"/>
                <w:szCs w:val="20"/>
              </w:rPr>
            </w:pPr>
            <w:r w:rsidRPr="00BD3832">
              <w:rPr>
                <w:sz w:val="20"/>
                <w:szCs w:val="20"/>
              </w:rPr>
              <w:t>4.09 (0.53-31.32)</w:t>
            </w:r>
          </w:p>
        </w:tc>
        <w:tc>
          <w:tcPr>
            <w:tcW w:w="900" w:type="dxa"/>
            <w:vMerge/>
            <w:shd w:val="clear" w:color="auto" w:fill="FFFFFF" w:themeFill="background1"/>
          </w:tcPr>
          <w:p w14:paraId="34F2D3E6" w14:textId="77777777" w:rsidR="007D2D75" w:rsidRPr="00BD3832" w:rsidRDefault="007D2D75" w:rsidP="00524A8F">
            <w:pPr>
              <w:spacing w:line="360" w:lineRule="auto"/>
              <w:rPr>
                <w:sz w:val="20"/>
                <w:szCs w:val="20"/>
              </w:rPr>
            </w:pPr>
          </w:p>
        </w:tc>
        <w:tc>
          <w:tcPr>
            <w:tcW w:w="1720" w:type="dxa"/>
            <w:shd w:val="clear" w:color="auto" w:fill="FFFFFF" w:themeFill="background1"/>
          </w:tcPr>
          <w:p w14:paraId="47706479" w14:textId="77777777" w:rsidR="007D2D75" w:rsidRPr="00BD3832" w:rsidRDefault="007D2D75" w:rsidP="00524A8F">
            <w:pPr>
              <w:spacing w:line="360" w:lineRule="auto"/>
              <w:rPr>
                <w:sz w:val="20"/>
                <w:szCs w:val="20"/>
              </w:rPr>
            </w:pPr>
            <w:r w:rsidRPr="00BD3832">
              <w:rPr>
                <w:sz w:val="20"/>
                <w:szCs w:val="20"/>
              </w:rPr>
              <w:t>3.70 (0.46- 29.22)</w:t>
            </w:r>
          </w:p>
        </w:tc>
        <w:tc>
          <w:tcPr>
            <w:tcW w:w="975" w:type="dxa"/>
            <w:vMerge/>
            <w:shd w:val="clear" w:color="auto" w:fill="FFFFFF" w:themeFill="background1"/>
          </w:tcPr>
          <w:p w14:paraId="3DCB6081" w14:textId="77777777" w:rsidR="007D2D75" w:rsidRPr="00BD3832" w:rsidRDefault="007D2D75" w:rsidP="00524A8F">
            <w:pPr>
              <w:spacing w:line="360" w:lineRule="auto"/>
              <w:rPr>
                <w:sz w:val="20"/>
                <w:szCs w:val="20"/>
              </w:rPr>
            </w:pPr>
          </w:p>
        </w:tc>
      </w:tr>
    </w:tbl>
    <w:p w14:paraId="7D7ED4CC" w14:textId="05B6999D" w:rsidR="007D2D75" w:rsidRPr="00BD3832" w:rsidRDefault="007D2D75" w:rsidP="00172E23"/>
    <w:p w14:paraId="492FC71E" w14:textId="77777777" w:rsidR="007D2D75" w:rsidRPr="00BD3832" w:rsidRDefault="007D2D75" w:rsidP="00172E23"/>
    <w:p w14:paraId="0C150577" w14:textId="77777777" w:rsidR="00BD3832" w:rsidRPr="00BD3832" w:rsidRDefault="00BD3832">
      <w:pPr>
        <w:spacing w:line="240" w:lineRule="auto"/>
        <w:rPr>
          <w:b/>
        </w:rPr>
      </w:pPr>
      <w:r w:rsidRPr="00BD3832">
        <w:rPr>
          <w:b/>
        </w:rPr>
        <w:br w:type="page"/>
      </w:r>
    </w:p>
    <w:p w14:paraId="7AF92D9E" w14:textId="378889A3" w:rsidR="00172E23" w:rsidRPr="00BD3832" w:rsidRDefault="00172E23" w:rsidP="00172E23">
      <w:r w:rsidRPr="00BD3832">
        <w:rPr>
          <w:b/>
        </w:rPr>
        <w:lastRenderedPageBreak/>
        <w:t>Table 4.</w:t>
      </w:r>
      <w:r w:rsidRPr="00BD3832">
        <w:t xml:space="preserve"> Adjusted predicting factors associated with participants’ perceptions on parental tobacco control measures at HH-level</w:t>
      </w:r>
    </w:p>
    <w:tbl>
      <w:tblPr>
        <w:tblW w:w="11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3796"/>
        <w:gridCol w:w="2070"/>
        <w:gridCol w:w="1620"/>
        <w:gridCol w:w="900"/>
        <w:gridCol w:w="1646"/>
        <w:gridCol w:w="986"/>
      </w:tblGrid>
      <w:tr w:rsidR="007D2D75" w:rsidRPr="00BD3832" w14:paraId="5C111025" w14:textId="77777777" w:rsidTr="00524A8F">
        <w:trPr>
          <w:jc w:val="center"/>
        </w:trPr>
        <w:tc>
          <w:tcPr>
            <w:tcW w:w="5866" w:type="dxa"/>
            <w:gridSpan w:val="2"/>
            <w:shd w:val="clear" w:color="auto" w:fill="FFFFFF" w:themeFill="background1"/>
            <w:vAlign w:val="center"/>
          </w:tcPr>
          <w:p w14:paraId="348E4C48" w14:textId="77777777" w:rsidR="007D2D75" w:rsidRPr="00BD3832" w:rsidRDefault="007D2D75" w:rsidP="00524A8F">
            <w:pPr>
              <w:spacing w:line="360" w:lineRule="auto"/>
              <w:jc w:val="center"/>
              <w:rPr>
                <w:sz w:val="20"/>
                <w:szCs w:val="20"/>
              </w:rPr>
            </w:pPr>
          </w:p>
          <w:p w14:paraId="52114564" w14:textId="77777777" w:rsidR="007D2D75" w:rsidRPr="00BD3832" w:rsidRDefault="007D2D75" w:rsidP="00524A8F">
            <w:pPr>
              <w:spacing w:line="360" w:lineRule="auto"/>
              <w:rPr>
                <w:sz w:val="20"/>
                <w:szCs w:val="20"/>
              </w:rPr>
            </w:pPr>
            <w:r w:rsidRPr="00BD3832">
              <w:rPr>
                <w:sz w:val="20"/>
                <w:szCs w:val="20"/>
              </w:rPr>
              <w:t>Characteristics/ Predictors</w:t>
            </w:r>
          </w:p>
        </w:tc>
        <w:tc>
          <w:tcPr>
            <w:tcW w:w="1620" w:type="dxa"/>
            <w:shd w:val="clear" w:color="auto" w:fill="FFFFFF" w:themeFill="background1"/>
            <w:vAlign w:val="center"/>
          </w:tcPr>
          <w:p w14:paraId="3FADD737" w14:textId="77777777" w:rsidR="007D2D75" w:rsidRPr="00BD3832" w:rsidRDefault="007D2D75" w:rsidP="00524A8F">
            <w:pPr>
              <w:pBdr>
                <w:bottom w:val="single" w:sz="4" w:space="1" w:color="auto"/>
              </w:pBdr>
              <w:spacing w:line="360" w:lineRule="auto"/>
              <w:jc w:val="center"/>
              <w:rPr>
                <w:sz w:val="20"/>
                <w:szCs w:val="20"/>
              </w:rPr>
            </w:pPr>
            <w:r w:rsidRPr="00BD3832">
              <w:rPr>
                <w:sz w:val="20"/>
                <w:szCs w:val="20"/>
              </w:rPr>
              <w:t>Simple logistic regression analysis</w:t>
            </w:r>
          </w:p>
          <w:p w14:paraId="0B264242" w14:textId="77777777" w:rsidR="007D2D75" w:rsidRPr="00BD3832" w:rsidRDefault="007D2D75" w:rsidP="00524A8F">
            <w:pPr>
              <w:spacing w:line="360" w:lineRule="auto"/>
              <w:jc w:val="center"/>
              <w:rPr>
                <w:sz w:val="20"/>
                <w:szCs w:val="20"/>
              </w:rPr>
            </w:pPr>
            <w:r w:rsidRPr="00BD3832">
              <w:rPr>
                <w:sz w:val="20"/>
                <w:szCs w:val="20"/>
              </w:rPr>
              <w:t>OR (95% CI)</w:t>
            </w:r>
          </w:p>
        </w:tc>
        <w:tc>
          <w:tcPr>
            <w:tcW w:w="900" w:type="dxa"/>
            <w:shd w:val="clear" w:color="auto" w:fill="FFFFFF" w:themeFill="background1"/>
            <w:vAlign w:val="center"/>
          </w:tcPr>
          <w:p w14:paraId="55C89952" w14:textId="77777777" w:rsidR="007D2D75" w:rsidRPr="00BD3832" w:rsidRDefault="007D2D75" w:rsidP="00524A8F">
            <w:pPr>
              <w:spacing w:line="360" w:lineRule="auto"/>
              <w:jc w:val="center"/>
              <w:rPr>
                <w:i/>
                <w:sz w:val="20"/>
                <w:szCs w:val="20"/>
              </w:rPr>
            </w:pPr>
            <w:r w:rsidRPr="00BD3832">
              <w:rPr>
                <w:i/>
                <w:sz w:val="20"/>
                <w:szCs w:val="20"/>
              </w:rPr>
              <w:t>P-value</w:t>
            </w:r>
          </w:p>
        </w:tc>
        <w:tc>
          <w:tcPr>
            <w:tcW w:w="1646" w:type="dxa"/>
            <w:shd w:val="clear" w:color="auto" w:fill="FFFFFF" w:themeFill="background1"/>
            <w:vAlign w:val="center"/>
          </w:tcPr>
          <w:p w14:paraId="0BAEB33D" w14:textId="431BCD6C" w:rsidR="007D2D75" w:rsidRPr="00BD3832" w:rsidRDefault="007D2D75" w:rsidP="00524A8F">
            <w:pPr>
              <w:pBdr>
                <w:bottom w:val="single" w:sz="4" w:space="1" w:color="auto"/>
              </w:pBdr>
              <w:spacing w:line="360" w:lineRule="auto"/>
              <w:jc w:val="center"/>
              <w:rPr>
                <w:sz w:val="20"/>
                <w:szCs w:val="20"/>
              </w:rPr>
            </w:pPr>
            <w:r w:rsidRPr="00BD3832">
              <w:rPr>
                <w:sz w:val="20"/>
                <w:szCs w:val="20"/>
              </w:rPr>
              <w:t xml:space="preserve">Multiple logistic regression analysis </w:t>
            </w:r>
          </w:p>
          <w:p w14:paraId="481ED379" w14:textId="77777777" w:rsidR="007D2D75" w:rsidRPr="00BD3832" w:rsidRDefault="007D2D75" w:rsidP="00524A8F">
            <w:pPr>
              <w:pBdr>
                <w:bottom w:val="single" w:sz="4" w:space="1" w:color="auto"/>
              </w:pBdr>
              <w:spacing w:line="360" w:lineRule="auto"/>
              <w:jc w:val="center"/>
              <w:rPr>
                <w:sz w:val="20"/>
                <w:szCs w:val="20"/>
              </w:rPr>
            </w:pPr>
            <w:r w:rsidRPr="00BD3832">
              <w:rPr>
                <w:sz w:val="20"/>
                <w:szCs w:val="20"/>
              </w:rPr>
              <w:t>AOR (95% CI)</w:t>
            </w:r>
          </w:p>
        </w:tc>
        <w:tc>
          <w:tcPr>
            <w:tcW w:w="986" w:type="dxa"/>
            <w:shd w:val="clear" w:color="auto" w:fill="FFFFFF" w:themeFill="background1"/>
            <w:vAlign w:val="center"/>
          </w:tcPr>
          <w:p w14:paraId="61A39828" w14:textId="77777777" w:rsidR="007D2D75" w:rsidRPr="00BD3832" w:rsidRDefault="007D2D75" w:rsidP="00524A8F">
            <w:pPr>
              <w:spacing w:line="360" w:lineRule="auto"/>
              <w:jc w:val="center"/>
              <w:rPr>
                <w:i/>
                <w:sz w:val="20"/>
                <w:szCs w:val="20"/>
              </w:rPr>
            </w:pPr>
            <w:r w:rsidRPr="00BD3832">
              <w:rPr>
                <w:i/>
                <w:sz w:val="20"/>
                <w:szCs w:val="20"/>
              </w:rPr>
              <w:t>P-value</w:t>
            </w:r>
          </w:p>
        </w:tc>
      </w:tr>
      <w:tr w:rsidR="007D2D75" w:rsidRPr="00BD3832" w14:paraId="7F5E4CCA" w14:textId="77777777" w:rsidTr="00524A8F">
        <w:trPr>
          <w:trHeight w:val="458"/>
          <w:jc w:val="center"/>
        </w:trPr>
        <w:tc>
          <w:tcPr>
            <w:tcW w:w="11018" w:type="dxa"/>
            <w:gridSpan w:val="6"/>
            <w:shd w:val="clear" w:color="auto" w:fill="FFFFFF" w:themeFill="background1"/>
            <w:vAlign w:val="center"/>
          </w:tcPr>
          <w:p w14:paraId="15A53E93" w14:textId="77777777" w:rsidR="007D2D75" w:rsidRPr="00BD3832" w:rsidRDefault="007D2D75" w:rsidP="00524A8F">
            <w:pPr>
              <w:spacing w:line="360" w:lineRule="auto"/>
              <w:rPr>
                <w:sz w:val="20"/>
                <w:szCs w:val="20"/>
              </w:rPr>
            </w:pPr>
            <w:r w:rsidRPr="00BD3832">
              <w:rPr>
                <w:i/>
                <w:sz w:val="20"/>
                <w:szCs w:val="20"/>
              </w:rPr>
              <w:t>Socio-demographic predictors</w:t>
            </w:r>
          </w:p>
        </w:tc>
      </w:tr>
      <w:tr w:rsidR="007D2D75" w:rsidRPr="00BD3832" w14:paraId="790FE3EF" w14:textId="77777777" w:rsidTr="00524A8F">
        <w:trPr>
          <w:jc w:val="center"/>
        </w:trPr>
        <w:tc>
          <w:tcPr>
            <w:tcW w:w="3796" w:type="dxa"/>
            <w:vMerge w:val="restart"/>
            <w:shd w:val="clear" w:color="auto" w:fill="FFFFFF" w:themeFill="background1"/>
            <w:vAlign w:val="center"/>
          </w:tcPr>
          <w:p w14:paraId="5FB4D4D9" w14:textId="77777777" w:rsidR="007D2D75" w:rsidRPr="00BD3832" w:rsidRDefault="007D2D75" w:rsidP="00524A8F">
            <w:pPr>
              <w:spacing w:line="360" w:lineRule="auto"/>
              <w:rPr>
                <w:sz w:val="20"/>
                <w:szCs w:val="20"/>
              </w:rPr>
            </w:pPr>
            <w:r w:rsidRPr="00BD3832">
              <w:rPr>
                <w:sz w:val="20"/>
                <w:szCs w:val="20"/>
              </w:rPr>
              <w:t>Age</w:t>
            </w:r>
          </w:p>
        </w:tc>
        <w:tc>
          <w:tcPr>
            <w:tcW w:w="2070" w:type="dxa"/>
            <w:shd w:val="clear" w:color="auto" w:fill="FFFFFF" w:themeFill="background1"/>
            <w:vAlign w:val="center"/>
          </w:tcPr>
          <w:p w14:paraId="37565F3A" w14:textId="77777777" w:rsidR="007D2D75" w:rsidRPr="00BD3832" w:rsidRDefault="007D2D75" w:rsidP="00524A8F">
            <w:pPr>
              <w:rPr>
                <w:sz w:val="20"/>
                <w:szCs w:val="20"/>
              </w:rPr>
            </w:pPr>
            <w:r w:rsidRPr="00BD3832">
              <w:rPr>
                <w:sz w:val="20"/>
                <w:szCs w:val="20"/>
              </w:rPr>
              <w:t xml:space="preserve">&lt;30 Years </w:t>
            </w:r>
            <w:r w:rsidRPr="00BD3832">
              <w:rPr>
                <w:sz w:val="20"/>
                <w:szCs w:val="20"/>
                <w:vertAlign w:val="superscript"/>
              </w:rPr>
              <w:t>RC</w:t>
            </w:r>
          </w:p>
        </w:tc>
        <w:tc>
          <w:tcPr>
            <w:tcW w:w="1620" w:type="dxa"/>
            <w:shd w:val="clear" w:color="auto" w:fill="FFFFFF" w:themeFill="background1"/>
            <w:vAlign w:val="center"/>
          </w:tcPr>
          <w:p w14:paraId="078FF81C"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392DFAF3" w14:textId="77777777" w:rsidR="007D2D75" w:rsidRPr="00BD3832" w:rsidRDefault="007D2D75" w:rsidP="00524A8F">
            <w:pPr>
              <w:spacing w:line="360" w:lineRule="auto"/>
              <w:jc w:val="center"/>
              <w:rPr>
                <w:sz w:val="20"/>
                <w:szCs w:val="20"/>
              </w:rPr>
            </w:pPr>
            <w:r w:rsidRPr="00BD3832">
              <w:rPr>
                <w:strike/>
                <w:sz w:val="20"/>
                <w:szCs w:val="20"/>
              </w:rPr>
              <w:t>&lt;</w:t>
            </w:r>
            <w:r w:rsidRPr="00BD3832">
              <w:rPr>
                <w:sz w:val="20"/>
                <w:szCs w:val="20"/>
              </w:rPr>
              <w:t xml:space="preserve"> 0.122</w:t>
            </w:r>
          </w:p>
        </w:tc>
        <w:tc>
          <w:tcPr>
            <w:tcW w:w="1646" w:type="dxa"/>
            <w:shd w:val="clear" w:color="auto" w:fill="FFFFFF" w:themeFill="background1"/>
            <w:vAlign w:val="center"/>
          </w:tcPr>
          <w:p w14:paraId="34011FA2"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4353988B" w14:textId="77777777" w:rsidR="007D2D75" w:rsidRPr="00BD3832" w:rsidRDefault="007D2D75" w:rsidP="00524A8F">
            <w:pPr>
              <w:spacing w:line="360" w:lineRule="auto"/>
              <w:jc w:val="center"/>
              <w:rPr>
                <w:sz w:val="20"/>
                <w:szCs w:val="20"/>
              </w:rPr>
            </w:pPr>
            <w:r w:rsidRPr="00BD3832">
              <w:rPr>
                <w:sz w:val="20"/>
                <w:szCs w:val="20"/>
              </w:rPr>
              <w:t>0.085</w:t>
            </w:r>
          </w:p>
        </w:tc>
      </w:tr>
      <w:tr w:rsidR="007D2D75" w:rsidRPr="00BD3832" w14:paraId="2C3C3A32" w14:textId="77777777" w:rsidTr="00524A8F">
        <w:trPr>
          <w:jc w:val="center"/>
        </w:trPr>
        <w:tc>
          <w:tcPr>
            <w:tcW w:w="3796" w:type="dxa"/>
            <w:vMerge/>
            <w:shd w:val="clear" w:color="auto" w:fill="FFFFFF" w:themeFill="background1"/>
            <w:vAlign w:val="center"/>
          </w:tcPr>
          <w:p w14:paraId="71A8470D" w14:textId="77777777" w:rsidR="007D2D75" w:rsidRPr="00BD3832" w:rsidRDefault="007D2D75" w:rsidP="00524A8F">
            <w:pPr>
              <w:spacing w:line="360" w:lineRule="auto"/>
              <w:rPr>
                <w:sz w:val="20"/>
                <w:szCs w:val="20"/>
              </w:rPr>
            </w:pPr>
          </w:p>
        </w:tc>
        <w:tc>
          <w:tcPr>
            <w:tcW w:w="2070" w:type="dxa"/>
            <w:shd w:val="clear" w:color="auto" w:fill="FFFFFF" w:themeFill="background1"/>
            <w:vAlign w:val="center"/>
          </w:tcPr>
          <w:p w14:paraId="5FBAA80B" w14:textId="77777777" w:rsidR="007D2D75" w:rsidRPr="00BD3832" w:rsidRDefault="007D2D75" w:rsidP="00524A8F">
            <w:pPr>
              <w:rPr>
                <w:sz w:val="20"/>
                <w:szCs w:val="20"/>
              </w:rPr>
            </w:pPr>
            <w:r w:rsidRPr="00BD3832">
              <w:rPr>
                <w:sz w:val="20"/>
                <w:szCs w:val="20"/>
              </w:rPr>
              <w:t>&gt;30  Years</w:t>
            </w:r>
          </w:p>
        </w:tc>
        <w:tc>
          <w:tcPr>
            <w:tcW w:w="1620" w:type="dxa"/>
            <w:shd w:val="clear" w:color="auto" w:fill="FFFFFF" w:themeFill="background1"/>
            <w:vAlign w:val="center"/>
          </w:tcPr>
          <w:p w14:paraId="16CDA49C" w14:textId="77777777" w:rsidR="007D2D75" w:rsidRPr="00BD3832" w:rsidRDefault="007D2D75" w:rsidP="00524A8F">
            <w:pPr>
              <w:spacing w:line="360" w:lineRule="auto"/>
              <w:rPr>
                <w:sz w:val="20"/>
                <w:szCs w:val="20"/>
              </w:rPr>
            </w:pPr>
            <w:r w:rsidRPr="00BD3832">
              <w:rPr>
                <w:sz w:val="20"/>
                <w:szCs w:val="20"/>
              </w:rPr>
              <w:t>0.72 (0.47-1.09)</w:t>
            </w:r>
          </w:p>
        </w:tc>
        <w:tc>
          <w:tcPr>
            <w:tcW w:w="900" w:type="dxa"/>
            <w:vMerge/>
            <w:shd w:val="clear" w:color="auto" w:fill="FFFFFF" w:themeFill="background1"/>
            <w:vAlign w:val="center"/>
          </w:tcPr>
          <w:p w14:paraId="6A30BCC0" w14:textId="77777777" w:rsidR="007D2D75" w:rsidRPr="00BD3832" w:rsidRDefault="007D2D75" w:rsidP="00524A8F">
            <w:pPr>
              <w:spacing w:line="360" w:lineRule="auto"/>
              <w:jc w:val="center"/>
              <w:rPr>
                <w:sz w:val="20"/>
                <w:szCs w:val="20"/>
              </w:rPr>
            </w:pPr>
          </w:p>
        </w:tc>
        <w:tc>
          <w:tcPr>
            <w:tcW w:w="1646" w:type="dxa"/>
            <w:shd w:val="clear" w:color="auto" w:fill="FFFFFF" w:themeFill="background1"/>
            <w:vAlign w:val="center"/>
          </w:tcPr>
          <w:p w14:paraId="4A2A60A4" w14:textId="77777777" w:rsidR="007D2D75" w:rsidRPr="00BD3832" w:rsidRDefault="007D2D75" w:rsidP="00524A8F">
            <w:pPr>
              <w:spacing w:line="360" w:lineRule="auto"/>
              <w:rPr>
                <w:sz w:val="20"/>
                <w:szCs w:val="20"/>
              </w:rPr>
            </w:pPr>
            <w:r w:rsidRPr="00BD3832">
              <w:rPr>
                <w:sz w:val="20"/>
                <w:szCs w:val="20"/>
              </w:rPr>
              <w:t>0.64 (0.39-1.06)</w:t>
            </w:r>
          </w:p>
        </w:tc>
        <w:tc>
          <w:tcPr>
            <w:tcW w:w="986" w:type="dxa"/>
            <w:vMerge/>
            <w:shd w:val="clear" w:color="auto" w:fill="FFFFFF" w:themeFill="background1"/>
            <w:vAlign w:val="center"/>
          </w:tcPr>
          <w:p w14:paraId="56CA5C1A" w14:textId="77777777" w:rsidR="007D2D75" w:rsidRPr="00BD3832" w:rsidRDefault="007D2D75" w:rsidP="00524A8F">
            <w:pPr>
              <w:spacing w:line="360" w:lineRule="auto"/>
              <w:jc w:val="center"/>
              <w:rPr>
                <w:sz w:val="20"/>
                <w:szCs w:val="20"/>
              </w:rPr>
            </w:pPr>
          </w:p>
        </w:tc>
      </w:tr>
      <w:tr w:rsidR="007D2D75" w:rsidRPr="00BD3832" w14:paraId="43F0A53D" w14:textId="77777777" w:rsidTr="00524A8F">
        <w:trPr>
          <w:jc w:val="center"/>
        </w:trPr>
        <w:tc>
          <w:tcPr>
            <w:tcW w:w="3796" w:type="dxa"/>
            <w:vMerge w:val="restart"/>
            <w:shd w:val="clear" w:color="auto" w:fill="FFFFFF" w:themeFill="background1"/>
            <w:vAlign w:val="center"/>
          </w:tcPr>
          <w:p w14:paraId="1D916775" w14:textId="77777777" w:rsidR="007D2D75" w:rsidRPr="00BD3832" w:rsidRDefault="007D2D75" w:rsidP="00524A8F">
            <w:pPr>
              <w:rPr>
                <w:bCs/>
                <w:sz w:val="20"/>
                <w:szCs w:val="20"/>
              </w:rPr>
            </w:pPr>
            <w:r w:rsidRPr="00BD3832">
              <w:rPr>
                <w:bCs/>
                <w:sz w:val="20"/>
                <w:szCs w:val="20"/>
              </w:rPr>
              <w:t xml:space="preserve">Living status </w:t>
            </w:r>
          </w:p>
        </w:tc>
        <w:tc>
          <w:tcPr>
            <w:tcW w:w="2070" w:type="dxa"/>
            <w:shd w:val="clear" w:color="auto" w:fill="FFFFFF" w:themeFill="background1"/>
          </w:tcPr>
          <w:p w14:paraId="6E3ABE6E" w14:textId="77777777" w:rsidR="007D2D75" w:rsidRPr="00BD3832" w:rsidRDefault="007D2D75" w:rsidP="00524A8F">
            <w:pPr>
              <w:rPr>
                <w:sz w:val="20"/>
                <w:szCs w:val="20"/>
              </w:rPr>
            </w:pPr>
            <w:r w:rsidRPr="00BD3832">
              <w:rPr>
                <w:sz w:val="20"/>
                <w:szCs w:val="20"/>
              </w:rPr>
              <w:t xml:space="preserve">Living alone/others </w:t>
            </w:r>
            <w:r w:rsidRPr="00BD3832">
              <w:rPr>
                <w:sz w:val="20"/>
                <w:szCs w:val="20"/>
                <w:vertAlign w:val="superscript"/>
              </w:rPr>
              <w:t>RC</w:t>
            </w:r>
          </w:p>
        </w:tc>
        <w:tc>
          <w:tcPr>
            <w:tcW w:w="1620" w:type="dxa"/>
            <w:shd w:val="clear" w:color="auto" w:fill="FFFFFF" w:themeFill="background1"/>
          </w:tcPr>
          <w:p w14:paraId="5EA87460"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3CF885D7" w14:textId="77777777" w:rsidR="007D2D75" w:rsidRPr="00BD3832" w:rsidRDefault="007D2D75" w:rsidP="00524A8F">
            <w:pPr>
              <w:spacing w:line="360" w:lineRule="auto"/>
              <w:jc w:val="center"/>
              <w:rPr>
                <w:sz w:val="20"/>
                <w:szCs w:val="20"/>
              </w:rPr>
            </w:pPr>
            <w:r w:rsidRPr="00BD3832">
              <w:rPr>
                <w:sz w:val="20"/>
                <w:szCs w:val="20"/>
              </w:rPr>
              <w:t>0.364</w:t>
            </w:r>
          </w:p>
        </w:tc>
        <w:tc>
          <w:tcPr>
            <w:tcW w:w="1646" w:type="dxa"/>
            <w:shd w:val="clear" w:color="auto" w:fill="FFFFFF" w:themeFill="background1"/>
          </w:tcPr>
          <w:p w14:paraId="25335B27"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3B2CE241"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0.067</w:t>
            </w:r>
          </w:p>
        </w:tc>
      </w:tr>
      <w:tr w:rsidR="007D2D75" w:rsidRPr="00BD3832" w14:paraId="47C112DC" w14:textId="77777777" w:rsidTr="00524A8F">
        <w:trPr>
          <w:jc w:val="center"/>
        </w:trPr>
        <w:tc>
          <w:tcPr>
            <w:tcW w:w="3796" w:type="dxa"/>
            <w:vMerge/>
            <w:shd w:val="clear" w:color="auto" w:fill="FFFFFF" w:themeFill="background1"/>
            <w:vAlign w:val="center"/>
          </w:tcPr>
          <w:p w14:paraId="01FFF5E6" w14:textId="77777777" w:rsidR="007D2D75" w:rsidRPr="00BD3832" w:rsidRDefault="007D2D75" w:rsidP="00524A8F">
            <w:pPr>
              <w:rPr>
                <w:bCs/>
                <w:sz w:val="20"/>
                <w:szCs w:val="20"/>
              </w:rPr>
            </w:pPr>
          </w:p>
        </w:tc>
        <w:tc>
          <w:tcPr>
            <w:tcW w:w="2070" w:type="dxa"/>
            <w:shd w:val="clear" w:color="auto" w:fill="FFFFFF" w:themeFill="background1"/>
          </w:tcPr>
          <w:p w14:paraId="538918C6" w14:textId="77777777" w:rsidR="007D2D75" w:rsidRPr="00BD3832" w:rsidRDefault="007D2D75" w:rsidP="00524A8F">
            <w:pPr>
              <w:rPr>
                <w:sz w:val="20"/>
                <w:szCs w:val="20"/>
              </w:rPr>
            </w:pPr>
            <w:r w:rsidRPr="00BD3832">
              <w:rPr>
                <w:sz w:val="20"/>
                <w:szCs w:val="20"/>
              </w:rPr>
              <w:t>Living with family</w:t>
            </w:r>
          </w:p>
        </w:tc>
        <w:tc>
          <w:tcPr>
            <w:tcW w:w="1620" w:type="dxa"/>
            <w:shd w:val="clear" w:color="auto" w:fill="FFFFFF" w:themeFill="background1"/>
          </w:tcPr>
          <w:p w14:paraId="4D8841D1" w14:textId="77777777" w:rsidR="007D2D75" w:rsidRPr="00BD3832" w:rsidRDefault="007D2D75" w:rsidP="00524A8F">
            <w:pPr>
              <w:spacing w:line="360" w:lineRule="auto"/>
              <w:rPr>
                <w:sz w:val="20"/>
                <w:szCs w:val="20"/>
              </w:rPr>
            </w:pPr>
            <w:r w:rsidRPr="00BD3832">
              <w:rPr>
                <w:sz w:val="20"/>
                <w:szCs w:val="20"/>
              </w:rPr>
              <w:t>1.86 (0.49-7.13)</w:t>
            </w:r>
          </w:p>
        </w:tc>
        <w:tc>
          <w:tcPr>
            <w:tcW w:w="900" w:type="dxa"/>
            <w:vMerge/>
            <w:shd w:val="clear" w:color="auto" w:fill="FFFFFF" w:themeFill="background1"/>
            <w:vAlign w:val="center"/>
          </w:tcPr>
          <w:p w14:paraId="7F51D041"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60013FFB" w14:textId="77777777" w:rsidR="007D2D75" w:rsidRPr="00BD3832" w:rsidRDefault="007D2D75" w:rsidP="00524A8F">
            <w:pPr>
              <w:spacing w:line="360" w:lineRule="auto"/>
              <w:rPr>
                <w:sz w:val="20"/>
                <w:szCs w:val="20"/>
              </w:rPr>
            </w:pPr>
            <w:r w:rsidRPr="00BD3832">
              <w:rPr>
                <w:sz w:val="20"/>
                <w:szCs w:val="20"/>
              </w:rPr>
              <w:t>5.21 (0.89-30.52)</w:t>
            </w:r>
          </w:p>
        </w:tc>
        <w:tc>
          <w:tcPr>
            <w:tcW w:w="986" w:type="dxa"/>
            <w:vMerge/>
            <w:shd w:val="clear" w:color="auto" w:fill="FFFFFF" w:themeFill="background1"/>
            <w:vAlign w:val="center"/>
          </w:tcPr>
          <w:p w14:paraId="2B005B73" w14:textId="77777777" w:rsidR="007D2D75" w:rsidRPr="00BD3832" w:rsidRDefault="007D2D75" w:rsidP="00524A8F">
            <w:pPr>
              <w:spacing w:line="360" w:lineRule="auto"/>
              <w:jc w:val="center"/>
              <w:rPr>
                <w:sz w:val="20"/>
                <w:szCs w:val="20"/>
              </w:rPr>
            </w:pPr>
          </w:p>
        </w:tc>
      </w:tr>
      <w:tr w:rsidR="007D2D75" w:rsidRPr="00BD3832" w14:paraId="7694B975" w14:textId="77777777" w:rsidTr="00524A8F">
        <w:trPr>
          <w:jc w:val="center"/>
        </w:trPr>
        <w:tc>
          <w:tcPr>
            <w:tcW w:w="3796" w:type="dxa"/>
            <w:vMerge w:val="restart"/>
            <w:shd w:val="clear" w:color="auto" w:fill="FFFFFF" w:themeFill="background1"/>
            <w:vAlign w:val="center"/>
          </w:tcPr>
          <w:p w14:paraId="54FD51B8" w14:textId="77777777" w:rsidR="007D2D75" w:rsidRPr="00BD3832" w:rsidRDefault="007D2D75" w:rsidP="00524A8F">
            <w:pPr>
              <w:rPr>
                <w:bCs/>
                <w:sz w:val="20"/>
                <w:szCs w:val="20"/>
              </w:rPr>
            </w:pPr>
            <w:r w:rsidRPr="00BD3832">
              <w:rPr>
                <w:bCs/>
                <w:sz w:val="20"/>
                <w:szCs w:val="20"/>
              </w:rPr>
              <w:t xml:space="preserve">Family type </w:t>
            </w:r>
          </w:p>
        </w:tc>
        <w:tc>
          <w:tcPr>
            <w:tcW w:w="2070" w:type="dxa"/>
            <w:shd w:val="clear" w:color="auto" w:fill="FFFFFF" w:themeFill="background1"/>
          </w:tcPr>
          <w:p w14:paraId="1534EAD8" w14:textId="77777777" w:rsidR="007D2D75" w:rsidRPr="00BD3832" w:rsidRDefault="007D2D75" w:rsidP="00524A8F">
            <w:pPr>
              <w:rPr>
                <w:sz w:val="20"/>
                <w:szCs w:val="20"/>
              </w:rPr>
            </w:pPr>
            <w:r w:rsidRPr="00BD3832">
              <w:rPr>
                <w:sz w:val="20"/>
                <w:szCs w:val="20"/>
              </w:rPr>
              <w:t xml:space="preserve">Nuclear family </w:t>
            </w:r>
            <w:r w:rsidRPr="00BD3832">
              <w:rPr>
                <w:sz w:val="20"/>
                <w:szCs w:val="20"/>
                <w:vertAlign w:val="superscript"/>
              </w:rPr>
              <w:t>RC</w:t>
            </w:r>
          </w:p>
        </w:tc>
        <w:tc>
          <w:tcPr>
            <w:tcW w:w="1620" w:type="dxa"/>
            <w:shd w:val="clear" w:color="auto" w:fill="FFFFFF" w:themeFill="background1"/>
          </w:tcPr>
          <w:p w14:paraId="2A2222A2"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7A97633C" w14:textId="77777777" w:rsidR="007D2D75" w:rsidRPr="00BD3832" w:rsidRDefault="007D2D75" w:rsidP="00524A8F">
            <w:pPr>
              <w:spacing w:line="360" w:lineRule="auto"/>
              <w:jc w:val="center"/>
              <w:rPr>
                <w:sz w:val="20"/>
                <w:szCs w:val="20"/>
              </w:rPr>
            </w:pPr>
            <w:r w:rsidRPr="00BD3832">
              <w:rPr>
                <w:sz w:val="20"/>
                <w:szCs w:val="20"/>
              </w:rPr>
              <w:t>&lt;0.001</w:t>
            </w:r>
          </w:p>
        </w:tc>
        <w:tc>
          <w:tcPr>
            <w:tcW w:w="1646" w:type="dxa"/>
            <w:shd w:val="clear" w:color="auto" w:fill="FFFFFF" w:themeFill="background1"/>
          </w:tcPr>
          <w:p w14:paraId="1CC6F274"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17501726" w14:textId="77777777" w:rsidR="007D2D75" w:rsidRPr="00BD3832" w:rsidRDefault="007D2D75" w:rsidP="00524A8F">
            <w:pPr>
              <w:spacing w:line="360" w:lineRule="auto"/>
              <w:jc w:val="center"/>
              <w:rPr>
                <w:sz w:val="20"/>
                <w:szCs w:val="20"/>
              </w:rPr>
            </w:pPr>
            <w:r w:rsidRPr="00BD3832">
              <w:rPr>
                <w:sz w:val="20"/>
                <w:szCs w:val="20"/>
              </w:rPr>
              <w:t>&lt;0.001</w:t>
            </w:r>
          </w:p>
        </w:tc>
      </w:tr>
      <w:tr w:rsidR="007D2D75" w:rsidRPr="00BD3832" w14:paraId="742D30FE" w14:textId="77777777" w:rsidTr="00524A8F">
        <w:trPr>
          <w:jc w:val="center"/>
        </w:trPr>
        <w:tc>
          <w:tcPr>
            <w:tcW w:w="3796" w:type="dxa"/>
            <w:vMerge/>
            <w:shd w:val="clear" w:color="auto" w:fill="FFFFFF" w:themeFill="background1"/>
            <w:vAlign w:val="center"/>
          </w:tcPr>
          <w:p w14:paraId="429BC799" w14:textId="77777777" w:rsidR="007D2D75" w:rsidRPr="00BD3832" w:rsidRDefault="007D2D75" w:rsidP="00524A8F">
            <w:pPr>
              <w:rPr>
                <w:bCs/>
                <w:sz w:val="20"/>
                <w:szCs w:val="20"/>
              </w:rPr>
            </w:pPr>
          </w:p>
        </w:tc>
        <w:tc>
          <w:tcPr>
            <w:tcW w:w="2070" w:type="dxa"/>
            <w:shd w:val="clear" w:color="auto" w:fill="FFFFFF" w:themeFill="background1"/>
          </w:tcPr>
          <w:p w14:paraId="6D45096D" w14:textId="77777777" w:rsidR="007D2D75" w:rsidRPr="00BD3832" w:rsidRDefault="007D2D75" w:rsidP="00524A8F">
            <w:pPr>
              <w:rPr>
                <w:sz w:val="20"/>
                <w:szCs w:val="20"/>
              </w:rPr>
            </w:pPr>
            <w:r w:rsidRPr="00BD3832">
              <w:rPr>
                <w:sz w:val="20"/>
                <w:szCs w:val="20"/>
              </w:rPr>
              <w:t>Joint family</w:t>
            </w:r>
          </w:p>
        </w:tc>
        <w:tc>
          <w:tcPr>
            <w:tcW w:w="1620" w:type="dxa"/>
            <w:shd w:val="clear" w:color="auto" w:fill="FFFFFF" w:themeFill="background1"/>
          </w:tcPr>
          <w:p w14:paraId="0C879A6E" w14:textId="77777777" w:rsidR="007D2D75" w:rsidRPr="00BD3832" w:rsidRDefault="007D2D75" w:rsidP="00524A8F">
            <w:pPr>
              <w:spacing w:line="360" w:lineRule="auto"/>
              <w:rPr>
                <w:sz w:val="20"/>
                <w:szCs w:val="20"/>
              </w:rPr>
            </w:pPr>
            <w:r w:rsidRPr="00BD3832">
              <w:rPr>
                <w:sz w:val="20"/>
                <w:szCs w:val="20"/>
              </w:rPr>
              <w:t>2.76 (1.75-4.35)</w:t>
            </w:r>
          </w:p>
        </w:tc>
        <w:tc>
          <w:tcPr>
            <w:tcW w:w="900" w:type="dxa"/>
            <w:vMerge/>
            <w:shd w:val="clear" w:color="auto" w:fill="FFFFFF" w:themeFill="background1"/>
            <w:vAlign w:val="center"/>
          </w:tcPr>
          <w:p w14:paraId="493C1CF1"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04C9AC60" w14:textId="77777777" w:rsidR="007D2D75" w:rsidRPr="00BD3832" w:rsidRDefault="007D2D75" w:rsidP="00524A8F">
            <w:pPr>
              <w:spacing w:line="360" w:lineRule="auto"/>
              <w:rPr>
                <w:sz w:val="20"/>
                <w:szCs w:val="20"/>
              </w:rPr>
            </w:pPr>
            <w:r w:rsidRPr="00BD3832">
              <w:rPr>
                <w:sz w:val="20"/>
                <w:szCs w:val="20"/>
              </w:rPr>
              <w:t>3.10 (1.88-5.13)</w:t>
            </w:r>
          </w:p>
        </w:tc>
        <w:tc>
          <w:tcPr>
            <w:tcW w:w="986" w:type="dxa"/>
            <w:vMerge/>
            <w:shd w:val="clear" w:color="auto" w:fill="FFFFFF" w:themeFill="background1"/>
            <w:vAlign w:val="center"/>
          </w:tcPr>
          <w:p w14:paraId="47E6969F" w14:textId="77777777" w:rsidR="007D2D75" w:rsidRPr="00BD3832" w:rsidRDefault="007D2D75" w:rsidP="00524A8F">
            <w:pPr>
              <w:spacing w:line="360" w:lineRule="auto"/>
              <w:jc w:val="center"/>
              <w:rPr>
                <w:sz w:val="20"/>
                <w:szCs w:val="20"/>
              </w:rPr>
            </w:pPr>
          </w:p>
        </w:tc>
      </w:tr>
      <w:tr w:rsidR="007D2D75" w:rsidRPr="00BD3832" w14:paraId="6B2D799C" w14:textId="77777777" w:rsidTr="00524A8F">
        <w:trPr>
          <w:jc w:val="center"/>
        </w:trPr>
        <w:tc>
          <w:tcPr>
            <w:tcW w:w="3796" w:type="dxa"/>
            <w:vMerge w:val="restart"/>
            <w:shd w:val="clear" w:color="auto" w:fill="FFFFFF" w:themeFill="background1"/>
            <w:vAlign w:val="center"/>
          </w:tcPr>
          <w:p w14:paraId="04BD7B4F" w14:textId="77777777" w:rsidR="007D2D75" w:rsidRPr="00BD3832" w:rsidRDefault="007D2D75" w:rsidP="00524A8F">
            <w:pPr>
              <w:rPr>
                <w:sz w:val="20"/>
                <w:szCs w:val="20"/>
              </w:rPr>
            </w:pPr>
            <w:r w:rsidRPr="00BD3832">
              <w:rPr>
                <w:bCs/>
                <w:sz w:val="20"/>
                <w:szCs w:val="20"/>
              </w:rPr>
              <w:t xml:space="preserve">Education </w:t>
            </w:r>
          </w:p>
        </w:tc>
        <w:tc>
          <w:tcPr>
            <w:tcW w:w="2070" w:type="dxa"/>
            <w:shd w:val="clear" w:color="auto" w:fill="FFFFFF" w:themeFill="background1"/>
          </w:tcPr>
          <w:p w14:paraId="74304310" w14:textId="77777777" w:rsidR="007D2D75" w:rsidRPr="00BD3832" w:rsidRDefault="007D2D75" w:rsidP="00524A8F">
            <w:pPr>
              <w:rPr>
                <w:sz w:val="20"/>
                <w:szCs w:val="20"/>
              </w:rPr>
            </w:pPr>
            <w:r w:rsidRPr="00BD3832">
              <w:rPr>
                <w:sz w:val="20"/>
                <w:szCs w:val="20"/>
              </w:rPr>
              <w:t xml:space="preserve">Primary- Secondary </w:t>
            </w:r>
            <w:r w:rsidRPr="00BD3832">
              <w:rPr>
                <w:sz w:val="20"/>
                <w:szCs w:val="20"/>
                <w:vertAlign w:val="superscript"/>
              </w:rPr>
              <w:t>RC</w:t>
            </w:r>
          </w:p>
        </w:tc>
        <w:tc>
          <w:tcPr>
            <w:tcW w:w="1620" w:type="dxa"/>
            <w:shd w:val="clear" w:color="auto" w:fill="FFFFFF" w:themeFill="background1"/>
          </w:tcPr>
          <w:p w14:paraId="7A89B3F2"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0FC943ED" w14:textId="77777777" w:rsidR="007D2D75" w:rsidRPr="00BD3832" w:rsidRDefault="007D2D75" w:rsidP="00524A8F">
            <w:pPr>
              <w:spacing w:line="360" w:lineRule="auto"/>
              <w:jc w:val="center"/>
              <w:rPr>
                <w:sz w:val="20"/>
                <w:szCs w:val="20"/>
              </w:rPr>
            </w:pPr>
            <w:r w:rsidRPr="00BD3832">
              <w:rPr>
                <w:sz w:val="20"/>
                <w:szCs w:val="20"/>
              </w:rPr>
              <w:t>0.351</w:t>
            </w:r>
          </w:p>
        </w:tc>
        <w:tc>
          <w:tcPr>
            <w:tcW w:w="1646" w:type="dxa"/>
            <w:shd w:val="clear" w:color="auto" w:fill="FFFFFF" w:themeFill="background1"/>
          </w:tcPr>
          <w:p w14:paraId="373F9C10" w14:textId="77777777" w:rsidR="007D2D75" w:rsidRPr="00BD3832" w:rsidRDefault="007D2D75" w:rsidP="00524A8F">
            <w:pPr>
              <w:spacing w:line="360" w:lineRule="auto"/>
              <w:rPr>
                <w:strike/>
                <w:sz w:val="20"/>
                <w:szCs w:val="20"/>
              </w:rPr>
            </w:pPr>
            <w:r w:rsidRPr="00BD3832">
              <w:rPr>
                <w:strike/>
                <w:sz w:val="20"/>
                <w:szCs w:val="20"/>
              </w:rPr>
              <w:t>1</w:t>
            </w:r>
          </w:p>
        </w:tc>
        <w:tc>
          <w:tcPr>
            <w:tcW w:w="986" w:type="dxa"/>
            <w:vMerge w:val="restart"/>
            <w:shd w:val="clear" w:color="auto" w:fill="FFFFFF" w:themeFill="background1"/>
            <w:vAlign w:val="center"/>
          </w:tcPr>
          <w:p w14:paraId="1E52D7CC" w14:textId="77777777" w:rsidR="007D2D75" w:rsidRPr="00BD3832" w:rsidRDefault="007D2D75" w:rsidP="00524A8F">
            <w:pPr>
              <w:spacing w:line="360" w:lineRule="auto"/>
              <w:jc w:val="center"/>
              <w:rPr>
                <w:strike/>
                <w:sz w:val="20"/>
                <w:szCs w:val="20"/>
              </w:rPr>
            </w:pPr>
            <w:r w:rsidRPr="00BD3832">
              <w:rPr>
                <w:strike/>
                <w:sz w:val="20"/>
                <w:szCs w:val="20"/>
              </w:rPr>
              <w:t>0.440</w:t>
            </w:r>
          </w:p>
        </w:tc>
      </w:tr>
      <w:tr w:rsidR="007D2D75" w:rsidRPr="00BD3832" w14:paraId="64EB0006" w14:textId="77777777" w:rsidTr="00524A8F">
        <w:trPr>
          <w:jc w:val="center"/>
        </w:trPr>
        <w:tc>
          <w:tcPr>
            <w:tcW w:w="3796" w:type="dxa"/>
            <w:vMerge/>
            <w:shd w:val="clear" w:color="auto" w:fill="FFFFFF" w:themeFill="background1"/>
            <w:vAlign w:val="center"/>
          </w:tcPr>
          <w:p w14:paraId="4A9F40F8" w14:textId="77777777" w:rsidR="007D2D75" w:rsidRPr="00BD3832" w:rsidRDefault="007D2D75" w:rsidP="00524A8F">
            <w:pPr>
              <w:spacing w:line="360" w:lineRule="auto"/>
              <w:rPr>
                <w:sz w:val="20"/>
                <w:szCs w:val="20"/>
              </w:rPr>
            </w:pPr>
          </w:p>
        </w:tc>
        <w:tc>
          <w:tcPr>
            <w:tcW w:w="2070" w:type="dxa"/>
            <w:shd w:val="clear" w:color="auto" w:fill="FFFFFF" w:themeFill="background1"/>
          </w:tcPr>
          <w:p w14:paraId="5A8C4821" w14:textId="77777777" w:rsidR="007D2D75" w:rsidRPr="00BD3832" w:rsidRDefault="007D2D75" w:rsidP="00524A8F">
            <w:pPr>
              <w:rPr>
                <w:sz w:val="20"/>
                <w:szCs w:val="20"/>
              </w:rPr>
            </w:pPr>
            <w:r w:rsidRPr="00BD3832">
              <w:rPr>
                <w:sz w:val="20"/>
                <w:szCs w:val="20"/>
              </w:rPr>
              <w:t>Higher education</w:t>
            </w:r>
          </w:p>
        </w:tc>
        <w:tc>
          <w:tcPr>
            <w:tcW w:w="1620" w:type="dxa"/>
            <w:shd w:val="clear" w:color="auto" w:fill="FFFFFF" w:themeFill="background1"/>
          </w:tcPr>
          <w:p w14:paraId="52B7F241" w14:textId="461A7EEF" w:rsidR="007D2D75" w:rsidRPr="00BD3832" w:rsidRDefault="007D2D75" w:rsidP="00524A8F">
            <w:pPr>
              <w:spacing w:line="360" w:lineRule="auto"/>
              <w:rPr>
                <w:sz w:val="20"/>
                <w:szCs w:val="20"/>
              </w:rPr>
            </w:pPr>
            <w:r w:rsidRPr="00BD3832">
              <w:rPr>
                <w:sz w:val="20"/>
                <w:szCs w:val="20"/>
              </w:rPr>
              <w:t>1.75 (0.54-5.68)</w:t>
            </w:r>
          </w:p>
        </w:tc>
        <w:tc>
          <w:tcPr>
            <w:tcW w:w="900" w:type="dxa"/>
            <w:vMerge/>
            <w:shd w:val="clear" w:color="auto" w:fill="FFFFFF" w:themeFill="background1"/>
            <w:vAlign w:val="center"/>
          </w:tcPr>
          <w:p w14:paraId="75D58066"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1AABD2A0" w14:textId="77777777" w:rsidR="007D2D75" w:rsidRPr="00BD3832" w:rsidRDefault="007D2D75" w:rsidP="00524A8F">
            <w:pPr>
              <w:spacing w:line="360" w:lineRule="auto"/>
              <w:rPr>
                <w:strike/>
                <w:sz w:val="20"/>
                <w:szCs w:val="20"/>
              </w:rPr>
            </w:pPr>
            <w:r w:rsidRPr="00BD3832">
              <w:rPr>
                <w:strike/>
                <w:sz w:val="20"/>
                <w:szCs w:val="20"/>
              </w:rPr>
              <w:t>2.80 (1.20-38.54)</w:t>
            </w:r>
          </w:p>
        </w:tc>
        <w:tc>
          <w:tcPr>
            <w:tcW w:w="986" w:type="dxa"/>
            <w:vMerge/>
            <w:shd w:val="clear" w:color="auto" w:fill="FFFFFF" w:themeFill="background1"/>
            <w:vAlign w:val="center"/>
          </w:tcPr>
          <w:p w14:paraId="4CBC0A7B" w14:textId="77777777" w:rsidR="007D2D75" w:rsidRPr="00BD3832" w:rsidRDefault="007D2D75" w:rsidP="00524A8F">
            <w:pPr>
              <w:spacing w:line="360" w:lineRule="auto"/>
              <w:jc w:val="center"/>
              <w:rPr>
                <w:strike/>
                <w:sz w:val="20"/>
                <w:szCs w:val="20"/>
              </w:rPr>
            </w:pPr>
          </w:p>
        </w:tc>
      </w:tr>
      <w:tr w:rsidR="007D2D75" w:rsidRPr="00BD3832" w14:paraId="2E64F2AD" w14:textId="77777777" w:rsidTr="00524A8F">
        <w:trPr>
          <w:trHeight w:val="323"/>
          <w:jc w:val="center"/>
        </w:trPr>
        <w:tc>
          <w:tcPr>
            <w:tcW w:w="3796" w:type="dxa"/>
            <w:vMerge w:val="restart"/>
            <w:shd w:val="clear" w:color="auto" w:fill="FFFFFF" w:themeFill="background1"/>
            <w:vAlign w:val="center"/>
          </w:tcPr>
          <w:p w14:paraId="266CE33D" w14:textId="77777777" w:rsidR="007D2D75" w:rsidRPr="00BD3832" w:rsidRDefault="007D2D75" w:rsidP="00524A8F">
            <w:pPr>
              <w:rPr>
                <w:bCs/>
                <w:sz w:val="20"/>
                <w:szCs w:val="20"/>
              </w:rPr>
            </w:pPr>
            <w:r w:rsidRPr="00BD3832">
              <w:rPr>
                <w:bCs/>
                <w:sz w:val="20"/>
                <w:szCs w:val="20"/>
              </w:rPr>
              <w:t xml:space="preserve">Occupation </w:t>
            </w:r>
          </w:p>
        </w:tc>
        <w:tc>
          <w:tcPr>
            <w:tcW w:w="2070" w:type="dxa"/>
            <w:shd w:val="clear" w:color="auto" w:fill="FFFFFF" w:themeFill="background1"/>
          </w:tcPr>
          <w:p w14:paraId="3A5654B5" w14:textId="77777777" w:rsidR="007D2D75" w:rsidRPr="00BD3832" w:rsidRDefault="007D2D75" w:rsidP="00524A8F">
            <w:pPr>
              <w:rPr>
                <w:sz w:val="20"/>
                <w:szCs w:val="20"/>
              </w:rPr>
            </w:pPr>
            <w:r w:rsidRPr="00BD3832">
              <w:rPr>
                <w:sz w:val="20"/>
                <w:szCs w:val="20"/>
              </w:rPr>
              <w:t xml:space="preserve">Non-working </w:t>
            </w:r>
            <w:r w:rsidRPr="00BD3832">
              <w:rPr>
                <w:sz w:val="20"/>
                <w:szCs w:val="20"/>
                <w:vertAlign w:val="superscript"/>
              </w:rPr>
              <w:t>RC</w:t>
            </w:r>
            <w:r w:rsidRPr="00BD3832">
              <w:rPr>
                <w:sz w:val="20"/>
                <w:szCs w:val="20"/>
              </w:rPr>
              <w:t xml:space="preserve"> (Unemployed)</w:t>
            </w:r>
          </w:p>
        </w:tc>
        <w:tc>
          <w:tcPr>
            <w:tcW w:w="1620" w:type="dxa"/>
            <w:shd w:val="clear" w:color="auto" w:fill="FFFFFF" w:themeFill="background1"/>
          </w:tcPr>
          <w:p w14:paraId="1CFC6A6A"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1A8B2300" w14:textId="77777777" w:rsidR="007D2D75" w:rsidRPr="00BD3832" w:rsidRDefault="007D2D75" w:rsidP="00524A8F">
            <w:pPr>
              <w:spacing w:line="360" w:lineRule="auto"/>
              <w:jc w:val="center"/>
              <w:rPr>
                <w:sz w:val="20"/>
                <w:szCs w:val="20"/>
              </w:rPr>
            </w:pPr>
            <w:r w:rsidRPr="00BD3832">
              <w:rPr>
                <w:sz w:val="20"/>
                <w:szCs w:val="20"/>
              </w:rPr>
              <w:t>0.632</w:t>
            </w:r>
          </w:p>
        </w:tc>
        <w:tc>
          <w:tcPr>
            <w:tcW w:w="1646" w:type="dxa"/>
            <w:shd w:val="clear" w:color="auto" w:fill="FFFFFF" w:themeFill="background1"/>
          </w:tcPr>
          <w:p w14:paraId="66CA7D35"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7F27A153" w14:textId="77777777" w:rsidR="007D2D75" w:rsidRPr="00BD3832" w:rsidRDefault="007D2D75" w:rsidP="00524A8F">
            <w:pPr>
              <w:spacing w:line="360" w:lineRule="auto"/>
              <w:jc w:val="center"/>
              <w:rPr>
                <w:sz w:val="20"/>
                <w:szCs w:val="20"/>
              </w:rPr>
            </w:pPr>
            <w:r w:rsidRPr="00BD3832">
              <w:rPr>
                <w:sz w:val="20"/>
                <w:szCs w:val="20"/>
              </w:rPr>
              <w:t>0.230</w:t>
            </w:r>
          </w:p>
        </w:tc>
      </w:tr>
      <w:tr w:rsidR="007D2D75" w:rsidRPr="00BD3832" w14:paraId="476A1A45" w14:textId="77777777" w:rsidTr="00524A8F">
        <w:trPr>
          <w:jc w:val="center"/>
        </w:trPr>
        <w:tc>
          <w:tcPr>
            <w:tcW w:w="3796" w:type="dxa"/>
            <w:vMerge/>
            <w:shd w:val="clear" w:color="auto" w:fill="FFFFFF" w:themeFill="background1"/>
          </w:tcPr>
          <w:p w14:paraId="71BEB016" w14:textId="77777777" w:rsidR="007D2D75" w:rsidRPr="00BD3832" w:rsidRDefault="007D2D75" w:rsidP="00524A8F">
            <w:pPr>
              <w:rPr>
                <w:bCs/>
                <w:sz w:val="20"/>
                <w:szCs w:val="20"/>
              </w:rPr>
            </w:pPr>
          </w:p>
        </w:tc>
        <w:tc>
          <w:tcPr>
            <w:tcW w:w="2070" w:type="dxa"/>
            <w:shd w:val="clear" w:color="auto" w:fill="FFFFFF" w:themeFill="background1"/>
          </w:tcPr>
          <w:p w14:paraId="3B7622A5" w14:textId="77777777" w:rsidR="007D2D75" w:rsidRPr="00BD3832" w:rsidRDefault="007D2D75" w:rsidP="00524A8F">
            <w:pPr>
              <w:rPr>
                <w:sz w:val="20"/>
                <w:szCs w:val="20"/>
              </w:rPr>
            </w:pPr>
            <w:r w:rsidRPr="00BD3832">
              <w:rPr>
                <w:sz w:val="20"/>
                <w:szCs w:val="20"/>
              </w:rPr>
              <w:t>Working</w:t>
            </w:r>
          </w:p>
        </w:tc>
        <w:tc>
          <w:tcPr>
            <w:tcW w:w="1620" w:type="dxa"/>
            <w:shd w:val="clear" w:color="auto" w:fill="FFFFFF" w:themeFill="background1"/>
          </w:tcPr>
          <w:p w14:paraId="3E1BE816" w14:textId="77777777" w:rsidR="007D2D75" w:rsidRPr="00BD3832" w:rsidRDefault="007D2D75" w:rsidP="00524A8F">
            <w:pPr>
              <w:spacing w:line="360" w:lineRule="auto"/>
              <w:rPr>
                <w:sz w:val="20"/>
                <w:szCs w:val="20"/>
              </w:rPr>
            </w:pPr>
            <w:r w:rsidRPr="00BD3832">
              <w:rPr>
                <w:sz w:val="20"/>
                <w:szCs w:val="20"/>
              </w:rPr>
              <w:t>1.10 (0.73-1.69)</w:t>
            </w:r>
          </w:p>
        </w:tc>
        <w:tc>
          <w:tcPr>
            <w:tcW w:w="900" w:type="dxa"/>
            <w:vMerge/>
            <w:shd w:val="clear" w:color="auto" w:fill="FFFFFF" w:themeFill="background1"/>
            <w:vAlign w:val="center"/>
          </w:tcPr>
          <w:p w14:paraId="4FA36D28"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3FAD5119" w14:textId="77777777" w:rsidR="007D2D75" w:rsidRPr="00BD3832" w:rsidRDefault="007D2D75" w:rsidP="00524A8F">
            <w:pPr>
              <w:spacing w:line="360" w:lineRule="auto"/>
              <w:rPr>
                <w:sz w:val="20"/>
                <w:szCs w:val="20"/>
              </w:rPr>
            </w:pPr>
            <w:r w:rsidRPr="00BD3832">
              <w:rPr>
                <w:sz w:val="20"/>
                <w:szCs w:val="20"/>
              </w:rPr>
              <w:t>1.34 (0.82-2.19)</w:t>
            </w:r>
          </w:p>
        </w:tc>
        <w:tc>
          <w:tcPr>
            <w:tcW w:w="986" w:type="dxa"/>
            <w:vMerge/>
            <w:shd w:val="clear" w:color="auto" w:fill="FFFFFF" w:themeFill="background1"/>
            <w:vAlign w:val="center"/>
          </w:tcPr>
          <w:p w14:paraId="770CF6EF" w14:textId="77777777" w:rsidR="007D2D75" w:rsidRPr="00BD3832" w:rsidRDefault="007D2D75" w:rsidP="00524A8F">
            <w:pPr>
              <w:spacing w:line="360" w:lineRule="auto"/>
              <w:jc w:val="center"/>
              <w:rPr>
                <w:sz w:val="20"/>
                <w:szCs w:val="20"/>
              </w:rPr>
            </w:pPr>
          </w:p>
        </w:tc>
      </w:tr>
      <w:tr w:rsidR="007D2D75" w:rsidRPr="00BD3832" w14:paraId="5B89F3AC" w14:textId="77777777" w:rsidTr="00524A8F">
        <w:trPr>
          <w:jc w:val="center"/>
        </w:trPr>
        <w:tc>
          <w:tcPr>
            <w:tcW w:w="3796" w:type="dxa"/>
            <w:vMerge w:val="restart"/>
            <w:shd w:val="clear" w:color="auto" w:fill="FFFFFF" w:themeFill="background1"/>
            <w:vAlign w:val="center"/>
          </w:tcPr>
          <w:p w14:paraId="4C7EB530" w14:textId="77777777" w:rsidR="007D2D75" w:rsidRPr="00BD3832" w:rsidRDefault="007D2D75" w:rsidP="00524A8F">
            <w:pPr>
              <w:rPr>
                <w:bCs/>
                <w:sz w:val="20"/>
                <w:szCs w:val="20"/>
              </w:rPr>
            </w:pPr>
            <w:r w:rsidRPr="00BD3832">
              <w:rPr>
                <w:bCs/>
                <w:sz w:val="20"/>
                <w:szCs w:val="20"/>
              </w:rPr>
              <w:t>Socio- economic condition</w:t>
            </w:r>
          </w:p>
        </w:tc>
        <w:tc>
          <w:tcPr>
            <w:tcW w:w="2070" w:type="dxa"/>
            <w:shd w:val="clear" w:color="auto" w:fill="FFFFFF" w:themeFill="background1"/>
          </w:tcPr>
          <w:p w14:paraId="33F9D066" w14:textId="77777777" w:rsidR="007D2D75" w:rsidRPr="00BD3832" w:rsidRDefault="007D2D75" w:rsidP="00524A8F">
            <w:pPr>
              <w:rPr>
                <w:sz w:val="20"/>
                <w:szCs w:val="20"/>
              </w:rPr>
            </w:pPr>
            <w:r w:rsidRPr="00BD3832">
              <w:rPr>
                <w:sz w:val="20"/>
                <w:szCs w:val="20"/>
              </w:rPr>
              <w:t xml:space="preserve">Low and middle income </w:t>
            </w:r>
            <w:r w:rsidRPr="00BD3832">
              <w:rPr>
                <w:sz w:val="20"/>
                <w:szCs w:val="20"/>
                <w:vertAlign w:val="superscript"/>
              </w:rPr>
              <w:t>RC</w:t>
            </w:r>
          </w:p>
        </w:tc>
        <w:tc>
          <w:tcPr>
            <w:tcW w:w="1620" w:type="dxa"/>
            <w:shd w:val="clear" w:color="auto" w:fill="FFFFFF" w:themeFill="background1"/>
          </w:tcPr>
          <w:p w14:paraId="11BCAA5B"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0DE01B9C" w14:textId="77777777" w:rsidR="007D2D75" w:rsidRPr="00BD3832" w:rsidRDefault="007D2D75" w:rsidP="00524A8F">
            <w:pPr>
              <w:spacing w:line="360" w:lineRule="auto"/>
              <w:jc w:val="center"/>
              <w:rPr>
                <w:sz w:val="20"/>
                <w:szCs w:val="20"/>
              </w:rPr>
            </w:pPr>
            <w:r w:rsidRPr="00BD3832">
              <w:rPr>
                <w:sz w:val="20"/>
                <w:szCs w:val="20"/>
              </w:rPr>
              <w:t>0.602</w:t>
            </w:r>
          </w:p>
        </w:tc>
        <w:tc>
          <w:tcPr>
            <w:tcW w:w="1646" w:type="dxa"/>
            <w:shd w:val="clear" w:color="auto" w:fill="FFFFFF" w:themeFill="background1"/>
          </w:tcPr>
          <w:p w14:paraId="698FEC23"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5ADC9697" w14:textId="77777777" w:rsidR="007D2D75" w:rsidRPr="00BD3832" w:rsidRDefault="007D2D75" w:rsidP="00524A8F">
            <w:pPr>
              <w:spacing w:line="360" w:lineRule="auto"/>
              <w:jc w:val="center"/>
              <w:rPr>
                <w:sz w:val="20"/>
                <w:szCs w:val="20"/>
              </w:rPr>
            </w:pPr>
            <w:r w:rsidRPr="00BD3832">
              <w:rPr>
                <w:sz w:val="20"/>
                <w:szCs w:val="20"/>
              </w:rPr>
              <w:t>0.787</w:t>
            </w:r>
          </w:p>
        </w:tc>
      </w:tr>
      <w:tr w:rsidR="007D2D75" w:rsidRPr="00BD3832" w14:paraId="0D3837EB" w14:textId="77777777" w:rsidTr="00524A8F">
        <w:trPr>
          <w:jc w:val="center"/>
        </w:trPr>
        <w:tc>
          <w:tcPr>
            <w:tcW w:w="3796" w:type="dxa"/>
            <w:vMerge/>
            <w:shd w:val="clear" w:color="auto" w:fill="FFFFFF" w:themeFill="background1"/>
            <w:vAlign w:val="center"/>
          </w:tcPr>
          <w:p w14:paraId="5655FF00" w14:textId="77777777" w:rsidR="007D2D75" w:rsidRPr="00BD3832" w:rsidRDefault="007D2D75" w:rsidP="00524A8F">
            <w:pPr>
              <w:rPr>
                <w:sz w:val="20"/>
                <w:szCs w:val="20"/>
              </w:rPr>
            </w:pPr>
          </w:p>
        </w:tc>
        <w:tc>
          <w:tcPr>
            <w:tcW w:w="2070" w:type="dxa"/>
            <w:shd w:val="clear" w:color="auto" w:fill="FFFFFF" w:themeFill="background1"/>
          </w:tcPr>
          <w:p w14:paraId="3C2483F5" w14:textId="77777777" w:rsidR="007D2D75" w:rsidRPr="00BD3832" w:rsidRDefault="007D2D75" w:rsidP="00524A8F">
            <w:pPr>
              <w:rPr>
                <w:sz w:val="20"/>
                <w:szCs w:val="20"/>
              </w:rPr>
            </w:pPr>
            <w:r w:rsidRPr="00BD3832">
              <w:rPr>
                <w:sz w:val="20"/>
                <w:szCs w:val="20"/>
              </w:rPr>
              <w:t>Upper and high income</w:t>
            </w:r>
          </w:p>
        </w:tc>
        <w:tc>
          <w:tcPr>
            <w:tcW w:w="1620" w:type="dxa"/>
            <w:shd w:val="clear" w:color="auto" w:fill="FFFFFF" w:themeFill="background1"/>
          </w:tcPr>
          <w:p w14:paraId="5FE7297D" w14:textId="77777777" w:rsidR="007D2D75" w:rsidRPr="00BD3832" w:rsidRDefault="007D2D75" w:rsidP="00524A8F">
            <w:pPr>
              <w:spacing w:line="360" w:lineRule="auto"/>
              <w:rPr>
                <w:sz w:val="20"/>
                <w:szCs w:val="20"/>
              </w:rPr>
            </w:pPr>
            <w:r w:rsidRPr="00BD3832">
              <w:rPr>
                <w:sz w:val="20"/>
                <w:szCs w:val="20"/>
              </w:rPr>
              <w:t>0.80 (0.35-1.84)</w:t>
            </w:r>
          </w:p>
        </w:tc>
        <w:tc>
          <w:tcPr>
            <w:tcW w:w="900" w:type="dxa"/>
            <w:vMerge/>
            <w:shd w:val="clear" w:color="auto" w:fill="FFFFFF" w:themeFill="background1"/>
            <w:vAlign w:val="center"/>
          </w:tcPr>
          <w:p w14:paraId="422F984C"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0C68A749" w14:textId="77777777" w:rsidR="007D2D75" w:rsidRPr="00BD3832" w:rsidRDefault="007D2D75" w:rsidP="00524A8F">
            <w:pPr>
              <w:spacing w:line="360" w:lineRule="auto"/>
              <w:rPr>
                <w:sz w:val="20"/>
                <w:szCs w:val="20"/>
              </w:rPr>
            </w:pPr>
            <w:r w:rsidRPr="00BD3832">
              <w:rPr>
                <w:sz w:val="20"/>
                <w:szCs w:val="20"/>
              </w:rPr>
              <w:t>0.84 (0.25-2.83)</w:t>
            </w:r>
          </w:p>
        </w:tc>
        <w:tc>
          <w:tcPr>
            <w:tcW w:w="986" w:type="dxa"/>
            <w:vMerge/>
            <w:shd w:val="clear" w:color="auto" w:fill="FFFFFF" w:themeFill="background1"/>
            <w:vAlign w:val="center"/>
          </w:tcPr>
          <w:p w14:paraId="25E64029" w14:textId="77777777" w:rsidR="007D2D75" w:rsidRPr="00BD3832" w:rsidRDefault="007D2D75" w:rsidP="00524A8F">
            <w:pPr>
              <w:spacing w:line="360" w:lineRule="auto"/>
              <w:jc w:val="center"/>
              <w:rPr>
                <w:sz w:val="20"/>
                <w:szCs w:val="20"/>
              </w:rPr>
            </w:pPr>
          </w:p>
        </w:tc>
      </w:tr>
      <w:tr w:rsidR="007D2D75" w:rsidRPr="00BD3832" w14:paraId="1DAF290F" w14:textId="77777777" w:rsidTr="00524A8F">
        <w:trPr>
          <w:jc w:val="center"/>
        </w:trPr>
        <w:tc>
          <w:tcPr>
            <w:tcW w:w="3796" w:type="dxa"/>
            <w:vMerge w:val="restart"/>
            <w:shd w:val="clear" w:color="auto" w:fill="FFFFFF" w:themeFill="background1"/>
            <w:vAlign w:val="center"/>
          </w:tcPr>
          <w:p w14:paraId="40C5EFBD" w14:textId="77777777" w:rsidR="007D2D75" w:rsidRPr="00BD3832" w:rsidRDefault="007D2D75" w:rsidP="00524A8F">
            <w:pPr>
              <w:rPr>
                <w:sz w:val="20"/>
                <w:szCs w:val="20"/>
              </w:rPr>
            </w:pPr>
            <w:r w:rsidRPr="00BD3832">
              <w:rPr>
                <w:sz w:val="20"/>
                <w:szCs w:val="20"/>
              </w:rPr>
              <w:t>Religion</w:t>
            </w:r>
          </w:p>
        </w:tc>
        <w:tc>
          <w:tcPr>
            <w:tcW w:w="2070" w:type="dxa"/>
            <w:shd w:val="clear" w:color="auto" w:fill="FFFFFF" w:themeFill="background1"/>
            <w:vAlign w:val="center"/>
          </w:tcPr>
          <w:p w14:paraId="048AF670" w14:textId="77777777" w:rsidR="007D2D75" w:rsidRPr="00BD3832" w:rsidRDefault="007D2D75" w:rsidP="00524A8F">
            <w:pPr>
              <w:rPr>
                <w:sz w:val="20"/>
                <w:szCs w:val="20"/>
              </w:rPr>
            </w:pPr>
            <w:r w:rsidRPr="00BD3832">
              <w:rPr>
                <w:sz w:val="20"/>
                <w:szCs w:val="20"/>
              </w:rPr>
              <w:t xml:space="preserve">Hindu and others </w:t>
            </w:r>
            <w:r w:rsidRPr="00BD3832">
              <w:rPr>
                <w:sz w:val="20"/>
                <w:szCs w:val="20"/>
                <w:vertAlign w:val="superscript"/>
              </w:rPr>
              <w:t>RC</w:t>
            </w:r>
          </w:p>
        </w:tc>
        <w:tc>
          <w:tcPr>
            <w:tcW w:w="1620" w:type="dxa"/>
            <w:shd w:val="clear" w:color="auto" w:fill="FFFFFF" w:themeFill="background1"/>
          </w:tcPr>
          <w:p w14:paraId="621CD2D2"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06D09B9B" w14:textId="77777777" w:rsidR="007D2D75" w:rsidRPr="00BD3832" w:rsidRDefault="007D2D75" w:rsidP="00524A8F">
            <w:pPr>
              <w:spacing w:line="360" w:lineRule="auto"/>
              <w:jc w:val="center"/>
              <w:rPr>
                <w:sz w:val="20"/>
                <w:szCs w:val="20"/>
              </w:rPr>
            </w:pPr>
            <w:r w:rsidRPr="00BD3832">
              <w:rPr>
                <w:sz w:val="20"/>
                <w:szCs w:val="20"/>
              </w:rPr>
              <w:t>0.645</w:t>
            </w:r>
          </w:p>
        </w:tc>
        <w:tc>
          <w:tcPr>
            <w:tcW w:w="1646" w:type="dxa"/>
            <w:shd w:val="clear" w:color="auto" w:fill="FFFFFF" w:themeFill="background1"/>
          </w:tcPr>
          <w:p w14:paraId="0BEE5092"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1656DED4"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0.973</w:t>
            </w:r>
          </w:p>
        </w:tc>
      </w:tr>
      <w:tr w:rsidR="007D2D75" w:rsidRPr="00BD3832" w14:paraId="21DFD32A" w14:textId="77777777" w:rsidTr="00524A8F">
        <w:trPr>
          <w:jc w:val="center"/>
        </w:trPr>
        <w:tc>
          <w:tcPr>
            <w:tcW w:w="3796" w:type="dxa"/>
            <w:vMerge/>
            <w:shd w:val="clear" w:color="auto" w:fill="FFFFFF" w:themeFill="background1"/>
            <w:vAlign w:val="center"/>
          </w:tcPr>
          <w:p w14:paraId="63C6E735" w14:textId="77777777" w:rsidR="007D2D75" w:rsidRPr="00BD3832" w:rsidRDefault="007D2D75" w:rsidP="00524A8F">
            <w:pPr>
              <w:rPr>
                <w:sz w:val="20"/>
                <w:szCs w:val="20"/>
              </w:rPr>
            </w:pPr>
          </w:p>
        </w:tc>
        <w:tc>
          <w:tcPr>
            <w:tcW w:w="2070" w:type="dxa"/>
            <w:shd w:val="clear" w:color="auto" w:fill="FFFFFF" w:themeFill="background1"/>
            <w:vAlign w:val="center"/>
          </w:tcPr>
          <w:p w14:paraId="60A0D663" w14:textId="77777777" w:rsidR="007D2D75" w:rsidRPr="00BD3832" w:rsidRDefault="007D2D75" w:rsidP="00524A8F">
            <w:pPr>
              <w:rPr>
                <w:sz w:val="20"/>
                <w:szCs w:val="20"/>
              </w:rPr>
            </w:pPr>
            <w:r w:rsidRPr="00BD3832">
              <w:rPr>
                <w:sz w:val="20"/>
                <w:szCs w:val="20"/>
              </w:rPr>
              <w:t>Muslims</w:t>
            </w:r>
          </w:p>
        </w:tc>
        <w:tc>
          <w:tcPr>
            <w:tcW w:w="1620" w:type="dxa"/>
            <w:shd w:val="clear" w:color="auto" w:fill="FFFFFF" w:themeFill="background1"/>
          </w:tcPr>
          <w:p w14:paraId="154D70A7" w14:textId="77777777" w:rsidR="007D2D75" w:rsidRPr="00BD3832" w:rsidRDefault="007D2D75" w:rsidP="00524A8F">
            <w:pPr>
              <w:spacing w:line="360" w:lineRule="auto"/>
              <w:rPr>
                <w:sz w:val="20"/>
                <w:szCs w:val="20"/>
              </w:rPr>
            </w:pPr>
            <w:r w:rsidRPr="00BD3832">
              <w:rPr>
                <w:sz w:val="20"/>
                <w:szCs w:val="20"/>
              </w:rPr>
              <w:t>0.82 (0.34-1.94)</w:t>
            </w:r>
          </w:p>
        </w:tc>
        <w:tc>
          <w:tcPr>
            <w:tcW w:w="900" w:type="dxa"/>
            <w:vMerge/>
            <w:shd w:val="clear" w:color="auto" w:fill="FFFFFF" w:themeFill="background1"/>
          </w:tcPr>
          <w:p w14:paraId="56E78498" w14:textId="77777777" w:rsidR="007D2D75" w:rsidRPr="00BD3832" w:rsidRDefault="007D2D75" w:rsidP="00524A8F">
            <w:pPr>
              <w:spacing w:line="360" w:lineRule="auto"/>
              <w:rPr>
                <w:sz w:val="20"/>
                <w:szCs w:val="20"/>
              </w:rPr>
            </w:pPr>
          </w:p>
        </w:tc>
        <w:tc>
          <w:tcPr>
            <w:tcW w:w="1646" w:type="dxa"/>
            <w:shd w:val="clear" w:color="auto" w:fill="FFFFFF" w:themeFill="background1"/>
          </w:tcPr>
          <w:p w14:paraId="0AD69177" w14:textId="5426B5CC" w:rsidR="007D2D75" w:rsidRPr="00BD3832" w:rsidRDefault="007D2D75" w:rsidP="00524A8F">
            <w:pPr>
              <w:spacing w:line="360" w:lineRule="auto"/>
              <w:rPr>
                <w:strike/>
                <w:sz w:val="20"/>
                <w:szCs w:val="20"/>
              </w:rPr>
            </w:pPr>
          </w:p>
          <w:p w14:paraId="64973854" w14:textId="77777777" w:rsidR="007D2D75" w:rsidRPr="00BD3832" w:rsidRDefault="007D2D75" w:rsidP="00524A8F">
            <w:pPr>
              <w:spacing w:line="360" w:lineRule="auto"/>
              <w:rPr>
                <w:sz w:val="20"/>
                <w:szCs w:val="20"/>
              </w:rPr>
            </w:pPr>
            <w:r w:rsidRPr="00BD3832">
              <w:rPr>
                <w:sz w:val="20"/>
                <w:szCs w:val="20"/>
              </w:rPr>
              <w:t>1.01 (0.40-2.52)</w:t>
            </w:r>
          </w:p>
        </w:tc>
        <w:tc>
          <w:tcPr>
            <w:tcW w:w="986" w:type="dxa"/>
            <w:vMerge/>
            <w:shd w:val="clear" w:color="auto" w:fill="FFFFFF" w:themeFill="background1"/>
          </w:tcPr>
          <w:p w14:paraId="1858CDE7" w14:textId="77777777" w:rsidR="007D2D75" w:rsidRPr="00BD3832" w:rsidRDefault="007D2D75" w:rsidP="00524A8F">
            <w:pPr>
              <w:spacing w:line="360" w:lineRule="auto"/>
              <w:rPr>
                <w:sz w:val="20"/>
                <w:szCs w:val="20"/>
              </w:rPr>
            </w:pPr>
          </w:p>
        </w:tc>
      </w:tr>
      <w:tr w:rsidR="007D2D75" w:rsidRPr="00BD3832" w14:paraId="07806C63" w14:textId="77777777" w:rsidTr="00524A8F">
        <w:trPr>
          <w:trHeight w:val="440"/>
          <w:jc w:val="center"/>
        </w:trPr>
        <w:tc>
          <w:tcPr>
            <w:tcW w:w="11018" w:type="dxa"/>
            <w:gridSpan w:val="6"/>
            <w:shd w:val="clear" w:color="auto" w:fill="FFFFFF" w:themeFill="background1"/>
            <w:vAlign w:val="center"/>
          </w:tcPr>
          <w:p w14:paraId="22B4A73C" w14:textId="77777777" w:rsidR="007D2D75" w:rsidRPr="00BD3832" w:rsidRDefault="007D2D75" w:rsidP="00524A8F">
            <w:pPr>
              <w:spacing w:line="360" w:lineRule="auto"/>
              <w:rPr>
                <w:i/>
                <w:sz w:val="20"/>
                <w:szCs w:val="20"/>
              </w:rPr>
            </w:pPr>
            <w:r w:rsidRPr="00BD3832">
              <w:rPr>
                <w:i/>
                <w:sz w:val="20"/>
                <w:szCs w:val="20"/>
              </w:rPr>
              <w:t>Predictors of overall perception level  for  parental  tobacco control measures at HHs level</w:t>
            </w:r>
          </w:p>
        </w:tc>
      </w:tr>
      <w:tr w:rsidR="007D2D75" w:rsidRPr="00BD3832" w14:paraId="77FADAFA" w14:textId="77777777" w:rsidTr="00524A8F">
        <w:trPr>
          <w:jc w:val="center"/>
        </w:trPr>
        <w:tc>
          <w:tcPr>
            <w:tcW w:w="3796" w:type="dxa"/>
            <w:vMerge w:val="restart"/>
            <w:shd w:val="clear" w:color="auto" w:fill="FFFFFF" w:themeFill="background1"/>
            <w:vAlign w:val="center"/>
          </w:tcPr>
          <w:p w14:paraId="64CABF4B" w14:textId="77777777" w:rsidR="007D2D75" w:rsidRPr="00BD3832" w:rsidRDefault="007D2D75" w:rsidP="00524A8F">
            <w:pPr>
              <w:rPr>
                <w:sz w:val="20"/>
                <w:szCs w:val="20"/>
              </w:rPr>
            </w:pPr>
            <w:r w:rsidRPr="00BD3832">
              <w:rPr>
                <w:sz w:val="20"/>
                <w:szCs w:val="20"/>
              </w:rPr>
              <w:t>Parent (Household Head) can easily control tobacco use at HHs</w:t>
            </w:r>
          </w:p>
        </w:tc>
        <w:tc>
          <w:tcPr>
            <w:tcW w:w="2070" w:type="dxa"/>
            <w:shd w:val="clear" w:color="auto" w:fill="FFFFFF" w:themeFill="background1"/>
          </w:tcPr>
          <w:p w14:paraId="51199C54"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5E8F1490"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3214AE2E" w14:textId="77777777" w:rsidR="007D2D75" w:rsidRPr="00BD3832" w:rsidRDefault="007D2D75" w:rsidP="00524A8F">
            <w:pPr>
              <w:spacing w:line="360" w:lineRule="auto"/>
              <w:jc w:val="center"/>
              <w:rPr>
                <w:sz w:val="20"/>
                <w:szCs w:val="20"/>
              </w:rPr>
            </w:pPr>
            <w:r w:rsidRPr="00BD3832">
              <w:rPr>
                <w:sz w:val="20"/>
                <w:szCs w:val="20"/>
              </w:rPr>
              <w:t>&lt;0.001</w:t>
            </w:r>
          </w:p>
        </w:tc>
        <w:tc>
          <w:tcPr>
            <w:tcW w:w="1646" w:type="dxa"/>
            <w:shd w:val="clear" w:color="auto" w:fill="FFFFFF" w:themeFill="background1"/>
          </w:tcPr>
          <w:p w14:paraId="5E6AFAB1"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771B939D" w14:textId="77777777" w:rsidR="007D2D75" w:rsidRPr="00BD3832" w:rsidRDefault="007D2D75" w:rsidP="00524A8F">
            <w:pPr>
              <w:spacing w:line="360" w:lineRule="auto"/>
              <w:jc w:val="center"/>
              <w:rPr>
                <w:sz w:val="20"/>
                <w:szCs w:val="20"/>
              </w:rPr>
            </w:pPr>
            <w:r w:rsidRPr="00BD3832">
              <w:rPr>
                <w:sz w:val="20"/>
                <w:szCs w:val="20"/>
              </w:rPr>
              <w:t>0.966</w:t>
            </w:r>
          </w:p>
        </w:tc>
      </w:tr>
      <w:tr w:rsidR="007D2D75" w:rsidRPr="00BD3832" w14:paraId="36823BC9" w14:textId="77777777" w:rsidTr="00524A8F">
        <w:trPr>
          <w:jc w:val="center"/>
        </w:trPr>
        <w:tc>
          <w:tcPr>
            <w:tcW w:w="3796" w:type="dxa"/>
            <w:vMerge/>
            <w:shd w:val="clear" w:color="auto" w:fill="FFFFFF" w:themeFill="background1"/>
            <w:vAlign w:val="center"/>
          </w:tcPr>
          <w:p w14:paraId="6DAFAD37" w14:textId="77777777" w:rsidR="007D2D75" w:rsidRPr="00BD3832" w:rsidRDefault="007D2D75" w:rsidP="00524A8F">
            <w:pPr>
              <w:rPr>
                <w:sz w:val="20"/>
                <w:szCs w:val="20"/>
              </w:rPr>
            </w:pPr>
          </w:p>
        </w:tc>
        <w:tc>
          <w:tcPr>
            <w:tcW w:w="2070" w:type="dxa"/>
            <w:shd w:val="clear" w:color="auto" w:fill="FFFFFF" w:themeFill="background1"/>
          </w:tcPr>
          <w:p w14:paraId="079515B0"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75950DD5" w14:textId="77777777" w:rsidR="007D2D75" w:rsidRPr="00BD3832" w:rsidRDefault="007D2D75" w:rsidP="00524A8F">
            <w:pPr>
              <w:spacing w:line="360" w:lineRule="auto"/>
              <w:rPr>
                <w:sz w:val="20"/>
                <w:szCs w:val="20"/>
              </w:rPr>
            </w:pPr>
            <w:r w:rsidRPr="00BD3832">
              <w:rPr>
                <w:sz w:val="20"/>
                <w:szCs w:val="20"/>
              </w:rPr>
              <w:t>2.76 (1.74-.4.35)</w:t>
            </w:r>
          </w:p>
        </w:tc>
        <w:tc>
          <w:tcPr>
            <w:tcW w:w="900" w:type="dxa"/>
            <w:vMerge/>
            <w:shd w:val="clear" w:color="auto" w:fill="FFFFFF" w:themeFill="background1"/>
            <w:vAlign w:val="center"/>
          </w:tcPr>
          <w:p w14:paraId="72408D80"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4B8E407C" w14:textId="77777777" w:rsidR="007D2D75" w:rsidRPr="00BD3832" w:rsidRDefault="007D2D75" w:rsidP="00524A8F">
            <w:pPr>
              <w:spacing w:line="360" w:lineRule="auto"/>
              <w:rPr>
                <w:sz w:val="20"/>
                <w:szCs w:val="20"/>
              </w:rPr>
            </w:pPr>
            <w:r w:rsidRPr="00BD3832">
              <w:rPr>
                <w:sz w:val="20"/>
                <w:szCs w:val="20"/>
              </w:rPr>
              <w:t>0.95 (0.13-6.76)</w:t>
            </w:r>
          </w:p>
        </w:tc>
        <w:tc>
          <w:tcPr>
            <w:tcW w:w="986" w:type="dxa"/>
            <w:vMerge/>
            <w:shd w:val="clear" w:color="auto" w:fill="FFFFFF" w:themeFill="background1"/>
            <w:vAlign w:val="center"/>
          </w:tcPr>
          <w:p w14:paraId="2B4CA5D2" w14:textId="77777777" w:rsidR="007D2D75" w:rsidRPr="00BD3832" w:rsidRDefault="007D2D75" w:rsidP="00524A8F">
            <w:pPr>
              <w:spacing w:line="360" w:lineRule="auto"/>
              <w:jc w:val="center"/>
              <w:rPr>
                <w:sz w:val="20"/>
                <w:szCs w:val="20"/>
              </w:rPr>
            </w:pPr>
          </w:p>
        </w:tc>
      </w:tr>
      <w:tr w:rsidR="007D2D75" w:rsidRPr="00BD3832" w14:paraId="2083DBFE" w14:textId="77777777" w:rsidTr="00524A8F">
        <w:trPr>
          <w:trHeight w:val="330"/>
          <w:jc w:val="center"/>
        </w:trPr>
        <w:tc>
          <w:tcPr>
            <w:tcW w:w="3796" w:type="dxa"/>
            <w:vMerge w:val="restart"/>
            <w:shd w:val="clear" w:color="auto" w:fill="FFFFFF" w:themeFill="background1"/>
            <w:vAlign w:val="center"/>
          </w:tcPr>
          <w:p w14:paraId="3D3C6756" w14:textId="77777777" w:rsidR="007D2D75" w:rsidRPr="00BD3832" w:rsidRDefault="007D2D75" w:rsidP="00524A8F">
            <w:pPr>
              <w:rPr>
                <w:sz w:val="20"/>
                <w:szCs w:val="20"/>
              </w:rPr>
            </w:pPr>
            <w:r w:rsidRPr="00BD3832">
              <w:rPr>
                <w:sz w:val="20"/>
                <w:szCs w:val="20"/>
              </w:rPr>
              <w:t>Parents should first quit using tobacco at HHs-level</w:t>
            </w:r>
          </w:p>
        </w:tc>
        <w:tc>
          <w:tcPr>
            <w:tcW w:w="2070" w:type="dxa"/>
            <w:shd w:val="clear" w:color="auto" w:fill="FFFFFF" w:themeFill="background1"/>
          </w:tcPr>
          <w:p w14:paraId="51551580"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48269F60"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0CBCF17B" w14:textId="77777777" w:rsidR="007D2D75" w:rsidRPr="00BD3832" w:rsidRDefault="007D2D75" w:rsidP="00524A8F">
            <w:pPr>
              <w:spacing w:line="360" w:lineRule="auto"/>
              <w:jc w:val="center"/>
              <w:rPr>
                <w:sz w:val="20"/>
                <w:szCs w:val="20"/>
              </w:rPr>
            </w:pPr>
            <w:r w:rsidRPr="00BD3832">
              <w:rPr>
                <w:sz w:val="20"/>
                <w:szCs w:val="20"/>
              </w:rPr>
              <w:t>&lt;0.001</w:t>
            </w:r>
          </w:p>
        </w:tc>
        <w:tc>
          <w:tcPr>
            <w:tcW w:w="1646" w:type="dxa"/>
            <w:shd w:val="clear" w:color="auto" w:fill="FFFFFF" w:themeFill="background1"/>
          </w:tcPr>
          <w:p w14:paraId="4788B9B9"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22D6ABA7" w14:textId="77777777" w:rsidR="007D2D75" w:rsidRPr="00BD3832" w:rsidRDefault="007D2D75" w:rsidP="00524A8F">
            <w:pPr>
              <w:spacing w:line="360" w:lineRule="auto"/>
              <w:jc w:val="center"/>
              <w:rPr>
                <w:sz w:val="20"/>
                <w:szCs w:val="20"/>
              </w:rPr>
            </w:pPr>
            <w:r w:rsidRPr="00BD3832">
              <w:rPr>
                <w:sz w:val="20"/>
                <w:szCs w:val="20"/>
              </w:rPr>
              <w:t>0.857</w:t>
            </w:r>
          </w:p>
        </w:tc>
      </w:tr>
      <w:tr w:rsidR="007D2D75" w:rsidRPr="00BD3832" w14:paraId="7F3AEBEA" w14:textId="77777777" w:rsidTr="00524A8F">
        <w:trPr>
          <w:trHeight w:val="285"/>
          <w:jc w:val="center"/>
        </w:trPr>
        <w:tc>
          <w:tcPr>
            <w:tcW w:w="3796" w:type="dxa"/>
            <w:vMerge/>
            <w:shd w:val="clear" w:color="auto" w:fill="FFFFFF" w:themeFill="background1"/>
            <w:vAlign w:val="center"/>
          </w:tcPr>
          <w:p w14:paraId="7D9B6D32" w14:textId="77777777" w:rsidR="007D2D75" w:rsidRPr="00BD3832" w:rsidRDefault="007D2D75" w:rsidP="00524A8F">
            <w:pPr>
              <w:rPr>
                <w:bCs/>
                <w:sz w:val="20"/>
                <w:szCs w:val="20"/>
              </w:rPr>
            </w:pPr>
          </w:p>
        </w:tc>
        <w:tc>
          <w:tcPr>
            <w:tcW w:w="2070" w:type="dxa"/>
            <w:shd w:val="clear" w:color="auto" w:fill="FFFFFF" w:themeFill="background1"/>
          </w:tcPr>
          <w:p w14:paraId="4EB913C5"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2D38491B" w14:textId="77777777" w:rsidR="007D2D75" w:rsidRPr="00BD3832" w:rsidRDefault="007D2D75" w:rsidP="00524A8F">
            <w:pPr>
              <w:spacing w:line="360" w:lineRule="auto"/>
              <w:rPr>
                <w:sz w:val="20"/>
                <w:szCs w:val="20"/>
              </w:rPr>
            </w:pPr>
            <w:r w:rsidRPr="00BD3832">
              <w:rPr>
                <w:sz w:val="20"/>
                <w:szCs w:val="20"/>
              </w:rPr>
              <w:t>2.82 (1.78-4.47)</w:t>
            </w:r>
          </w:p>
        </w:tc>
        <w:tc>
          <w:tcPr>
            <w:tcW w:w="900" w:type="dxa"/>
            <w:vMerge/>
            <w:shd w:val="clear" w:color="auto" w:fill="FFFFFF" w:themeFill="background1"/>
            <w:vAlign w:val="center"/>
          </w:tcPr>
          <w:p w14:paraId="635950CC"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0DBB22EF" w14:textId="77777777" w:rsidR="007D2D75" w:rsidRPr="00BD3832" w:rsidRDefault="007D2D75" w:rsidP="00524A8F">
            <w:pPr>
              <w:spacing w:line="360" w:lineRule="auto"/>
              <w:rPr>
                <w:sz w:val="20"/>
                <w:szCs w:val="20"/>
              </w:rPr>
            </w:pPr>
            <w:r w:rsidRPr="00BD3832">
              <w:rPr>
                <w:sz w:val="20"/>
                <w:szCs w:val="20"/>
              </w:rPr>
              <w:t>1.20 (0.15-9.20)</w:t>
            </w:r>
          </w:p>
        </w:tc>
        <w:tc>
          <w:tcPr>
            <w:tcW w:w="986" w:type="dxa"/>
            <w:vMerge/>
            <w:shd w:val="clear" w:color="auto" w:fill="FFFFFF" w:themeFill="background1"/>
            <w:vAlign w:val="center"/>
          </w:tcPr>
          <w:p w14:paraId="5F37EAE3" w14:textId="77777777" w:rsidR="007D2D75" w:rsidRPr="00BD3832" w:rsidRDefault="007D2D75" w:rsidP="00524A8F">
            <w:pPr>
              <w:spacing w:line="360" w:lineRule="auto"/>
              <w:jc w:val="center"/>
              <w:rPr>
                <w:sz w:val="20"/>
                <w:szCs w:val="20"/>
              </w:rPr>
            </w:pPr>
          </w:p>
        </w:tc>
      </w:tr>
      <w:tr w:rsidR="007D2D75" w:rsidRPr="00BD3832" w14:paraId="47C8682B" w14:textId="77777777" w:rsidTr="00524A8F">
        <w:trPr>
          <w:trHeight w:val="278"/>
          <w:jc w:val="center"/>
        </w:trPr>
        <w:tc>
          <w:tcPr>
            <w:tcW w:w="3796" w:type="dxa"/>
            <w:vMerge w:val="restart"/>
            <w:shd w:val="clear" w:color="auto" w:fill="FFFFFF" w:themeFill="background1"/>
            <w:vAlign w:val="center"/>
          </w:tcPr>
          <w:p w14:paraId="12796DF7" w14:textId="77777777" w:rsidR="007D2D75" w:rsidRPr="00BD3832" w:rsidRDefault="007D2D75" w:rsidP="00524A8F">
            <w:pPr>
              <w:rPr>
                <w:bCs/>
                <w:sz w:val="20"/>
                <w:szCs w:val="20"/>
              </w:rPr>
            </w:pPr>
            <w:r w:rsidRPr="00BD3832">
              <w:rPr>
                <w:sz w:val="20"/>
                <w:szCs w:val="20"/>
              </w:rPr>
              <w:t>Parents should provide guidance about the harms of tobacco-use</w:t>
            </w:r>
          </w:p>
        </w:tc>
        <w:tc>
          <w:tcPr>
            <w:tcW w:w="2070" w:type="dxa"/>
            <w:shd w:val="clear" w:color="auto" w:fill="FFFFFF" w:themeFill="background1"/>
          </w:tcPr>
          <w:p w14:paraId="577C5D3E"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5911FC6C"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220DA077" w14:textId="77777777" w:rsidR="007D2D75" w:rsidRPr="00BD3832" w:rsidRDefault="007D2D75" w:rsidP="00524A8F">
            <w:pPr>
              <w:spacing w:line="360" w:lineRule="auto"/>
              <w:jc w:val="center"/>
              <w:rPr>
                <w:sz w:val="20"/>
                <w:szCs w:val="20"/>
              </w:rPr>
            </w:pPr>
            <w:r w:rsidRPr="00BD3832">
              <w:rPr>
                <w:sz w:val="20"/>
                <w:szCs w:val="20"/>
              </w:rPr>
              <w:t>&lt;0.001</w:t>
            </w:r>
          </w:p>
        </w:tc>
        <w:tc>
          <w:tcPr>
            <w:tcW w:w="1646" w:type="dxa"/>
            <w:shd w:val="clear" w:color="auto" w:fill="FFFFFF" w:themeFill="background1"/>
          </w:tcPr>
          <w:p w14:paraId="7FD1B7EA"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54E09BDE" w14:textId="77777777" w:rsidR="007D2D75" w:rsidRPr="00BD3832" w:rsidRDefault="007D2D75" w:rsidP="00524A8F">
            <w:pPr>
              <w:spacing w:line="360" w:lineRule="auto"/>
              <w:jc w:val="center"/>
              <w:rPr>
                <w:sz w:val="20"/>
                <w:szCs w:val="20"/>
              </w:rPr>
            </w:pPr>
            <w:r w:rsidRPr="00BD3832">
              <w:rPr>
                <w:sz w:val="20"/>
                <w:szCs w:val="20"/>
              </w:rPr>
              <w:t>0.090</w:t>
            </w:r>
          </w:p>
        </w:tc>
      </w:tr>
      <w:tr w:rsidR="007D2D75" w:rsidRPr="00BD3832" w14:paraId="706ABE82" w14:textId="77777777" w:rsidTr="00524A8F">
        <w:trPr>
          <w:trHeight w:val="195"/>
          <w:jc w:val="center"/>
        </w:trPr>
        <w:tc>
          <w:tcPr>
            <w:tcW w:w="3796" w:type="dxa"/>
            <w:vMerge/>
            <w:shd w:val="clear" w:color="auto" w:fill="FFFFFF" w:themeFill="background1"/>
            <w:vAlign w:val="center"/>
          </w:tcPr>
          <w:p w14:paraId="6E510F43" w14:textId="77777777" w:rsidR="007D2D75" w:rsidRPr="00BD3832" w:rsidRDefault="007D2D75" w:rsidP="00524A8F">
            <w:pPr>
              <w:rPr>
                <w:sz w:val="20"/>
                <w:szCs w:val="20"/>
              </w:rPr>
            </w:pPr>
          </w:p>
        </w:tc>
        <w:tc>
          <w:tcPr>
            <w:tcW w:w="2070" w:type="dxa"/>
            <w:shd w:val="clear" w:color="auto" w:fill="FFFFFF" w:themeFill="background1"/>
          </w:tcPr>
          <w:p w14:paraId="36C36EC8"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027DC8CD" w14:textId="77777777" w:rsidR="007D2D75" w:rsidRPr="00BD3832" w:rsidRDefault="007D2D75" w:rsidP="00524A8F">
            <w:pPr>
              <w:spacing w:line="360" w:lineRule="auto"/>
              <w:rPr>
                <w:sz w:val="20"/>
                <w:szCs w:val="20"/>
              </w:rPr>
            </w:pPr>
            <w:r w:rsidRPr="00BD3832">
              <w:rPr>
                <w:sz w:val="20"/>
                <w:szCs w:val="20"/>
              </w:rPr>
              <w:t>2.97(1.88-4.69)</w:t>
            </w:r>
          </w:p>
        </w:tc>
        <w:tc>
          <w:tcPr>
            <w:tcW w:w="900" w:type="dxa"/>
            <w:vMerge/>
            <w:shd w:val="clear" w:color="auto" w:fill="FFFFFF" w:themeFill="background1"/>
            <w:vAlign w:val="center"/>
          </w:tcPr>
          <w:p w14:paraId="2E8D014B"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6923B5E4" w14:textId="77777777" w:rsidR="007D2D75" w:rsidRPr="00BD3832" w:rsidRDefault="007D2D75" w:rsidP="00524A8F">
            <w:pPr>
              <w:spacing w:line="360" w:lineRule="auto"/>
              <w:rPr>
                <w:sz w:val="20"/>
                <w:szCs w:val="20"/>
              </w:rPr>
            </w:pPr>
            <w:r w:rsidRPr="00BD3832">
              <w:rPr>
                <w:sz w:val="20"/>
                <w:szCs w:val="20"/>
              </w:rPr>
              <w:t>35.26 (0.57-170.74)</w:t>
            </w:r>
          </w:p>
        </w:tc>
        <w:tc>
          <w:tcPr>
            <w:tcW w:w="986" w:type="dxa"/>
            <w:vMerge/>
            <w:shd w:val="clear" w:color="auto" w:fill="FFFFFF" w:themeFill="background1"/>
            <w:vAlign w:val="center"/>
          </w:tcPr>
          <w:p w14:paraId="1A05ED3B" w14:textId="77777777" w:rsidR="007D2D75" w:rsidRPr="00BD3832" w:rsidRDefault="007D2D75" w:rsidP="00524A8F">
            <w:pPr>
              <w:spacing w:line="360" w:lineRule="auto"/>
              <w:jc w:val="center"/>
              <w:rPr>
                <w:sz w:val="20"/>
                <w:szCs w:val="20"/>
              </w:rPr>
            </w:pPr>
          </w:p>
        </w:tc>
      </w:tr>
      <w:tr w:rsidR="007D2D75" w:rsidRPr="00BD3832" w14:paraId="159D2C8C" w14:textId="77777777" w:rsidTr="00524A8F">
        <w:trPr>
          <w:trHeight w:val="180"/>
          <w:jc w:val="center"/>
        </w:trPr>
        <w:tc>
          <w:tcPr>
            <w:tcW w:w="3796" w:type="dxa"/>
            <w:vMerge w:val="restart"/>
            <w:shd w:val="clear" w:color="auto" w:fill="FFFFFF" w:themeFill="background1"/>
            <w:vAlign w:val="center"/>
          </w:tcPr>
          <w:p w14:paraId="4A1B6568" w14:textId="77777777" w:rsidR="007D2D75" w:rsidRPr="00BD3832" w:rsidRDefault="007D2D75" w:rsidP="00524A8F">
            <w:pPr>
              <w:rPr>
                <w:sz w:val="20"/>
                <w:szCs w:val="20"/>
              </w:rPr>
            </w:pPr>
            <w:r w:rsidRPr="00BD3832">
              <w:rPr>
                <w:sz w:val="20"/>
                <w:szCs w:val="20"/>
              </w:rPr>
              <w:t>Using children to light or buy tobacco products can promote tobacco-use at HHs</w:t>
            </w:r>
          </w:p>
        </w:tc>
        <w:tc>
          <w:tcPr>
            <w:tcW w:w="2070" w:type="dxa"/>
            <w:shd w:val="clear" w:color="auto" w:fill="FFFFFF" w:themeFill="background1"/>
          </w:tcPr>
          <w:p w14:paraId="180E1B14"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70318F00" w14:textId="77777777" w:rsidR="007D2D75" w:rsidRPr="00BD3832" w:rsidRDefault="007D2D75" w:rsidP="00524A8F">
            <w:pPr>
              <w:spacing w:line="360" w:lineRule="auto"/>
              <w:rPr>
                <w:sz w:val="20"/>
                <w:szCs w:val="20"/>
              </w:rPr>
            </w:pPr>
            <w:r w:rsidRPr="00BD3832">
              <w:rPr>
                <w:sz w:val="20"/>
                <w:szCs w:val="20"/>
              </w:rPr>
              <w:t>1</w:t>
            </w:r>
          </w:p>
        </w:tc>
        <w:tc>
          <w:tcPr>
            <w:tcW w:w="900" w:type="dxa"/>
            <w:shd w:val="clear" w:color="auto" w:fill="FFFFFF" w:themeFill="background1"/>
            <w:vAlign w:val="center"/>
          </w:tcPr>
          <w:p w14:paraId="3847F0CE"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3AEDE7C7"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0E2DFF05"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0.721</w:t>
            </w:r>
          </w:p>
        </w:tc>
      </w:tr>
      <w:tr w:rsidR="007D2D75" w:rsidRPr="00BD3832" w14:paraId="30ED83D4" w14:textId="77777777" w:rsidTr="00524A8F">
        <w:trPr>
          <w:trHeight w:val="467"/>
          <w:jc w:val="center"/>
        </w:trPr>
        <w:tc>
          <w:tcPr>
            <w:tcW w:w="3796" w:type="dxa"/>
            <w:vMerge/>
            <w:shd w:val="clear" w:color="auto" w:fill="FFFFFF" w:themeFill="background1"/>
            <w:vAlign w:val="center"/>
          </w:tcPr>
          <w:p w14:paraId="49C2C682" w14:textId="77777777" w:rsidR="007D2D75" w:rsidRPr="00BD3832" w:rsidRDefault="007D2D75" w:rsidP="00524A8F">
            <w:pPr>
              <w:rPr>
                <w:sz w:val="20"/>
                <w:szCs w:val="20"/>
              </w:rPr>
            </w:pPr>
          </w:p>
        </w:tc>
        <w:tc>
          <w:tcPr>
            <w:tcW w:w="2070" w:type="dxa"/>
            <w:shd w:val="clear" w:color="auto" w:fill="FFFFFF" w:themeFill="background1"/>
          </w:tcPr>
          <w:p w14:paraId="50464649"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21058B86" w14:textId="77777777" w:rsidR="007D2D75" w:rsidRPr="00BD3832" w:rsidRDefault="007D2D75" w:rsidP="00524A8F">
            <w:pPr>
              <w:spacing w:line="360" w:lineRule="auto"/>
              <w:rPr>
                <w:sz w:val="20"/>
                <w:szCs w:val="20"/>
              </w:rPr>
            </w:pPr>
            <w:r w:rsidRPr="00BD3832">
              <w:rPr>
                <w:sz w:val="20"/>
                <w:szCs w:val="20"/>
              </w:rPr>
              <w:t>1.04 (0.69-1.59)</w:t>
            </w:r>
          </w:p>
        </w:tc>
        <w:tc>
          <w:tcPr>
            <w:tcW w:w="900" w:type="dxa"/>
            <w:shd w:val="clear" w:color="auto" w:fill="FFFFFF" w:themeFill="background1"/>
            <w:vAlign w:val="center"/>
          </w:tcPr>
          <w:p w14:paraId="0E511372" w14:textId="77777777" w:rsidR="007D2D75" w:rsidRPr="00BD3832" w:rsidRDefault="007D2D75" w:rsidP="00524A8F">
            <w:pPr>
              <w:spacing w:line="360" w:lineRule="auto"/>
              <w:jc w:val="center"/>
              <w:rPr>
                <w:sz w:val="20"/>
                <w:szCs w:val="20"/>
              </w:rPr>
            </w:pPr>
            <w:r w:rsidRPr="00BD3832">
              <w:rPr>
                <w:sz w:val="20"/>
                <w:szCs w:val="20"/>
              </w:rPr>
              <w:t>0.839</w:t>
            </w:r>
          </w:p>
        </w:tc>
        <w:tc>
          <w:tcPr>
            <w:tcW w:w="1646" w:type="dxa"/>
            <w:shd w:val="clear" w:color="auto" w:fill="FFFFFF" w:themeFill="background1"/>
          </w:tcPr>
          <w:p w14:paraId="29846B4A" w14:textId="77777777" w:rsidR="007D2D75" w:rsidRPr="00BD3832" w:rsidRDefault="007D2D75" w:rsidP="00524A8F">
            <w:pPr>
              <w:spacing w:line="360" w:lineRule="auto"/>
              <w:rPr>
                <w:sz w:val="20"/>
                <w:szCs w:val="20"/>
              </w:rPr>
            </w:pPr>
            <w:r w:rsidRPr="00BD3832">
              <w:rPr>
                <w:sz w:val="20"/>
                <w:szCs w:val="20"/>
              </w:rPr>
              <w:t>0.91 (0.56-1.48)</w:t>
            </w:r>
          </w:p>
        </w:tc>
        <w:tc>
          <w:tcPr>
            <w:tcW w:w="986" w:type="dxa"/>
            <w:vMerge/>
            <w:shd w:val="clear" w:color="auto" w:fill="FFFFFF" w:themeFill="background1"/>
            <w:vAlign w:val="center"/>
          </w:tcPr>
          <w:p w14:paraId="5814CC46" w14:textId="77777777" w:rsidR="007D2D75" w:rsidRPr="00BD3832" w:rsidRDefault="007D2D75" w:rsidP="00524A8F">
            <w:pPr>
              <w:spacing w:line="360" w:lineRule="auto"/>
              <w:jc w:val="center"/>
              <w:rPr>
                <w:sz w:val="20"/>
                <w:szCs w:val="20"/>
              </w:rPr>
            </w:pPr>
          </w:p>
        </w:tc>
      </w:tr>
      <w:tr w:rsidR="007D2D75" w:rsidRPr="00BD3832" w14:paraId="02D1DC25" w14:textId="77777777" w:rsidTr="00524A8F">
        <w:trPr>
          <w:trHeight w:val="225"/>
          <w:jc w:val="center"/>
        </w:trPr>
        <w:tc>
          <w:tcPr>
            <w:tcW w:w="3796" w:type="dxa"/>
            <w:vMerge w:val="restart"/>
            <w:shd w:val="clear" w:color="auto" w:fill="FFFFFF" w:themeFill="background1"/>
            <w:vAlign w:val="center"/>
          </w:tcPr>
          <w:p w14:paraId="22E73329" w14:textId="77777777" w:rsidR="007D2D75" w:rsidRPr="00BD3832" w:rsidRDefault="007D2D75" w:rsidP="00524A8F">
            <w:pPr>
              <w:rPr>
                <w:sz w:val="20"/>
                <w:szCs w:val="20"/>
              </w:rPr>
            </w:pPr>
            <w:r w:rsidRPr="00BD3832">
              <w:rPr>
                <w:sz w:val="20"/>
                <w:szCs w:val="20"/>
              </w:rPr>
              <w:t>Parental restriction of tobacco-use can control tobacco use at HHs</w:t>
            </w:r>
          </w:p>
        </w:tc>
        <w:tc>
          <w:tcPr>
            <w:tcW w:w="2070" w:type="dxa"/>
            <w:shd w:val="clear" w:color="auto" w:fill="FFFFFF" w:themeFill="background1"/>
          </w:tcPr>
          <w:p w14:paraId="1AA268E4"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639EA0C2"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578A1994" w14:textId="77777777" w:rsidR="007D2D75" w:rsidRPr="00BD3832" w:rsidRDefault="007D2D75" w:rsidP="00524A8F">
            <w:pPr>
              <w:spacing w:line="360" w:lineRule="auto"/>
              <w:jc w:val="center"/>
              <w:rPr>
                <w:sz w:val="20"/>
                <w:szCs w:val="20"/>
              </w:rPr>
            </w:pPr>
            <w:r w:rsidRPr="00BD3832">
              <w:rPr>
                <w:sz w:val="20"/>
                <w:szCs w:val="20"/>
              </w:rPr>
              <w:t>0.181</w:t>
            </w:r>
          </w:p>
        </w:tc>
        <w:tc>
          <w:tcPr>
            <w:tcW w:w="1646" w:type="dxa"/>
            <w:shd w:val="clear" w:color="auto" w:fill="FFFFFF" w:themeFill="background1"/>
          </w:tcPr>
          <w:p w14:paraId="68041A34"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20053513" w14:textId="77777777" w:rsidR="007D2D75" w:rsidRPr="00BD3832" w:rsidRDefault="007D2D75" w:rsidP="00524A8F">
            <w:pPr>
              <w:spacing w:line="360" w:lineRule="auto"/>
              <w:jc w:val="center"/>
              <w:rPr>
                <w:sz w:val="20"/>
                <w:szCs w:val="20"/>
              </w:rPr>
            </w:pPr>
            <w:r w:rsidRPr="00BD3832">
              <w:rPr>
                <w:sz w:val="20"/>
                <w:szCs w:val="20"/>
              </w:rPr>
              <w:t>0.617</w:t>
            </w:r>
          </w:p>
        </w:tc>
      </w:tr>
      <w:tr w:rsidR="007D2D75" w:rsidRPr="00BD3832" w14:paraId="15759E5D" w14:textId="77777777" w:rsidTr="00524A8F">
        <w:trPr>
          <w:trHeight w:val="195"/>
          <w:jc w:val="center"/>
        </w:trPr>
        <w:tc>
          <w:tcPr>
            <w:tcW w:w="3796" w:type="dxa"/>
            <w:vMerge/>
            <w:shd w:val="clear" w:color="auto" w:fill="FFFFFF" w:themeFill="background1"/>
            <w:vAlign w:val="center"/>
          </w:tcPr>
          <w:p w14:paraId="47F725EF" w14:textId="77777777" w:rsidR="007D2D75" w:rsidRPr="00BD3832" w:rsidRDefault="007D2D75" w:rsidP="00524A8F">
            <w:pPr>
              <w:rPr>
                <w:sz w:val="20"/>
                <w:szCs w:val="20"/>
              </w:rPr>
            </w:pPr>
          </w:p>
        </w:tc>
        <w:tc>
          <w:tcPr>
            <w:tcW w:w="2070" w:type="dxa"/>
            <w:shd w:val="clear" w:color="auto" w:fill="FFFFFF" w:themeFill="background1"/>
          </w:tcPr>
          <w:p w14:paraId="6F7723A5"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489F539F" w14:textId="77777777" w:rsidR="007D2D75" w:rsidRPr="00BD3832" w:rsidRDefault="007D2D75" w:rsidP="00524A8F">
            <w:pPr>
              <w:spacing w:line="360" w:lineRule="auto"/>
              <w:rPr>
                <w:sz w:val="20"/>
                <w:szCs w:val="20"/>
              </w:rPr>
            </w:pPr>
            <w:r w:rsidRPr="00BD3832">
              <w:rPr>
                <w:sz w:val="20"/>
                <w:szCs w:val="20"/>
              </w:rPr>
              <w:t>1.31 (0.88-1.97)</w:t>
            </w:r>
          </w:p>
        </w:tc>
        <w:tc>
          <w:tcPr>
            <w:tcW w:w="900" w:type="dxa"/>
            <w:vMerge/>
            <w:shd w:val="clear" w:color="auto" w:fill="FFFFFF" w:themeFill="background1"/>
            <w:vAlign w:val="center"/>
          </w:tcPr>
          <w:p w14:paraId="2357DD25"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2A015353" w14:textId="77777777" w:rsidR="007D2D75" w:rsidRPr="00BD3832" w:rsidRDefault="007D2D75" w:rsidP="00524A8F">
            <w:pPr>
              <w:spacing w:line="360" w:lineRule="auto"/>
              <w:rPr>
                <w:sz w:val="20"/>
                <w:szCs w:val="20"/>
              </w:rPr>
            </w:pPr>
            <w:r w:rsidRPr="00BD3832">
              <w:rPr>
                <w:sz w:val="20"/>
                <w:szCs w:val="20"/>
              </w:rPr>
              <w:t>0.39 (0.01-15.29)</w:t>
            </w:r>
          </w:p>
        </w:tc>
        <w:tc>
          <w:tcPr>
            <w:tcW w:w="986" w:type="dxa"/>
            <w:vMerge/>
            <w:shd w:val="clear" w:color="auto" w:fill="FFFFFF" w:themeFill="background1"/>
            <w:vAlign w:val="center"/>
          </w:tcPr>
          <w:p w14:paraId="0FE669CD" w14:textId="77777777" w:rsidR="007D2D75" w:rsidRPr="00BD3832" w:rsidRDefault="007D2D75" w:rsidP="00524A8F">
            <w:pPr>
              <w:spacing w:line="360" w:lineRule="auto"/>
              <w:jc w:val="center"/>
              <w:rPr>
                <w:sz w:val="20"/>
                <w:szCs w:val="20"/>
              </w:rPr>
            </w:pPr>
          </w:p>
        </w:tc>
      </w:tr>
      <w:tr w:rsidR="007D2D75" w:rsidRPr="00BD3832" w14:paraId="5CE54E35" w14:textId="77777777" w:rsidTr="00524A8F">
        <w:trPr>
          <w:trHeight w:val="240"/>
          <w:jc w:val="center"/>
        </w:trPr>
        <w:tc>
          <w:tcPr>
            <w:tcW w:w="3796" w:type="dxa"/>
            <w:vMerge w:val="restart"/>
            <w:shd w:val="clear" w:color="auto" w:fill="FFFFFF" w:themeFill="background1"/>
            <w:vAlign w:val="center"/>
          </w:tcPr>
          <w:p w14:paraId="5C4914CC" w14:textId="77777777" w:rsidR="007D2D75" w:rsidRPr="00BD3832" w:rsidRDefault="007D2D75" w:rsidP="00524A8F">
            <w:pPr>
              <w:rPr>
                <w:sz w:val="20"/>
                <w:szCs w:val="20"/>
              </w:rPr>
            </w:pPr>
            <w:r w:rsidRPr="00BD3832">
              <w:rPr>
                <w:sz w:val="20"/>
                <w:szCs w:val="20"/>
              </w:rPr>
              <w:t>Parental tobacco use before the children is the great obstacles to control tobacco products at HHs</w:t>
            </w:r>
          </w:p>
        </w:tc>
        <w:tc>
          <w:tcPr>
            <w:tcW w:w="2070" w:type="dxa"/>
            <w:shd w:val="clear" w:color="auto" w:fill="FFFFFF" w:themeFill="background1"/>
          </w:tcPr>
          <w:p w14:paraId="7AAFCD18"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455BFCA4"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74F80135" w14:textId="77777777" w:rsidR="007D2D75" w:rsidRPr="00BD3832" w:rsidRDefault="007D2D75" w:rsidP="00524A8F">
            <w:pPr>
              <w:spacing w:line="360" w:lineRule="auto"/>
              <w:jc w:val="center"/>
              <w:rPr>
                <w:sz w:val="20"/>
                <w:szCs w:val="20"/>
              </w:rPr>
            </w:pPr>
            <w:r w:rsidRPr="00BD3832">
              <w:rPr>
                <w:sz w:val="20"/>
                <w:szCs w:val="20"/>
              </w:rPr>
              <w:t>&lt;0.001</w:t>
            </w:r>
          </w:p>
        </w:tc>
        <w:tc>
          <w:tcPr>
            <w:tcW w:w="1646" w:type="dxa"/>
            <w:shd w:val="clear" w:color="auto" w:fill="FFFFFF" w:themeFill="background1"/>
          </w:tcPr>
          <w:p w14:paraId="69534217"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48180785"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0.442</w:t>
            </w:r>
          </w:p>
        </w:tc>
      </w:tr>
      <w:tr w:rsidR="007D2D75" w:rsidRPr="00BD3832" w14:paraId="5E517DA4" w14:textId="77777777" w:rsidTr="00524A8F">
        <w:trPr>
          <w:trHeight w:val="165"/>
          <w:jc w:val="center"/>
        </w:trPr>
        <w:tc>
          <w:tcPr>
            <w:tcW w:w="3796" w:type="dxa"/>
            <w:vMerge/>
            <w:shd w:val="clear" w:color="auto" w:fill="FFFFFF" w:themeFill="background1"/>
            <w:vAlign w:val="center"/>
          </w:tcPr>
          <w:p w14:paraId="63F63FBD" w14:textId="77777777" w:rsidR="007D2D75" w:rsidRPr="00BD3832" w:rsidRDefault="007D2D75" w:rsidP="00524A8F">
            <w:pPr>
              <w:rPr>
                <w:sz w:val="20"/>
                <w:szCs w:val="20"/>
              </w:rPr>
            </w:pPr>
          </w:p>
        </w:tc>
        <w:tc>
          <w:tcPr>
            <w:tcW w:w="2070" w:type="dxa"/>
            <w:shd w:val="clear" w:color="auto" w:fill="FFFFFF" w:themeFill="background1"/>
          </w:tcPr>
          <w:p w14:paraId="78F8127E"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3F8AC427" w14:textId="77777777" w:rsidR="007D2D75" w:rsidRPr="00BD3832" w:rsidRDefault="007D2D75" w:rsidP="00524A8F">
            <w:pPr>
              <w:spacing w:line="360" w:lineRule="auto"/>
              <w:rPr>
                <w:sz w:val="20"/>
                <w:szCs w:val="20"/>
              </w:rPr>
            </w:pPr>
            <w:r w:rsidRPr="00BD3832">
              <w:rPr>
                <w:sz w:val="20"/>
                <w:szCs w:val="20"/>
              </w:rPr>
              <w:t>2.73 (1.74-4.27)</w:t>
            </w:r>
          </w:p>
        </w:tc>
        <w:tc>
          <w:tcPr>
            <w:tcW w:w="900" w:type="dxa"/>
            <w:vMerge/>
            <w:shd w:val="clear" w:color="auto" w:fill="FFFFFF" w:themeFill="background1"/>
            <w:vAlign w:val="center"/>
          </w:tcPr>
          <w:p w14:paraId="4993D0F4"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65F7632A" w14:textId="77777777" w:rsidR="007D2D75" w:rsidRPr="00BD3832" w:rsidRDefault="007D2D75" w:rsidP="00524A8F">
            <w:pPr>
              <w:spacing w:line="360" w:lineRule="auto"/>
              <w:rPr>
                <w:sz w:val="20"/>
                <w:szCs w:val="20"/>
              </w:rPr>
            </w:pPr>
            <w:r w:rsidRPr="00BD3832">
              <w:rPr>
                <w:sz w:val="20"/>
                <w:szCs w:val="20"/>
              </w:rPr>
              <w:t>0.41 (0.04-3.86)</w:t>
            </w:r>
          </w:p>
        </w:tc>
        <w:tc>
          <w:tcPr>
            <w:tcW w:w="986" w:type="dxa"/>
            <w:vMerge/>
            <w:shd w:val="clear" w:color="auto" w:fill="FFFFFF" w:themeFill="background1"/>
            <w:vAlign w:val="center"/>
          </w:tcPr>
          <w:p w14:paraId="5EA440A9" w14:textId="77777777" w:rsidR="007D2D75" w:rsidRPr="00BD3832" w:rsidRDefault="007D2D75" w:rsidP="00524A8F">
            <w:pPr>
              <w:spacing w:line="360" w:lineRule="auto"/>
              <w:jc w:val="center"/>
              <w:rPr>
                <w:sz w:val="20"/>
                <w:szCs w:val="20"/>
              </w:rPr>
            </w:pPr>
          </w:p>
        </w:tc>
      </w:tr>
      <w:tr w:rsidR="007D2D75" w:rsidRPr="00BD3832" w14:paraId="7D9EB72D" w14:textId="77777777" w:rsidTr="00524A8F">
        <w:trPr>
          <w:trHeight w:val="210"/>
          <w:jc w:val="center"/>
        </w:trPr>
        <w:tc>
          <w:tcPr>
            <w:tcW w:w="3796" w:type="dxa"/>
            <w:vMerge w:val="restart"/>
            <w:shd w:val="clear" w:color="auto" w:fill="FFFFFF" w:themeFill="background1"/>
            <w:vAlign w:val="center"/>
          </w:tcPr>
          <w:p w14:paraId="774DEC25" w14:textId="77777777" w:rsidR="007D2D75" w:rsidRPr="00BD3832" w:rsidRDefault="007D2D75" w:rsidP="00524A8F">
            <w:pPr>
              <w:rPr>
                <w:sz w:val="20"/>
                <w:szCs w:val="20"/>
              </w:rPr>
            </w:pPr>
            <w:r w:rsidRPr="00BD3832">
              <w:rPr>
                <w:sz w:val="20"/>
                <w:szCs w:val="20"/>
              </w:rPr>
              <w:t>Sharing  tobacco products at HHs-level should not be considered as the means of hospitality</w:t>
            </w:r>
          </w:p>
        </w:tc>
        <w:tc>
          <w:tcPr>
            <w:tcW w:w="2070" w:type="dxa"/>
            <w:shd w:val="clear" w:color="auto" w:fill="FFFFFF" w:themeFill="background1"/>
          </w:tcPr>
          <w:p w14:paraId="0369330B"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75D7DA2D"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74D9DE7D" w14:textId="77777777" w:rsidR="007D2D75" w:rsidRPr="00BD3832" w:rsidRDefault="007D2D75" w:rsidP="00524A8F">
            <w:pPr>
              <w:spacing w:line="360" w:lineRule="auto"/>
              <w:jc w:val="center"/>
              <w:rPr>
                <w:sz w:val="20"/>
                <w:szCs w:val="20"/>
              </w:rPr>
            </w:pPr>
            <w:r w:rsidRPr="00BD3832">
              <w:rPr>
                <w:sz w:val="20"/>
                <w:szCs w:val="20"/>
              </w:rPr>
              <w:t>0.080</w:t>
            </w:r>
          </w:p>
        </w:tc>
        <w:tc>
          <w:tcPr>
            <w:tcW w:w="1646" w:type="dxa"/>
            <w:shd w:val="clear" w:color="auto" w:fill="FFFFFF" w:themeFill="background1"/>
          </w:tcPr>
          <w:p w14:paraId="65396236"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044C4925" w14:textId="77777777" w:rsidR="007D2D75" w:rsidRPr="00BD3832" w:rsidRDefault="007D2D75" w:rsidP="00524A8F">
            <w:pPr>
              <w:spacing w:line="360" w:lineRule="auto"/>
              <w:jc w:val="center"/>
              <w:rPr>
                <w:sz w:val="20"/>
                <w:szCs w:val="20"/>
              </w:rPr>
            </w:pPr>
            <w:r w:rsidRPr="00BD3832">
              <w:rPr>
                <w:sz w:val="20"/>
                <w:szCs w:val="20"/>
              </w:rPr>
              <w:t>0.956</w:t>
            </w:r>
          </w:p>
        </w:tc>
      </w:tr>
      <w:tr w:rsidR="007D2D75" w:rsidRPr="00BD3832" w14:paraId="4834C097" w14:textId="77777777" w:rsidTr="00524A8F">
        <w:trPr>
          <w:trHeight w:val="195"/>
          <w:jc w:val="center"/>
        </w:trPr>
        <w:tc>
          <w:tcPr>
            <w:tcW w:w="3796" w:type="dxa"/>
            <w:vMerge/>
            <w:shd w:val="clear" w:color="auto" w:fill="FFFFFF" w:themeFill="background1"/>
            <w:vAlign w:val="center"/>
          </w:tcPr>
          <w:p w14:paraId="4CE63607" w14:textId="77777777" w:rsidR="007D2D75" w:rsidRPr="00BD3832" w:rsidRDefault="007D2D75" w:rsidP="00524A8F">
            <w:pPr>
              <w:rPr>
                <w:sz w:val="20"/>
                <w:szCs w:val="20"/>
              </w:rPr>
            </w:pPr>
          </w:p>
        </w:tc>
        <w:tc>
          <w:tcPr>
            <w:tcW w:w="2070" w:type="dxa"/>
            <w:shd w:val="clear" w:color="auto" w:fill="FFFFFF" w:themeFill="background1"/>
          </w:tcPr>
          <w:p w14:paraId="36B38DF9"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215A64B9" w14:textId="77777777" w:rsidR="007D2D75" w:rsidRPr="00BD3832" w:rsidRDefault="007D2D75" w:rsidP="00524A8F">
            <w:pPr>
              <w:spacing w:line="360" w:lineRule="auto"/>
              <w:rPr>
                <w:sz w:val="20"/>
                <w:szCs w:val="20"/>
              </w:rPr>
            </w:pPr>
            <w:r w:rsidRPr="00BD3832">
              <w:rPr>
                <w:sz w:val="20"/>
                <w:szCs w:val="20"/>
              </w:rPr>
              <w:t>1.44 (0.95-2.18)</w:t>
            </w:r>
          </w:p>
        </w:tc>
        <w:tc>
          <w:tcPr>
            <w:tcW w:w="900" w:type="dxa"/>
            <w:vMerge/>
            <w:shd w:val="clear" w:color="auto" w:fill="FFFFFF" w:themeFill="background1"/>
            <w:vAlign w:val="center"/>
          </w:tcPr>
          <w:p w14:paraId="23D6C9D3"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40D27FF0" w14:textId="77777777" w:rsidR="007D2D75" w:rsidRPr="00BD3832" w:rsidRDefault="007D2D75" w:rsidP="00524A8F">
            <w:pPr>
              <w:spacing w:line="360" w:lineRule="auto"/>
              <w:rPr>
                <w:strike/>
                <w:sz w:val="20"/>
                <w:szCs w:val="20"/>
              </w:rPr>
            </w:pPr>
            <w:r w:rsidRPr="00BD3832">
              <w:rPr>
                <w:sz w:val="20"/>
                <w:szCs w:val="20"/>
              </w:rPr>
              <w:t>1.04 (0.21-4.99</w:t>
            </w:r>
            <w:r w:rsidRPr="00BD3832">
              <w:rPr>
                <w:strike/>
                <w:sz w:val="20"/>
                <w:szCs w:val="20"/>
              </w:rPr>
              <w:t>)</w:t>
            </w:r>
          </w:p>
        </w:tc>
        <w:tc>
          <w:tcPr>
            <w:tcW w:w="986" w:type="dxa"/>
            <w:vMerge/>
            <w:shd w:val="clear" w:color="auto" w:fill="FFFFFF" w:themeFill="background1"/>
            <w:vAlign w:val="center"/>
          </w:tcPr>
          <w:p w14:paraId="6682EFC2" w14:textId="77777777" w:rsidR="007D2D75" w:rsidRPr="00BD3832" w:rsidRDefault="007D2D75" w:rsidP="00524A8F">
            <w:pPr>
              <w:spacing w:line="360" w:lineRule="auto"/>
              <w:jc w:val="center"/>
              <w:rPr>
                <w:sz w:val="20"/>
                <w:szCs w:val="20"/>
              </w:rPr>
            </w:pPr>
          </w:p>
        </w:tc>
      </w:tr>
      <w:tr w:rsidR="007D2D75" w:rsidRPr="00BD3832" w14:paraId="48F7B0EE" w14:textId="77777777" w:rsidTr="00524A8F">
        <w:trPr>
          <w:trHeight w:val="70"/>
          <w:jc w:val="center"/>
        </w:trPr>
        <w:tc>
          <w:tcPr>
            <w:tcW w:w="3796" w:type="dxa"/>
            <w:vMerge w:val="restart"/>
            <w:shd w:val="clear" w:color="auto" w:fill="FFFFFF" w:themeFill="background1"/>
            <w:vAlign w:val="center"/>
          </w:tcPr>
          <w:p w14:paraId="2ACD35E7" w14:textId="77777777" w:rsidR="007D2D75" w:rsidRPr="00BD3832" w:rsidRDefault="007D2D75" w:rsidP="00524A8F">
            <w:pPr>
              <w:rPr>
                <w:sz w:val="20"/>
                <w:szCs w:val="20"/>
              </w:rPr>
            </w:pPr>
            <w:r w:rsidRPr="00BD3832">
              <w:rPr>
                <w:sz w:val="20"/>
                <w:szCs w:val="20"/>
              </w:rPr>
              <w:t>Parental  religiosity practices (Regular praying or worshiping/ Read holy books etc.) can help families to be tobacco free</w:t>
            </w:r>
          </w:p>
        </w:tc>
        <w:tc>
          <w:tcPr>
            <w:tcW w:w="2070" w:type="dxa"/>
            <w:shd w:val="clear" w:color="auto" w:fill="FFFFFF" w:themeFill="background1"/>
          </w:tcPr>
          <w:p w14:paraId="1D99989D"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288093A2"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67AC6419" w14:textId="77777777" w:rsidR="007D2D75" w:rsidRPr="00BD3832" w:rsidRDefault="007D2D75" w:rsidP="00524A8F">
            <w:pPr>
              <w:spacing w:line="360" w:lineRule="auto"/>
              <w:jc w:val="center"/>
              <w:rPr>
                <w:sz w:val="20"/>
                <w:szCs w:val="20"/>
              </w:rPr>
            </w:pPr>
            <w:r w:rsidRPr="00BD3832">
              <w:rPr>
                <w:sz w:val="20"/>
                <w:szCs w:val="20"/>
              </w:rPr>
              <w:t>0.003</w:t>
            </w:r>
          </w:p>
        </w:tc>
        <w:tc>
          <w:tcPr>
            <w:tcW w:w="1646" w:type="dxa"/>
            <w:shd w:val="clear" w:color="auto" w:fill="FFFFFF" w:themeFill="background1"/>
          </w:tcPr>
          <w:p w14:paraId="5B890067"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2AD859BF" w14:textId="77777777" w:rsidR="007D2D75" w:rsidRPr="00BD3832" w:rsidRDefault="007D2D75" w:rsidP="00524A8F">
            <w:pPr>
              <w:spacing w:line="360" w:lineRule="auto"/>
              <w:jc w:val="center"/>
              <w:rPr>
                <w:sz w:val="20"/>
                <w:szCs w:val="20"/>
              </w:rPr>
            </w:pPr>
            <w:r w:rsidRPr="00BD3832">
              <w:rPr>
                <w:sz w:val="20"/>
                <w:szCs w:val="20"/>
              </w:rPr>
              <w:t>0.061</w:t>
            </w:r>
          </w:p>
        </w:tc>
      </w:tr>
      <w:tr w:rsidR="007D2D75" w:rsidRPr="00BD3832" w14:paraId="6A2B6BF3" w14:textId="77777777" w:rsidTr="00524A8F">
        <w:trPr>
          <w:trHeight w:val="210"/>
          <w:jc w:val="center"/>
        </w:trPr>
        <w:tc>
          <w:tcPr>
            <w:tcW w:w="3796" w:type="dxa"/>
            <w:vMerge/>
            <w:shd w:val="clear" w:color="auto" w:fill="FFFFFF" w:themeFill="background1"/>
            <w:vAlign w:val="center"/>
          </w:tcPr>
          <w:p w14:paraId="614B6B4F" w14:textId="77777777" w:rsidR="007D2D75" w:rsidRPr="00BD3832" w:rsidRDefault="007D2D75" w:rsidP="00524A8F">
            <w:pPr>
              <w:rPr>
                <w:sz w:val="20"/>
                <w:szCs w:val="20"/>
              </w:rPr>
            </w:pPr>
          </w:p>
        </w:tc>
        <w:tc>
          <w:tcPr>
            <w:tcW w:w="2070" w:type="dxa"/>
            <w:shd w:val="clear" w:color="auto" w:fill="FFFFFF" w:themeFill="background1"/>
          </w:tcPr>
          <w:p w14:paraId="25608F2A"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04611375" w14:textId="77777777" w:rsidR="007D2D75" w:rsidRPr="00BD3832" w:rsidRDefault="007D2D75" w:rsidP="00524A8F">
            <w:pPr>
              <w:spacing w:line="360" w:lineRule="auto"/>
              <w:rPr>
                <w:sz w:val="20"/>
                <w:szCs w:val="20"/>
              </w:rPr>
            </w:pPr>
            <w:r w:rsidRPr="00BD3832">
              <w:rPr>
                <w:sz w:val="20"/>
                <w:szCs w:val="20"/>
              </w:rPr>
              <w:t>1.89 (1.25-2.84)</w:t>
            </w:r>
          </w:p>
        </w:tc>
        <w:tc>
          <w:tcPr>
            <w:tcW w:w="900" w:type="dxa"/>
            <w:vMerge/>
            <w:shd w:val="clear" w:color="auto" w:fill="FFFFFF" w:themeFill="background1"/>
            <w:vAlign w:val="center"/>
          </w:tcPr>
          <w:p w14:paraId="1B3410C6"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0305CF85" w14:textId="77777777" w:rsidR="007D2D75" w:rsidRPr="00BD3832" w:rsidRDefault="007D2D75" w:rsidP="00524A8F">
            <w:pPr>
              <w:spacing w:line="360" w:lineRule="auto"/>
              <w:rPr>
                <w:sz w:val="20"/>
                <w:szCs w:val="20"/>
              </w:rPr>
            </w:pPr>
            <w:r w:rsidRPr="00BD3832">
              <w:rPr>
                <w:sz w:val="20"/>
                <w:szCs w:val="20"/>
              </w:rPr>
              <w:t>0.15 (0.02-1.09)</w:t>
            </w:r>
          </w:p>
        </w:tc>
        <w:tc>
          <w:tcPr>
            <w:tcW w:w="986" w:type="dxa"/>
            <w:vMerge/>
            <w:shd w:val="clear" w:color="auto" w:fill="FFFFFF" w:themeFill="background1"/>
            <w:vAlign w:val="center"/>
          </w:tcPr>
          <w:p w14:paraId="10F6E13C" w14:textId="77777777" w:rsidR="007D2D75" w:rsidRPr="00BD3832" w:rsidRDefault="007D2D75" w:rsidP="00524A8F">
            <w:pPr>
              <w:spacing w:line="360" w:lineRule="auto"/>
              <w:jc w:val="center"/>
              <w:rPr>
                <w:sz w:val="20"/>
                <w:szCs w:val="20"/>
              </w:rPr>
            </w:pPr>
          </w:p>
        </w:tc>
      </w:tr>
      <w:tr w:rsidR="007D2D75" w:rsidRPr="00BD3832" w14:paraId="394B99FB" w14:textId="77777777" w:rsidTr="00524A8F">
        <w:trPr>
          <w:trHeight w:val="240"/>
          <w:jc w:val="center"/>
        </w:trPr>
        <w:tc>
          <w:tcPr>
            <w:tcW w:w="3796" w:type="dxa"/>
            <w:vMerge w:val="restart"/>
            <w:shd w:val="clear" w:color="auto" w:fill="FFFFFF" w:themeFill="background1"/>
            <w:vAlign w:val="center"/>
          </w:tcPr>
          <w:p w14:paraId="1ED9401E" w14:textId="77777777" w:rsidR="007D2D75" w:rsidRPr="00BD3832" w:rsidRDefault="007D2D75" w:rsidP="00524A8F">
            <w:pPr>
              <w:rPr>
                <w:sz w:val="20"/>
                <w:szCs w:val="20"/>
              </w:rPr>
            </w:pPr>
            <w:r w:rsidRPr="00BD3832">
              <w:rPr>
                <w:sz w:val="20"/>
                <w:szCs w:val="20"/>
              </w:rPr>
              <w:t>Sharing the struggling history of tobacco quitting to other HH members</w:t>
            </w:r>
          </w:p>
        </w:tc>
        <w:tc>
          <w:tcPr>
            <w:tcW w:w="2070" w:type="dxa"/>
            <w:shd w:val="clear" w:color="auto" w:fill="FFFFFF" w:themeFill="background1"/>
          </w:tcPr>
          <w:p w14:paraId="0F7D7586"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5B12591D"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69F199A8" w14:textId="77777777" w:rsidR="007D2D75" w:rsidRPr="00BD3832" w:rsidRDefault="007D2D75" w:rsidP="00524A8F">
            <w:pPr>
              <w:spacing w:line="360" w:lineRule="auto"/>
              <w:jc w:val="center"/>
              <w:rPr>
                <w:sz w:val="20"/>
                <w:szCs w:val="20"/>
              </w:rPr>
            </w:pPr>
            <w:r w:rsidRPr="00BD3832">
              <w:rPr>
                <w:sz w:val="20"/>
                <w:szCs w:val="20"/>
              </w:rPr>
              <w:t>0.152</w:t>
            </w:r>
          </w:p>
        </w:tc>
        <w:tc>
          <w:tcPr>
            <w:tcW w:w="1646" w:type="dxa"/>
            <w:shd w:val="clear" w:color="auto" w:fill="FFFFFF" w:themeFill="background1"/>
          </w:tcPr>
          <w:p w14:paraId="74A09FFD"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5126A492" w14:textId="694ED19E" w:rsidR="007D2D75" w:rsidRPr="00BD3832" w:rsidRDefault="007D2D75" w:rsidP="00524A8F">
            <w:pPr>
              <w:spacing w:line="360" w:lineRule="auto"/>
              <w:jc w:val="center"/>
              <w:rPr>
                <w:strike/>
                <w:sz w:val="20"/>
                <w:szCs w:val="20"/>
              </w:rPr>
            </w:pPr>
          </w:p>
          <w:p w14:paraId="52845206" w14:textId="77777777" w:rsidR="007D2D75" w:rsidRPr="00BD3832" w:rsidRDefault="007D2D75" w:rsidP="00524A8F">
            <w:pPr>
              <w:spacing w:line="360" w:lineRule="auto"/>
              <w:jc w:val="center"/>
              <w:rPr>
                <w:sz w:val="20"/>
                <w:szCs w:val="20"/>
              </w:rPr>
            </w:pPr>
            <w:r w:rsidRPr="00BD3832">
              <w:rPr>
                <w:sz w:val="20"/>
                <w:szCs w:val="20"/>
              </w:rPr>
              <w:t>0.888</w:t>
            </w:r>
          </w:p>
        </w:tc>
      </w:tr>
      <w:tr w:rsidR="007D2D75" w:rsidRPr="00BD3832" w14:paraId="0F08FC82" w14:textId="77777777" w:rsidTr="00524A8F">
        <w:trPr>
          <w:trHeight w:val="165"/>
          <w:jc w:val="center"/>
        </w:trPr>
        <w:tc>
          <w:tcPr>
            <w:tcW w:w="3796" w:type="dxa"/>
            <w:vMerge/>
            <w:shd w:val="clear" w:color="auto" w:fill="FFFFFF" w:themeFill="background1"/>
            <w:vAlign w:val="center"/>
          </w:tcPr>
          <w:p w14:paraId="245EF7F2" w14:textId="77777777" w:rsidR="007D2D75" w:rsidRPr="00BD3832" w:rsidRDefault="007D2D75" w:rsidP="00524A8F">
            <w:pPr>
              <w:rPr>
                <w:sz w:val="20"/>
                <w:szCs w:val="20"/>
              </w:rPr>
            </w:pPr>
          </w:p>
        </w:tc>
        <w:tc>
          <w:tcPr>
            <w:tcW w:w="2070" w:type="dxa"/>
            <w:shd w:val="clear" w:color="auto" w:fill="FFFFFF" w:themeFill="background1"/>
          </w:tcPr>
          <w:p w14:paraId="6A5AB682"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351890E3" w14:textId="77777777" w:rsidR="007D2D75" w:rsidRPr="00BD3832" w:rsidRDefault="007D2D75" w:rsidP="00524A8F">
            <w:pPr>
              <w:spacing w:line="360" w:lineRule="auto"/>
              <w:rPr>
                <w:sz w:val="20"/>
                <w:szCs w:val="20"/>
              </w:rPr>
            </w:pPr>
            <w:r w:rsidRPr="00BD3832">
              <w:rPr>
                <w:sz w:val="20"/>
                <w:szCs w:val="20"/>
              </w:rPr>
              <w:t>1.37 ( 0.89-2.12)</w:t>
            </w:r>
          </w:p>
        </w:tc>
        <w:tc>
          <w:tcPr>
            <w:tcW w:w="900" w:type="dxa"/>
            <w:vMerge/>
            <w:shd w:val="clear" w:color="auto" w:fill="FFFFFF" w:themeFill="background1"/>
            <w:vAlign w:val="center"/>
          </w:tcPr>
          <w:p w14:paraId="0A7B3161"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3D3473A2" w14:textId="77777777" w:rsidR="007D2D75" w:rsidRPr="00BD3832" w:rsidRDefault="007D2D75" w:rsidP="00524A8F">
            <w:pPr>
              <w:spacing w:line="360" w:lineRule="auto"/>
              <w:rPr>
                <w:sz w:val="20"/>
                <w:szCs w:val="20"/>
              </w:rPr>
            </w:pPr>
            <w:r w:rsidRPr="00BD3832">
              <w:rPr>
                <w:sz w:val="20"/>
                <w:szCs w:val="20"/>
              </w:rPr>
              <w:t>1.25 (0.05-29.42)</w:t>
            </w:r>
          </w:p>
        </w:tc>
        <w:tc>
          <w:tcPr>
            <w:tcW w:w="986" w:type="dxa"/>
            <w:vMerge/>
            <w:shd w:val="clear" w:color="auto" w:fill="FFFFFF" w:themeFill="background1"/>
            <w:vAlign w:val="center"/>
          </w:tcPr>
          <w:p w14:paraId="2044EB70" w14:textId="77777777" w:rsidR="007D2D75" w:rsidRPr="00BD3832" w:rsidRDefault="007D2D75" w:rsidP="00524A8F">
            <w:pPr>
              <w:spacing w:line="360" w:lineRule="auto"/>
              <w:jc w:val="center"/>
              <w:rPr>
                <w:sz w:val="20"/>
                <w:szCs w:val="20"/>
              </w:rPr>
            </w:pPr>
          </w:p>
        </w:tc>
      </w:tr>
      <w:tr w:rsidR="007D2D75" w:rsidRPr="00BD3832" w14:paraId="7C9D7DDE" w14:textId="77777777" w:rsidTr="00524A8F">
        <w:trPr>
          <w:trHeight w:val="165"/>
          <w:jc w:val="center"/>
        </w:trPr>
        <w:tc>
          <w:tcPr>
            <w:tcW w:w="3796" w:type="dxa"/>
            <w:vMerge w:val="restart"/>
            <w:shd w:val="clear" w:color="auto" w:fill="FFFFFF" w:themeFill="background1"/>
            <w:vAlign w:val="center"/>
          </w:tcPr>
          <w:p w14:paraId="66CBD261" w14:textId="77777777" w:rsidR="007D2D75" w:rsidRPr="00BD3832" w:rsidRDefault="007D2D75" w:rsidP="00524A8F">
            <w:pPr>
              <w:rPr>
                <w:sz w:val="20"/>
                <w:szCs w:val="20"/>
              </w:rPr>
            </w:pPr>
            <w:r w:rsidRPr="00BD3832">
              <w:rPr>
                <w:sz w:val="20"/>
                <w:szCs w:val="20"/>
              </w:rPr>
              <w:t>Tobacco products should be quite inaccessible at HHs</w:t>
            </w:r>
          </w:p>
        </w:tc>
        <w:tc>
          <w:tcPr>
            <w:tcW w:w="2070" w:type="dxa"/>
            <w:shd w:val="clear" w:color="auto" w:fill="FFFFFF" w:themeFill="background1"/>
          </w:tcPr>
          <w:p w14:paraId="3452B432"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63D7BDA6"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66938130" w14:textId="77777777" w:rsidR="007D2D75" w:rsidRPr="00BD3832" w:rsidRDefault="007D2D75" w:rsidP="00524A8F">
            <w:pPr>
              <w:spacing w:line="360" w:lineRule="auto"/>
              <w:jc w:val="center"/>
              <w:rPr>
                <w:sz w:val="20"/>
                <w:szCs w:val="20"/>
              </w:rPr>
            </w:pPr>
            <w:r w:rsidRPr="00BD3832">
              <w:rPr>
                <w:sz w:val="20"/>
                <w:szCs w:val="20"/>
              </w:rPr>
              <w:t>0.075</w:t>
            </w:r>
          </w:p>
        </w:tc>
        <w:tc>
          <w:tcPr>
            <w:tcW w:w="1646" w:type="dxa"/>
            <w:shd w:val="clear" w:color="auto" w:fill="FFFFFF" w:themeFill="background1"/>
          </w:tcPr>
          <w:p w14:paraId="43D00041"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1A8BB4A2" w14:textId="77777777" w:rsidR="007D2D75" w:rsidRPr="00BD3832" w:rsidRDefault="007D2D75" w:rsidP="00524A8F">
            <w:pPr>
              <w:spacing w:line="360" w:lineRule="auto"/>
              <w:jc w:val="center"/>
              <w:rPr>
                <w:sz w:val="20"/>
                <w:szCs w:val="20"/>
              </w:rPr>
            </w:pPr>
            <w:r w:rsidRPr="00BD3832">
              <w:rPr>
                <w:sz w:val="20"/>
                <w:szCs w:val="20"/>
              </w:rPr>
              <w:t>0.314</w:t>
            </w:r>
          </w:p>
        </w:tc>
      </w:tr>
      <w:tr w:rsidR="007D2D75" w:rsidRPr="00BD3832" w14:paraId="17A8A04C" w14:textId="77777777" w:rsidTr="00524A8F">
        <w:trPr>
          <w:trHeight w:val="165"/>
          <w:jc w:val="center"/>
        </w:trPr>
        <w:tc>
          <w:tcPr>
            <w:tcW w:w="3796" w:type="dxa"/>
            <w:vMerge/>
            <w:shd w:val="clear" w:color="auto" w:fill="FFFFFF" w:themeFill="background1"/>
            <w:vAlign w:val="center"/>
          </w:tcPr>
          <w:p w14:paraId="40F2B7BE" w14:textId="77777777" w:rsidR="007D2D75" w:rsidRPr="00BD3832" w:rsidRDefault="007D2D75" w:rsidP="00524A8F">
            <w:pPr>
              <w:rPr>
                <w:sz w:val="20"/>
                <w:szCs w:val="20"/>
              </w:rPr>
            </w:pPr>
          </w:p>
        </w:tc>
        <w:tc>
          <w:tcPr>
            <w:tcW w:w="2070" w:type="dxa"/>
            <w:shd w:val="clear" w:color="auto" w:fill="FFFFFF" w:themeFill="background1"/>
          </w:tcPr>
          <w:p w14:paraId="3A7FC4DF"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52B0787A" w14:textId="77777777" w:rsidR="007D2D75" w:rsidRPr="00BD3832" w:rsidRDefault="007D2D75" w:rsidP="00524A8F">
            <w:pPr>
              <w:spacing w:line="360" w:lineRule="auto"/>
              <w:rPr>
                <w:sz w:val="20"/>
                <w:szCs w:val="20"/>
              </w:rPr>
            </w:pPr>
            <w:r w:rsidRPr="00BD3832">
              <w:rPr>
                <w:sz w:val="20"/>
                <w:szCs w:val="20"/>
              </w:rPr>
              <w:t>1.45 ( 0.96-2.18)</w:t>
            </w:r>
          </w:p>
        </w:tc>
        <w:tc>
          <w:tcPr>
            <w:tcW w:w="900" w:type="dxa"/>
            <w:vMerge/>
            <w:shd w:val="clear" w:color="auto" w:fill="FFFFFF" w:themeFill="background1"/>
            <w:vAlign w:val="center"/>
          </w:tcPr>
          <w:p w14:paraId="570AB583"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153A56D9" w14:textId="77777777" w:rsidR="007D2D75" w:rsidRPr="00BD3832" w:rsidRDefault="007D2D75" w:rsidP="00524A8F">
            <w:pPr>
              <w:spacing w:line="360" w:lineRule="auto"/>
              <w:rPr>
                <w:sz w:val="20"/>
                <w:szCs w:val="20"/>
              </w:rPr>
            </w:pPr>
            <w:r w:rsidRPr="00BD3832">
              <w:rPr>
                <w:sz w:val="20"/>
                <w:szCs w:val="20"/>
              </w:rPr>
              <w:t>3.32 (0.32-34.27)</w:t>
            </w:r>
          </w:p>
        </w:tc>
        <w:tc>
          <w:tcPr>
            <w:tcW w:w="986" w:type="dxa"/>
            <w:vMerge/>
            <w:shd w:val="clear" w:color="auto" w:fill="FFFFFF" w:themeFill="background1"/>
            <w:vAlign w:val="center"/>
          </w:tcPr>
          <w:p w14:paraId="7A2279D4" w14:textId="77777777" w:rsidR="007D2D75" w:rsidRPr="00BD3832" w:rsidRDefault="007D2D75" w:rsidP="00524A8F">
            <w:pPr>
              <w:spacing w:line="360" w:lineRule="auto"/>
              <w:jc w:val="center"/>
              <w:rPr>
                <w:sz w:val="20"/>
                <w:szCs w:val="20"/>
              </w:rPr>
            </w:pPr>
          </w:p>
        </w:tc>
      </w:tr>
      <w:tr w:rsidR="007D2D75" w:rsidRPr="00BD3832" w14:paraId="15E10FE4" w14:textId="77777777" w:rsidTr="00524A8F">
        <w:trPr>
          <w:trHeight w:val="165"/>
          <w:jc w:val="center"/>
        </w:trPr>
        <w:tc>
          <w:tcPr>
            <w:tcW w:w="3796" w:type="dxa"/>
            <w:vMerge w:val="restart"/>
            <w:shd w:val="clear" w:color="auto" w:fill="FFFFFF" w:themeFill="background1"/>
            <w:vAlign w:val="center"/>
          </w:tcPr>
          <w:p w14:paraId="3B1A34D7" w14:textId="77777777" w:rsidR="007D2D75" w:rsidRPr="00BD3832" w:rsidRDefault="007D2D75" w:rsidP="00524A8F">
            <w:pPr>
              <w:rPr>
                <w:sz w:val="20"/>
                <w:szCs w:val="20"/>
              </w:rPr>
            </w:pPr>
            <w:r w:rsidRPr="00BD3832">
              <w:rPr>
                <w:sz w:val="20"/>
                <w:szCs w:val="20"/>
              </w:rPr>
              <w:t>Parental sitting in non-smoking sections outside of HHs</w:t>
            </w:r>
          </w:p>
        </w:tc>
        <w:tc>
          <w:tcPr>
            <w:tcW w:w="2070" w:type="dxa"/>
            <w:shd w:val="clear" w:color="auto" w:fill="FFFFFF" w:themeFill="background1"/>
          </w:tcPr>
          <w:p w14:paraId="7769DC8A"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333EA26E"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04EA1907" w14:textId="77777777" w:rsidR="007D2D75" w:rsidRPr="00BD3832" w:rsidRDefault="007D2D75" w:rsidP="00524A8F">
            <w:pPr>
              <w:spacing w:line="360" w:lineRule="auto"/>
              <w:jc w:val="center"/>
              <w:rPr>
                <w:sz w:val="20"/>
                <w:szCs w:val="20"/>
              </w:rPr>
            </w:pPr>
            <w:r w:rsidRPr="00BD3832">
              <w:rPr>
                <w:sz w:val="20"/>
                <w:szCs w:val="20"/>
              </w:rPr>
              <w:t>0.688</w:t>
            </w:r>
          </w:p>
        </w:tc>
        <w:tc>
          <w:tcPr>
            <w:tcW w:w="1646" w:type="dxa"/>
            <w:shd w:val="clear" w:color="auto" w:fill="FFFFFF" w:themeFill="background1"/>
          </w:tcPr>
          <w:p w14:paraId="23CEC476"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7B7014F6" w14:textId="77777777" w:rsidR="007D2D75" w:rsidRPr="00BD3832" w:rsidRDefault="007D2D75" w:rsidP="00524A8F">
            <w:pPr>
              <w:spacing w:line="360" w:lineRule="auto"/>
              <w:jc w:val="center"/>
              <w:rPr>
                <w:sz w:val="20"/>
                <w:szCs w:val="20"/>
              </w:rPr>
            </w:pPr>
            <w:r w:rsidRPr="00BD3832">
              <w:rPr>
                <w:sz w:val="20"/>
                <w:szCs w:val="20"/>
              </w:rPr>
              <w:t>0.644</w:t>
            </w:r>
          </w:p>
        </w:tc>
      </w:tr>
      <w:tr w:rsidR="007D2D75" w:rsidRPr="00BD3832" w14:paraId="6B9222EE" w14:textId="77777777" w:rsidTr="00524A8F">
        <w:trPr>
          <w:trHeight w:val="165"/>
          <w:jc w:val="center"/>
        </w:trPr>
        <w:tc>
          <w:tcPr>
            <w:tcW w:w="3796" w:type="dxa"/>
            <w:vMerge/>
            <w:shd w:val="clear" w:color="auto" w:fill="FFFFFF" w:themeFill="background1"/>
            <w:vAlign w:val="center"/>
          </w:tcPr>
          <w:p w14:paraId="762B4E4E" w14:textId="77777777" w:rsidR="007D2D75" w:rsidRPr="00BD3832" w:rsidRDefault="007D2D75" w:rsidP="00524A8F">
            <w:pPr>
              <w:rPr>
                <w:sz w:val="20"/>
                <w:szCs w:val="20"/>
              </w:rPr>
            </w:pPr>
          </w:p>
        </w:tc>
        <w:tc>
          <w:tcPr>
            <w:tcW w:w="2070" w:type="dxa"/>
            <w:shd w:val="clear" w:color="auto" w:fill="FFFFFF" w:themeFill="background1"/>
          </w:tcPr>
          <w:p w14:paraId="7667F42E"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0D0F6DA5" w14:textId="77777777" w:rsidR="007D2D75" w:rsidRPr="00BD3832" w:rsidRDefault="007D2D75" w:rsidP="00524A8F">
            <w:pPr>
              <w:spacing w:line="360" w:lineRule="auto"/>
              <w:rPr>
                <w:sz w:val="20"/>
                <w:szCs w:val="20"/>
              </w:rPr>
            </w:pPr>
            <w:r w:rsidRPr="00BD3832">
              <w:rPr>
                <w:sz w:val="20"/>
                <w:szCs w:val="20"/>
              </w:rPr>
              <w:t>1.09 ( 0.71-1.67)</w:t>
            </w:r>
          </w:p>
        </w:tc>
        <w:tc>
          <w:tcPr>
            <w:tcW w:w="900" w:type="dxa"/>
            <w:vMerge/>
            <w:shd w:val="clear" w:color="auto" w:fill="FFFFFF" w:themeFill="background1"/>
            <w:vAlign w:val="center"/>
          </w:tcPr>
          <w:p w14:paraId="23EDF9D5"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49141841" w14:textId="77777777" w:rsidR="007D2D75" w:rsidRPr="00BD3832" w:rsidRDefault="007D2D75" w:rsidP="00524A8F">
            <w:pPr>
              <w:spacing w:line="360" w:lineRule="auto"/>
              <w:rPr>
                <w:sz w:val="20"/>
                <w:szCs w:val="20"/>
              </w:rPr>
            </w:pPr>
            <w:r w:rsidRPr="00BD3832">
              <w:rPr>
                <w:sz w:val="20"/>
                <w:szCs w:val="20"/>
              </w:rPr>
              <w:t>1.12 (0.67-1.87)</w:t>
            </w:r>
          </w:p>
        </w:tc>
        <w:tc>
          <w:tcPr>
            <w:tcW w:w="986" w:type="dxa"/>
            <w:vMerge/>
            <w:shd w:val="clear" w:color="auto" w:fill="FFFFFF" w:themeFill="background1"/>
            <w:vAlign w:val="center"/>
          </w:tcPr>
          <w:p w14:paraId="22F351B4" w14:textId="77777777" w:rsidR="007D2D75" w:rsidRPr="00BD3832" w:rsidRDefault="007D2D75" w:rsidP="00524A8F">
            <w:pPr>
              <w:spacing w:line="360" w:lineRule="auto"/>
              <w:jc w:val="center"/>
              <w:rPr>
                <w:sz w:val="20"/>
                <w:szCs w:val="20"/>
              </w:rPr>
            </w:pPr>
          </w:p>
        </w:tc>
      </w:tr>
      <w:tr w:rsidR="007D2D75" w:rsidRPr="00BD3832" w14:paraId="39EE96AE" w14:textId="77777777" w:rsidTr="00524A8F">
        <w:trPr>
          <w:trHeight w:val="165"/>
          <w:jc w:val="center"/>
        </w:trPr>
        <w:tc>
          <w:tcPr>
            <w:tcW w:w="3796" w:type="dxa"/>
            <w:vMerge w:val="restart"/>
            <w:shd w:val="clear" w:color="auto" w:fill="FFFFFF" w:themeFill="background1"/>
            <w:vAlign w:val="center"/>
          </w:tcPr>
          <w:p w14:paraId="6052FBAC" w14:textId="77777777" w:rsidR="007D2D75" w:rsidRPr="00BD3832" w:rsidRDefault="007D2D75" w:rsidP="00524A8F">
            <w:pPr>
              <w:rPr>
                <w:sz w:val="20"/>
                <w:szCs w:val="20"/>
              </w:rPr>
            </w:pPr>
            <w:r w:rsidRPr="00BD3832">
              <w:rPr>
                <w:sz w:val="20"/>
                <w:szCs w:val="20"/>
                <w:lang w:val="sv-SE"/>
              </w:rPr>
              <w:t>Strong family bonding within family members can be helpful to prevent tobacco- use at HHs-level</w:t>
            </w:r>
          </w:p>
        </w:tc>
        <w:tc>
          <w:tcPr>
            <w:tcW w:w="2070" w:type="dxa"/>
            <w:shd w:val="clear" w:color="auto" w:fill="FFFFFF" w:themeFill="background1"/>
          </w:tcPr>
          <w:p w14:paraId="6A8DCF05"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5D4BF557"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460FF47B" w14:textId="77777777" w:rsidR="007D2D75" w:rsidRPr="00BD3832" w:rsidRDefault="007D2D75" w:rsidP="00524A8F">
            <w:pPr>
              <w:spacing w:line="360" w:lineRule="auto"/>
              <w:jc w:val="center"/>
              <w:rPr>
                <w:sz w:val="20"/>
                <w:szCs w:val="20"/>
              </w:rPr>
            </w:pPr>
            <w:r w:rsidRPr="00BD3832">
              <w:rPr>
                <w:sz w:val="20"/>
                <w:szCs w:val="20"/>
              </w:rPr>
              <w:t>&lt;0.001</w:t>
            </w:r>
          </w:p>
        </w:tc>
        <w:tc>
          <w:tcPr>
            <w:tcW w:w="1646" w:type="dxa"/>
            <w:shd w:val="clear" w:color="auto" w:fill="FFFFFF" w:themeFill="background1"/>
          </w:tcPr>
          <w:p w14:paraId="6D22DF68"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02B6CD4C" w14:textId="77777777" w:rsidR="007D2D75" w:rsidRPr="00BD3832" w:rsidRDefault="007D2D75" w:rsidP="00524A8F">
            <w:pPr>
              <w:spacing w:line="360" w:lineRule="auto"/>
              <w:jc w:val="center"/>
              <w:rPr>
                <w:sz w:val="20"/>
                <w:szCs w:val="20"/>
              </w:rPr>
            </w:pPr>
            <w:r w:rsidRPr="00BD3832">
              <w:rPr>
                <w:sz w:val="20"/>
                <w:szCs w:val="20"/>
              </w:rPr>
              <w:t>0.586</w:t>
            </w:r>
          </w:p>
        </w:tc>
      </w:tr>
      <w:tr w:rsidR="007D2D75" w:rsidRPr="00BD3832" w14:paraId="1BF468A6" w14:textId="77777777" w:rsidTr="00524A8F">
        <w:trPr>
          <w:trHeight w:val="165"/>
          <w:jc w:val="center"/>
        </w:trPr>
        <w:tc>
          <w:tcPr>
            <w:tcW w:w="3796" w:type="dxa"/>
            <w:vMerge/>
            <w:shd w:val="clear" w:color="auto" w:fill="FFFFFF" w:themeFill="background1"/>
            <w:vAlign w:val="center"/>
          </w:tcPr>
          <w:p w14:paraId="1117624A" w14:textId="77777777" w:rsidR="007D2D75" w:rsidRPr="00BD3832" w:rsidRDefault="007D2D75" w:rsidP="00524A8F">
            <w:pPr>
              <w:rPr>
                <w:sz w:val="20"/>
                <w:szCs w:val="20"/>
              </w:rPr>
            </w:pPr>
          </w:p>
        </w:tc>
        <w:tc>
          <w:tcPr>
            <w:tcW w:w="2070" w:type="dxa"/>
            <w:shd w:val="clear" w:color="auto" w:fill="FFFFFF" w:themeFill="background1"/>
          </w:tcPr>
          <w:p w14:paraId="49226987"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0B8BCF91" w14:textId="77777777" w:rsidR="007D2D75" w:rsidRPr="00BD3832" w:rsidRDefault="007D2D75" w:rsidP="00524A8F">
            <w:pPr>
              <w:spacing w:line="360" w:lineRule="auto"/>
              <w:rPr>
                <w:sz w:val="20"/>
                <w:szCs w:val="20"/>
              </w:rPr>
            </w:pPr>
            <w:r w:rsidRPr="00BD3832">
              <w:rPr>
                <w:sz w:val="20"/>
                <w:szCs w:val="20"/>
              </w:rPr>
              <w:t>2.76 (1 .76-4.33)</w:t>
            </w:r>
          </w:p>
        </w:tc>
        <w:tc>
          <w:tcPr>
            <w:tcW w:w="900" w:type="dxa"/>
            <w:vMerge/>
            <w:shd w:val="clear" w:color="auto" w:fill="FFFFFF" w:themeFill="background1"/>
            <w:vAlign w:val="center"/>
          </w:tcPr>
          <w:p w14:paraId="0DA6AF64"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69FE76B8" w14:textId="77777777" w:rsidR="007D2D75" w:rsidRPr="00BD3832" w:rsidRDefault="007D2D75" w:rsidP="00524A8F">
            <w:pPr>
              <w:spacing w:line="360" w:lineRule="auto"/>
              <w:rPr>
                <w:sz w:val="20"/>
                <w:szCs w:val="20"/>
              </w:rPr>
            </w:pPr>
            <w:r w:rsidRPr="00BD3832">
              <w:rPr>
                <w:sz w:val="20"/>
                <w:szCs w:val="20"/>
              </w:rPr>
              <w:t>0.39 (0.01-11.45)</w:t>
            </w:r>
          </w:p>
        </w:tc>
        <w:tc>
          <w:tcPr>
            <w:tcW w:w="986" w:type="dxa"/>
            <w:vMerge/>
            <w:shd w:val="clear" w:color="auto" w:fill="FFFFFF" w:themeFill="background1"/>
            <w:vAlign w:val="center"/>
          </w:tcPr>
          <w:p w14:paraId="621D5FE3" w14:textId="77777777" w:rsidR="007D2D75" w:rsidRPr="00BD3832" w:rsidRDefault="007D2D75" w:rsidP="00524A8F">
            <w:pPr>
              <w:spacing w:line="360" w:lineRule="auto"/>
              <w:jc w:val="center"/>
              <w:rPr>
                <w:sz w:val="20"/>
                <w:szCs w:val="20"/>
              </w:rPr>
            </w:pPr>
          </w:p>
        </w:tc>
      </w:tr>
      <w:tr w:rsidR="007D2D75" w:rsidRPr="00BD3832" w14:paraId="392395ED" w14:textId="77777777" w:rsidTr="00524A8F">
        <w:trPr>
          <w:trHeight w:val="165"/>
          <w:jc w:val="center"/>
        </w:trPr>
        <w:tc>
          <w:tcPr>
            <w:tcW w:w="3796" w:type="dxa"/>
            <w:vMerge w:val="restart"/>
            <w:shd w:val="clear" w:color="auto" w:fill="FFFFFF" w:themeFill="background1"/>
            <w:vAlign w:val="center"/>
          </w:tcPr>
          <w:p w14:paraId="0A5F7256" w14:textId="77777777" w:rsidR="007D2D75" w:rsidRPr="00BD3832" w:rsidRDefault="007D2D75" w:rsidP="00524A8F">
            <w:pPr>
              <w:rPr>
                <w:sz w:val="20"/>
                <w:szCs w:val="20"/>
                <w:lang w:val="sv-SE"/>
              </w:rPr>
            </w:pPr>
            <w:r w:rsidRPr="00BD3832">
              <w:rPr>
                <w:sz w:val="20"/>
                <w:szCs w:val="20"/>
                <w:lang w:val="sv-SE"/>
              </w:rPr>
              <w:t xml:space="preserve">Intervention need to be covered to make parental awareness of adverse errects </w:t>
            </w:r>
          </w:p>
          <w:p w14:paraId="0AB21268" w14:textId="77777777" w:rsidR="007D2D75" w:rsidRPr="00BD3832" w:rsidRDefault="007D2D75" w:rsidP="00524A8F">
            <w:pPr>
              <w:rPr>
                <w:sz w:val="20"/>
                <w:szCs w:val="20"/>
              </w:rPr>
            </w:pPr>
            <w:r w:rsidRPr="00BD3832">
              <w:rPr>
                <w:sz w:val="20"/>
                <w:szCs w:val="20"/>
                <w:lang w:val="sv-SE"/>
              </w:rPr>
              <w:t>(by GO/NGO)</w:t>
            </w:r>
          </w:p>
        </w:tc>
        <w:tc>
          <w:tcPr>
            <w:tcW w:w="2070" w:type="dxa"/>
            <w:shd w:val="clear" w:color="auto" w:fill="FFFFFF" w:themeFill="background1"/>
          </w:tcPr>
          <w:p w14:paraId="6C78C5FE"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70509389"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5E38EF1F" w14:textId="77777777" w:rsidR="007D2D75" w:rsidRPr="00BD3832" w:rsidRDefault="007D2D75" w:rsidP="00524A8F">
            <w:pPr>
              <w:spacing w:line="360" w:lineRule="auto"/>
              <w:jc w:val="center"/>
              <w:rPr>
                <w:sz w:val="20"/>
                <w:szCs w:val="20"/>
              </w:rPr>
            </w:pPr>
            <w:r w:rsidRPr="00BD3832">
              <w:rPr>
                <w:sz w:val="20"/>
                <w:szCs w:val="20"/>
              </w:rPr>
              <w:t>0.812</w:t>
            </w:r>
          </w:p>
        </w:tc>
        <w:tc>
          <w:tcPr>
            <w:tcW w:w="1646" w:type="dxa"/>
            <w:shd w:val="clear" w:color="auto" w:fill="FFFFFF" w:themeFill="background1"/>
          </w:tcPr>
          <w:p w14:paraId="493A57F2"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401678C3"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0.366</w:t>
            </w:r>
          </w:p>
        </w:tc>
      </w:tr>
      <w:tr w:rsidR="007D2D75" w:rsidRPr="00BD3832" w14:paraId="64A2F101" w14:textId="77777777" w:rsidTr="00524A8F">
        <w:trPr>
          <w:trHeight w:val="165"/>
          <w:jc w:val="center"/>
        </w:trPr>
        <w:tc>
          <w:tcPr>
            <w:tcW w:w="3796" w:type="dxa"/>
            <w:vMerge/>
            <w:shd w:val="clear" w:color="auto" w:fill="FFFFFF" w:themeFill="background1"/>
            <w:vAlign w:val="center"/>
          </w:tcPr>
          <w:p w14:paraId="253B6AB5" w14:textId="77777777" w:rsidR="007D2D75" w:rsidRPr="00BD3832" w:rsidRDefault="007D2D75" w:rsidP="00524A8F">
            <w:pPr>
              <w:rPr>
                <w:sz w:val="20"/>
                <w:szCs w:val="20"/>
              </w:rPr>
            </w:pPr>
          </w:p>
        </w:tc>
        <w:tc>
          <w:tcPr>
            <w:tcW w:w="2070" w:type="dxa"/>
            <w:shd w:val="clear" w:color="auto" w:fill="FFFFFF" w:themeFill="background1"/>
          </w:tcPr>
          <w:p w14:paraId="737971C6"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150EB8D6" w14:textId="77777777" w:rsidR="007D2D75" w:rsidRPr="00BD3832" w:rsidRDefault="007D2D75" w:rsidP="00524A8F">
            <w:pPr>
              <w:spacing w:line="360" w:lineRule="auto"/>
              <w:rPr>
                <w:sz w:val="20"/>
                <w:szCs w:val="20"/>
              </w:rPr>
            </w:pPr>
            <w:r w:rsidRPr="00BD3832">
              <w:rPr>
                <w:sz w:val="20"/>
                <w:szCs w:val="20"/>
              </w:rPr>
              <w:t>1.08  ( 0.56-2.10)</w:t>
            </w:r>
          </w:p>
        </w:tc>
        <w:tc>
          <w:tcPr>
            <w:tcW w:w="900" w:type="dxa"/>
            <w:vMerge/>
            <w:shd w:val="clear" w:color="auto" w:fill="FFFFFF" w:themeFill="background1"/>
            <w:vAlign w:val="center"/>
          </w:tcPr>
          <w:p w14:paraId="70D59F9D"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5034927E" w14:textId="77777777" w:rsidR="007D2D75" w:rsidRPr="00BD3832" w:rsidRDefault="007D2D75" w:rsidP="00524A8F">
            <w:pPr>
              <w:spacing w:line="360" w:lineRule="auto"/>
              <w:rPr>
                <w:sz w:val="20"/>
                <w:szCs w:val="20"/>
              </w:rPr>
            </w:pPr>
            <w:r w:rsidRPr="00BD3832">
              <w:rPr>
                <w:sz w:val="20"/>
                <w:szCs w:val="20"/>
              </w:rPr>
              <w:t>1.45 (0.64- 3.26)</w:t>
            </w:r>
          </w:p>
        </w:tc>
        <w:tc>
          <w:tcPr>
            <w:tcW w:w="986" w:type="dxa"/>
            <w:vMerge/>
            <w:shd w:val="clear" w:color="auto" w:fill="FFFFFF" w:themeFill="background1"/>
            <w:vAlign w:val="center"/>
          </w:tcPr>
          <w:p w14:paraId="0BE4D3ED" w14:textId="77777777" w:rsidR="007D2D75" w:rsidRPr="00BD3832" w:rsidRDefault="007D2D75" w:rsidP="00524A8F">
            <w:pPr>
              <w:spacing w:line="360" w:lineRule="auto"/>
              <w:jc w:val="center"/>
              <w:rPr>
                <w:sz w:val="20"/>
                <w:szCs w:val="20"/>
              </w:rPr>
            </w:pPr>
          </w:p>
        </w:tc>
      </w:tr>
      <w:tr w:rsidR="007D2D75" w:rsidRPr="00BD3832" w14:paraId="48E647E1" w14:textId="77777777" w:rsidTr="00524A8F">
        <w:trPr>
          <w:trHeight w:val="165"/>
          <w:jc w:val="center"/>
        </w:trPr>
        <w:tc>
          <w:tcPr>
            <w:tcW w:w="3796" w:type="dxa"/>
            <w:vMerge w:val="restart"/>
            <w:shd w:val="clear" w:color="auto" w:fill="FFFFFF" w:themeFill="background1"/>
            <w:vAlign w:val="center"/>
          </w:tcPr>
          <w:p w14:paraId="5A049F42" w14:textId="77777777" w:rsidR="007D2D75" w:rsidRPr="00BD3832" w:rsidRDefault="007D2D75" w:rsidP="00524A8F">
            <w:pPr>
              <w:rPr>
                <w:sz w:val="20"/>
                <w:szCs w:val="20"/>
              </w:rPr>
            </w:pPr>
            <w:r w:rsidRPr="00BD3832">
              <w:rPr>
                <w:sz w:val="20"/>
                <w:szCs w:val="20"/>
                <w:lang w:val="sv-SE"/>
              </w:rPr>
              <w:t>Home is out of tobacco region should go as social campign</w:t>
            </w:r>
          </w:p>
        </w:tc>
        <w:tc>
          <w:tcPr>
            <w:tcW w:w="2070" w:type="dxa"/>
            <w:shd w:val="clear" w:color="auto" w:fill="FFFFFF" w:themeFill="background1"/>
          </w:tcPr>
          <w:p w14:paraId="7E5E9664" w14:textId="77777777" w:rsidR="007D2D75" w:rsidRPr="00BD3832" w:rsidRDefault="007D2D75" w:rsidP="00524A8F">
            <w:pPr>
              <w:spacing w:line="360" w:lineRule="auto"/>
              <w:rPr>
                <w:sz w:val="20"/>
                <w:szCs w:val="20"/>
              </w:rPr>
            </w:pPr>
            <w:r w:rsidRPr="00BD3832">
              <w:rPr>
                <w:sz w:val="20"/>
                <w:szCs w:val="20"/>
              </w:rPr>
              <w:t xml:space="preserve">Disagree </w:t>
            </w:r>
            <w:r w:rsidRPr="00BD3832">
              <w:rPr>
                <w:sz w:val="20"/>
                <w:szCs w:val="20"/>
                <w:vertAlign w:val="superscript"/>
              </w:rPr>
              <w:t>RC</w:t>
            </w:r>
          </w:p>
        </w:tc>
        <w:tc>
          <w:tcPr>
            <w:tcW w:w="1620" w:type="dxa"/>
            <w:shd w:val="clear" w:color="auto" w:fill="FFFFFF" w:themeFill="background1"/>
          </w:tcPr>
          <w:p w14:paraId="0DBC7E5B" w14:textId="77777777" w:rsidR="007D2D75" w:rsidRPr="00BD3832" w:rsidRDefault="007D2D75" w:rsidP="00524A8F">
            <w:pPr>
              <w:spacing w:line="360" w:lineRule="auto"/>
              <w:rPr>
                <w:sz w:val="20"/>
                <w:szCs w:val="20"/>
              </w:rPr>
            </w:pPr>
            <w:r w:rsidRPr="00BD3832">
              <w:rPr>
                <w:sz w:val="20"/>
                <w:szCs w:val="20"/>
              </w:rPr>
              <w:t>1</w:t>
            </w:r>
          </w:p>
        </w:tc>
        <w:tc>
          <w:tcPr>
            <w:tcW w:w="900" w:type="dxa"/>
            <w:vMerge w:val="restart"/>
            <w:shd w:val="clear" w:color="auto" w:fill="FFFFFF" w:themeFill="background1"/>
            <w:vAlign w:val="center"/>
          </w:tcPr>
          <w:p w14:paraId="13481EA3" w14:textId="77777777" w:rsidR="007D2D75" w:rsidRPr="00BD3832" w:rsidRDefault="007D2D75" w:rsidP="00524A8F">
            <w:pPr>
              <w:spacing w:line="360" w:lineRule="auto"/>
              <w:jc w:val="center"/>
              <w:rPr>
                <w:sz w:val="20"/>
                <w:szCs w:val="20"/>
              </w:rPr>
            </w:pPr>
            <w:r w:rsidRPr="00BD3832">
              <w:rPr>
                <w:sz w:val="20"/>
                <w:szCs w:val="20"/>
              </w:rPr>
              <w:t>0.002</w:t>
            </w:r>
          </w:p>
        </w:tc>
        <w:tc>
          <w:tcPr>
            <w:tcW w:w="1646" w:type="dxa"/>
            <w:shd w:val="clear" w:color="auto" w:fill="FFFFFF" w:themeFill="background1"/>
          </w:tcPr>
          <w:p w14:paraId="50CC01D2" w14:textId="77777777" w:rsidR="007D2D75" w:rsidRPr="00BD3832" w:rsidRDefault="007D2D75" w:rsidP="00524A8F">
            <w:pPr>
              <w:spacing w:line="360" w:lineRule="auto"/>
              <w:rPr>
                <w:sz w:val="20"/>
                <w:szCs w:val="20"/>
              </w:rPr>
            </w:pPr>
            <w:r w:rsidRPr="00BD3832">
              <w:rPr>
                <w:sz w:val="20"/>
                <w:szCs w:val="20"/>
              </w:rPr>
              <w:t>1</w:t>
            </w:r>
          </w:p>
        </w:tc>
        <w:tc>
          <w:tcPr>
            <w:tcW w:w="986" w:type="dxa"/>
            <w:vMerge w:val="restart"/>
            <w:shd w:val="clear" w:color="auto" w:fill="FFFFFF" w:themeFill="background1"/>
            <w:vAlign w:val="center"/>
          </w:tcPr>
          <w:p w14:paraId="5A2497F4" w14:textId="77777777" w:rsidR="007D2D75" w:rsidRPr="00BD3832" w:rsidRDefault="007D2D75" w:rsidP="00524A8F">
            <w:pPr>
              <w:spacing w:line="360" w:lineRule="auto"/>
              <w:jc w:val="center"/>
              <w:rPr>
                <w:strike/>
                <w:sz w:val="20"/>
                <w:szCs w:val="20"/>
              </w:rPr>
            </w:pPr>
            <w:r w:rsidRPr="00BD3832">
              <w:rPr>
                <w:rFonts w:ascii="Arial" w:hAnsi="Arial" w:cs="Arial"/>
                <w:sz w:val="18"/>
                <w:szCs w:val="18"/>
              </w:rPr>
              <w:t>0.249</w:t>
            </w:r>
          </w:p>
        </w:tc>
      </w:tr>
      <w:tr w:rsidR="007D2D75" w:rsidRPr="00BD3832" w14:paraId="29DED82F" w14:textId="77777777" w:rsidTr="00524A8F">
        <w:trPr>
          <w:trHeight w:val="165"/>
          <w:jc w:val="center"/>
        </w:trPr>
        <w:tc>
          <w:tcPr>
            <w:tcW w:w="3796" w:type="dxa"/>
            <w:vMerge/>
            <w:shd w:val="clear" w:color="auto" w:fill="FFFFFF" w:themeFill="background1"/>
          </w:tcPr>
          <w:p w14:paraId="45604D38" w14:textId="77777777" w:rsidR="007D2D75" w:rsidRPr="00BD3832" w:rsidRDefault="007D2D75" w:rsidP="00524A8F">
            <w:pPr>
              <w:rPr>
                <w:sz w:val="20"/>
                <w:szCs w:val="20"/>
              </w:rPr>
            </w:pPr>
          </w:p>
        </w:tc>
        <w:tc>
          <w:tcPr>
            <w:tcW w:w="2070" w:type="dxa"/>
            <w:shd w:val="clear" w:color="auto" w:fill="FFFFFF" w:themeFill="background1"/>
          </w:tcPr>
          <w:p w14:paraId="1A7F25F4" w14:textId="77777777" w:rsidR="007D2D75" w:rsidRPr="00BD3832" w:rsidRDefault="007D2D75" w:rsidP="00524A8F">
            <w:pPr>
              <w:spacing w:line="360" w:lineRule="auto"/>
              <w:rPr>
                <w:sz w:val="20"/>
                <w:szCs w:val="20"/>
              </w:rPr>
            </w:pPr>
            <w:r w:rsidRPr="00BD3832">
              <w:rPr>
                <w:sz w:val="20"/>
                <w:szCs w:val="20"/>
              </w:rPr>
              <w:t>Agree</w:t>
            </w:r>
          </w:p>
        </w:tc>
        <w:tc>
          <w:tcPr>
            <w:tcW w:w="1620" w:type="dxa"/>
            <w:shd w:val="clear" w:color="auto" w:fill="FFFFFF" w:themeFill="background1"/>
          </w:tcPr>
          <w:p w14:paraId="1ADFB57E" w14:textId="77777777" w:rsidR="007D2D75" w:rsidRPr="00BD3832" w:rsidRDefault="007D2D75" w:rsidP="00524A8F">
            <w:pPr>
              <w:spacing w:line="360" w:lineRule="auto"/>
              <w:rPr>
                <w:sz w:val="20"/>
                <w:szCs w:val="20"/>
              </w:rPr>
            </w:pPr>
            <w:r w:rsidRPr="00BD3832">
              <w:rPr>
                <w:sz w:val="20"/>
                <w:szCs w:val="20"/>
              </w:rPr>
              <w:t>1.90 (1 .27-2.87)</w:t>
            </w:r>
          </w:p>
        </w:tc>
        <w:tc>
          <w:tcPr>
            <w:tcW w:w="900" w:type="dxa"/>
            <w:vMerge/>
            <w:shd w:val="clear" w:color="auto" w:fill="FFFFFF" w:themeFill="background1"/>
            <w:vAlign w:val="center"/>
          </w:tcPr>
          <w:p w14:paraId="134270ED" w14:textId="77777777" w:rsidR="007D2D75" w:rsidRPr="00BD3832" w:rsidRDefault="007D2D75" w:rsidP="00524A8F">
            <w:pPr>
              <w:spacing w:line="360" w:lineRule="auto"/>
              <w:jc w:val="center"/>
              <w:rPr>
                <w:sz w:val="20"/>
                <w:szCs w:val="20"/>
              </w:rPr>
            </w:pPr>
          </w:p>
        </w:tc>
        <w:tc>
          <w:tcPr>
            <w:tcW w:w="1646" w:type="dxa"/>
            <w:shd w:val="clear" w:color="auto" w:fill="FFFFFF" w:themeFill="background1"/>
          </w:tcPr>
          <w:p w14:paraId="6242C633" w14:textId="77777777" w:rsidR="007D2D75" w:rsidRPr="00BD3832" w:rsidRDefault="007D2D75" w:rsidP="00524A8F">
            <w:pPr>
              <w:spacing w:line="360" w:lineRule="auto"/>
              <w:rPr>
                <w:sz w:val="20"/>
                <w:szCs w:val="20"/>
              </w:rPr>
            </w:pPr>
            <w:r w:rsidRPr="00BD3832">
              <w:rPr>
                <w:sz w:val="20"/>
                <w:szCs w:val="20"/>
              </w:rPr>
              <w:t>2.91 (0.47-17.94)</w:t>
            </w:r>
          </w:p>
        </w:tc>
        <w:tc>
          <w:tcPr>
            <w:tcW w:w="986" w:type="dxa"/>
            <w:vMerge/>
            <w:shd w:val="clear" w:color="auto" w:fill="FFFFFF" w:themeFill="background1"/>
            <w:vAlign w:val="center"/>
          </w:tcPr>
          <w:p w14:paraId="36BA731C" w14:textId="77777777" w:rsidR="007D2D75" w:rsidRPr="00BD3832" w:rsidRDefault="007D2D75" w:rsidP="00524A8F">
            <w:pPr>
              <w:spacing w:line="360" w:lineRule="auto"/>
              <w:jc w:val="center"/>
              <w:rPr>
                <w:sz w:val="20"/>
                <w:szCs w:val="20"/>
              </w:rPr>
            </w:pPr>
          </w:p>
        </w:tc>
      </w:tr>
    </w:tbl>
    <w:p w14:paraId="11DF1DD7" w14:textId="1D7F5224" w:rsidR="00BD3832" w:rsidRPr="00BD3832" w:rsidRDefault="00BD3832">
      <w:pPr>
        <w:spacing w:line="240" w:lineRule="auto"/>
        <w:rPr>
          <w:b/>
          <w:szCs w:val="22"/>
        </w:rPr>
      </w:pPr>
    </w:p>
    <w:p w14:paraId="61E592B9" w14:textId="3DF2421D" w:rsidR="004E1790" w:rsidRPr="00BD3832" w:rsidRDefault="004D27CF" w:rsidP="00755937">
      <w:pPr>
        <w:pStyle w:val="Heading1"/>
        <w:jc w:val="center"/>
      </w:pPr>
      <w:r w:rsidRPr="00BD3832">
        <w:lastRenderedPageBreak/>
        <w:t>Figures</w:t>
      </w:r>
    </w:p>
    <w:p w14:paraId="3F3ABB8B" w14:textId="77777777" w:rsidR="002D3C18" w:rsidRPr="00BD3832" w:rsidRDefault="002D3C18" w:rsidP="002D3C18">
      <w:pPr>
        <w:tabs>
          <w:tab w:val="left" w:pos="2461"/>
        </w:tabs>
        <w:rPr>
          <w:rFonts w:eastAsia="ScalaLancetPro-Bold"/>
          <w:bCs/>
        </w:rPr>
      </w:pPr>
      <w:r w:rsidRPr="00BD3832">
        <w:rPr>
          <w:szCs w:val="22"/>
        </w:rPr>
        <w:t xml:space="preserve">Figure 1. </w:t>
      </w:r>
      <w:r w:rsidRPr="00BD3832">
        <w:rPr>
          <w:rFonts w:eastAsia="ScalaLancetPro-Bold"/>
          <w:bCs/>
        </w:rPr>
        <w:t>Sampling procedure of the study</w:t>
      </w:r>
    </w:p>
    <w:p w14:paraId="4B399265" w14:textId="77777777" w:rsidR="002D3C18" w:rsidRPr="00BD3832" w:rsidRDefault="002D3C18" w:rsidP="002D3C18">
      <w:pPr>
        <w:tabs>
          <w:tab w:val="left" w:pos="2461"/>
        </w:tabs>
        <w:rPr>
          <w:szCs w:val="22"/>
        </w:rPr>
      </w:pPr>
    </w:p>
    <w:p w14:paraId="7AB210CB" w14:textId="77777777" w:rsidR="002D3C18" w:rsidRPr="00BA4EFB" w:rsidRDefault="002D3C18" w:rsidP="002D3C18">
      <w:pPr>
        <w:spacing w:after="200" w:line="360" w:lineRule="auto"/>
        <w:jc w:val="both"/>
        <w:rPr>
          <w:bCs/>
        </w:rPr>
      </w:pPr>
      <w:r w:rsidRPr="00BD3832">
        <w:rPr>
          <w:szCs w:val="22"/>
        </w:rPr>
        <w:t xml:space="preserve">Figure 2. </w:t>
      </w:r>
      <w:r w:rsidRPr="00BD3832">
        <w:rPr>
          <w:bCs/>
        </w:rPr>
        <w:t>Acceptance of tobacco use at participant’s household level</w:t>
      </w:r>
    </w:p>
    <w:sectPr w:rsidR="002D3C18" w:rsidRPr="00BA4EFB" w:rsidSect="00074B81">
      <w:headerReference w:type="even" r:id="rId34"/>
      <w:headerReference w:type="default" r:id="rId35"/>
      <w:footerReference w:type="even" r:id="rId36"/>
      <w:footerReference w:type="default" r:id="rId37"/>
      <w:headerReference w:type="first" r:id="rId38"/>
      <w:footerReference w:type="first" r:id="rId39"/>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0FB83" w14:textId="77777777" w:rsidR="00D67CEE" w:rsidRDefault="00D67CEE" w:rsidP="00AF2C92">
      <w:r>
        <w:separator/>
      </w:r>
    </w:p>
  </w:endnote>
  <w:endnote w:type="continuationSeparator" w:id="0">
    <w:p w14:paraId="5ABA13D4" w14:textId="77777777" w:rsidR="00D67CEE" w:rsidRDefault="00D67CEE"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Condensed">
    <w:altName w:val="Helvetica Condense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Stone Serif Std Medium">
    <w:altName w:val="ITC Stone Serif Std Medium"/>
    <w:panose1 w:val="00000000000000000000"/>
    <w:charset w:val="00"/>
    <w:family w:val="roman"/>
    <w:notTrueType/>
    <w:pitch w:val="default"/>
    <w:sig w:usb0="00000003" w:usb1="00000000" w:usb2="00000000" w:usb3="00000000" w:csb0="00000001" w:csb1="00000000"/>
  </w:font>
  <w:font w:name="Times">
    <w:altName w:val="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Myriad Pro">
    <w:altName w:val="Myriad Pro"/>
    <w:panose1 w:val="00000000000000000000"/>
    <w:charset w:val="00"/>
    <w:family w:val="swiss"/>
    <w:notTrueType/>
    <w:pitch w:val="variable"/>
    <w:sig w:usb0="20000287" w:usb1="00000001" w:usb2="00000000" w:usb3="00000000" w:csb0="0000019F" w:csb1="00000000"/>
  </w:font>
  <w:font w:name="Myriad Pro Cond">
    <w:altName w:val="Myriad Pro Cond"/>
    <w:panose1 w:val="00000000000000000000"/>
    <w:charset w:val="00"/>
    <w:family w:val="swiss"/>
    <w:notTrueType/>
    <w:pitch w:val="variable"/>
    <w:sig w:usb0="20000287" w:usb1="00000001" w:usb2="00000000" w:usb3="00000000" w:csb0="0000019F" w:csb1="00000000"/>
  </w:font>
  <w:font w:name="Helvetica Neue LT Pro">
    <w:altName w:val="Helvetica Neue LT Pro"/>
    <w:panose1 w:val="00000000000000000000"/>
    <w:charset w:val="00"/>
    <w:family w:val="swiss"/>
    <w:notTrueType/>
    <w:pitch w:val="default"/>
    <w:sig w:usb0="00000003" w:usb1="00000000" w:usb2="00000000" w:usb3="00000000" w:csb0="00000001" w:csb1="00000000"/>
  </w:font>
  <w:font w:name="FtkkkyAdvTT86d47313">
    <w:altName w:val="Times New Roman"/>
    <w:panose1 w:val="00000000000000000000"/>
    <w:charset w:val="00"/>
    <w:family w:val="roman"/>
    <w:notTrueType/>
    <w:pitch w:val="default"/>
  </w:font>
  <w:font w:name="Myriad Pro SemiCond">
    <w:altName w:val="Myriad Pro SemiCond"/>
    <w:panose1 w:val="00000000000000000000"/>
    <w:charset w:val="00"/>
    <w:family w:val="swiss"/>
    <w:notTrueType/>
    <w:pitch w:val="default"/>
    <w:sig w:usb0="00000003" w:usb1="00000000" w:usb2="00000000" w:usb3="00000000" w:csb0="00000001" w:csb1="00000000"/>
  </w:font>
  <w:font w:name="AdvTimes">
    <w:altName w:val="Arial Unicode MS"/>
    <w:panose1 w:val="00000000000000000000"/>
    <w:charset w:val="81"/>
    <w:family w:val="auto"/>
    <w:notTrueType/>
    <w:pitch w:val="default"/>
    <w:sig w:usb0="00000001" w:usb1="09060000" w:usb2="00000010" w:usb3="00000000" w:csb0="00080000" w:csb1="00000000"/>
  </w:font>
  <w:font w:name="FrutigerLTStd-LightCn">
    <w:altName w:val="MS Gothic"/>
    <w:panose1 w:val="00000000000000000000"/>
    <w:charset w:val="80"/>
    <w:family w:val="swiss"/>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calaLancetPro-Bold">
    <w:altName w:val="MS Mincho"/>
    <w:panose1 w:val="00000000000000000000"/>
    <w:charset w:val="80"/>
    <w:family w:val="roman"/>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5BC32" w14:textId="77777777" w:rsidR="00D44528" w:rsidRDefault="00D44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1121636"/>
      <w:docPartObj>
        <w:docPartGallery w:val="Page Numbers (Bottom of Page)"/>
        <w:docPartUnique/>
      </w:docPartObj>
    </w:sdtPr>
    <w:sdtEndPr>
      <w:rPr>
        <w:noProof/>
      </w:rPr>
    </w:sdtEndPr>
    <w:sdtContent>
      <w:p w14:paraId="5456064A" w14:textId="77777777" w:rsidR="00D44528" w:rsidRDefault="00D44528">
        <w:pPr>
          <w:pStyle w:val="Footer"/>
          <w:jc w:val="right"/>
        </w:pPr>
        <w:r>
          <w:fldChar w:fldCharType="begin"/>
        </w:r>
        <w:r>
          <w:instrText xml:space="preserve"> PAGE   \* MERGEFORMAT </w:instrText>
        </w:r>
        <w:r>
          <w:fldChar w:fldCharType="separate"/>
        </w:r>
        <w:r w:rsidR="005730D7">
          <w:rPr>
            <w:noProof/>
          </w:rPr>
          <w:t>15</w:t>
        </w:r>
        <w:r>
          <w:rPr>
            <w:noProof/>
          </w:rPr>
          <w:fldChar w:fldCharType="end"/>
        </w:r>
      </w:p>
    </w:sdtContent>
  </w:sdt>
  <w:p w14:paraId="033C16DC" w14:textId="77777777" w:rsidR="00D44528" w:rsidRDefault="00D445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FF549" w14:textId="77777777" w:rsidR="00D44528" w:rsidRDefault="00D44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3D3F0" w14:textId="77777777" w:rsidR="00D67CEE" w:rsidRDefault="00D67CEE" w:rsidP="00AF2C92">
      <w:r>
        <w:separator/>
      </w:r>
    </w:p>
  </w:footnote>
  <w:footnote w:type="continuationSeparator" w:id="0">
    <w:p w14:paraId="666E051A" w14:textId="77777777" w:rsidR="00D67CEE" w:rsidRDefault="00D67CEE" w:rsidP="00AF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51584" w14:textId="77777777" w:rsidR="00D44528" w:rsidRDefault="00D445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86F97" w14:textId="77777777" w:rsidR="00D44528" w:rsidRDefault="00D445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CD29D" w14:textId="77777777" w:rsidR="00D44528" w:rsidRDefault="00D445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73F0710"/>
    <w:multiLevelType w:val="hybridMultilevel"/>
    <w:tmpl w:val="BC9C5350"/>
    <w:lvl w:ilvl="0" w:tplc="3FEA680A">
      <w:start w:val="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56D00F0"/>
    <w:multiLevelType w:val="hybridMultilevel"/>
    <w:tmpl w:val="D7AC7F96"/>
    <w:lvl w:ilvl="0" w:tplc="B2FAD336">
      <w:start w:val="7"/>
      <w:numFmt w:val="decimal"/>
      <w:lvlText w:val="%1."/>
      <w:lvlJc w:val="left"/>
      <w:pPr>
        <w:ind w:left="360" w:hanging="360"/>
      </w:pPr>
      <w:rPr>
        <w:rFonts w:hint="default"/>
        <w:b/>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6F3398"/>
    <w:multiLevelType w:val="hybridMultilevel"/>
    <w:tmpl w:val="63DA18D4"/>
    <w:lvl w:ilvl="0" w:tplc="99CCA49E">
      <w:start w:val="1"/>
      <w:numFmt w:val="decimal"/>
      <w:lvlText w:val="%1."/>
      <w:lvlJc w:val="left"/>
      <w:pPr>
        <w:ind w:left="360" w:hanging="360"/>
      </w:pPr>
      <w:rPr>
        <w:b/>
        <w:vertAlign w:val="baselin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5216167"/>
    <w:multiLevelType w:val="hybridMultilevel"/>
    <w:tmpl w:val="DE667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EC5B8A"/>
    <w:multiLevelType w:val="hybridMultilevel"/>
    <w:tmpl w:val="66EE227C"/>
    <w:lvl w:ilvl="0" w:tplc="7AD4B456">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8B40601"/>
    <w:multiLevelType w:val="hybridMultilevel"/>
    <w:tmpl w:val="00261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A546F"/>
    <w:multiLevelType w:val="hybridMultilevel"/>
    <w:tmpl w:val="D512AE4E"/>
    <w:lvl w:ilvl="0" w:tplc="523AD2EE">
      <w:start w:val="7"/>
      <w:numFmt w:val="decimal"/>
      <w:lvlText w:val="%1."/>
      <w:lvlJc w:val="left"/>
      <w:pPr>
        <w:ind w:left="360" w:hanging="360"/>
      </w:pPr>
      <w:rPr>
        <w:rFonts w:hint="default"/>
        <w:b/>
        <w:vertAlign w:val="base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33E5E2C"/>
    <w:multiLevelType w:val="hybridMultilevel"/>
    <w:tmpl w:val="1EBC8C1C"/>
    <w:lvl w:ilvl="0" w:tplc="8850CADA">
      <w:start w:val="6"/>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0122FD"/>
    <w:multiLevelType w:val="hybridMultilevel"/>
    <w:tmpl w:val="D6AAD2B2"/>
    <w:lvl w:ilvl="0" w:tplc="CB7CD4F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1A56036"/>
    <w:multiLevelType w:val="hybridMultilevel"/>
    <w:tmpl w:val="67D6D4C2"/>
    <w:lvl w:ilvl="0" w:tplc="B9129C52">
      <w:start w:val="3"/>
      <w:numFmt w:val="decimal"/>
      <w:lvlText w:val="%1."/>
      <w:lvlJc w:val="left"/>
      <w:pPr>
        <w:ind w:left="360" w:hanging="360"/>
      </w:pPr>
      <w:rPr>
        <w:rFonts w:hint="default"/>
        <w:b/>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9D0A7A"/>
    <w:multiLevelType w:val="hybridMultilevel"/>
    <w:tmpl w:val="49C69DCC"/>
    <w:lvl w:ilvl="0" w:tplc="04090001">
      <w:start w:val="1"/>
      <w:numFmt w:val="bullet"/>
      <w:lvlText w:val=""/>
      <w:lvlJc w:val="left"/>
      <w:pPr>
        <w:ind w:left="990" w:hanging="360"/>
      </w:pPr>
      <w:rPr>
        <w:rFonts w:ascii="Symbol" w:hAnsi="Symbol" w:cs="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17023C2"/>
    <w:multiLevelType w:val="hybridMultilevel"/>
    <w:tmpl w:val="8EE69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952FB2"/>
    <w:multiLevelType w:val="hybridMultilevel"/>
    <w:tmpl w:val="10BEA60E"/>
    <w:lvl w:ilvl="0" w:tplc="55064386">
      <w:start w:val="8"/>
      <w:numFmt w:val="decimal"/>
      <w:lvlText w:val="%1."/>
      <w:lvlJc w:val="left"/>
      <w:pPr>
        <w:ind w:left="360" w:hanging="360"/>
      </w:pPr>
      <w:rPr>
        <w:rFonts w:hint="default"/>
        <w:b/>
        <w:vertAlign w:val="base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8"/>
  </w:num>
  <w:num w:numId="2">
    <w:abstractNumId w:val="29"/>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24"/>
  </w:num>
  <w:num w:numId="14">
    <w:abstractNumId w:val="30"/>
  </w:num>
  <w:num w:numId="15">
    <w:abstractNumId w:val="15"/>
  </w:num>
  <w:num w:numId="16">
    <w:abstractNumId w:val="21"/>
  </w:num>
  <w:num w:numId="17">
    <w:abstractNumId w:val="11"/>
  </w:num>
  <w:num w:numId="18">
    <w:abstractNumId w:val="0"/>
  </w:num>
  <w:num w:numId="19">
    <w:abstractNumId w:val="12"/>
  </w:num>
  <w:num w:numId="20">
    <w:abstractNumId w:val="30"/>
  </w:num>
  <w:num w:numId="21">
    <w:abstractNumId w:val="30"/>
  </w:num>
  <w:num w:numId="22">
    <w:abstractNumId w:val="30"/>
  </w:num>
  <w:num w:numId="23">
    <w:abstractNumId w:val="30"/>
  </w:num>
  <w:num w:numId="24">
    <w:abstractNumId w:val="24"/>
  </w:num>
  <w:num w:numId="25">
    <w:abstractNumId w:val="25"/>
  </w:num>
  <w:num w:numId="26">
    <w:abstractNumId w:val="31"/>
  </w:num>
  <w:num w:numId="27">
    <w:abstractNumId w:val="33"/>
  </w:num>
  <w:num w:numId="28">
    <w:abstractNumId w:val="30"/>
  </w:num>
  <w:num w:numId="29">
    <w:abstractNumId w:val="14"/>
  </w:num>
  <w:num w:numId="30">
    <w:abstractNumId w:val="34"/>
  </w:num>
  <w:num w:numId="31">
    <w:abstractNumId w:val="17"/>
  </w:num>
  <w:num w:numId="32">
    <w:abstractNumId w:val="13"/>
  </w:num>
  <w:num w:numId="33">
    <w:abstractNumId w:val="36"/>
  </w:num>
  <w:num w:numId="34">
    <w:abstractNumId w:val="23"/>
  </w:num>
  <w:num w:numId="35">
    <w:abstractNumId w:val="32"/>
  </w:num>
  <w:num w:numId="36">
    <w:abstractNumId w:val="19"/>
  </w:num>
  <w:num w:numId="37">
    <w:abstractNumId w:val="22"/>
  </w:num>
  <w:num w:numId="38">
    <w:abstractNumId w:val="26"/>
  </w:num>
  <w:num w:numId="39">
    <w:abstractNumId w:val="16"/>
  </w:num>
  <w:num w:numId="40">
    <w:abstractNumId w:val="20"/>
  </w:num>
  <w:num w:numId="41">
    <w:abstractNumId w:val="28"/>
  </w:num>
  <w:num w:numId="42">
    <w:abstractNumId w:val="27"/>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yNzE2NbEwMjCwMDFS0lEKTi0uzszPAykwrAUAXncMviwAAAA="/>
  </w:docVars>
  <w:rsids>
    <w:rsidRoot w:val="00AC0EF7"/>
    <w:rsid w:val="00001899"/>
    <w:rsid w:val="00001AC8"/>
    <w:rsid w:val="000049AD"/>
    <w:rsid w:val="0000681B"/>
    <w:rsid w:val="00011EB3"/>
    <w:rsid w:val="000133C0"/>
    <w:rsid w:val="00014C4E"/>
    <w:rsid w:val="00017107"/>
    <w:rsid w:val="000202E2"/>
    <w:rsid w:val="00021CD0"/>
    <w:rsid w:val="00021FB3"/>
    <w:rsid w:val="00022441"/>
    <w:rsid w:val="0002261E"/>
    <w:rsid w:val="0002358A"/>
    <w:rsid w:val="00024839"/>
    <w:rsid w:val="0002677D"/>
    <w:rsid w:val="00026871"/>
    <w:rsid w:val="0002698F"/>
    <w:rsid w:val="00030E2C"/>
    <w:rsid w:val="00030E76"/>
    <w:rsid w:val="000313B6"/>
    <w:rsid w:val="00033565"/>
    <w:rsid w:val="00035165"/>
    <w:rsid w:val="00035D5C"/>
    <w:rsid w:val="0003633E"/>
    <w:rsid w:val="000365A3"/>
    <w:rsid w:val="00037A98"/>
    <w:rsid w:val="000427FB"/>
    <w:rsid w:val="0004455E"/>
    <w:rsid w:val="0004706A"/>
    <w:rsid w:val="00047CB5"/>
    <w:rsid w:val="0005156B"/>
    <w:rsid w:val="00051FAA"/>
    <w:rsid w:val="0005285D"/>
    <w:rsid w:val="00053485"/>
    <w:rsid w:val="000572A9"/>
    <w:rsid w:val="0005778D"/>
    <w:rsid w:val="00061325"/>
    <w:rsid w:val="000615C1"/>
    <w:rsid w:val="00061DFF"/>
    <w:rsid w:val="00062D14"/>
    <w:rsid w:val="000632A1"/>
    <w:rsid w:val="00065521"/>
    <w:rsid w:val="000733AC"/>
    <w:rsid w:val="00074B81"/>
    <w:rsid w:val="00074D22"/>
    <w:rsid w:val="00075081"/>
    <w:rsid w:val="0007528A"/>
    <w:rsid w:val="000811AB"/>
    <w:rsid w:val="000839DA"/>
    <w:rsid w:val="00083C5F"/>
    <w:rsid w:val="000851E6"/>
    <w:rsid w:val="0009172C"/>
    <w:rsid w:val="00091B36"/>
    <w:rsid w:val="000930EC"/>
    <w:rsid w:val="0009318B"/>
    <w:rsid w:val="000944CB"/>
    <w:rsid w:val="00095E61"/>
    <w:rsid w:val="000966C1"/>
    <w:rsid w:val="000970AC"/>
    <w:rsid w:val="000A1167"/>
    <w:rsid w:val="000A4428"/>
    <w:rsid w:val="000A5D9A"/>
    <w:rsid w:val="000A6D40"/>
    <w:rsid w:val="000A7BC3"/>
    <w:rsid w:val="000B1661"/>
    <w:rsid w:val="000B2E88"/>
    <w:rsid w:val="000B39C6"/>
    <w:rsid w:val="000B4603"/>
    <w:rsid w:val="000B69AA"/>
    <w:rsid w:val="000B7676"/>
    <w:rsid w:val="000C09BE"/>
    <w:rsid w:val="000C0EEB"/>
    <w:rsid w:val="000C1380"/>
    <w:rsid w:val="000C2664"/>
    <w:rsid w:val="000C2F95"/>
    <w:rsid w:val="000C554F"/>
    <w:rsid w:val="000C6138"/>
    <w:rsid w:val="000D0DC5"/>
    <w:rsid w:val="000D1035"/>
    <w:rsid w:val="000D15FF"/>
    <w:rsid w:val="000D28DF"/>
    <w:rsid w:val="000D488B"/>
    <w:rsid w:val="000D68DF"/>
    <w:rsid w:val="000E124F"/>
    <w:rsid w:val="000E138D"/>
    <w:rsid w:val="000E187A"/>
    <w:rsid w:val="000E2A43"/>
    <w:rsid w:val="000E2D61"/>
    <w:rsid w:val="000E450E"/>
    <w:rsid w:val="000E6259"/>
    <w:rsid w:val="000F1586"/>
    <w:rsid w:val="000F4677"/>
    <w:rsid w:val="000F55D5"/>
    <w:rsid w:val="000F5BE0"/>
    <w:rsid w:val="00100587"/>
    <w:rsid w:val="0010284E"/>
    <w:rsid w:val="00103122"/>
    <w:rsid w:val="0010336A"/>
    <w:rsid w:val="001050F1"/>
    <w:rsid w:val="00105AEA"/>
    <w:rsid w:val="001062EE"/>
    <w:rsid w:val="00106DAF"/>
    <w:rsid w:val="00111AAF"/>
    <w:rsid w:val="001142D4"/>
    <w:rsid w:val="00114ABE"/>
    <w:rsid w:val="00115296"/>
    <w:rsid w:val="0011568C"/>
    <w:rsid w:val="00116023"/>
    <w:rsid w:val="00116C41"/>
    <w:rsid w:val="00117534"/>
    <w:rsid w:val="00117825"/>
    <w:rsid w:val="00117F8B"/>
    <w:rsid w:val="001207EA"/>
    <w:rsid w:val="00121C66"/>
    <w:rsid w:val="00124F0E"/>
    <w:rsid w:val="00127ACF"/>
    <w:rsid w:val="00134A51"/>
    <w:rsid w:val="0013503A"/>
    <w:rsid w:val="0013514D"/>
    <w:rsid w:val="00140727"/>
    <w:rsid w:val="001433C8"/>
    <w:rsid w:val="0014676F"/>
    <w:rsid w:val="00153F06"/>
    <w:rsid w:val="0015489E"/>
    <w:rsid w:val="001562B3"/>
    <w:rsid w:val="0015738B"/>
    <w:rsid w:val="00160628"/>
    <w:rsid w:val="00161344"/>
    <w:rsid w:val="00162195"/>
    <w:rsid w:val="0016322A"/>
    <w:rsid w:val="0016460D"/>
    <w:rsid w:val="001647A8"/>
    <w:rsid w:val="00165A21"/>
    <w:rsid w:val="001705CE"/>
    <w:rsid w:val="00170B4F"/>
    <w:rsid w:val="00172409"/>
    <w:rsid w:val="00172E23"/>
    <w:rsid w:val="0017405D"/>
    <w:rsid w:val="0017714B"/>
    <w:rsid w:val="00177FF1"/>
    <w:rsid w:val="001804DF"/>
    <w:rsid w:val="00181B86"/>
    <w:rsid w:val="00181BDC"/>
    <w:rsid w:val="00181DB0"/>
    <w:rsid w:val="001828BD"/>
    <w:rsid w:val="001829E3"/>
    <w:rsid w:val="00182E71"/>
    <w:rsid w:val="00183785"/>
    <w:rsid w:val="00183A9B"/>
    <w:rsid w:val="00184E66"/>
    <w:rsid w:val="00185C36"/>
    <w:rsid w:val="001924C0"/>
    <w:rsid w:val="00194DDD"/>
    <w:rsid w:val="0019577C"/>
    <w:rsid w:val="00196B7C"/>
    <w:rsid w:val="0019731E"/>
    <w:rsid w:val="00197C13"/>
    <w:rsid w:val="001A09FE"/>
    <w:rsid w:val="001A1246"/>
    <w:rsid w:val="001A15A5"/>
    <w:rsid w:val="001A176B"/>
    <w:rsid w:val="001A2378"/>
    <w:rsid w:val="001A67C9"/>
    <w:rsid w:val="001A69DE"/>
    <w:rsid w:val="001A713C"/>
    <w:rsid w:val="001B1C7C"/>
    <w:rsid w:val="001B2AAA"/>
    <w:rsid w:val="001B33EB"/>
    <w:rsid w:val="001B398F"/>
    <w:rsid w:val="001B46C6"/>
    <w:rsid w:val="001B4B48"/>
    <w:rsid w:val="001B4D1F"/>
    <w:rsid w:val="001B7681"/>
    <w:rsid w:val="001B789E"/>
    <w:rsid w:val="001B7CAE"/>
    <w:rsid w:val="001C0772"/>
    <w:rsid w:val="001C0D4F"/>
    <w:rsid w:val="001C1BA3"/>
    <w:rsid w:val="001C1DEC"/>
    <w:rsid w:val="001C1FB7"/>
    <w:rsid w:val="001C2834"/>
    <w:rsid w:val="001C3A1E"/>
    <w:rsid w:val="001C56C1"/>
    <w:rsid w:val="001C5736"/>
    <w:rsid w:val="001C5D8E"/>
    <w:rsid w:val="001D277C"/>
    <w:rsid w:val="001D3270"/>
    <w:rsid w:val="001D5934"/>
    <w:rsid w:val="001D647F"/>
    <w:rsid w:val="001D6857"/>
    <w:rsid w:val="001E0572"/>
    <w:rsid w:val="001E0A67"/>
    <w:rsid w:val="001E1028"/>
    <w:rsid w:val="001E14E2"/>
    <w:rsid w:val="001E1654"/>
    <w:rsid w:val="001E3ECA"/>
    <w:rsid w:val="001E6302"/>
    <w:rsid w:val="001E7DCB"/>
    <w:rsid w:val="001F31A2"/>
    <w:rsid w:val="001F3411"/>
    <w:rsid w:val="001F4287"/>
    <w:rsid w:val="001F4DBA"/>
    <w:rsid w:val="0020415E"/>
    <w:rsid w:val="00204FF4"/>
    <w:rsid w:val="002068CF"/>
    <w:rsid w:val="00207C1D"/>
    <w:rsid w:val="0021056E"/>
    <w:rsid w:val="0021075D"/>
    <w:rsid w:val="0021165A"/>
    <w:rsid w:val="00211BC9"/>
    <w:rsid w:val="00212D7C"/>
    <w:rsid w:val="0021378F"/>
    <w:rsid w:val="0021620C"/>
    <w:rsid w:val="0021693D"/>
    <w:rsid w:val="00216E78"/>
    <w:rsid w:val="00217275"/>
    <w:rsid w:val="00225354"/>
    <w:rsid w:val="0022564B"/>
    <w:rsid w:val="00226FCE"/>
    <w:rsid w:val="002276AC"/>
    <w:rsid w:val="00230EF0"/>
    <w:rsid w:val="00231DBE"/>
    <w:rsid w:val="00236F4B"/>
    <w:rsid w:val="00237381"/>
    <w:rsid w:val="002403A6"/>
    <w:rsid w:val="002409CE"/>
    <w:rsid w:val="00242B0D"/>
    <w:rsid w:val="002467C6"/>
    <w:rsid w:val="0024692A"/>
    <w:rsid w:val="00250073"/>
    <w:rsid w:val="00252BBA"/>
    <w:rsid w:val="00253123"/>
    <w:rsid w:val="002574DE"/>
    <w:rsid w:val="00261445"/>
    <w:rsid w:val="00261DE0"/>
    <w:rsid w:val="00264001"/>
    <w:rsid w:val="002643F6"/>
    <w:rsid w:val="00264534"/>
    <w:rsid w:val="00264626"/>
    <w:rsid w:val="00266354"/>
    <w:rsid w:val="0026752C"/>
    <w:rsid w:val="00267A18"/>
    <w:rsid w:val="00267E0B"/>
    <w:rsid w:val="0027275B"/>
    <w:rsid w:val="00273462"/>
    <w:rsid w:val="0027395B"/>
    <w:rsid w:val="00273DA7"/>
    <w:rsid w:val="00275854"/>
    <w:rsid w:val="002803F0"/>
    <w:rsid w:val="00283B41"/>
    <w:rsid w:val="00285F28"/>
    <w:rsid w:val="00285F3B"/>
    <w:rsid w:val="00286398"/>
    <w:rsid w:val="00291749"/>
    <w:rsid w:val="00291E67"/>
    <w:rsid w:val="00292BA1"/>
    <w:rsid w:val="0029476D"/>
    <w:rsid w:val="00295AE2"/>
    <w:rsid w:val="002A1065"/>
    <w:rsid w:val="002A3C42"/>
    <w:rsid w:val="002A48CE"/>
    <w:rsid w:val="002A4F6C"/>
    <w:rsid w:val="002A54AD"/>
    <w:rsid w:val="002A5D75"/>
    <w:rsid w:val="002B1B1A"/>
    <w:rsid w:val="002B2D2B"/>
    <w:rsid w:val="002B38E3"/>
    <w:rsid w:val="002B3A85"/>
    <w:rsid w:val="002B3C96"/>
    <w:rsid w:val="002B4135"/>
    <w:rsid w:val="002B7228"/>
    <w:rsid w:val="002B7280"/>
    <w:rsid w:val="002C0E3B"/>
    <w:rsid w:val="002C2678"/>
    <w:rsid w:val="002C2E56"/>
    <w:rsid w:val="002C53EE"/>
    <w:rsid w:val="002D24F7"/>
    <w:rsid w:val="002D2799"/>
    <w:rsid w:val="002D2CD7"/>
    <w:rsid w:val="002D3C18"/>
    <w:rsid w:val="002D4DDC"/>
    <w:rsid w:val="002D4F75"/>
    <w:rsid w:val="002D6493"/>
    <w:rsid w:val="002D7AB6"/>
    <w:rsid w:val="002E05E2"/>
    <w:rsid w:val="002E06D0"/>
    <w:rsid w:val="002E1A5E"/>
    <w:rsid w:val="002E2678"/>
    <w:rsid w:val="002E3C27"/>
    <w:rsid w:val="002E403A"/>
    <w:rsid w:val="002E74E8"/>
    <w:rsid w:val="002E7F3A"/>
    <w:rsid w:val="002F0716"/>
    <w:rsid w:val="002F4EDB"/>
    <w:rsid w:val="002F50F0"/>
    <w:rsid w:val="002F6054"/>
    <w:rsid w:val="002F6F49"/>
    <w:rsid w:val="00300F73"/>
    <w:rsid w:val="00315713"/>
    <w:rsid w:val="00315B32"/>
    <w:rsid w:val="0031686C"/>
    <w:rsid w:val="00316FE0"/>
    <w:rsid w:val="003204D2"/>
    <w:rsid w:val="00323F4B"/>
    <w:rsid w:val="0032605E"/>
    <w:rsid w:val="00326311"/>
    <w:rsid w:val="003263BF"/>
    <w:rsid w:val="003275D1"/>
    <w:rsid w:val="00330B2A"/>
    <w:rsid w:val="00331E17"/>
    <w:rsid w:val="00333003"/>
    <w:rsid w:val="00333063"/>
    <w:rsid w:val="00334EE9"/>
    <w:rsid w:val="003371C2"/>
    <w:rsid w:val="003408E3"/>
    <w:rsid w:val="00342D4B"/>
    <w:rsid w:val="00343480"/>
    <w:rsid w:val="0034365B"/>
    <w:rsid w:val="0034458C"/>
    <w:rsid w:val="00345E89"/>
    <w:rsid w:val="003460B1"/>
    <w:rsid w:val="00346DB8"/>
    <w:rsid w:val="00350AB1"/>
    <w:rsid w:val="003522A1"/>
    <w:rsid w:val="0035254B"/>
    <w:rsid w:val="003534BD"/>
    <w:rsid w:val="00353555"/>
    <w:rsid w:val="003565D4"/>
    <w:rsid w:val="003607FB"/>
    <w:rsid w:val="00360FD5"/>
    <w:rsid w:val="00362205"/>
    <w:rsid w:val="0036340D"/>
    <w:rsid w:val="003634A5"/>
    <w:rsid w:val="00363DFB"/>
    <w:rsid w:val="003656EE"/>
    <w:rsid w:val="00366868"/>
    <w:rsid w:val="00367506"/>
    <w:rsid w:val="00367C9E"/>
    <w:rsid w:val="00370085"/>
    <w:rsid w:val="00373693"/>
    <w:rsid w:val="003744A7"/>
    <w:rsid w:val="00375046"/>
    <w:rsid w:val="00375725"/>
    <w:rsid w:val="00376235"/>
    <w:rsid w:val="00380151"/>
    <w:rsid w:val="00380C37"/>
    <w:rsid w:val="00381CB7"/>
    <w:rsid w:val="00381FB6"/>
    <w:rsid w:val="003836D3"/>
    <w:rsid w:val="00383A52"/>
    <w:rsid w:val="00383F70"/>
    <w:rsid w:val="00385186"/>
    <w:rsid w:val="00391652"/>
    <w:rsid w:val="00394D03"/>
    <w:rsid w:val="0039507F"/>
    <w:rsid w:val="003A06D7"/>
    <w:rsid w:val="003A1260"/>
    <w:rsid w:val="003A1734"/>
    <w:rsid w:val="003A295F"/>
    <w:rsid w:val="003A41DD"/>
    <w:rsid w:val="003A5868"/>
    <w:rsid w:val="003A7033"/>
    <w:rsid w:val="003B4723"/>
    <w:rsid w:val="003B47FE"/>
    <w:rsid w:val="003B5504"/>
    <w:rsid w:val="003B5673"/>
    <w:rsid w:val="003B62C9"/>
    <w:rsid w:val="003C0A72"/>
    <w:rsid w:val="003C2CA2"/>
    <w:rsid w:val="003C5F1B"/>
    <w:rsid w:val="003C7176"/>
    <w:rsid w:val="003C792C"/>
    <w:rsid w:val="003D0929"/>
    <w:rsid w:val="003D4729"/>
    <w:rsid w:val="003D48FA"/>
    <w:rsid w:val="003D5731"/>
    <w:rsid w:val="003D58CD"/>
    <w:rsid w:val="003D5EB5"/>
    <w:rsid w:val="003D7DD6"/>
    <w:rsid w:val="003E04A5"/>
    <w:rsid w:val="003E59BD"/>
    <w:rsid w:val="003E59FB"/>
    <w:rsid w:val="003E5AAF"/>
    <w:rsid w:val="003E600D"/>
    <w:rsid w:val="003E64DF"/>
    <w:rsid w:val="003E6A5D"/>
    <w:rsid w:val="003E6DF0"/>
    <w:rsid w:val="003F193A"/>
    <w:rsid w:val="003F2DB6"/>
    <w:rsid w:val="003F4207"/>
    <w:rsid w:val="003F5C46"/>
    <w:rsid w:val="003F7CBB"/>
    <w:rsid w:val="003F7D34"/>
    <w:rsid w:val="00406974"/>
    <w:rsid w:val="00407442"/>
    <w:rsid w:val="00411067"/>
    <w:rsid w:val="004128A3"/>
    <w:rsid w:val="00412C8E"/>
    <w:rsid w:val="00412CD3"/>
    <w:rsid w:val="0041518D"/>
    <w:rsid w:val="00417712"/>
    <w:rsid w:val="0042221D"/>
    <w:rsid w:val="00422B3D"/>
    <w:rsid w:val="004244E0"/>
    <w:rsid w:val="00424DD3"/>
    <w:rsid w:val="004252F4"/>
    <w:rsid w:val="004269C5"/>
    <w:rsid w:val="00426D30"/>
    <w:rsid w:val="00430C35"/>
    <w:rsid w:val="00431783"/>
    <w:rsid w:val="00435939"/>
    <w:rsid w:val="00437CC7"/>
    <w:rsid w:val="00442B9C"/>
    <w:rsid w:val="00443BBB"/>
    <w:rsid w:val="00445EFA"/>
    <w:rsid w:val="00446666"/>
    <w:rsid w:val="0044684C"/>
    <w:rsid w:val="0044738A"/>
    <w:rsid w:val="004473D3"/>
    <w:rsid w:val="00451BE0"/>
    <w:rsid w:val="00452231"/>
    <w:rsid w:val="0045388C"/>
    <w:rsid w:val="00457E0F"/>
    <w:rsid w:val="00460C13"/>
    <w:rsid w:val="00461E77"/>
    <w:rsid w:val="00463228"/>
    <w:rsid w:val="004636B6"/>
    <w:rsid w:val="00463782"/>
    <w:rsid w:val="004667E0"/>
    <w:rsid w:val="0046760E"/>
    <w:rsid w:val="004676F3"/>
    <w:rsid w:val="0047074C"/>
    <w:rsid w:val="00470E10"/>
    <w:rsid w:val="004723EF"/>
    <w:rsid w:val="00473318"/>
    <w:rsid w:val="00477A97"/>
    <w:rsid w:val="00481343"/>
    <w:rsid w:val="00481FF7"/>
    <w:rsid w:val="00482EF1"/>
    <w:rsid w:val="0048549E"/>
    <w:rsid w:val="00493347"/>
    <w:rsid w:val="00496092"/>
    <w:rsid w:val="004A08DB"/>
    <w:rsid w:val="004A25D0"/>
    <w:rsid w:val="004A37E8"/>
    <w:rsid w:val="004A3C4F"/>
    <w:rsid w:val="004A495A"/>
    <w:rsid w:val="004A5783"/>
    <w:rsid w:val="004A7549"/>
    <w:rsid w:val="004B09D4"/>
    <w:rsid w:val="004B0E19"/>
    <w:rsid w:val="004B1998"/>
    <w:rsid w:val="004B309D"/>
    <w:rsid w:val="004B330A"/>
    <w:rsid w:val="004B7C8E"/>
    <w:rsid w:val="004C3D3C"/>
    <w:rsid w:val="004D0EDC"/>
    <w:rsid w:val="004D1220"/>
    <w:rsid w:val="004D14B3"/>
    <w:rsid w:val="004D1529"/>
    <w:rsid w:val="004D1F74"/>
    <w:rsid w:val="004D2253"/>
    <w:rsid w:val="004D27CF"/>
    <w:rsid w:val="004D30D2"/>
    <w:rsid w:val="004D5514"/>
    <w:rsid w:val="004D56C3"/>
    <w:rsid w:val="004D5E72"/>
    <w:rsid w:val="004E0338"/>
    <w:rsid w:val="004E1790"/>
    <w:rsid w:val="004E4FF3"/>
    <w:rsid w:val="004E56A8"/>
    <w:rsid w:val="004F209E"/>
    <w:rsid w:val="004F3B55"/>
    <w:rsid w:val="004F4E46"/>
    <w:rsid w:val="004F6B7D"/>
    <w:rsid w:val="004F6CF2"/>
    <w:rsid w:val="005015F6"/>
    <w:rsid w:val="005030C4"/>
    <w:rsid w:val="005031C5"/>
    <w:rsid w:val="005031ED"/>
    <w:rsid w:val="00503FA5"/>
    <w:rsid w:val="00504FDC"/>
    <w:rsid w:val="0050559D"/>
    <w:rsid w:val="005061CA"/>
    <w:rsid w:val="005120CC"/>
    <w:rsid w:val="00512B7B"/>
    <w:rsid w:val="00514EA1"/>
    <w:rsid w:val="0051798B"/>
    <w:rsid w:val="00517B21"/>
    <w:rsid w:val="00521F5A"/>
    <w:rsid w:val="00521F6B"/>
    <w:rsid w:val="00525E06"/>
    <w:rsid w:val="00526454"/>
    <w:rsid w:val="00530D51"/>
    <w:rsid w:val="00531823"/>
    <w:rsid w:val="005338E9"/>
    <w:rsid w:val="00534ECC"/>
    <w:rsid w:val="00536AD1"/>
    <w:rsid w:val="0053720D"/>
    <w:rsid w:val="00540EF5"/>
    <w:rsid w:val="00541570"/>
    <w:rsid w:val="00541BF3"/>
    <w:rsid w:val="00541CD3"/>
    <w:rsid w:val="005476FA"/>
    <w:rsid w:val="00552DB3"/>
    <w:rsid w:val="00554251"/>
    <w:rsid w:val="005544DE"/>
    <w:rsid w:val="0055595E"/>
    <w:rsid w:val="00557988"/>
    <w:rsid w:val="00561421"/>
    <w:rsid w:val="00562C49"/>
    <w:rsid w:val="00562DEF"/>
    <w:rsid w:val="00562F2C"/>
    <w:rsid w:val="00563048"/>
    <w:rsid w:val="0056321A"/>
    <w:rsid w:val="005636B5"/>
    <w:rsid w:val="00563A35"/>
    <w:rsid w:val="00564CCF"/>
    <w:rsid w:val="00565EE4"/>
    <w:rsid w:val="00566596"/>
    <w:rsid w:val="005674B4"/>
    <w:rsid w:val="005679EF"/>
    <w:rsid w:val="0057052B"/>
    <w:rsid w:val="00571737"/>
    <w:rsid w:val="005730D7"/>
    <w:rsid w:val="005741E9"/>
    <w:rsid w:val="005748CF"/>
    <w:rsid w:val="005830E9"/>
    <w:rsid w:val="00584270"/>
    <w:rsid w:val="00584738"/>
    <w:rsid w:val="005920B0"/>
    <w:rsid w:val="0059259E"/>
    <w:rsid w:val="0059380D"/>
    <w:rsid w:val="00594E65"/>
    <w:rsid w:val="00595304"/>
    <w:rsid w:val="00595A8F"/>
    <w:rsid w:val="005977C2"/>
    <w:rsid w:val="00597BF2"/>
    <w:rsid w:val="005A04E2"/>
    <w:rsid w:val="005A15F0"/>
    <w:rsid w:val="005A1D4E"/>
    <w:rsid w:val="005B0BBF"/>
    <w:rsid w:val="005B134E"/>
    <w:rsid w:val="005B2039"/>
    <w:rsid w:val="005B344F"/>
    <w:rsid w:val="005B3FBA"/>
    <w:rsid w:val="005B4A1D"/>
    <w:rsid w:val="005B674D"/>
    <w:rsid w:val="005C0CBE"/>
    <w:rsid w:val="005C135C"/>
    <w:rsid w:val="005C13EF"/>
    <w:rsid w:val="005C1FCF"/>
    <w:rsid w:val="005C257C"/>
    <w:rsid w:val="005C3F06"/>
    <w:rsid w:val="005C4AAD"/>
    <w:rsid w:val="005D1885"/>
    <w:rsid w:val="005D4A38"/>
    <w:rsid w:val="005D4E71"/>
    <w:rsid w:val="005D71EE"/>
    <w:rsid w:val="005E2EEA"/>
    <w:rsid w:val="005E3708"/>
    <w:rsid w:val="005E3A99"/>
    <w:rsid w:val="005E3CCD"/>
    <w:rsid w:val="005E3D6B"/>
    <w:rsid w:val="005E5B55"/>
    <w:rsid w:val="005E5E4A"/>
    <w:rsid w:val="005E693D"/>
    <w:rsid w:val="005E75BF"/>
    <w:rsid w:val="005F2527"/>
    <w:rsid w:val="005F303A"/>
    <w:rsid w:val="005F4C61"/>
    <w:rsid w:val="005F4D68"/>
    <w:rsid w:val="005F57BA"/>
    <w:rsid w:val="005F61E6"/>
    <w:rsid w:val="005F6C45"/>
    <w:rsid w:val="005F6C93"/>
    <w:rsid w:val="005F6FD0"/>
    <w:rsid w:val="005F7779"/>
    <w:rsid w:val="00604314"/>
    <w:rsid w:val="00605A69"/>
    <w:rsid w:val="00606C54"/>
    <w:rsid w:val="00611C3E"/>
    <w:rsid w:val="00612C1F"/>
    <w:rsid w:val="0061349B"/>
    <w:rsid w:val="0061354E"/>
    <w:rsid w:val="00614375"/>
    <w:rsid w:val="00614F87"/>
    <w:rsid w:val="00615B0A"/>
    <w:rsid w:val="006168CF"/>
    <w:rsid w:val="006178D4"/>
    <w:rsid w:val="00617D45"/>
    <w:rsid w:val="0062011B"/>
    <w:rsid w:val="00626DE0"/>
    <w:rsid w:val="00630901"/>
    <w:rsid w:val="00631F8E"/>
    <w:rsid w:val="006347C3"/>
    <w:rsid w:val="00636EE9"/>
    <w:rsid w:val="00637779"/>
    <w:rsid w:val="00640950"/>
    <w:rsid w:val="00641AE7"/>
    <w:rsid w:val="00642629"/>
    <w:rsid w:val="00651A7A"/>
    <w:rsid w:val="00651F4F"/>
    <w:rsid w:val="006526E8"/>
    <w:rsid w:val="0065293D"/>
    <w:rsid w:val="00653EFC"/>
    <w:rsid w:val="00654021"/>
    <w:rsid w:val="00660DD9"/>
    <w:rsid w:val="00661045"/>
    <w:rsid w:val="0066174E"/>
    <w:rsid w:val="00666843"/>
    <w:rsid w:val="00666DA8"/>
    <w:rsid w:val="00667264"/>
    <w:rsid w:val="00671057"/>
    <w:rsid w:val="00674F8A"/>
    <w:rsid w:val="00675AAF"/>
    <w:rsid w:val="00676C0D"/>
    <w:rsid w:val="0068031A"/>
    <w:rsid w:val="00681B2F"/>
    <w:rsid w:val="006832C7"/>
    <w:rsid w:val="0068335F"/>
    <w:rsid w:val="00686237"/>
    <w:rsid w:val="00687217"/>
    <w:rsid w:val="00693302"/>
    <w:rsid w:val="006941A0"/>
    <w:rsid w:val="00695C81"/>
    <w:rsid w:val="00695F85"/>
    <w:rsid w:val="006962E6"/>
    <w:rsid w:val="0069640B"/>
    <w:rsid w:val="006A1903"/>
    <w:rsid w:val="006A1B83"/>
    <w:rsid w:val="006A21CD"/>
    <w:rsid w:val="006A5918"/>
    <w:rsid w:val="006B21B2"/>
    <w:rsid w:val="006B4289"/>
    <w:rsid w:val="006B4A4A"/>
    <w:rsid w:val="006B6315"/>
    <w:rsid w:val="006C0040"/>
    <w:rsid w:val="006C19B2"/>
    <w:rsid w:val="006C5BB8"/>
    <w:rsid w:val="006C6936"/>
    <w:rsid w:val="006C7B01"/>
    <w:rsid w:val="006D0FE8"/>
    <w:rsid w:val="006D4B2B"/>
    <w:rsid w:val="006D4EB2"/>
    <w:rsid w:val="006D4F3C"/>
    <w:rsid w:val="006D5C66"/>
    <w:rsid w:val="006D74D1"/>
    <w:rsid w:val="006E1B3C"/>
    <w:rsid w:val="006E23FB"/>
    <w:rsid w:val="006E325A"/>
    <w:rsid w:val="006E33EC"/>
    <w:rsid w:val="006E3802"/>
    <w:rsid w:val="006E4F29"/>
    <w:rsid w:val="006E6131"/>
    <w:rsid w:val="006E6C02"/>
    <w:rsid w:val="006E7EDE"/>
    <w:rsid w:val="006F0517"/>
    <w:rsid w:val="006F0989"/>
    <w:rsid w:val="006F0EF8"/>
    <w:rsid w:val="006F231A"/>
    <w:rsid w:val="006F2BF0"/>
    <w:rsid w:val="006F4340"/>
    <w:rsid w:val="006F6B55"/>
    <w:rsid w:val="006F788D"/>
    <w:rsid w:val="006F78E1"/>
    <w:rsid w:val="00701072"/>
    <w:rsid w:val="00702054"/>
    <w:rsid w:val="007035A4"/>
    <w:rsid w:val="00710A23"/>
    <w:rsid w:val="00711799"/>
    <w:rsid w:val="0071248A"/>
    <w:rsid w:val="00712B78"/>
    <w:rsid w:val="0071393B"/>
    <w:rsid w:val="00713EE2"/>
    <w:rsid w:val="0071570F"/>
    <w:rsid w:val="00716B1E"/>
    <w:rsid w:val="007177FC"/>
    <w:rsid w:val="00720C5E"/>
    <w:rsid w:val="00721701"/>
    <w:rsid w:val="00723384"/>
    <w:rsid w:val="007254A5"/>
    <w:rsid w:val="007260F6"/>
    <w:rsid w:val="00727FDE"/>
    <w:rsid w:val="00731835"/>
    <w:rsid w:val="0073351F"/>
    <w:rsid w:val="007341F8"/>
    <w:rsid w:val="00734372"/>
    <w:rsid w:val="00734EB8"/>
    <w:rsid w:val="007358FC"/>
    <w:rsid w:val="00735F8B"/>
    <w:rsid w:val="00736373"/>
    <w:rsid w:val="00736408"/>
    <w:rsid w:val="00742D1F"/>
    <w:rsid w:val="00743EBA"/>
    <w:rsid w:val="00744C8E"/>
    <w:rsid w:val="0074707E"/>
    <w:rsid w:val="007516DC"/>
    <w:rsid w:val="00754B80"/>
    <w:rsid w:val="00755937"/>
    <w:rsid w:val="007568E4"/>
    <w:rsid w:val="00761918"/>
    <w:rsid w:val="00762F03"/>
    <w:rsid w:val="0076413B"/>
    <w:rsid w:val="007648AE"/>
    <w:rsid w:val="00764BF8"/>
    <w:rsid w:val="0076514D"/>
    <w:rsid w:val="00773D59"/>
    <w:rsid w:val="00774F96"/>
    <w:rsid w:val="00775D96"/>
    <w:rsid w:val="00781003"/>
    <w:rsid w:val="00783571"/>
    <w:rsid w:val="0078548B"/>
    <w:rsid w:val="00787FAD"/>
    <w:rsid w:val="00790B47"/>
    <w:rsid w:val="007911FD"/>
    <w:rsid w:val="00791775"/>
    <w:rsid w:val="00792106"/>
    <w:rsid w:val="007927CE"/>
    <w:rsid w:val="00792FCC"/>
    <w:rsid w:val="00793930"/>
    <w:rsid w:val="00793DD1"/>
    <w:rsid w:val="0079489F"/>
    <w:rsid w:val="00794FEC"/>
    <w:rsid w:val="007954EB"/>
    <w:rsid w:val="007968CE"/>
    <w:rsid w:val="00796AE0"/>
    <w:rsid w:val="007A003E"/>
    <w:rsid w:val="007A1965"/>
    <w:rsid w:val="007A2ED1"/>
    <w:rsid w:val="007A3219"/>
    <w:rsid w:val="007A33AF"/>
    <w:rsid w:val="007A4BE6"/>
    <w:rsid w:val="007A4D06"/>
    <w:rsid w:val="007B0DC6"/>
    <w:rsid w:val="007B1094"/>
    <w:rsid w:val="007B1762"/>
    <w:rsid w:val="007B3159"/>
    <w:rsid w:val="007B3320"/>
    <w:rsid w:val="007B7CA6"/>
    <w:rsid w:val="007C301F"/>
    <w:rsid w:val="007C4540"/>
    <w:rsid w:val="007C6480"/>
    <w:rsid w:val="007C65AF"/>
    <w:rsid w:val="007D135D"/>
    <w:rsid w:val="007D2049"/>
    <w:rsid w:val="007D2D75"/>
    <w:rsid w:val="007D6332"/>
    <w:rsid w:val="007D730F"/>
    <w:rsid w:val="007D7CD8"/>
    <w:rsid w:val="007E26B8"/>
    <w:rsid w:val="007E3996"/>
    <w:rsid w:val="007E3AA7"/>
    <w:rsid w:val="007E40D8"/>
    <w:rsid w:val="007E4AA7"/>
    <w:rsid w:val="007E5FF4"/>
    <w:rsid w:val="007F213D"/>
    <w:rsid w:val="007F367A"/>
    <w:rsid w:val="007F3910"/>
    <w:rsid w:val="007F712E"/>
    <w:rsid w:val="007F737D"/>
    <w:rsid w:val="00800067"/>
    <w:rsid w:val="0080308E"/>
    <w:rsid w:val="008036DC"/>
    <w:rsid w:val="00805303"/>
    <w:rsid w:val="00806705"/>
    <w:rsid w:val="00806738"/>
    <w:rsid w:val="0081115B"/>
    <w:rsid w:val="00811DA9"/>
    <w:rsid w:val="008134C8"/>
    <w:rsid w:val="0082156E"/>
    <w:rsid w:val="008216D5"/>
    <w:rsid w:val="008236A5"/>
    <w:rsid w:val="008249CE"/>
    <w:rsid w:val="008311FB"/>
    <w:rsid w:val="00831A50"/>
    <w:rsid w:val="00831B3C"/>
    <w:rsid w:val="00831C89"/>
    <w:rsid w:val="00832114"/>
    <w:rsid w:val="008339CE"/>
    <w:rsid w:val="00834C46"/>
    <w:rsid w:val="00835ACD"/>
    <w:rsid w:val="00840251"/>
    <w:rsid w:val="0084093E"/>
    <w:rsid w:val="00841CE1"/>
    <w:rsid w:val="008432E7"/>
    <w:rsid w:val="00843D2E"/>
    <w:rsid w:val="0084544C"/>
    <w:rsid w:val="00846C4F"/>
    <w:rsid w:val="0084709A"/>
    <w:rsid w:val="008473D8"/>
    <w:rsid w:val="00847C8E"/>
    <w:rsid w:val="008528DC"/>
    <w:rsid w:val="00852B8C"/>
    <w:rsid w:val="00854981"/>
    <w:rsid w:val="00855879"/>
    <w:rsid w:val="00860D79"/>
    <w:rsid w:val="008621F6"/>
    <w:rsid w:val="008633CE"/>
    <w:rsid w:val="00864122"/>
    <w:rsid w:val="00864B2E"/>
    <w:rsid w:val="00864B40"/>
    <w:rsid w:val="00865963"/>
    <w:rsid w:val="00871C1D"/>
    <w:rsid w:val="008725B6"/>
    <w:rsid w:val="0087450E"/>
    <w:rsid w:val="00875A82"/>
    <w:rsid w:val="00876CA3"/>
    <w:rsid w:val="008772FE"/>
    <w:rsid w:val="0087741D"/>
    <w:rsid w:val="008775F1"/>
    <w:rsid w:val="00881DF0"/>
    <w:rsid w:val="008821AE"/>
    <w:rsid w:val="00883D3A"/>
    <w:rsid w:val="00884AF4"/>
    <w:rsid w:val="008854F7"/>
    <w:rsid w:val="00885A9D"/>
    <w:rsid w:val="00887802"/>
    <w:rsid w:val="008879D2"/>
    <w:rsid w:val="00891093"/>
    <w:rsid w:val="008929D2"/>
    <w:rsid w:val="00892C15"/>
    <w:rsid w:val="00893636"/>
    <w:rsid w:val="00893B94"/>
    <w:rsid w:val="008940FC"/>
    <w:rsid w:val="00896E9D"/>
    <w:rsid w:val="00896F11"/>
    <w:rsid w:val="008A08D9"/>
    <w:rsid w:val="008A0B95"/>
    <w:rsid w:val="008A1049"/>
    <w:rsid w:val="008A1C98"/>
    <w:rsid w:val="008A322D"/>
    <w:rsid w:val="008A36AF"/>
    <w:rsid w:val="008A4D72"/>
    <w:rsid w:val="008A5730"/>
    <w:rsid w:val="008A6285"/>
    <w:rsid w:val="008A63B2"/>
    <w:rsid w:val="008B1E7D"/>
    <w:rsid w:val="008B1ECB"/>
    <w:rsid w:val="008B29AF"/>
    <w:rsid w:val="008B345D"/>
    <w:rsid w:val="008B72CE"/>
    <w:rsid w:val="008C1FC2"/>
    <w:rsid w:val="008C2980"/>
    <w:rsid w:val="008C381D"/>
    <w:rsid w:val="008C3A70"/>
    <w:rsid w:val="008C4DD6"/>
    <w:rsid w:val="008C5AFB"/>
    <w:rsid w:val="008C7EA6"/>
    <w:rsid w:val="008D07FB"/>
    <w:rsid w:val="008D0C02"/>
    <w:rsid w:val="008D1540"/>
    <w:rsid w:val="008D2B77"/>
    <w:rsid w:val="008D357D"/>
    <w:rsid w:val="008D435A"/>
    <w:rsid w:val="008D48FA"/>
    <w:rsid w:val="008D5024"/>
    <w:rsid w:val="008D696B"/>
    <w:rsid w:val="008D7F29"/>
    <w:rsid w:val="008E0210"/>
    <w:rsid w:val="008E387B"/>
    <w:rsid w:val="008E6087"/>
    <w:rsid w:val="008E6564"/>
    <w:rsid w:val="008E758D"/>
    <w:rsid w:val="008F0B22"/>
    <w:rsid w:val="008F10A7"/>
    <w:rsid w:val="008F755D"/>
    <w:rsid w:val="008F7604"/>
    <w:rsid w:val="008F7A39"/>
    <w:rsid w:val="009021E8"/>
    <w:rsid w:val="00904677"/>
    <w:rsid w:val="00905EE2"/>
    <w:rsid w:val="00911440"/>
    <w:rsid w:val="00911712"/>
    <w:rsid w:val="00911B27"/>
    <w:rsid w:val="009170BE"/>
    <w:rsid w:val="00920B55"/>
    <w:rsid w:val="009262C9"/>
    <w:rsid w:val="00930EB9"/>
    <w:rsid w:val="00933DC7"/>
    <w:rsid w:val="009418F4"/>
    <w:rsid w:val="00942678"/>
    <w:rsid w:val="00942BBC"/>
    <w:rsid w:val="00943B54"/>
    <w:rsid w:val="00944180"/>
    <w:rsid w:val="00944AA0"/>
    <w:rsid w:val="00947DA2"/>
    <w:rsid w:val="00951177"/>
    <w:rsid w:val="009569EC"/>
    <w:rsid w:val="0096110D"/>
    <w:rsid w:val="009633A0"/>
    <w:rsid w:val="00963A21"/>
    <w:rsid w:val="0096524C"/>
    <w:rsid w:val="00966654"/>
    <w:rsid w:val="009673E8"/>
    <w:rsid w:val="0097291C"/>
    <w:rsid w:val="00972AD7"/>
    <w:rsid w:val="00974DB8"/>
    <w:rsid w:val="00975F7B"/>
    <w:rsid w:val="00977CD0"/>
    <w:rsid w:val="00980661"/>
    <w:rsid w:val="0098093B"/>
    <w:rsid w:val="009864E8"/>
    <w:rsid w:val="009876D4"/>
    <w:rsid w:val="00987BBD"/>
    <w:rsid w:val="00987DD7"/>
    <w:rsid w:val="00990603"/>
    <w:rsid w:val="00990EDE"/>
    <w:rsid w:val="009914A5"/>
    <w:rsid w:val="00993258"/>
    <w:rsid w:val="0099548E"/>
    <w:rsid w:val="00996456"/>
    <w:rsid w:val="00996A12"/>
    <w:rsid w:val="00997B0F"/>
    <w:rsid w:val="00997B57"/>
    <w:rsid w:val="009A1CAD"/>
    <w:rsid w:val="009A3440"/>
    <w:rsid w:val="009A5832"/>
    <w:rsid w:val="009A64BC"/>
    <w:rsid w:val="009A6838"/>
    <w:rsid w:val="009B24B5"/>
    <w:rsid w:val="009B3D25"/>
    <w:rsid w:val="009B4EBC"/>
    <w:rsid w:val="009B5ABB"/>
    <w:rsid w:val="009B73CE"/>
    <w:rsid w:val="009C2461"/>
    <w:rsid w:val="009C4A7E"/>
    <w:rsid w:val="009C5488"/>
    <w:rsid w:val="009C605C"/>
    <w:rsid w:val="009C6FE2"/>
    <w:rsid w:val="009C7674"/>
    <w:rsid w:val="009D004A"/>
    <w:rsid w:val="009D5880"/>
    <w:rsid w:val="009D5A99"/>
    <w:rsid w:val="009D5C9D"/>
    <w:rsid w:val="009E1E20"/>
    <w:rsid w:val="009E1FD4"/>
    <w:rsid w:val="009E27D0"/>
    <w:rsid w:val="009E3282"/>
    <w:rsid w:val="009E386B"/>
    <w:rsid w:val="009E3B07"/>
    <w:rsid w:val="009E4567"/>
    <w:rsid w:val="009E4EC7"/>
    <w:rsid w:val="009E51D1"/>
    <w:rsid w:val="009E5531"/>
    <w:rsid w:val="009F07F7"/>
    <w:rsid w:val="009F171E"/>
    <w:rsid w:val="009F1BF8"/>
    <w:rsid w:val="009F3D2F"/>
    <w:rsid w:val="009F4F3A"/>
    <w:rsid w:val="009F7052"/>
    <w:rsid w:val="009F7397"/>
    <w:rsid w:val="00A02668"/>
    <w:rsid w:val="00A02801"/>
    <w:rsid w:val="00A02908"/>
    <w:rsid w:val="00A030B7"/>
    <w:rsid w:val="00A042B5"/>
    <w:rsid w:val="00A04384"/>
    <w:rsid w:val="00A06A39"/>
    <w:rsid w:val="00A06C48"/>
    <w:rsid w:val="00A07805"/>
    <w:rsid w:val="00A07F58"/>
    <w:rsid w:val="00A1063D"/>
    <w:rsid w:val="00A11A71"/>
    <w:rsid w:val="00A131CB"/>
    <w:rsid w:val="00A143E2"/>
    <w:rsid w:val="00A14847"/>
    <w:rsid w:val="00A16D6D"/>
    <w:rsid w:val="00A17A03"/>
    <w:rsid w:val="00A2088B"/>
    <w:rsid w:val="00A20CB3"/>
    <w:rsid w:val="00A21383"/>
    <w:rsid w:val="00A2199F"/>
    <w:rsid w:val="00A21B31"/>
    <w:rsid w:val="00A2360E"/>
    <w:rsid w:val="00A25B22"/>
    <w:rsid w:val="00A26E0C"/>
    <w:rsid w:val="00A32FCB"/>
    <w:rsid w:val="00A341C7"/>
    <w:rsid w:val="00A34C25"/>
    <w:rsid w:val="00A3507D"/>
    <w:rsid w:val="00A369CF"/>
    <w:rsid w:val="00A3717A"/>
    <w:rsid w:val="00A4088C"/>
    <w:rsid w:val="00A41FA7"/>
    <w:rsid w:val="00A43D05"/>
    <w:rsid w:val="00A4456B"/>
    <w:rsid w:val="00A44782"/>
    <w:rsid w:val="00A448D4"/>
    <w:rsid w:val="00A452E0"/>
    <w:rsid w:val="00A51EA5"/>
    <w:rsid w:val="00A53742"/>
    <w:rsid w:val="00A557A1"/>
    <w:rsid w:val="00A56068"/>
    <w:rsid w:val="00A601E8"/>
    <w:rsid w:val="00A61BA9"/>
    <w:rsid w:val="00A63059"/>
    <w:rsid w:val="00A63ADC"/>
    <w:rsid w:val="00A63AE3"/>
    <w:rsid w:val="00A651A4"/>
    <w:rsid w:val="00A71361"/>
    <w:rsid w:val="00A72489"/>
    <w:rsid w:val="00A746E2"/>
    <w:rsid w:val="00A76656"/>
    <w:rsid w:val="00A77455"/>
    <w:rsid w:val="00A8160B"/>
    <w:rsid w:val="00A81FF2"/>
    <w:rsid w:val="00A83904"/>
    <w:rsid w:val="00A90A79"/>
    <w:rsid w:val="00A91EF2"/>
    <w:rsid w:val="00A94A56"/>
    <w:rsid w:val="00A96B30"/>
    <w:rsid w:val="00A979D2"/>
    <w:rsid w:val="00A97DC7"/>
    <w:rsid w:val="00AA19B1"/>
    <w:rsid w:val="00AA59B5"/>
    <w:rsid w:val="00AA7777"/>
    <w:rsid w:val="00AA7B84"/>
    <w:rsid w:val="00AB1A8D"/>
    <w:rsid w:val="00AC0B4C"/>
    <w:rsid w:val="00AC0EF7"/>
    <w:rsid w:val="00AC1164"/>
    <w:rsid w:val="00AC1AA5"/>
    <w:rsid w:val="00AC2296"/>
    <w:rsid w:val="00AC259F"/>
    <w:rsid w:val="00AC2754"/>
    <w:rsid w:val="00AC3F7F"/>
    <w:rsid w:val="00AC48B0"/>
    <w:rsid w:val="00AC4ACD"/>
    <w:rsid w:val="00AC5DFB"/>
    <w:rsid w:val="00AD13DC"/>
    <w:rsid w:val="00AD208B"/>
    <w:rsid w:val="00AD4F8C"/>
    <w:rsid w:val="00AD651C"/>
    <w:rsid w:val="00AD6DE2"/>
    <w:rsid w:val="00AE0A40"/>
    <w:rsid w:val="00AE1ED4"/>
    <w:rsid w:val="00AE21E1"/>
    <w:rsid w:val="00AE2F8D"/>
    <w:rsid w:val="00AE3BAE"/>
    <w:rsid w:val="00AE3E87"/>
    <w:rsid w:val="00AE626C"/>
    <w:rsid w:val="00AE6A21"/>
    <w:rsid w:val="00AF137C"/>
    <w:rsid w:val="00AF1C8F"/>
    <w:rsid w:val="00AF21CD"/>
    <w:rsid w:val="00AF2B68"/>
    <w:rsid w:val="00AF2C92"/>
    <w:rsid w:val="00AF3EC1"/>
    <w:rsid w:val="00AF5025"/>
    <w:rsid w:val="00AF519F"/>
    <w:rsid w:val="00AF5387"/>
    <w:rsid w:val="00AF55F5"/>
    <w:rsid w:val="00AF6205"/>
    <w:rsid w:val="00AF6B22"/>
    <w:rsid w:val="00AF7A1E"/>
    <w:rsid w:val="00AF7E86"/>
    <w:rsid w:val="00B02141"/>
    <w:rsid w:val="00B024B9"/>
    <w:rsid w:val="00B06336"/>
    <w:rsid w:val="00B077FA"/>
    <w:rsid w:val="00B1141D"/>
    <w:rsid w:val="00B122A4"/>
    <w:rsid w:val="00B127D7"/>
    <w:rsid w:val="00B13B0C"/>
    <w:rsid w:val="00B1453A"/>
    <w:rsid w:val="00B17CFD"/>
    <w:rsid w:val="00B20F82"/>
    <w:rsid w:val="00B21F1F"/>
    <w:rsid w:val="00B22401"/>
    <w:rsid w:val="00B25A37"/>
    <w:rsid w:val="00B25BD5"/>
    <w:rsid w:val="00B27AC9"/>
    <w:rsid w:val="00B30118"/>
    <w:rsid w:val="00B3304C"/>
    <w:rsid w:val="00B34079"/>
    <w:rsid w:val="00B3793A"/>
    <w:rsid w:val="00B401BA"/>
    <w:rsid w:val="00B407E4"/>
    <w:rsid w:val="00B425B6"/>
    <w:rsid w:val="00B426F0"/>
    <w:rsid w:val="00B42A72"/>
    <w:rsid w:val="00B441AE"/>
    <w:rsid w:val="00B44CB9"/>
    <w:rsid w:val="00B45A65"/>
    <w:rsid w:val="00B45F33"/>
    <w:rsid w:val="00B46D50"/>
    <w:rsid w:val="00B53170"/>
    <w:rsid w:val="00B548B9"/>
    <w:rsid w:val="00B56DBE"/>
    <w:rsid w:val="00B56FBA"/>
    <w:rsid w:val="00B62999"/>
    <w:rsid w:val="00B63BE3"/>
    <w:rsid w:val="00B64885"/>
    <w:rsid w:val="00B64D94"/>
    <w:rsid w:val="00B66810"/>
    <w:rsid w:val="00B72BE3"/>
    <w:rsid w:val="00B737AD"/>
    <w:rsid w:val="00B73B80"/>
    <w:rsid w:val="00B770C7"/>
    <w:rsid w:val="00B77FF0"/>
    <w:rsid w:val="00B80F26"/>
    <w:rsid w:val="00B822BD"/>
    <w:rsid w:val="00B82912"/>
    <w:rsid w:val="00B82BCA"/>
    <w:rsid w:val="00B840F9"/>
    <w:rsid w:val="00B842F4"/>
    <w:rsid w:val="00B8512D"/>
    <w:rsid w:val="00B879A9"/>
    <w:rsid w:val="00B87A02"/>
    <w:rsid w:val="00B91A7B"/>
    <w:rsid w:val="00B92943"/>
    <w:rsid w:val="00B929DD"/>
    <w:rsid w:val="00B93AF6"/>
    <w:rsid w:val="00B95405"/>
    <w:rsid w:val="00B96167"/>
    <w:rsid w:val="00B963F1"/>
    <w:rsid w:val="00B966C6"/>
    <w:rsid w:val="00BA020A"/>
    <w:rsid w:val="00BA1294"/>
    <w:rsid w:val="00BA1B10"/>
    <w:rsid w:val="00BA34DA"/>
    <w:rsid w:val="00BA3FD9"/>
    <w:rsid w:val="00BA437F"/>
    <w:rsid w:val="00BA4EFB"/>
    <w:rsid w:val="00BB01B1"/>
    <w:rsid w:val="00BB02A4"/>
    <w:rsid w:val="00BB1270"/>
    <w:rsid w:val="00BB1E44"/>
    <w:rsid w:val="00BB5267"/>
    <w:rsid w:val="00BB52B8"/>
    <w:rsid w:val="00BB59D8"/>
    <w:rsid w:val="00BB7E69"/>
    <w:rsid w:val="00BC0C06"/>
    <w:rsid w:val="00BC0E51"/>
    <w:rsid w:val="00BC3C1F"/>
    <w:rsid w:val="00BC4C2C"/>
    <w:rsid w:val="00BC7CE7"/>
    <w:rsid w:val="00BD295E"/>
    <w:rsid w:val="00BD2BD2"/>
    <w:rsid w:val="00BD3832"/>
    <w:rsid w:val="00BD4049"/>
    <w:rsid w:val="00BD4664"/>
    <w:rsid w:val="00BD6466"/>
    <w:rsid w:val="00BE1193"/>
    <w:rsid w:val="00BE1399"/>
    <w:rsid w:val="00BE5C33"/>
    <w:rsid w:val="00BF1DA4"/>
    <w:rsid w:val="00BF4849"/>
    <w:rsid w:val="00BF4EA7"/>
    <w:rsid w:val="00BF6444"/>
    <w:rsid w:val="00BF79B0"/>
    <w:rsid w:val="00C00EDB"/>
    <w:rsid w:val="00C02863"/>
    <w:rsid w:val="00C0383A"/>
    <w:rsid w:val="00C058A0"/>
    <w:rsid w:val="00C067FF"/>
    <w:rsid w:val="00C12862"/>
    <w:rsid w:val="00C13D28"/>
    <w:rsid w:val="00C13E22"/>
    <w:rsid w:val="00C14585"/>
    <w:rsid w:val="00C1621E"/>
    <w:rsid w:val="00C165A0"/>
    <w:rsid w:val="00C17E73"/>
    <w:rsid w:val="00C216CE"/>
    <w:rsid w:val="00C2184F"/>
    <w:rsid w:val="00C22A78"/>
    <w:rsid w:val="00C23C7E"/>
    <w:rsid w:val="00C246C5"/>
    <w:rsid w:val="00C25A82"/>
    <w:rsid w:val="00C30A2A"/>
    <w:rsid w:val="00C31246"/>
    <w:rsid w:val="00C33993"/>
    <w:rsid w:val="00C356D3"/>
    <w:rsid w:val="00C365DD"/>
    <w:rsid w:val="00C4069E"/>
    <w:rsid w:val="00C4077C"/>
    <w:rsid w:val="00C41ADC"/>
    <w:rsid w:val="00C41ECD"/>
    <w:rsid w:val="00C44149"/>
    <w:rsid w:val="00C44410"/>
    <w:rsid w:val="00C4477F"/>
    <w:rsid w:val="00C44A15"/>
    <w:rsid w:val="00C4630A"/>
    <w:rsid w:val="00C52287"/>
    <w:rsid w:val="00C523F0"/>
    <w:rsid w:val="00C526D2"/>
    <w:rsid w:val="00C52F47"/>
    <w:rsid w:val="00C53A91"/>
    <w:rsid w:val="00C5406A"/>
    <w:rsid w:val="00C575FA"/>
    <w:rsid w:val="00C5794E"/>
    <w:rsid w:val="00C60968"/>
    <w:rsid w:val="00C62240"/>
    <w:rsid w:val="00C63D39"/>
    <w:rsid w:val="00C63EDD"/>
    <w:rsid w:val="00C65B36"/>
    <w:rsid w:val="00C7292E"/>
    <w:rsid w:val="00C74E88"/>
    <w:rsid w:val="00C80924"/>
    <w:rsid w:val="00C8286B"/>
    <w:rsid w:val="00C866E2"/>
    <w:rsid w:val="00C947F8"/>
    <w:rsid w:val="00C9515F"/>
    <w:rsid w:val="00C963C5"/>
    <w:rsid w:val="00C96807"/>
    <w:rsid w:val="00C96A7A"/>
    <w:rsid w:val="00CA030C"/>
    <w:rsid w:val="00CA1F41"/>
    <w:rsid w:val="00CA32EE"/>
    <w:rsid w:val="00CA5121"/>
    <w:rsid w:val="00CA5771"/>
    <w:rsid w:val="00CA6A1A"/>
    <w:rsid w:val="00CB05C5"/>
    <w:rsid w:val="00CB0AE2"/>
    <w:rsid w:val="00CC0980"/>
    <w:rsid w:val="00CC1E75"/>
    <w:rsid w:val="00CC2E0E"/>
    <w:rsid w:val="00CC361C"/>
    <w:rsid w:val="00CC474B"/>
    <w:rsid w:val="00CC4E83"/>
    <w:rsid w:val="00CC51DB"/>
    <w:rsid w:val="00CC658C"/>
    <w:rsid w:val="00CC67BF"/>
    <w:rsid w:val="00CC76E8"/>
    <w:rsid w:val="00CD0843"/>
    <w:rsid w:val="00CD0B9E"/>
    <w:rsid w:val="00CD3202"/>
    <w:rsid w:val="00CD5A78"/>
    <w:rsid w:val="00CD7345"/>
    <w:rsid w:val="00CE372E"/>
    <w:rsid w:val="00CE3F2B"/>
    <w:rsid w:val="00CE6D89"/>
    <w:rsid w:val="00CF0A1B"/>
    <w:rsid w:val="00CF19F6"/>
    <w:rsid w:val="00CF2317"/>
    <w:rsid w:val="00CF25B1"/>
    <w:rsid w:val="00CF2F4F"/>
    <w:rsid w:val="00CF48D4"/>
    <w:rsid w:val="00CF536D"/>
    <w:rsid w:val="00D02E1C"/>
    <w:rsid w:val="00D02E9D"/>
    <w:rsid w:val="00D10CB8"/>
    <w:rsid w:val="00D121F9"/>
    <w:rsid w:val="00D12806"/>
    <w:rsid w:val="00D12D44"/>
    <w:rsid w:val="00D15018"/>
    <w:rsid w:val="00D158AC"/>
    <w:rsid w:val="00D163C1"/>
    <w:rsid w:val="00D1694C"/>
    <w:rsid w:val="00D17D34"/>
    <w:rsid w:val="00D20F5E"/>
    <w:rsid w:val="00D21125"/>
    <w:rsid w:val="00D23B76"/>
    <w:rsid w:val="00D24B4A"/>
    <w:rsid w:val="00D26F62"/>
    <w:rsid w:val="00D31BE1"/>
    <w:rsid w:val="00D335E4"/>
    <w:rsid w:val="00D379A3"/>
    <w:rsid w:val="00D4090A"/>
    <w:rsid w:val="00D42B81"/>
    <w:rsid w:val="00D4428E"/>
    <w:rsid w:val="00D44528"/>
    <w:rsid w:val="00D45FF3"/>
    <w:rsid w:val="00D466AA"/>
    <w:rsid w:val="00D46AF8"/>
    <w:rsid w:val="00D47524"/>
    <w:rsid w:val="00D4783A"/>
    <w:rsid w:val="00D512CF"/>
    <w:rsid w:val="00D528B9"/>
    <w:rsid w:val="00D53186"/>
    <w:rsid w:val="00D5487D"/>
    <w:rsid w:val="00D558F6"/>
    <w:rsid w:val="00D55F54"/>
    <w:rsid w:val="00D60140"/>
    <w:rsid w:val="00D6024A"/>
    <w:rsid w:val="00D608B5"/>
    <w:rsid w:val="00D6183F"/>
    <w:rsid w:val="00D6436A"/>
    <w:rsid w:val="00D64739"/>
    <w:rsid w:val="00D6576E"/>
    <w:rsid w:val="00D67CEE"/>
    <w:rsid w:val="00D71F99"/>
    <w:rsid w:val="00D73CA4"/>
    <w:rsid w:val="00D73D71"/>
    <w:rsid w:val="00D74396"/>
    <w:rsid w:val="00D76BA1"/>
    <w:rsid w:val="00D7745D"/>
    <w:rsid w:val="00D80284"/>
    <w:rsid w:val="00D81372"/>
    <w:rsid w:val="00D81F71"/>
    <w:rsid w:val="00D83232"/>
    <w:rsid w:val="00D8642D"/>
    <w:rsid w:val="00D876E9"/>
    <w:rsid w:val="00D90A5E"/>
    <w:rsid w:val="00D91A68"/>
    <w:rsid w:val="00D95A68"/>
    <w:rsid w:val="00D960D5"/>
    <w:rsid w:val="00DA0C72"/>
    <w:rsid w:val="00DA17C7"/>
    <w:rsid w:val="00DA3534"/>
    <w:rsid w:val="00DA61E9"/>
    <w:rsid w:val="00DA669A"/>
    <w:rsid w:val="00DA6A9A"/>
    <w:rsid w:val="00DB1EFD"/>
    <w:rsid w:val="00DB26F4"/>
    <w:rsid w:val="00DB3EAF"/>
    <w:rsid w:val="00DB46C6"/>
    <w:rsid w:val="00DC3203"/>
    <w:rsid w:val="00DC3C99"/>
    <w:rsid w:val="00DC3E8E"/>
    <w:rsid w:val="00DC468E"/>
    <w:rsid w:val="00DC52F5"/>
    <w:rsid w:val="00DC5FD0"/>
    <w:rsid w:val="00DD0354"/>
    <w:rsid w:val="00DD0FCE"/>
    <w:rsid w:val="00DD27D7"/>
    <w:rsid w:val="00DD286B"/>
    <w:rsid w:val="00DD3869"/>
    <w:rsid w:val="00DD458C"/>
    <w:rsid w:val="00DD4798"/>
    <w:rsid w:val="00DD5218"/>
    <w:rsid w:val="00DD6086"/>
    <w:rsid w:val="00DD72E9"/>
    <w:rsid w:val="00DD7605"/>
    <w:rsid w:val="00DD7E26"/>
    <w:rsid w:val="00DE2020"/>
    <w:rsid w:val="00DE32DE"/>
    <w:rsid w:val="00DE3476"/>
    <w:rsid w:val="00DE3B63"/>
    <w:rsid w:val="00DE4BED"/>
    <w:rsid w:val="00DE505A"/>
    <w:rsid w:val="00DE5166"/>
    <w:rsid w:val="00DE5581"/>
    <w:rsid w:val="00DE7BEA"/>
    <w:rsid w:val="00DF1B79"/>
    <w:rsid w:val="00DF44EE"/>
    <w:rsid w:val="00DF5726"/>
    <w:rsid w:val="00DF5B84"/>
    <w:rsid w:val="00DF5BE9"/>
    <w:rsid w:val="00DF6D5B"/>
    <w:rsid w:val="00DF771B"/>
    <w:rsid w:val="00DF7EE2"/>
    <w:rsid w:val="00E015DB"/>
    <w:rsid w:val="00E01BAA"/>
    <w:rsid w:val="00E0282A"/>
    <w:rsid w:val="00E02F9B"/>
    <w:rsid w:val="00E03A3D"/>
    <w:rsid w:val="00E06FAB"/>
    <w:rsid w:val="00E07E14"/>
    <w:rsid w:val="00E10054"/>
    <w:rsid w:val="00E101B8"/>
    <w:rsid w:val="00E11BAE"/>
    <w:rsid w:val="00E11D1C"/>
    <w:rsid w:val="00E14D7F"/>
    <w:rsid w:val="00E14F94"/>
    <w:rsid w:val="00E15501"/>
    <w:rsid w:val="00E1644C"/>
    <w:rsid w:val="00E17336"/>
    <w:rsid w:val="00E17D15"/>
    <w:rsid w:val="00E2149A"/>
    <w:rsid w:val="00E22B95"/>
    <w:rsid w:val="00E22DCA"/>
    <w:rsid w:val="00E30331"/>
    <w:rsid w:val="00E30BB8"/>
    <w:rsid w:val="00E31F9C"/>
    <w:rsid w:val="00E344E4"/>
    <w:rsid w:val="00E34D73"/>
    <w:rsid w:val="00E40488"/>
    <w:rsid w:val="00E40F8F"/>
    <w:rsid w:val="00E41842"/>
    <w:rsid w:val="00E465FF"/>
    <w:rsid w:val="00E50149"/>
    <w:rsid w:val="00E50367"/>
    <w:rsid w:val="00E51525"/>
    <w:rsid w:val="00E51ABA"/>
    <w:rsid w:val="00E524CB"/>
    <w:rsid w:val="00E559AF"/>
    <w:rsid w:val="00E6324A"/>
    <w:rsid w:val="00E65456"/>
    <w:rsid w:val="00E65A91"/>
    <w:rsid w:val="00E65C44"/>
    <w:rsid w:val="00E66188"/>
    <w:rsid w:val="00E6646C"/>
    <w:rsid w:val="00E664FB"/>
    <w:rsid w:val="00E66C29"/>
    <w:rsid w:val="00E66CEF"/>
    <w:rsid w:val="00E672F0"/>
    <w:rsid w:val="00E70373"/>
    <w:rsid w:val="00E72547"/>
    <w:rsid w:val="00E7278E"/>
    <w:rsid w:val="00E72E40"/>
    <w:rsid w:val="00E73665"/>
    <w:rsid w:val="00E73999"/>
    <w:rsid w:val="00E73BDC"/>
    <w:rsid w:val="00E73E9E"/>
    <w:rsid w:val="00E758D0"/>
    <w:rsid w:val="00E76E22"/>
    <w:rsid w:val="00E77354"/>
    <w:rsid w:val="00E81660"/>
    <w:rsid w:val="00E817C3"/>
    <w:rsid w:val="00E854FE"/>
    <w:rsid w:val="00E906CC"/>
    <w:rsid w:val="00E92F4E"/>
    <w:rsid w:val="00E939A0"/>
    <w:rsid w:val="00E9504C"/>
    <w:rsid w:val="00E9576B"/>
    <w:rsid w:val="00E97470"/>
    <w:rsid w:val="00E97E4E"/>
    <w:rsid w:val="00EA0492"/>
    <w:rsid w:val="00EA1CC2"/>
    <w:rsid w:val="00EA28CF"/>
    <w:rsid w:val="00EA2D76"/>
    <w:rsid w:val="00EA4644"/>
    <w:rsid w:val="00EA4B66"/>
    <w:rsid w:val="00EA758A"/>
    <w:rsid w:val="00EB096F"/>
    <w:rsid w:val="00EB0A58"/>
    <w:rsid w:val="00EB199F"/>
    <w:rsid w:val="00EB27C4"/>
    <w:rsid w:val="00EB5387"/>
    <w:rsid w:val="00EB5C10"/>
    <w:rsid w:val="00EB7322"/>
    <w:rsid w:val="00EC0FE9"/>
    <w:rsid w:val="00EC198B"/>
    <w:rsid w:val="00EC426D"/>
    <w:rsid w:val="00EC571B"/>
    <w:rsid w:val="00EC57D7"/>
    <w:rsid w:val="00EC5C0D"/>
    <w:rsid w:val="00EC6385"/>
    <w:rsid w:val="00EC7A8D"/>
    <w:rsid w:val="00ED1DE9"/>
    <w:rsid w:val="00ED23D4"/>
    <w:rsid w:val="00ED3584"/>
    <w:rsid w:val="00ED42A7"/>
    <w:rsid w:val="00ED5E0B"/>
    <w:rsid w:val="00EE07E8"/>
    <w:rsid w:val="00EE27D7"/>
    <w:rsid w:val="00EE37B6"/>
    <w:rsid w:val="00EE3F3A"/>
    <w:rsid w:val="00EE4659"/>
    <w:rsid w:val="00EF0F45"/>
    <w:rsid w:val="00EF2BD0"/>
    <w:rsid w:val="00EF528D"/>
    <w:rsid w:val="00EF7463"/>
    <w:rsid w:val="00EF7971"/>
    <w:rsid w:val="00EF7D27"/>
    <w:rsid w:val="00F002EF"/>
    <w:rsid w:val="00F0160C"/>
    <w:rsid w:val="00F01851"/>
    <w:rsid w:val="00F01EE9"/>
    <w:rsid w:val="00F04900"/>
    <w:rsid w:val="00F065A4"/>
    <w:rsid w:val="00F0758B"/>
    <w:rsid w:val="00F126B9"/>
    <w:rsid w:val="00F12715"/>
    <w:rsid w:val="00F13B42"/>
    <w:rsid w:val="00F140E9"/>
    <w:rsid w:val="00F144D5"/>
    <w:rsid w:val="00F146F0"/>
    <w:rsid w:val="00F15039"/>
    <w:rsid w:val="00F160BC"/>
    <w:rsid w:val="00F20A44"/>
    <w:rsid w:val="00F20FF3"/>
    <w:rsid w:val="00F2190B"/>
    <w:rsid w:val="00F228B5"/>
    <w:rsid w:val="00F22F87"/>
    <w:rsid w:val="00F232BC"/>
    <w:rsid w:val="00F2389C"/>
    <w:rsid w:val="00F25C67"/>
    <w:rsid w:val="00F27034"/>
    <w:rsid w:val="00F279E3"/>
    <w:rsid w:val="00F306B1"/>
    <w:rsid w:val="00F30DFF"/>
    <w:rsid w:val="00F31C0A"/>
    <w:rsid w:val="00F32B80"/>
    <w:rsid w:val="00F33597"/>
    <w:rsid w:val="00F33CCA"/>
    <w:rsid w:val="00F340EB"/>
    <w:rsid w:val="00F35285"/>
    <w:rsid w:val="00F43B9D"/>
    <w:rsid w:val="00F44D5E"/>
    <w:rsid w:val="00F46674"/>
    <w:rsid w:val="00F53A35"/>
    <w:rsid w:val="00F54321"/>
    <w:rsid w:val="00F546CE"/>
    <w:rsid w:val="00F55A3D"/>
    <w:rsid w:val="00F5689E"/>
    <w:rsid w:val="00F5730E"/>
    <w:rsid w:val="00F5744B"/>
    <w:rsid w:val="00F604BA"/>
    <w:rsid w:val="00F60C06"/>
    <w:rsid w:val="00F60F58"/>
    <w:rsid w:val="00F61209"/>
    <w:rsid w:val="00F6259E"/>
    <w:rsid w:val="00F6572F"/>
    <w:rsid w:val="00F65DD4"/>
    <w:rsid w:val="00F672B2"/>
    <w:rsid w:val="00F70F55"/>
    <w:rsid w:val="00F7385D"/>
    <w:rsid w:val="00F74AEF"/>
    <w:rsid w:val="00F75F35"/>
    <w:rsid w:val="00F76429"/>
    <w:rsid w:val="00F81D13"/>
    <w:rsid w:val="00F8369B"/>
    <w:rsid w:val="00F83973"/>
    <w:rsid w:val="00F85959"/>
    <w:rsid w:val="00F87FA3"/>
    <w:rsid w:val="00F90FE7"/>
    <w:rsid w:val="00F93D8C"/>
    <w:rsid w:val="00F945E7"/>
    <w:rsid w:val="00F96DB3"/>
    <w:rsid w:val="00FA2997"/>
    <w:rsid w:val="00FA2B89"/>
    <w:rsid w:val="00FA3102"/>
    <w:rsid w:val="00FA3947"/>
    <w:rsid w:val="00FA4284"/>
    <w:rsid w:val="00FA48D4"/>
    <w:rsid w:val="00FA4AF0"/>
    <w:rsid w:val="00FA54FA"/>
    <w:rsid w:val="00FA58FD"/>
    <w:rsid w:val="00FA6ABC"/>
    <w:rsid w:val="00FA6D39"/>
    <w:rsid w:val="00FB227E"/>
    <w:rsid w:val="00FB2D52"/>
    <w:rsid w:val="00FB3D61"/>
    <w:rsid w:val="00FB44CE"/>
    <w:rsid w:val="00FB5009"/>
    <w:rsid w:val="00FB76AB"/>
    <w:rsid w:val="00FC0EC9"/>
    <w:rsid w:val="00FC0FF9"/>
    <w:rsid w:val="00FC27E2"/>
    <w:rsid w:val="00FC4E47"/>
    <w:rsid w:val="00FD03FE"/>
    <w:rsid w:val="00FD0552"/>
    <w:rsid w:val="00FD118D"/>
    <w:rsid w:val="00FD126E"/>
    <w:rsid w:val="00FD3C36"/>
    <w:rsid w:val="00FD4D81"/>
    <w:rsid w:val="00FD5E00"/>
    <w:rsid w:val="00FD5F30"/>
    <w:rsid w:val="00FD6B41"/>
    <w:rsid w:val="00FD7498"/>
    <w:rsid w:val="00FD7FB3"/>
    <w:rsid w:val="00FE4642"/>
    <w:rsid w:val="00FE4713"/>
    <w:rsid w:val="00FF1F44"/>
    <w:rsid w:val="00FF225E"/>
    <w:rsid w:val="00FF2B3A"/>
    <w:rsid w:val="00FF4372"/>
    <w:rsid w:val="00FF672C"/>
    <w:rsid w:val="00FF6C43"/>
    <w:rsid w:val="00FF6C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026B6"/>
  <w15:docId w15:val="{E709AF53-BBC9-2741-BF0C-CF56D7D04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uiPriority="64"/>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uiPriority="72"/>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96F"/>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uiPriority w:val="9"/>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uiPriority w:val="9"/>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qFormat/>
    <w:rsid w:val="00F43B9D"/>
    <w:pPr>
      <w:spacing w:before="360"/>
      <w:outlineLvl w:val="3"/>
    </w:pPr>
    <w:rPr>
      <w:bCs/>
      <w:szCs w:val="28"/>
    </w:rPr>
  </w:style>
  <w:style w:type="paragraph" w:styleId="Heading5">
    <w:name w:val="heading 5"/>
    <w:basedOn w:val="Normal"/>
    <w:next w:val="Normal"/>
    <w:link w:val="Heading5Char"/>
    <w:uiPriority w:val="9"/>
    <w:qFormat/>
    <w:rsid w:val="00D4090A"/>
    <w:pPr>
      <w:spacing w:before="240" w:after="60" w:line="240" w:lineRule="auto"/>
      <w:outlineLvl w:val="4"/>
    </w:pPr>
    <w:rPr>
      <w:rFonts w:ascii="Calibri" w:hAnsi="Calibri"/>
      <w:b/>
      <w:bCs/>
      <w:i/>
      <w:iCs/>
      <w:sz w:val="26"/>
      <w:szCs w:val="26"/>
      <w:lang w:val="en-US" w:eastAsia="en-US" w:bidi="en-US"/>
    </w:rPr>
  </w:style>
  <w:style w:type="paragraph" w:styleId="Heading6">
    <w:name w:val="heading 6"/>
    <w:basedOn w:val="Normal"/>
    <w:next w:val="Normal"/>
    <w:link w:val="Heading6Char"/>
    <w:uiPriority w:val="9"/>
    <w:qFormat/>
    <w:rsid w:val="00D4090A"/>
    <w:pPr>
      <w:spacing w:before="240" w:after="60" w:line="240" w:lineRule="auto"/>
      <w:outlineLvl w:val="5"/>
    </w:pPr>
    <w:rPr>
      <w:rFonts w:ascii="Calibri" w:hAnsi="Calibri"/>
      <w:b/>
      <w:bCs/>
      <w:sz w:val="20"/>
      <w:szCs w:val="20"/>
      <w:lang w:val="en-US" w:eastAsia="en-US" w:bidi="en-US"/>
    </w:rPr>
  </w:style>
  <w:style w:type="paragraph" w:styleId="Heading7">
    <w:name w:val="heading 7"/>
    <w:basedOn w:val="Normal"/>
    <w:next w:val="Normal"/>
    <w:link w:val="Heading7Char"/>
    <w:uiPriority w:val="9"/>
    <w:qFormat/>
    <w:rsid w:val="00D4090A"/>
    <w:pPr>
      <w:spacing w:before="240" w:after="60" w:line="240" w:lineRule="auto"/>
      <w:outlineLvl w:val="6"/>
    </w:pPr>
    <w:rPr>
      <w:rFonts w:ascii="Calibri" w:hAnsi="Calibri"/>
      <w:lang w:val="en-US" w:eastAsia="en-US" w:bidi="en-US"/>
    </w:rPr>
  </w:style>
  <w:style w:type="paragraph" w:styleId="Heading8">
    <w:name w:val="heading 8"/>
    <w:basedOn w:val="Normal"/>
    <w:next w:val="Normal"/>
    <w:link w:val="Heading8Char"/>
    <w:uiPriority w:val="9"/>
    <w:qFormat/>
    <w:rsid w:val="00D4090A"/>
    <w:pPr>
      <w:spacing w:before="240" w:after="60" w:line="240" w:lineRule="auto"/>
      <w:outlineLvl w:val="7"/>
    </w:pPr>
    <w:rPr>
      <w:rFonts w:ascii="Calibri" w:hAnsi="Calibri"/>
      <w:i/>
      <w:iCs/>
      <w:lang w:val="en-US" w:eastAsia="en-US" w:bidi="en-US"/>
    </w:rPr>
  </w:style>
  <w:style w:type="paragraph" w:styleId="Heading9">
    <w:name w:val="heading 9"/>
    <w:basedOn w:val="Normal"/>
    <w:next w:val="Normal"/>
    <w:link w:val="Heading9Char"/>
    <w:uiPriority w:val="9"/>
    <w:qFormat/>
    <w:rsid w:val="00D4090A"/>
    <w:pPr>
      <w:spacing w:before="240" w:after="60" w:line="240" w:lineRule="auto"/>
      <w:outlineLvl w:val="8"/>
    </w:pPr>
    <w:rPr>
      <w:rFonts w:ascii="Cambria" w:hAnsi="Cambria"/>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C22A78"/>
    <w:pPr>
      <w:spacing w:before="360" w:after="300" w:line="360" w:lineRule="auto"/>
      <w:ind w:left="720" w:right="567"/>
      <w:contextualSpacing/>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uiPriority w:val="9"/>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uiPriority w:val="9"/>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uiPriority w:val="99"/>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uiPriority w:val="99"/>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customStyle="1" w:styleId="apple-converted-space">
    <w:name w:val="apple-converted-space"/>
    <w:basedOn w:val="DefaultParagraphFont"/>
    <w:rsid w:val="00482EF1"/>
  </w:style>
  <w:style w:type="character" w:customStyle="1" w:styleId="Heading5Char">
    <w:name w:val="Heading 5 Char"/>
    <w:basedOn w:val="DefaultParagraphFont"/>
    <w:link w:val="Heading5"/>
    <w:uiPriority w:val="9"/>
    <w:rsid w:val="00D4090A"/>
    <w:rPr>
      <w:rFonts w:ascii="Calibri" w:hAnsi="Calibri"/>
      <w:b/>
      <w:bCs/>
      <w:i/>
      <w:iCs/>
      <w:sz w:val="26"/>
      <w:szCs w:val="26"/>
      <w:lang w:val="en-US" w:eastAsia="en-US" w:bidi="en-US"/>
    </w:rPr>
  </w:style>
  <w:style w:type="character" w:customStyle="1" w:styleId="Heading6Char">
    <w:name w:val="Heading 6 Char"/>
    <w:basedOn w:val="DefaultParagraphFont"/>
    <w:link w:val="Heading6"/>
    <w:uiPriority w:val="9"/>
    <w:rsid w:val="00D4090A"/>
    <w:rPr>
      <w:rFonts w:ascii="Calibri" w:hAnsi="Calibri"/>
      <w:b/>
      <w:bCs/>
      <w:lang w:val="en-US" w:eastAsia="en-US" w:bidi="en-US"/>
    </w:rPr>
  </w:style>
  <w:style w:type="character" w:customStyle="1" w:styleId="Heading7Char">
    <w:name w:val="Heading 7 Char"/>
    <w:basedOn w:val="DefaultParagraphFont"/>
    <w:link w:val="Heading7"/>
    <w:uiPriority w:val="9"/>
    <w:rsid w:val="00D4090A"/>
    <w:rPr>
      <w:rFonts w:ascii="Calibri" w:hAnsi="Calibri"/>
      <w:sz w:val="24"/>
      <w:szCs w:val="24"/>
      <w:lang w:val="en-US" w:eastAsia="en-US" w:bidi="en-US"/>
    </w:rPr>
  </w:style>
  <w:style w:type="character" w:customStyle="1" w:styleId="Heading8Char">
    <w:name w:val="Heading 8 Char"/>
    <w:basedOn w:val="DefaultParagraphFont"/>
    <w:link w:val="Heading8"/>
    <w:uiPriority w:val="9"/>
    <w:rsid w:val="00D4090A"/>
    <w:rPr>
      <w:rFonts w:ascii="Calibri" w:hAnsi="Calibri"/>
      <w:i/>
      <w:iCs/>
      <w:sz w:val="24"/>
      <w:szCs w:val="24"/>
      <w:lang w:val="en-US" w:eastAsia="en-US" w:bidi="en-US"/>
    </w:rPr>
  </w:style>
  <w:style w:type="character" w:customStyle="1" w:styleId="Heading9Char">
    <w:name w:val="Heading 9 Char"/>
    <w:basedOn w:val="DefaultParagraphFont"/>
    <w:link w:val="Heading9"/>
    <w:uiPriority w:val="9"/>
    <w:rsid w:val="00D4090A"/>
    <w:rPr>
      <w:rFonts w:ascii="Cambria" w:hAnsi="Cambria"/>
      <w:lang w:val="en-US" w:eastAsia="en-US" w:bidi="en-US"/>
    </w:rPr>
  </w:style>
  <w:style w:type="paragraph" w:styleId="ListParagraph">
    <w:name w:val="List Paragraph"/>
    <w:basedOn w:val="Normal"/>
    <w:uiPriority w:val="34"/>
    <w:qFormat/>
    <w:rsid w:val="00D4090A"/>
    <w:pPr>
      <w:spacing w:line="240" w:lineRule="auto"/>
      <w:ind w:left="720"/>
      <w:contextualSpacing/>
    </w:pPr>
    <w:rPr>
      <w:rFonts w:ascii="Calibri" w:hAnsi="Calibri" w:cs="Calibri"/>
      <w:lang w:val="en-US" w:eastAsia="en-US" w:bidi="en-US"/>
    </w:rPr>
  </w:style>
  <w:style w:type="paragraph" w:styleId="BodyText">
    <w:name w:val="Body Text"/>
    <w:basedOn w:val="Normal"/>
    <w:link w:val="BodyTextChar"/>
    <w:rsid w:val="00D4090A"/>
    <w:pPr>
      <w:spacing w:line="240" w:lineRule="auto"/>
      <w:jc w:val="both"/>
    </w:pPr>
    <w:rPr>
      <w:lang w:val="en-US" w:eastAsia="en-US" w:bidi="en-US"/>
    </w:rPr>
  </w:style>
  <w:style w:type="character" w:customStyle="1" w:styleId="BodyTextChar">
    <w:name w:val="Body Text Char"/>
    <w:basedOn w:val="DefaultParagraphFont"/>
    <w:link w:val="BodyText"/>
    <w:rsid w:val="00D4090A"/>
    <w:rPr>
      <w:sz w:val="24"/>
      <w:szCs w:val="24"/>
      <w:lang w:val="en-US" w:eastAsia="en-US" w:bidi="en-US"/>
    </w:rPr>
  </w:style>
  <w:style w:type="character" w:styleId="Hyperlink">
    <w:name w:val="Hyperlink"/>
    <w:uiPriority w:val="99"/>
    <w:unhideWhenUsed/>
    <w:rsid w:val="00D4090A"/>
    <w:rPr>
      <w:color w:val="0000FF"/>
      <w:u w:val="single"/>
    </w:rPr>
  </w:style>
  <w:style w:type="table" w:styleId="TableGrid">
    <w:name w:val="Table Grid"/>
    <w:basedOn w:val="TableNormal"/>
    <w:uiPriority w:val="39"/>
    <w:rsid w:val="00D4090A"/>
    <w:rPr>
      <w:rFonts w:ascii="Calibri" w:hAnsi="Calibri"/>
      <w:lang w:val="en-US" w:eastAsia="en-US" w:bidi="bn-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itation-abbreviation">
    <w:name w:val="citation-abbreviation"/>
    <w:basedOn w:val="DefaultParagraphFont"/>
    <w:rsid w:val="00D4090A"/>
  </w:style>
  <w:style w:type="character" w:customStyle="1" w:styleId="citation-publication-date">
    <w:name w:val="citation-publication-date"/>
    <w:basedOn w:val="DefaultParagraphFont"/>
    <w:rsid w:val="00D4090A"/>
  </w:style>
  <w:style w:type="character" w:customStyle="1" w:styleId="citation-volume">
    <w:name w:val="citation-volume"/>
    <w:basedOn w:val="DefaultParagraphFont"/>
    <w:rsid w:val="00D4090A"/>
  </w:style>
  <w:style w:type="character" w:customStyle="1" w:styleId="citation-issue">
    <w:name w:val="citation-issue"/>
    <w:basedOn w:val="DefaultParagraphFont"/>
    <w:rsid w:val="00D4090A"/>
  </w:style>
  <w:style w:type="character" w:customStyle="1" w:styleId="citation-flpages">
    <w:name w:val="citation-flpages"/>
    <w:basedOn w:val="DefaultParagraphFont"/>
    <w:rsid w:val="00D4090A"/>
  </w:style>
  <w:style w:type="paragraph" w:customStyle="1" w:styleId="Default">
    <w:name w:val="Default"/>
    <w:rsid w:val="00D4090A"/>
    <w:pPr>
      <w:autoSpaceDE w:val="0"/>
      <w:autoSpaceDN w:val="0"/>
      <w:adjustRightInd w:val="0"/>
      <w:spacing w:after="200" w:line="276" w:lineRule="auto"/>
    </w:pPr>
    <w:rPr>
      <w:rFonts w:ascii="Helvetica Condensed" w:hAnsi="Helvetica Condensed" w:cs="Helvetica Condensed"/>
      <w:color w:val="000000"/>
      <w:sz w:val="24"/>
      <w:szCs w:val="24"/>
      <w:lang w:val="en-US" w:eastAsia="en-US" w:bidi="en-US"/>
    </w:rPr>
  </w:style>
  <w:style w:type="character" w:customStyle="1" w:styleId="mixed-citation">
    <w:name w:val="mixed-citation"/>
    <w:basedOn w:val="DefaultParagraphFont"/>
    <w:rsid w:val="00D4090A"/>
  </w:style>
  <w:style w:type="character" w:customStyle="1" w:styleId="ref-title">
    <w:name w:val="ref-title"/>
    <w:basedOn w:val="DefaultParagraphFont"/>
    <w:rsid w:val="00D4090A"/>
  </w:style>
  <w:style w:type="character" w:customStyle="1" w:styleId="ref-journal">
    <w:name w:val="ref-journal"/>
    <w:basedOn w:val="DefaultParagraphFont"/>
    <w:rsid w:val="00D4090A"/>
  </w:style>
  <w:style w:type="character" w:customStyle="1" w:styleId="ref-vol">
    <w:name w:val="ref-vol"/>
    <w:basedOn w:val="DefaultParagraphFont"/>
    <w:rsid w:val="00D4090A"/>
  </w:style>
  <w:style w:type="character" w:customStyle="1" w:styleId="nowrap">
    <w:name w:val="nowrap"/>
    <w:basedOn w:val="DefaultParagraphFont"/>
    <w:rsid w:val="00D4090A"/>
  </w:style>
  <w:style w:type="character" w:styleId="Emphasis">
    <w:name w:val="Emphasis"/>
    <w:uiPriority w:val="20"/>
    <w:qFormat/>
    <w:rsid w:val="00D4090A"/>
    <w:rPr>
      <w:rFonts w:ascii="Calibri" w:hAnsi="Calibri"/>
      <w:b/>
      <w:i/>
      <w:iCs/>
    </w:rPr>
  </w:style>
  <w:style w:type="numbering" w:customStyle="1" w:styleId="NoList1">
    <w:name w:val="No List1"/>
    <w:next w:val="NoList"/>
    <w:uiPriority w:val="99"/>
    <w:semiHidden/>
    <w:unhideWhenUsed/>
    <w:rsid w:val="00D4090A"/>
  </w:style>
  <w:style w:type="character" w:styleId="PageNumber">
    <w:name w:val="page number"/>
    <w:basedOn w:val="DefaultParagraphFont"/>
    <w:rsid w:val="00D4090A"/>
  </w:style>
  <w:style w:type="character" w:styleId="Strong">
    <w:name w:val="Strong"/>
    <w:uiPriority w:val="22"/>
    <w:qFormat/>
    <w:rsid w:val="00D4090A"/>
    <w:rPr>
      <w:b/>
      <w:bCs/>
    </w:rPr>
  </w:style>
  <w:style w:type="table" w:customStyle="1" w:styleId="TableGrid1">
    <w:name w:val="Table Grid1"/>
    <w:basedOn w:val="TableNormal"/>
    <w:next w:val="TableGrid"/>
    <w:rsid w:val="00D4090A"/>
    <w:rPr>
      <w:lang w:val="en-US" w:eastAsia="en-US" w:bidi="b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urce">
    <w:name w:val="source"/>
    <w:basedOn w:val="DefaultParagraphFont"/>
    <w:rsid w:val="00D4090A"/>
  </w:style>
  <w:style w:type="paragraph" w:styleId="BodyText2">
    <w:name w:val="Body Text 2"/>
    <w:basedOn w:val="Normal"/>
    <w:link w:val="BodyText2Char"/>
    <w:uiPriority w:val="99"/>
    <w:unhideWhenUsed/>
    <w:rsid w:val="00D4090A"/>
    <w:pPr>
      <w:spacing w:after="120"/>
    </w:pPr>
    <w:rPr>
      <w:rFonts w:ascii="Calibri" w:hAnsi="Calibri"/>
      <w:lang w:val="en-US" w:eastAsia="en-US" w:bidi="en-US"/>
    </w:rPr>
  </w:style>
  <w:style w:type="character" w:customStyle="1" w:styleId="BodyText2Char">
    <w:name w:val="Body Text 2 Char"/>
    <w:basedOn w:val="DefaultParagraphFont"/>
    <w:link w:val="BodyText2"/>
    <w:uiPriority w:val="99"/>
    <w:rsid w:val="00D4090A"/>
    <w:rPr>
      <w:rFonts w:ascii="Calibri" w:hAnsi="Calibri"/>
      <w:sz w:val="24"/>
      <w:szCs w:val="24"/>
      <w:lang w:val="en-US" w:eastAsia="en-US" w:bidi="en-US"/>
    </w:rPr>
  </w:style>
  <w:style w:type="paragraph" w:styleId="BalloonText">
    <w:name w:val="Balloon Text"/>
    <w:basedOn w:val="Normal"/>
    <w:link w:val="BalloonTextChar"/>
    <w:uiPriority w:val="99"/>
    <w:rsid w:val="00D4090A"/>
    <w:pPr>
      <w:spacing w:line="240" w:lineRule="auto"/>
    </w:pPr>
    <w:rPr>
      <w:rFonts w:ascii="Tahoma" w:hAnsi="Tahoma" w:cs="Tahoma"/>
      <w:sz w:val="16"/>
      <w:szCs w:val="16"/>
      <w:lang w:val="en-US" w:eastAsia="en-US" w:bidi="en-US"/>
    </w:rPr>
  </w:style>
  <w:style w:type="character" w:customStyle="1" w:styleId="BalloonTextChar">
    <w:name w:val="Balloon Text Char"/>
    <w:basedOn w:val="DefaultParagraphFont"/>
    <w:link w:val="BalloonText"/>
    <w:uiPriority w:val="99"/>
    <w:rsid w:val="00D4090A"/>
    <w:rPr>
      <w:rFonts w:ascii="Tahoma" w:hAnsi="Tahoma" w:cs="Tahoma"/>
      <w:sz w:val="16"/>
      <w:szCs w:val="16"/>
      <w:lang w:val="en-US" w:eastAsia="en-US" w:bidi="en-US"/>
    </w:rPr>
  </w:style>
  <w:style w:type="numbering" w:customStyle="1" w:styleId="NoList2">
    <w:name w:val="No List2"/>
    <w:next w:val="NoList"/>
    <w:uiPriority w:val="99"/>
    <w:semiHidden/>
    <w:unhideWhenUsed/>
    <w:rsid w:val="00D4090A"/>
  </w:style>
  <w:style w:type="paragraph" w:styleId="BodyTextIndent2">
    <w:name w:val="Body Text Indent 2"/>
    <w:basedOn w:val="Normal"/>
    <w:link w:val="BodyTextIndent2Char"/>
    <w:uiPriority w:val="99"/>
    <w:rsid w:val="00D4090A"/>
    <w:pPr>
      <w:spacing w:line="240" w:lineRule="auto"/>
      <w:ind w:left="162" w:hanging="162"/>
    </w:pPr>
    <w:rPr>
      <w:rFonts w:ascii="Arial" w:hAnsi="Arial" w:cs="Arial"/>
      <w:b/>
      <w:bCs/>
      <w:lang w:val="en-US" w:eastAsia="en-US" w:bidi="en-US"/>
    </w:rPr>
  </w:style>
  <w:style w:type="character" w:customStyle="1" w:styleId="BodyTextIndent2Char">
    <w:name w:val="Body Text Indent 2 Char"/>
    <w:basedOn w:val="DefaultParagraphFont"/>
    <w:link w:val="BodyTextIndent2"/>
    <w:uiPriority w:val="99"/>
    <w:rsid w:val="00D4090A"/>
    <w:rPr>
      <w:rFonts w:ascii="Arial" w:hAnsi="Arial" w:cs="Arial"/>
      <w:b/>
      <w:bCs/>
      <w:sz w:val="24"/>
      <w:szCs w:val="24"/>
      <w:lang w:val="en-US" w:eastAsia="en-US" w:bidi="en-US"/>
    </w:rPr>
  </w:style>
  <w:style w:type="paragraph" w:styleId="BodyText3">
    <w:name w:val="Body Text 3"/>
    <w:basedOn w:val="Normal"/>
    <w:link w:val="BodyText3Char"/>
    <w:uiPriority w:val="99"/>
    <w:rsid w:val="00D4090A"/>
    <w:pPr>
      <w:tabs>
        <w:tab w:val="left" w:pos="0"/>
      </w:tabs>
      <w:suppressAutoHyphens/>
      <w:spacing w:line="240" w:lineRule="auto"/>
      <w:jc w:val="both"/>
    </w:pPr>
    <w:rPr>
      <w:b/>
      <w:bCs/>
      <w:spacing w:val="-2"/>
      <w:lang w:val="en-US" w:eastAsia="en-US" w:bidi="en-US"/>
    </w:rPr>
  </w:style>
  <w:style w:type="character" w:customStyle="1" w:styleId="BodyText3Char">
    <w:name w:val="Body Text 3 Char"/>
    <w:basedOn w:val="DefaultParagraphFont"/>
    <w:link w:val="BodyText3"/>
    <w:uiPriority w:val="99"/>
    <w:rsid w:val="00D4090A"/>
    <w:rPr>
      <w:b/>
      <w:bCs/>
      <w:spacing w:val="-2"/>
      <w:sz w:val="24"/>
      <w:szCs w:val="24"/>
      <w:lang w:val="en-US" w:eastAsia="en-US" w:bidi="en-US"/>
    </w:rPr>
  </w:style>
  <w:style w:type="paragraph" w:styleId="BodyTextIndent3">
    <w:name w:val="Body Text Indent 3"/>
    <w:basedOn w:val="Normal"/>
    <w:link w:val="BodyTextIndent3Char"/>
    <w:uiPriority w:val="99"/>
    <w:rsid w:val="00D4090A"/>
    <w:pPr>
      <w:suppressAutoHyphens/>
      <w:spacing w:line="240" w:lineRule="auto"/>
      <w:ind w:left="-18" w:firstLine="18"/>
      <w:jc w:val="both"/>
    </w:pPr>
    <w:rPr>
      <w:rFonts w:ascii="Arial" w:hAnsi="Arial" w:cs="Arial"/>
      <w:color w:val="000000"/>
      <w:spacing w:val="-2"/>
      <w:lang w:val="en-US" w:eastAsia="en-US" w:bidi="en-US"/>
    </w:rPr>
  </w:style>
  <w:style w:type="character" w:customStyle="1" w:styleId="BodyTextIndent3Char">
    <w:name w:val="Body Text Indent 3 Char"/>
    <w:basedOn w:val="DefaultParagraphFont"/>
    <w:link w:val="BodyTextIndent3"/>
    <w:uiPriority w:val="99"/>
    <w:rsid w:val="00D4090A"/>
    <w:rPr>
      <w:rFonts w:ascii="Arial" w:hAnsi="Arial" w:cs="Arial"/>
      <w:color w:val="000000"/>
      <w:spacing w:val="-2"/>
      <w:sz w:val="24"/>
      <w:szCs w:val="24"/>
      <w:lang w:val="en-US" w:eastAsia="en-US" w:bidi="en-US"/>
    </w:rPr>
  </w:style>
  <w:style w:type="paragraph" w:styleId="Title">
    <w:name w:val="Title"/>
    <w:basedOn w:val="Normal"/>
    <w:next w:val="Normal"/>
    <w:link w:val="TitleChar"/>
    <w:qFormat/>
    <w:rsid w:val="00D4090A"/>
    <w:pPr>
      <w:spacing w:before="240" w:after="60" w:line="240" w:lineRule="auto"/>
      <w:jc w:val="center"/>
      <w:outlineLvl w:val="0"/>
    </w:pPr>
    <w:rPr>
      <w:rFonts w:ascii="Cambria" w:hAnsi="Cambria"/>
      <w:b/>
      <w:bCs/>
      <w:kern w:val="28"/>
      <w:sz w:val="32"/>
      <w:szCs w:val="32"/>
      <w:lang w:val="en-US" w:eastAsia="en-US" w:bidi="en-US"/>
    </w:rPr>
  </w:style>
  <w:style w:type="character" w:customStyle="1" w:styleId="TitleChar">
    <w:name w:val="Title Char"/>
    <w:basedOn w:val="DefaultParagraphFont"/>
    <w:link w:val="Title"/>
    <w:rsid w:val="00D4090A"/>
    <w:rPr>
      <w:rFonts w:ascii="Cambria" w:hAnsi="Cambria"/>
      <w:b/>
      <w:bCs/>
      <w:kern w:val="28"/>
      <w:sz w:val="32"/>
      <w:szCs w:val="32"/>
      <w:lang w:val="en-US" w:eastAsia="en-US" w:bidi="en-US"/>
    </w:rPr>
  </w:style>
  <w:style w:type="character" w:customStyle="1" w:styleId="longtext">
    <w:name w:val="long_text"/>
    <w:basedOn w:val="DefaultParagraphFont"/>
    <w:rsid w:val="00D4090A"/>
  </w:style>
  <w:style w:type="character" w:customStyle="1" w:styleId="gt-icon-text1">
    <w:name w:val="gt-icon-text1"/>
    <w:basedOn w:val="DefaultParagraphFont"/>
    <w:rsid w:val="00D4090A"/>
  </w:style>
  <w:style w:type="character" w:styleId="FollowedHyperlink">
    <w:name w:val="FollowedHyperlink"/>
    <w:uiPriority w:val="99"/>
    <w:rsid w:val="00D4090A"/>
    <w:rPr>
      <w:color w:val="800080"/>
      <w:u w:val="single"/>
    </w:rPr>
  </w:style>
  <w:style w:type="paragraph" w:styleId="Subtitle">
    <w:name w:val="Subtitle"/>
    <w:basedOn w:val="Normal"/>
    <w:next w:val="Normal"/>
    <w:link w:val="SubtitleChar"/>
    <w:uiPriority w:val="11"/>
    <w:qFormat/>
    <w:rsid w:val="00D4090A"/>
    <w:pPr>
      <w:spacing w:after="60" w:line="240" w:lineRule="auto"/>
      <w:jc w:val="center"/>
      <w:outlineLvl w:val="1"/>
    </w:pPr>
    <w:rPr>
      <w:rFonts w:ascii="Cambria" w:hAnsi="Cambria"/>
      <w:lang w:val="en-US" w:eastAsia="en-US" w:bidi="en-US"/>
    </w:rPr>
  </w:style>
  <w:style w:type="character" w:customStyle="1" w:styleId="SubtitleChar">
    <w:name w:val="Subtitle Char"/>
    <w:basedOn w:val="DefaultParagraphFont"/>
    <w:link w:val="Subtitle"/>
    <w:uiPriority w:val="11"/>
    <w:rsid w:val="00D4090A"/>
    <w:rPr>
      <w:rFonts w:ascii="Cambria" w:hAnsi="Cambria"/>
      <w:sz w:val="24"/>
      <w:szCs w:val="24"/>
      <w:lang w:val="en-US" w:eastAsia="en-US" w:bidi="en-US"/>
    </w:rPr>
  </w:style>
  <w:style w:type="paragraph" w:styleId="NoSpacing">
    <w:name w:val="No Spacing"/>
    <w:basedOn w:val="Normal"/>
    <w:link w:val="NoSpacingChar"/>
    <w:uiPriority w:val="1"/>
    <w:qFormat/>
    <w:rsid w:val="00D4090A"/>
    <w:pPr>
      <w:spacing w:line="240" w:lineRule="auto"/>
    </w:pPr>
    <w:rPr>
      <w:rFonts w:ascii="Calibri" w:hAnsi="Calibri"/>
      <w:szCs w:val="32"/>
      <w:lang w:val="en-US" w:eastAsia="en-US" w:bidi="en-US"/>
    </w:rPr>
  </w:style>
  <w:style w:type="paragraph" w:styleId="Quote">
    <w:name w:val="Quote"/>
    <w:basedOn w:val="Normal"/>
    <w:next w:val="Normal"/>
    <w:link w:val="QuoteChar"/>
    <w:uiPriority w:val="29"/>
    <w:qFormat/>
    <w:rsid w:val="00D4090A"/>
    <w:pPr>
      <w:spacing w:line="240" w:lineRule="auto"/>
    </w:pPr>
    <w:rPr>
      <w:rFonts w:ascii="Calibri" w:hAnsi="Calibri"/>
      <w:i/>
      <w:lang w:val="en-US" w:eastAsia="en-US" w:bidi="en-US"/>
    </w:rPr>
  </w:style>
  <w:style w:type="character" w:customStyle="1" w:styleId="QuoteChar">
    <w:name w:val="Quote Char"/>
    <w:basedOn w:val="DefaultParagraphFont"/>
    <w:link w:val="Quote"/>
    <w:uiPriority w:val="29"/>
    <w:rsid w:val="00D4090A"/>
    <w:rPr>
      <w:rFonts w:ascii="Calibri" w:hAnsi="Calibri"/>
      <w:i/>
      <w:sz w:val="24"/>
      <w:szCs w:val="24"/>
      <w:lang w:val="en-US" w:eastAsia="en-US" w:bidi="en-US"/>
    </w:rPr>
  </w:style>
  <w:style w:type="paragraph" w:styleId="IntenseQuote">
    <w:name w:val="Intense Quote"/>
    <w:basedOn w:val="Normal"/>
    <w:next w:val="Normal"/>
    <w:link w:val="IntenseQuoteChar"/>
    <w:uiPriority w:val="30"/>
    <w:qFormat/>
    <w:rsid w:val="00D4090A"/>
    <w:pPr>
      <w:spacing w:line="240" w:lineRule="auto"/>
      <w:ind w:left="720" w:right="720"/>
    </w:pPr>
    <w:rPr>
      <w:rFonts w:ascii="Calibri" w:hAnsi="Calibri"/>
      <w:b/>
      <w:i/>
      <w:szCs w:val="20"/>
      <w:lang w:val="en-US" w:eastAsia="en-US" w:bidi="en-US"/>
    </w:rPr>
  </w:style>
  <w:style w:type="character" w:customStyle="1" w:styleId="IntenseQuoteChar">
    <w:name w:val="Intense Quote Char"/>
    <w:basedOn w:val="DefaultParagraphFont"/>
    <w:link w:val="IntenseQuote"/>
    <w:uiPriority w:val="30"/>
    <w:rsid w:val="00D4090A"/>
    <w:rPr>
      <w:rFonts w:ascii="Calibri" w:hAnsi="Calibri"/>
      <w:b/>
      <w:i/>
      <w:sz w:val="24"/>
      <w:lang w:val="en-US" w:eastAsia="en-US" w:bidi="en-US"/>
    </w:rPr>
  </w:style>
  <w:style w:type="character" w:styleId="SubtleEmphasis">
    <w:name w:val="Subtle Emphasis"/>
    <w:uiPriority w:val="19"/>
    <w:qFormat/>
    <w:rsid w:val="00D4090A"/>
    <w:rPr>
      <w:i/>
      <w:color w:val="5A5A5A"/>
    </w:rPr>
  </w:style>
  <w:style w:type="character" w:styleId="IntenseEmphasis">
    <w:name w:val="Intense Emphasis"/>
    <w:uiPriority w:val="21"/>
    <w:qFormat/>
    <w:rsid w:val="00D4090A"/>
    <w:rPr>
      <w:b/>
      <w:i/>
      <w:sz w:val="24"/>
      <w:szCs w:val="24"/>
      <w:u w:val="single"/>
    </w:rPr>
  </w:style>
  <w:style w:type="character" w:styleId="SubtleReference">
    <w:name w:val="Subtle Reference"/>
    <w:uiPriority w:val="31"/>
    <w:qFormat/>
    <w:rsid w:val="00D4090A"/>
    <w:rPr>
      <w:sz w:val="24"/>
      <w:szCs w:val="24"/>
      <w:u w:val="single"/>
    </w:rPr>
  </w:style>
  <w:style w:type="character" w:styleId="IntenseReference">
    <w:name w:val="Intense Reference"/>
    <w:uiPriority w:val="32"/>
    <w:qFormat/>
    <w:rsid w:val="00D4090A"/>
    <w:rPr>
      <w:b/>
      <w:sz w:val="24"/>
      <w:u w:val="single"/>
    </w:rPr>
  </w:style>
  <w:style w:type="character" w:styleId="BookTitle">
    <w:name w:val="Book Title"/>
    <w:uiPriority w:val="33"/>
    <w:qFormat/>
    <w:rsid w:val="00D4090A"/>
    <w:rPr>
      <w:rFonts w:ascii="Cambria" w:eastAsia="Times New Roman" w:hAnsi="Cambria"/>
      <w:b/>
      <w:i/>
      <w:sz w:val="24"/>
      <w:szCs w:val="24"/>
    </w:rPr>
  </w:style>
  <w:style w:type="paragraph" w:styleId="TOCHeading">
    <w:name w:val="TOC Heading"/>
    <w:basedOn w:val="Heading1"/>
    <w:next w:val="Normal"/>
    <w:uiPriority w:val="39"/>
    <w:qFormat/>
    <w:rsid w:val="00D4090A"/>
    <w:pPr>
      <w:spacing w:before="240" w:line="240" w:lineRule="auto"/>
      <w:ind w:right="0"/>
      <w:contextualSpacing w:val="0"/>
      <w:outlineLvl w:val="9"/>
    </w:pPr>
    <w:rPr>
      <w:rFonts w:ascii="Cambria" w:hAnsi="Cambria" w:cs="Times New Roman"/>
      <w:sz w:val="32"/>
      <w:lang w:val="en-US" w:eastAsia="en-US" w:bidi="en-US"/>
    </w:rPr>
  </w:style>
  <w:style w:type="character" w:customStyle="1" w:styleId="NoSpacingChar">
    <w:name w:val="No Spacing Char"/>
    <w:link w:val="NoSpacing"/>
    <w:uiPriority w:val="1"/>
    <w:rsid w:val="00D4090A"/>
    <w:rPr>
      <w:rFonts w:ascii="Calibri" w:hAnsi="Calibri"/>
      <w:sz w:val="24"/>
      <w:szCs w:val="32"/>
      <w:lang w:val="en-US" w:eastAsia="en-US" w:bidi="en-US"/>
    </w:rPr>
  </w:style>
  <w:style w:type="table" w:styleId="ColorfulList-Accent3">
    <w:name w:val="Colorful List Accent 3"/>
    <w:basedOn w:val="TableNormal"/>
    <w:uiPriority w:val="72"/>
    <w:rsid w:val="00D4090A"/>
    <w:rPr>
      <w:rFonts w:ascii="Calibri" w:hAnsi="Calibri"/>
      <w:color w:val="000000"/>
      <w:lang w:val="en-US" w:eastAsia="en-US" w:bidi="bn-IN"/>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character" w:customStyle="1" w:styleId="left">
    <w:name w:val="left"/>
    <w:basedOn w:val="DefaultParagraphFont"/>
    <w:rsid w:val="00D4090A"/>
  </w:style>
  <w:style w:type="character" w:customStyle="1" w:styleId="st">
    <w:name w:val="st"/>
    <w:basedOn w:val="DefaultParagraphFont"/>
    <w:rsid w:val="00D4090A"/>
  </w:style>
  <w:style w:type="paragraph" w:customStyle="1" w:styleId="Pa7">
    <w:name w:val="Pa7"/>
    <w:basedOn w:val="Default"/>
    <w:next w:val="Default"/>
    <w:rsid w:val="00D4090A"/>
    <w:pPr>
      <w:spacing w:after="0" w:line="191" w:lineRule="atLeast"/>
    </w:pPr>
    <w:rPr>
      <w:rFonts w:ascii="ITC Stone Serif Std Medium" w:hAnsi="ITC Stone Serif Std Medium" w:cs="Times New Roman"/>
      <w:color w:val="auto"/>
      <w:lang w:bidi="ar-SA"/>
    </w:rPr>
  </w:style>
  <w:style w:type="paragraph" w:customStyle="1" w:styleId="Pa6">
    <w:name w:val="Pa6"/>
    <w:basedOn w:val="Normal"/>
    <w:next w:val="Normal"/>
    <w:rsid w:val="00D4090A"/>
    <w:pPr>
      <w:autoSpaceDE w:val="0"/>
      <w:autoSpaceDN w:val="0"/>
      <w:adjustRightInd w:val="0"/>
      <w:spacing w:line="191" w:lineRule="atLeast"/>
    </w:pPr>
    <w:rPr>
      <w:rFonts w:ascii="ITC Stone Serif Std Medium" w:hAnsi="ITC Stone Serif Std Medium"/>
      <w:lang w:val="en-US" w:eastAsia="en-US"/>
    </w:rPr>
  </w:style>
  <w:style w:type="paragraph" w:customStyle="1" w:styleId="Pa28">
    <w:name w:val="Pa28"/>
    <w:basedOn w:val="Default"/>
    <w:next w:val="Default"/>
    <w:rsid w:val="00D4090A"/>
    <w:pPr>
      <w:spacing w:after="0" w:line="171" w:lineRule="atLeast"/>
    </w:pPr>
    <w:rPr>
      <w:rFonts w:ascii="ITC Stone Serif Std Medium" w:hAnsi="ITC Stone Serif Std Medium" w:cs="Times New Roman"/>
      <w:color w:val="auto"/>
      <w:lang w:bidi="ar-SA"/>
    </w:rPr>
  </w:style>
  <w:style w:type="paragraph" w:customStyle="1" w:styleId="Pa26">
    <w:name w:val="Pa26"/>
    <w:basedOn w:val="Default"/>
    <w:next w:val="Default"/>
    <w:rsid w:val="00D4090A"/>
    <w:pPr>
      <w:spacing w:after="0" w:line="171" w:lineRule="atLeast"/>
    </w:pPr>
    <w:rPr>
      <w:rFonts w:ascii="ITC Stone Serif Std Medium" w:hAnsi="ITC Stone Serif Std Medium" w:cs="Times New Roman"/>
      <w:color w:val="auto"/>
      <w:lang w:bidi="ar-SA"/>
    </w:rPr>
  </w:style>
  <w:style w:type="paragraph" w:styleId="Caption">
    <w:name w:val="caption"/>
    <w:basedOn w:val="Normal"/>
    <w:next w:val="Normal"/>
    <w:uiPriority w:val="35"/>
    <w:qFormat/>
    <w:rsid w:val="00D4090A"/>
    <w:pPr>
      <w:spacing w:line="240" w:lineRule="auto"/>
    </w:pPr>
    <w:rPr>
      <w:b/>
      <w:bCs/>
      <w:sz w:val="20"/>
      <w:szCs w:val="20"/>
      <w:lang w:val="en-US" w:eastAsia="en-US"/>
    </w:rPr>
  </w:style>
  <w:style w:type="paragraph" w:styleId="NormalWeb">
    <w:name w:val="Normal (Web)"/>
    <w:basedOn w:val="Normal"/>
    <w:uiPriority w:val="99"/>
    <w:unhideWhenUsed/>
    <w:rsid w:val="00D4090A"/>
    <w:pPr>
      <w:spacing w:before="100" w:beforeAutospacing="1" w:after="100" w:afterAutospacing="1" w:line="240" w:lineRule="auto"/>
    </w:pPr>
    <w:rPr>
      <w:rFonts w:ascii="Times" w:hAnsi="Times"/>
      <w:sz w:val="20"/>
      <w:szCs w:val="20"/>
      <w:lang w:eastAsia="en-US"/>
    </w:rPr>
  </w:style>
  <w:style w:type="character" w:customStyle="1" w:styleId="A3">
    <w:name w:val="A3"/>
    <w:uiPriority w:val="99"/>
    <w:rsid w:val="00D4090A"/>
    <w:rPr>
      <w:b/>
      <w:bCs/>
      <w:color w:val="000000"/>
      <w:sz w:val="14"/>
      <w:szCs w:val="14"/>
    </w:rPr>
  </w:style>
  <w:style w:type="character" w:styleId="CommentReference">
    <w:name w:val="annotation reference"/>
    <w:uiPriority w:val="99"/>
    <w:unhideWhenUsed/>
    <w:rsid w:val="00D4090A"/>
    <w:rPr>
      <w:sz w:val="16"/>
      <w:szCs w:val="16"/>
    </w:rPr>
  </w:style>
  <w:style w:type="paragraph" w:styleId="CommentText">
    <w:name w:val="annotation text"/>
    <w:basedOn w:val="Normal"/>
    <w:link w:val="CommentTextChar"/>
    <w:uiPriority w:val="99"/>
    <w:unhideWhenUsed/>
    <w:rsid w:val="00D4090A"/>
    <w:pPr>
      <w:spacing w:line="240" w:lineRule="auto"/>
    </w:pPr>
    <w:rPr>
      <w:rFonts w:ascii="Calibri" w:hAnsi="Calibri"/>
      <w:sz w:val="20"/>
      <w:szCs w:val="20"/>
      <w:lang w:val="en-US" w:eastAsia="en-US" w:bidi="en-US"/>
    </w:rPr>
  </w:style>
  <w:style w:type="character" w:customStyle="1" w:styleId="CommentTextChar">
    <w:name w:val="Comment Text Char"/>
    <w:basedOn w:val="DefaultParagraphFont"/>
    <w:link w:val="CommentText"/>
    <w:uiPriority w:val="99"/>
    <w:rsid w:val="00D4090A"/>
    <w:rPr>
      <w:rFonts w:ascii="Calibri" w:hAnsi="Calibri"/>
      <w:lang w:val="en-US" w:eastAsia="en-US" w:bidi="en-US"/>
    </w:rPr>
  </w:style>
  <w:style w:type="paragraph" w:styleId="CommentSubject">
    <w:name w:val="annotation subject"/>
    <w:basedOn w:val="CommentText"/>
    <w:next w:val="CommentText"/>
    <w:link w:val="CommentSubjectChar"/>
    <w:uiPriority w:val="99"/>
    <w:unhideWhenUsed/>
    <w:rsid w:val="00D4090A"/>
    <w:rPr>
      <w:b/>
      <w:bCs/>
    </w:rPr>
  </w:style>
  <w:style w:type="character" w:customStyle="1" w:styleId="CommentSubjectChar">
    <w:name w:val="Comment Subject Char"/>
    <w:basedOn w:val="CommentTextChar"/>
    <w:link w:val="CommentSubject"/>
    <w:uiPriority w:val="99"/>
    <w:rsid w:val="00D4090A"/>
    <w:rPr>
      <w:rFonts w:ascii="Calibri" w:hAnsi="Calibri"/>
      <w:b/>
      <w:bCs/>
      <w:lang w:val="en-US" w:eastAsia="en-US" w:bidi="en-US"/>
    </w:rPr>
  </w:style>
  <w:style w:type="character" w:customStyle="1" w:styleId="HTMLPreformattedChar">
    <w:name w:val="HTML Preformatted Char"/>
    <w:link w:val="HTMLPreformatted"/>
    <w:uiPriority w:val="99"/>
    <w:rsid w:val="00D4090A"/>
    <w:rPr>
      <w:rFonts w:ascii="Courier New" w:hAnsi="Courier New" w:cs="Courier New"/>
    </w:rPr>
  </w:style>
  <w:style w:type="paragraph" w:styleId="HTMLPreformatted">
    <w:name w:val="HTML Preformatted"/>
    <w:basedOn w:val="Normal"/>
    <w:link w:val="HTMLPreformattedChar"/>
    <w:uiPriority w:val="99"/>
    <w:unhideWhenUsed/>
    <w:rsid w:val="00D4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character" w:customStyle="1" w:styleId="HTMLPreformattedChar1">
    <w:name w:val="HTML Preformatted Char1"/>
    <w:basedOn w:val="DefaultParagraphFont"/>
    <w:uiPriority w:val="99"/>
    <w:rsid w:val="00D4090A"/>
    <w:rPr>
      <w:rFonts w:ascii="Consolas" w:hAnsi="Consolas" w:cs="Consolas"/>
    </w:rPr>
  </w:style>
  <w:style w:type="table" w:styleId="MediumShading2-Accent3">
    <w:name w:val="Medium Shading 2 Accent 3"/>
    <w:basedOn w:val="TableNormal"/>
    <w:uiPriority w:val="64"/>
    <w:rsid w:val="00D4090A"/>
    <w:rPr>
      <w:rFonts w:ascii="Calibri" w:hAnsi="Calibri"/>
      <w:lang w:val="en-US" w:eastAsia="en-US" w:bidi="bn-I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1">
    <w:name w:val="Medium Shading 21"/>
    <w:basedOn w:val="TableNormal"/>
    <w:uiPriority w:val="64"/>
    <w:rsid w:val="00D4090A"/>
    <w:rPr>
      <w:rFonts w:ascii="Calibri" w:hAnsi="Calibri"/>
      <w:lang w:val="en-US" w:eastAsia="en-US" w:bidi="bn-I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uiPriority w:val="99"/>
    <w:rsid w:val="00D4090A"/>
    <w:rPr>
      <w:color w:val="808080"/>
    </w:rPr>
  </w:style>
  <w:style w:type="table" w:customStyle="1" w:styleId="LightShading1">
    <w:name w:val="Light Shading1"/>
    <w:basedOn w:val="TableNormal"/>
    <w:uiPriority w:val="60"/>
    <w:rsid w:val="00D4090A"/>
    <w:rPr>
      <w:rFonts w:ascii="Calibri" w:hAnsi="Calibri"/>
      <w:color w:val="000000"/>
      <w:lang w:val="en-US" w:eastAsia="en-US" w:bidi="bn-I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D4090A"/>
    <w:rPr>
      <w:rFonts w:ascii="Calibri" w:hAnsi="Calibri"/>
      <w:color w:val="2E74B5"/>
      <w:lang w:val="en-US" w:eastAsia="en-US" w:bidi="bn-IN"/>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customStyle="1" w:styleId="authdetail">
    <w:name w:val="auth_detail"/>
    <w:basedOn w:val="DefaultParagraphFont"/>
    <w:rsid w:val="00D4090A"/>
  </w:style>
  <w:style w:type="character" w:customStyle="1" w:styleId="A1">
    <w:name w:val="A1"/>
    <w:uiPriority w:val="99"/>
    <w:rsid w:val="00D4090A"/>
    <w:rPr>
      <w:rFonts w:cs="Myriad Pro"/>
      <w:color w:val="000000"/>
      <w:sz w:val="120"/>
      <w:szCs w:val="120"/>
    </w:rPr>
  </w:style>
  <w:style w:type="character" w:customStyle="1" w:styleId="A0">
    <w:name w:val="A0"/>
    <w:uiPriority w:val="99"/>
    <w:rsid w:val="00D4090A"/>
    <w:rPr>
      <w:rFonts w:cs="Myriad Pro Cond"/>
      <w:color w:val="000000"/>
      <w:sz w:val="44"/>
      <w:szCs w:val="44"/>
    </w:rPr>
  </w:style>
  <w:style w:type="character" w:customStyle="1" w:styleId="A2">
    <w:name w:val="A2"/>
    <w:uiPriority w:val="99"/>
    <w:rsid w:val="00D4090A"/>
    <w:rPr>
      <w:rFonts w:cs="Helvetica Neue LT Pro"/>
      <w:color w:val="000000"/>
      <w:sz w:val="56"/>
      <w:szCs w:val="56"/>
    </w:rPr>
  </w:style>
  <w:style w:type="character" w:customStyle="1" w:styleId="A5">
    <w:name w:val="A5"/>
    <w:uiPriority w:val="99"/>
    <w:rsid w:val="00D4090A"/>
    <w:rPr>
      <w:rFonts w:cs="Helvetica Neue LT Pro"/>
      <w:color w:val="000000"/>
      <w:sz w:val="20"/>
      <w:szCs w:val="20"/>
    </w:rPr>
  </w:style>
  <w:style w:type="character" w:customStyle="1" w:styleId="authorname">
    <w:name w:val="authorname"/>
    <w:basedOn w:val="DefaultParagraphFont"/>
    <w:rsid w:val="00D4090A"/>
  </w:style>
  <w:style w:type="table" w:customStyle="1" w:styleId="PlainTable21">
    <w:name w:val="Plain Table 21"/>
    <w:basedOn w:val="TableNormal"/>
    <w:uiPriority w:val="42"/>
    <w:rsid w:val="00D4090A"/>
    <w:rPr>
      <w:rFonts w:ascii="Calibri" w:eastAsia="Calibri" w:hAnsi="Calibri"/>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element-citation">
    <w:name w:val="element-citation"/>
    <w:basedOn w:val="DefaultParagraphFont"/>
    <w:rsid w:val="00D4090A"/>
  </w:style>
  <w:style w:type="character" w:customStyle="1" w:styleId="highwire-citation-author">
    <w:name w:val="highwire-citation-author"/>
    <w:basedOn w:val="DefaultParagraphFont"/>
    <w:rsid w:val="00D4090A"/>
  </w:style>
  <w:style w:type="paragraph" w:styleId="Revision">
    <w:name w:val="Revision"/>
    <w:hidden/>
    <w:uiPriority w:val="99"/>
    <w:rsid w:val="00D4090A"/>
    <w:rPr>
      <w:rFonts w:ascii="Calibri" w:hAnsi="Calibri"/>
      <w:sz w:val="24"/>
      <w:szCs w:val="24"/>
      <w:lang w:val="en-US" w:eastAsia="en-US" w:bidi="en-US"/>
    </w:rPr>
  </w:style>
  <w:style w:type="character" w:customStyle="1" w:styleId="name">
    <w:name w:val="name"/>
    <w:rsid w:val="00D4090A"/>
  </w:style>
  <w:style w:type="character" w:customStyle="1" w:styleId="cit">
    <w:name w:val="cit"/>
    <w:basedOn w:val="DefaultParagraphFont"/>
    <w:rsid w:val="00D4090A"/>
  </w:style>
  <w:style w:type="paragraph" w:customStyle="1" w:styleId="EndNoteBibliography">
    <w:name w:val="EndNote Bibliography"/>
    <w:basedOn w:val="Normal"/>
    <w:link w:val="EndNoteBibliographyChar"/>
    <w:rsid w:val="00D4090A"/>
    <w:pPr>
      <w:spacing w:line="240" w:lineRule="auto"/>
      <w:jc w:val="both"/>
    </w:pPr>
    <w:rPr>
      <w:rFonts w:ascii="Calibri" w:hAnsi="Calibri" w:cs="Calibri"/>
      <w:noProof/>
      <w:sz w:val="22"/>
      <w:lang w:val="en-US" w:eastAsia="en-US" w:bidi="en-US"/>
    </w:rPr>
  </w:style>
  <w:style w:type="character" w:customStyle="1" w:styleId="EndNoteBibliographyChar">
    <w:name w:val="EndNote Bibliography Char"/>
    <w:link w:val="EndNoteBibliography"/>
    <w:rsid w:val="00D4090A"/>
    <w:rPr>
      <w:rFonts w:ascii="Calibri" w:hAnsi="Calibri" w:cs="Calibri"/>
      <w:noProof/>
      <w:sz w:val="22"/>
      <w:szCs w:val="24"/>
      <w:lang w:val="en-US" w:eastAsia="en-US" w:bidi="en-US"/>
    </w:rPr>
  </w:style>
  <w:style w:type="character" w:customStyle="1" w:styleId="ilfuvd">
    <w:name w:val="ilfuvd"/>
    <w:rsid w:val="00D4090A"/>
  </w:style>
  <w:style w:type="character" w:customStyle="1" w:styleId="go">
    <w:name w:val="go"/>
    <w:rsid w:val="00D4090A"/>
  </w:style>
  <w:style w:type="character" w:customStyle="1" w:styleId="gi">
    <w:name w:val="gi"/>
    <w:rsid w:val="00D4090A"/>
  </w:style>
  <w:style w:type="character" w:customStyle="1" w:styleId="e24kjd">
    <w:name w:val="e24kjd"/>
    <w:basedOn w:val="DefaultParagraphFont"/>
    <w:rsid w:val="00D4090A"/>
  </w:style>
  <w:style w:type="character" w:customStyle="1" w:styleId="fontstyle01">
    <w:name w:val="fontstyle01"/>
    <w:rsid w:val="00D4090A"/>
    <w:rPr>
      <w:rFonts w:ascii="FtkkkyAdvTT86d47313" w:hAnsi="FtkkkyAdvTT86d47313" w:hint="default"/>
      <w:b w:val="0"/>
      <w:bCs w:val="0"/>
      <w:i w:val="0"/>
      <w:iCs w:val="0"/>
      <w:color w:val="242021"/>
      <w:sz w:val="20"/>
      <w:szCs w:val="20"/>
    </w:rPr>
  </w:style>
  <w:style w:type="character" w:customStyle="1" w:styleId="reftitle">
    <w:name w:val="ref_title"/>
    <w:basedOn w:val="DefaultParagraphFont"/>
    <w:rsid w:val="00D4090A"/>
  </w:style>
  <w:style w:type="character" w:customStyle="1" w:styleId="sr-only">
    <w:name w:val="sr-only"/>
    <w:basedOn w:val="DefaultParagraphFont"/>
    <w:rsid w:val="00D4090A"/>
  </w:style>
  <w:style w:type="character" w:customStyle="1" w:styleId="refpub">
    <w:name w:val="ref_pub"/>
    <w:basedOn w:val="DefaultParagraphFont"/>
    <w:rsid w:val="00D4090A"/>
  </w:style>
  <w:style w:type="paragraph" w:customStyle="1" w:styleId="contrib-group">
    <w:name w:val="contrib-group"/>
    <w:basedOn w:val="Normal"/>
    <w:rsid w:val="00D4090A"/>
    <w:pPr>
      <w:spacing w:before="100" w:beforeAutospacing="1" w:after="100" w:afterAutospacing="1" w:line="240" w:lineRule="auto"/>
    </w:pPr>
    <w:rPr>
      <w:lang w:val="en-US" w:eastAsia="en-US"/>
    </w:rPr>
  </w:style>
  <w:style w:type="paragraph" w:customStyle="1" w:styleId="Pa10">
    <w:name w:val="Pa10"/>
    <w:basedOn w:val="Default"/>
    <w:next w:val="Default"/>
    <w:uiPriority w:val="99"/>
    <w:rsid w:val="00D4090A"/>
    <w:pPr>
      <w:spacing w:after="0" w:line="211" w:lineRule="atLeast"/>
    </w:pPr>
    <w:rPr>
      <w:rFonts w:ascii="Myriad Pro SemiCond" w:eastAsia="Calibri" w:hAnsi="Myriad Pro SemiCond"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92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ubmed/?term=Giskes%20K%5BAuthor%5D&amp;cauthor=true&amp;cauthor_uid=17182269" TargetMode="External"/><Relationship Id="rId18" Type="http://schemas.openxmlformats.org/officeDocument/2006/relationships/hyperlink" Target="https://www.tobaccocontrollaws.org/legislation/%20%09country%20/bangladesh/summary" TargetMode="External"/><Relationship Id="rId26" Type="http://schemas.openxmlformats.org/officeDocument/2006/relationships/hyperlink" Target="https://www.ncbi.nlm.nih.gov/pubmed/?term=Spurrier%20N%5BAuthor%5D&amp;cauthor=true&amp;cauthor_uid=22652250" TargetMode="External"/><Relationship Id="rId39" Type="http://schemas.openxmlformats.org/officeDocument/2006/relationships/footer" Target="footer3.xml"/><Relationship Id="rId21" Type="http://schemas.openxmlformats.org/officeDocument/2006/relationships/hyperlink" Target="https://www.ncbi.nlm.nih.gov/pubmed/?term=Cibella%20F%5BAuthor%5D&amp;cauthor=true&amp;cauthor_uid=23741945" TargetMode="External"/><Relationship Id="rId34"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dhakatribune.com/bangladesh/environment/2018/04/04/dhaka-still-" TargetMode="External"/><Relationship Id="rId20" Type="http://schemas.openxmlformats.org/officeDocument/2006/relationships/hyperlink" Target="https://www.ncbi.nlm.nih.gov/pubmed/?term=Simoni%20M%5BAuthor%5D&amp;cauthor=true&amp;cauthor_uid=23741945" TargetMode="External"/><Relationship Id="rId29" Type="http://schemas.openxmlformats.org/officeDocument/2006/relationships/hyperlink" Target="http://www.searo.who.int/bangladesh/gatsbangladesh2017fs14aug2018.pdf?ua=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o.int/tobacco/surveillance/globaladult_tobacco_" TargetMode="External"/><Relationship Id="rId24" Type="http://schemas.openxmlformats.org/officeDocument/2006/relationships/hyperlink" Target="https://www.ncbi.nlm.nih.gov/pubmed/?term=Rahman%20MA%5BAuthor%5D&amp;cauthor=true&amp;cauthor_uid=22652250" TargetMode="External"/><Relationship Id="rId32" Type="http://schemas.openxmlformats.org/officeDocument/2006/relationships/hyperlink" Target="https://www.ncbi.nlm.nih.gov/pmc/articles/PMC3056150/"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atimes.org/air-pollution-kills-%09195000-bangladeshis-" TargetMode="External"/><Relationship Id="rId23" Type="http://schemas.openxmlformats.org/officeDocument/2006/relationships/hyperlink" Target="https://www.ncbi.nlm.nih.gov/" TargetMode="External"/><Relationship Id="rId28" Type="http://schemas.openxmlformats.org/officeDocument/2006/relationships/hyperlink" Target="https://www.ncbi.nlm.nih.gov/pubmed/20614184" TargetMode="External"/><Relationship Id="rId36" Type="http://schemas.openxmlformats.org/officeDocument/2006/relationships/footer" Target="footer1.xml"/><Relationship Id="rId10" Type="http://schemas.openxmlformats.org/officeDocument/2006/relationships/hyperlink" Target="http://www.who.int/%20media%20centre/factsheets/fs339/en/" TargetMode="External"/><Relationship Id="rId19" Type="http://schemas.openxmlformats.org/officeDocument/2006/relationships/hyperlink" Target="https://www.ncbi.nlm.nih.gov/pubmed/?term=Ferrante%20G%5BAuthor%5D&amp;cauthor=true&amp;cauthor_uid=23741945" TargetMode="External"/><Relationship Id="rId31" Type="http://schemas.openxmlformats.org/officeDocument/2006/relationships/hyperlink" Target="https://www.ncbi.nlm.nih.gov/pubmed/?term=Bricker%20JB%5BAuthor%5D&amp;cauthor=true&amp;cauthor_uid=15066874" TargetMode="External"/><Relationship Id="rId4" Type="http://schemas.openxmlformats.org/officeDocument/2006/relationships/settings" Target="settings.xml"/><Relationship Id="rId9" Type="http://schemas.openxmlformats.org/officeDocument/2006/relationships/hyperlink" Target="https://www.who.int/news-room/fact-sheets/detail/tobacco" TargetMode="External"/><Relationship Id="rId14" Type="http://schemas.openxmlformats.org/officeDocument/2006/relationships/hyperlink" Target="https://www.ncbi.nlm.nih.gov/pubmed/?term=Borrell%20C%5BAuthor%5D&amp;cauthor=true&amp;cauthor_uid=17182269" TargetMode="External"/><Relationship Id="rId22" Type="http://schemas.openxmlformats.org/officeDocument/2006/relationships/hyperlink" Target="http://www.cdc.gov/" TargetMode="External"/><Relationship Id="rId27" Type="http://schemas.openxmlformats.org/officeDocument/2006/relationships/hyperlink" Target="http://bdnews24.com/health/2014/12/17/bangladesh-among-topsmokeless-%09tobacco%20using-nations" TargetMode="External"/><Relationship Id="rId30" Type="http://schemas.openxmlformats.org/officeDocument/2006/relationships/hyperlink" Target="https://www.ncbi.nlm.nih.gov/pubmed/?term=Leroux%20BG%5BAuthor%5D&amp;cauthor=true&amp;cauthor_uid=15066874" TargetMode="External"/><Relationship Id="rId35" Type="http://schemas.openxmlformats.org/officeDocument/2006/relationships/header" Target="header2.xml"/><Relationship Id="rId8" Type="http://schemas.openxmlformats.org/officeDocument/2006/relationships/hyperlink" Target="https://www.who.int/tobacco/global_report/2017/en/" TargetMode="External"/><Relationship Id="rId3" Type="http://schemas.openxmlformats.org/officeDocument/2006/relationships/styles" Target="styles.xml"/><Relationship Id="rId12" Type="http://schemas.openxmlformats.org/officeDocument/2006/relationships/hyperlink" Target="https://www.ncbi.nlm.nih.gov/pubmed/?term=Idris%20BI%5BAuthor%5D&amp;cauthor=true&amp;cauthor_uid=17182269" TargetMode="External"/><Relationship Id="rId17" Type="http://schemas.openxmlformats.org/officeDocument/2006/relationships/hyperlink" Target="http://apps.who.int/iris/bitstream/10665/44229/4/9789241563918engfull.pdf" TargetMode="External"/><Relationship Id="rId25" Type="http://schemas.openxmlformats.org/officeDocument/2006/relationships/hyperlink" Target="https://www.ncbi.nlm.nih.gov/pubmed/?term=Mahmood%20MA%5BAuthor%5D&amp;cauthor=true&amp;cauthor_uid=22652250" TargetMode="External"/><Relationship Id="rId33" Type="http://schemas.openxmlformats.org/officeDocument/2006/relationships/hyperlink" Target="https://timesofindia.indiatimes.com/india/%09%2040-of-Indians-exposed-to-second-" TargetMode="External"/><Relationship Id="rId38"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Researches\1.%20Publications\1.%20Unpublished%20papers\Article-5_Tobacco%20(Knowledge%20&amp;%20Perceptions)\5.%20international%20journal%20of%20health%20promotion\manuscript%20mai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474B5-4135-4D7E-8544-CE8E09C7E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manuscript main</Template>
  <TotalTime>20</TotalTime>
  <Pages>26</Pages>
  <Words>6175</Words>
  <Characters>35013</Characters>
  <Application>Microsoft Office Word</Application>
  <DocSecurity>0</DocSecurity>
  <Lines>1842</Lines>
  <Paragraphs>1029</Paragraphs>
  <ScaleCrop>false</ScaleCrop>
  <HeadingPairs>
    <vt:vector size="2" baseType="variant">
      <vt:variant>
        <vt:lpstr>Title</vt:lpstr>
      </vt:variant>
      <vt:variant>
        <vt:i4>1</vt:i4>
      </vt:variant>
    </vt:vector>
  </HeadingPairs>
  <TitlesOfParts>
    <vt:vector size="1" baseType="lpstr">
      <vt:lpstr>TF_Template_Word_Windows_2010</vt:lpstr>
    </vt:vector>
  </TitlesOfParts>
  <Company>Informa Plc</Company>
  <LinksUpToDate>false</LinksUpToDate>
  <CharactersWithSpaces>40159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TF_Template_Word_Windows_2010</dc:title>
  <dc:creator>Robi</dc:creator>
  <cp:lastModifiedBy>Blanshard, Lisa</cp:lastModifiedBy>
  <cp:revision>9</cp:revision>
  <cp:lastPrinted>2011-07-22T14:54:00Z</cp:lastPrinted>
  <dcterms:created xsi:type="dcterms:W3CDTF">2021-06-24T07:36:00Z</dcterms:created>
  <dcterms:modified xsi:type="dcterms:W3CDTF">2021-06-24T10:22:00Z</dcterms:modified>
</cp:coreProperties>
</file>