
<file path=[Content_Types].xml><?xml version="1.0" encoding="utf-8"?>
<Types xmlns="http://schemas.openxmlformats.org/package/2006/content-types">
  <Default Extension="bin" ContentType="application/vnd.ms-word.attachedToolbar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85A759" w14:textId="6308F163" w:rsidR="00150A5C" w:rsidRPr="00393437" w:rsidRDefault="00150A5C" w:rsidP="002447D7">
      <w:pPr>
        <w:rPr>
          <w:rFonts w:cs="Times New Roman"/>
          <w:bCs/>
          <w:szCs w:val="24"/>
        </w:rPr>
      </w:pPr>
      <w:bookmarkStart w:id="0" w:name="_Hlk38364027"/>
    </w:p>
    <w:p w14:paraId="0EB3C091" w14:textId="4B5172B5" w:rsidR="00150A5C" w:rsidRPr="00393437" w:rsidRDefault="00150A5C" w:rsidP="009B2F63">
      <w:pPr>
        <w:pStyle w:val="Title"/>
        <w:jc w:val="center"/>
        <w:rPr>
          <w:b w:val="0"/>
        </w:rPr>
      </w:pPr>
      <w:r w:rsidRPr="00393437">
        <w:t>Wrist fracture management and the role of surgical care practitioner through the patient</w:t>
      </w:r>
      <w:r w:rsidR="00511B6B" w:rsidRPr="00393437">
        <w:t>'</w:t>
      </w:r>
      <w:r w:rsidRPr="00393437">
        <w:t>s journey</w:t>
      </w:r>
    </w:p>
    <w:bookmarkEnd w:id="0"/>
    <w:p w14:paraId="0BF1A8D9" w14:textId="77777777" w:rsidR="00150A5C" w:rsidRPr="00393437" w:rsidRDefault="00150A5C" w:rsidP="002447D7">
      <w:pPr>
        <w:rPr>
          <w:rFonts w:cs="Times New Roman"/>
          <w:b/>
          <w:bCs/>
          <w:szCs w:val="24"/>
        </w:rPr>
      </w:pPr>
    </w:p>
    <w:p w14:paraId="34F962A7" w14:textId="0290E6C4" w:rsidR="002447D7" w:rsidRPr="00393437" w:rsidRDefault="002447D7" w:rsidP="009B2F63">
      <w:pPr>
        <w:pStyle w:val="Heading1"/>
        <w:rPr>
          <w:b w:val="0"/>
        </w:rPr>
      </w:pPr>
      <w:r w:rsidRPr="00393437">
        <w:t>Abstract</w:t>
      </w:r>
    </w:p>
    <w:p w14:paraId="04CA3C19" w14:textId="2BF5A2B1" w:rsidR="008177DE" w:rsidRPr="00393437" w:rsidRDefault="008177DE" w:rsidP="002B6FE4">
      <w:pPr>
        <w:spacing w:after="0" w:line="240" w:lineRule="auto"/>
        <w:jc w:val="both"/>
        <w:rPr>
          <w:rFonts w:eastAsia="Times New Roman" w:cs="Times New Roman"/>
          <w:szCs w:val="24"/>
        </w:rPr>
      </w:pPr>
      <w:r w:rsidRPr="00393437">
        <w:rPr>
          <w:rFonts w:eastAsia="Times New Roman" w:cs="Times New Roman"/>
          <w:szCs w:val="24"/>
        </w:rPr>
        <w:t>The presentation of this case</w:t>
      </w:r>
      <w:r w:rsidR="002F31D4" w:rsidRPr="00393437">
        <w:rPr>
          <w:rFonts w:eastAsia="Times New Roman" w:cs="Times New Roman"/>
          <w:szCs w:val="24"/>
        </w:rPr>
        <w:t xml:space="preserve"> study</w:t>
      </w:r>
      <w:r w:rsidRPr="00393437">
        <w:rPr>
          <w:rFonts w:eastAsia="Times New Roman" w:cs="Times New Roman"/>
          <w:szCs w:val="24"/>
        </w:rPr>
        <w:t xml:space="preserve"> involves an exploration of the patient</w:t>
      </w:r>
      <w:r w:rsidR="00511B6B" w:rsidRPr="00393437">
        <w:rPr>
          <w:rFonts w:eastAsia="Times New Roman" w:cs="Times New Roman"/>
          <w:szCs w:val="24"/>
        </w:rPr>
        <w:t>'</w:t>
      </w:r>
      <w:r w:rsidRPr="00393437">
        <w:rPr>
          <w:rFonts w:eastAsia="Times New Roman" w:cs="Times New Roman"/>
          <w:szCs w:val="24"/>
        </w:rPr>
        <w:t>s journey in detail after having a traumatic wrist fracture</w:t>
      </w:r>
      <w:r w:rsidR="002F31D4" w:rsidRPr="00393437">
        <w:rPr>
          <w:rFonts w:eastAsia="Times New Roman" w:cs="Times New Roman"/>
          <w:szCs w:val="24"/>
        </w:rPr>
        <w:t>, which is</w:t>
      </w:r>
      <w:r w:rsidRPr="00393437">
        <w:rPr>
          <w:rFonts w:eastAsia="Times New Roman" w:cs="Times New Roman"/>
          <w:szCs w:val="24"/>
        </w:rPr>
        <w:t xml:space="preserve"> recogni</w:t>
      </w:r>
      <w:r w:rsidR="00511B6B" w:rsidRPr="00393437">
        <w:rPr>
          <w:rFonts w:eastAsia="Times New Roman" w:cs="Times New Roman"/>
          <w:szCs w:val="24"/>
        </w:rPr>
        <w:t>s</w:t>
      </w:r>
      <w:r w:rsidRPr="00393437">
        <w:rPr>
          <w:rFonts w:eastAsia="Times New Roman" w:cs="Times New Roman"/>
          <w:szCs w:val="24"/>
        </w:rPr>
        <w:t xml:space="preserve">ed as one of the most common fractures encountered daily in Emergency Services by junior doctors and practitioners. </w:t>
      </w:r>
      <w:r w:rsidR="002F31D4" w:rsidRPr="00393437">
        <w:rPr>
          <w:rFonts w:eastAsia="Times New Roman" w:cs="Times New Roman"/>
          <w:szCs w:val="24"/>
        </w:rPr>
        <w:t>However, this article not only analyses</w:t>
      </w:r>
      <w:r w:rsidRPr="00393437">
        <w:rPr>
          <w:rFonts w:eastAsia="Times New Roman" w:cs="Times New Roman"/>
          <w:szCs w:val="24"/>
        </w:rPr>
        <w:t xml:space="preserve"> the medical guidance </w:t>
      </w:r>
      <w:r w:rsidR="002F31D4" w:rsidRPr="00393437">
        <w:rPr>
          <w:rFonts w:eastAsia="Times New Roman" w:cs="Times New Roman"/>
          <w:szCs w:val="24"/>
        </w:rPr>
        <w:t>for this type of cases</w:t>
      </w:r>
      <w:r w:rsidRPr="00393437">
        <w:rPr>
          <w:rFonts w:eastAsia="Times New Roman" w:cs="Times New Roman"/>
          <w:szCs w:val="24"/>
        </w:rPr>
        <w:t xml:space="preserve"> </w:t>
      </w:r>
      <w:r w:rsidR="002F31D4" w:rsidRPr="00393437">
        <w:rPr>
          <w:rFonts w:eastAsia="Times New Roman" w:cs="Times New Roman"/>
          <w:szCs w:val="24"/>
        </w:rPr>
        <w:t>but also, the importance of the surgical care practitioner role in trauma and orthopaedics. All practitioners</w:t>
      </w:r>
      <w:r w:rsidR="00FC04F3" w:rsidRPr="00393437">
        <w:rPr>
          <w:rFonts w:eastAsia="Times New Roman" w:cs="Times New Roman"/>
          <w:szCs w:val="24"/>
        </w:rPr>
        <w:t xml:space="preserve"> attending patients in emergency services</w:t>
      </w:r>
      <w:r w:rsidR="002F31D4" w:rsidRPr="00393437">
        <w:rPr>
          <w:rFonts w:eastAsia="Times New Roman" w:cs="Times New Roman"/>
          <w:szCs w:val="24"/>
        </w:rPr>
        <w:t xml:space="preserve"> are required to develop a good knowledge of anatomy, physiology, patient</w:t>
      </w:r>
      <w:r w:rsidR="00511B6B" w:rsidRPr="00393437">
        <w:rPr>
          <w:rFonts w:eastAsia="Times New Roman" w:cs="Times New Roman"/>
          <w:szCs w:val="24"/>
        </w:rPr>
        <w:t>'</w:t>
      </w:r>
      <w:r w:rsidR="002F31D4" w:rsidRPr="00393437">
        <w:rPr>
          <w:rFonts w:eastAsia="Times New Roman" w:cs="Times New Roman"/>
          <w:szCs w:val="24"/>
        </w:rPr>
        <w:t xml:space="preserve">s examination technique, classifications and consequently being aware of the possible surgical options for treatment of the fracture. </w:t>
      </w:r>
      <w:r w:rsidR="00AC65E7" w:rsidRPr="00393437">
        <w:rPr>
          <w:rFonts w:eastAsia="Times New Roman" w:cs="Times New Roman"/>
          <w:szCs w:val="24"/>
        </w:rPr>
        <w:t xml:space="preserve">They will also need to fully understand the legal implications of the consent form to perform a safe practice. </w:t>
      </w:r>
    </w:p>
    <w:p w14:paraId="4CEA4932" w14:textId="77777777" w:rsidR="00150A5C" w:rsidRPr="00393437" w:rsidRDefault="00150A5C" w:rsidP="002B6FE4">
      <w:pPr>
        <w:spacing w:after="0" w:line="240" w:lineRule="auto"/>
        <w:jc w:val="both"/>
        <w:rPr>
          <w:rFonts w:eastAsia="Times New Roman" w:cs="Times New Roman"/>
          <w:szCs w:val="24"/>
        </w:rPr>
      </w:pPr>
    </w:p>
    <w:p w14:paraId="36F8581D" w14:textId="48999C0B" w:rsidR="00317ECD" w:rsidRPr="00393437" w:rsidRDefault="00317ECD" w:rsidP="002B6FE4">
      <w:pPr>
        <w:spacing w:after="0" w:line="240" w:lineRule="auto"/>
        <w:rPr>
          <w:rFonts w:eastAsia="Times New Roman" w:cs="Times New Roman"/>
          <w:i/>
          <w:iCs/>
          <w:szCs w:val="24"/>
        </w:rPr>
      </w:pPr>
      <w:r w:rsidRPr="00393437">
        <w:rPr>
          <w:rFonts w:eastAsia="Times New Roman" w:cs="Times New Roman"/>
          <w:b/>
          <w:szCs w:val="24"/>
        </w:rPr>
        <w:t>Keywords:</w:t>
      </w:r>
      <w:r w:rsidRPr="00393437">
        <w:rPr>
          <w:rFonts w:eastAsia="Times New Roman" w:cs="Times New Roman"/>
          <w:szCs w:val="24"/>
        </w:rPr>
        <w:t xml:space="preserve"> </w:t>
      </w:r>
      <w:r w:rsidR="00150A5C" w:rsidRPr="00393437">
        <w:rPr>
          <w:rFonts w:eastAsia="Times New Roman" w:cs="Times New Roman"/>
          <w:i/>
          <w:iCs/>
          <w:szCs w:val="24"/>
        </w:rPr>
        <w:t>W</w:t>
      </w:r>
      <w:r w:rsidRPr="00393437">
        <w:rPr>
          <w:rFonts w:eastAsia="Times New Roman" w:cs="Times New Roman"/>
          <w:i/>
          <w:iCs/>
          <w:szCs w:val="24"/>
        </w:rPr>
        <w:t xml:space="preserve">rist, </w:t>
      </w:r>
      <w:r w:rsidR="00150A5C" w:rsidRPr="00393437">
        <w:rPr>
          <w:rFonts w:eastAsia="Times New Roman" w:cs="Times New Roman"/>
          <w:i/>
          <w:iCs/>
          <w:szCs w:val="24"/>
        </w:rPr>
        <w:t>R</w:t>
      </w:r>
      <w:r w:rsidRPr="00393437">
        <w:rPr>
          <w:rFonts w:eastAsia="Times New Roman" w:cs="Times New Roman"/>
          <w:i/>
          <w:iCs/>
          <w:szCs w:val="24"/>
        </w:rPr>
        <w:t xml:space="preserve">adius, </w:t>
      </w:r>
      <w:r w:rsidR="00150A5C" w:rsidRPr="00393437">
        <w:rPr>
          <w:rFonts w:eastAsia="Times New Roman" w:cs="Times New Roman"/>
          <w:i/>
          <w:iCs/>
          <w:szCs w:val="24"/>
        </w:rPr>
        <w:t>F</w:t>
      </w:r>
      <w:r w:rsidRPr="00393437">
        <w:rPr>
          <w:rFonts w:eastAsia="Times New Roman" w:cs="Times New Roman"/>
          <w:i/>
          <w:iCs/>
          <w:szCs w:val="24"/>
        </w:rPr>
        <w:t xml:space="preserve">racture, </w:t>
      </w:r>
      <w:r w:rsidR="00150A5C" w:rsidRPr="00393437">
        <w:rPr>
          <w:rFonts w:eastAsia="Times New Roman" w:cs="Times New Roman"/>
          <w:i/>
          <w:iCs/>
          <w:szCs w:val="24"/>
        </w:rPr>
        <w:t>F</w:t>
      </w:r>
      <w:r w:rsidRPr="00393437">
        <w:rPr>
          <w:rFonts w:eastAsia="Times New Roman" w:cs="Times New Roman"/>
          <w:i/>
          <w:iCs/>
          <w:szCs w:val="24"/>
        </w:rPr>
        <w:t xml:space="preserve">ixation, </w:t>
      </w:r>
      <w:r w:rsidR="00150A5C" w:rsidRPr="00393437">
        <w:rPr>
          <w:rFonts w:eastAsia="Times New Roman" w:cs="Times New Roman"/>
          <w:i/>
          <w:iCs/>
          <w:szCs w:val="24"/>
        </w:rPr>
        <w:t>S</w:t>
      </w:r>
      <w:r w:rsidRPr="00393437">
        <w:rPr>
          <w:rFonts w:eastAsia="Times New Roman" w:cs="Times New Roman"/>
          <w:i/>
          <w:iCs/>
          <w:szCs w:val="24"/>
        </w:rPr>
        <w:t>urgical care practitioner</w:t>
      </w:r>
    </w:p>
    <w:p w14:paraId="740B2912" w14:textId="77777777" w:rsidR="002447D7" w:rsidRPr="00393437" w:rsidRDefault="002447D7" w:rsidP="002B6FE4">
      <w:pPr>
        <w:pStyle w:val="NormalWeb"/>
        <w:spacing w:before="180" w:beforeAutospacing="0" w:after="180" w:afterAutospacing="0"/>
        <w:rPr>
          <w:b/>
          <w:bCs/>
        </w:rPr>
      </w:pPr>
      <w:r w:rsidRPr="00393437">
        <w:rPr>
          <w:b/>
          <w:bCs/>
        </w:rPr>
        <w:t>Declaration of ethical approval</w:t>
      </w:r>
    </w:p>
    <w:p w14:paraId="1B00DE51" w14:textId="454C97D2" w:rsidR="00150A5C" w:rsidRPr="00393437" w:rsidRDefault="002447D7" w:rsidP="00AE0D3B">
      <w:pPr>
        <w:spacing w:line="240" w:lineRule="auto"/>
        <w:jc w:val="both"/>
        <w:rPr>
          <w:rFonts w:cs="Times New Roman"/>
          <w:szCs w:val="24"/>
        </w:rPr>
      </w:pPr>
      <w:r w:rsidRPr="00393437">
        <w:rPr>
          <w:rFonts w:cs="Times New Roman"/>
          <w:szCs w:val="24"/>
        </w:rPr>
        <w:t>To protect the confidentiality of the patient,</w:t>
      </w:r>
      <w:r w:rsidR="009D6DFF" w:rsidRPr="00393437">
        <w:rPr>
          <w:rFonts w:cs="Times New Roman"/>
          <w:szCs w:val="24"/>
        </w:rPr>
        <w:t xml:space="preserve"> the pseudonym “Emma</w:t>
      </w:r>
      <w:r w:rsidR="00823C8F" w:rsidRPr="00393437">
        <w:rPr>
          <w:rFonts w:cs="Times New Roman"/>
          <w:szCs w:val="24"/>
        </w:rPr>
        <w:t>”</w:t>
      </w:r>
      <w:r w:rsidR="009D6DFF" w:rsidRPr="00393437">
        <w:rPr>
          <w:rFonts w:cs="Times New Roman"/>
          <w:szCs w:val="24"/>
        </w:rPr>
        <w:t xml:space="preserve"> is used </w:t>
      </w:r>
      <w:r w:rsidRPr="00393437">
        <w:rPr>
          <w:rFonts w:cs="Times New Roman"/>
          <w:szCs w:val="24"/>
        </w:rPr>
        <w:t xml:space="preserve">as a pseudonym. This correlates with the Nursing and Midwifery Council (2015) standards of practice. The following case study also respects the confidentiality policy </w:t>
      </w:r>
      <w:r w:rsidR="009D6DFF" w:rsidRPr="00393437">
        <w:rPr>
          <w:rFonts w:cs="Times New Roman"/>
          <w:szCs w:val="24"/>
        </w:rPr>
        <w:t>published</w:t>
      </w:r>
      <w:r w:rsidRPr="00393437">
        <w:rPr>
          <w:rFonts w:cs="Times New Roman"/>
          <w:szCs w:val="24"/>
        </w:rPr>
        <w:t xml:space="preserve"> by </w:t>
      </w:r>
      <w:r w:rsidR="00511B6B" w:rsidRPr="00393437">
        <w:rPr>
          <w:rFonts w:cs="Times New Roman"/>
          <w:szCs w:val="24"/>
        </w:rPr>
        <w:t xml:space="preserve">the </w:t>
      </w:r>
      <w:r w:rsidRPr="00393437">
        <w:rPr>
          <w:rFonts w:cs="Times New Roman"/>
          <w:szCs w:val="24"/>
        </w:rPr>
        <w:t>National Health Service of England</w:t>
      </w:r>
      <w:r w:rsidR="009D6DFF" w:rsidRPr="00393437">
        <w:rPr>
          <w:rFonts w:cs="Times New Roman"/>
          <w:szCs w:val="24"/>
        </w:rPr>
        <w:t xml:space="preserve"> (</w:t>
      </w:r>
      <w:r w:rsidRPr="00393437">
        <w:rPr>
          <w:rFonts w:cs="Times New Roman"/>
          <w:szCs w:val="24"/>
        </w:rPr>
        <w:t>2018</w:t>
      </w:r>
      <w:r w:rsidR="009D6DFF" w:rsidRPr="00393437">
        <w:rPr>
          <w:rFonts w:cs="Times New Roman"/>
          <w:szCs w:val="24"/>
        </w:rPr>
        <w:t>)</w:t>
      </w:r>
      <w:r w:rsidRPr="00393437">
        <w:rPr>
          <w:rFonts w:cs="Times New Roman"/>
          <w:szCs w:val="24"/>
        </w:rPr>
        <w:t xml:space="preserve"> to avoid inappropriate disclosure of patients</w:t>
      </w:r>
      <w:r w:rsidR="00511B6B" w:rsidRPr="00393437">
        <w:rPr>
          <w:rFonts w:cs="Times New Roman"/>
          <w:szCs w:val="24"/>
        </w:rPr>
        <w:t>'</w:t>
      </w:r>
      <w:r w:rsidRPr="00393437">
        <w:rPr>
          <w:rFonts w:cs="Times New Roman"/>
          <w:szCs w:val="24"/>
        </w:rPr>
        <w:t xml:space="preserve"> confidential data</w:t>
      </w:r>
      <w:r w:rsidR="00AC65E7" w:rsidRPr="00393437">
        <w:rPr>
          <w:rFonts w:cs="Times New Roman"/>
          <w:szCs w:val="24"/>
        </w:rPr>
        <w:t>.</w:t>
      </w:r>
    </w:p>
    <w:p w14:paraId="16613AC7" w14:textId="028F2669" w:rsidR="000073B9" w:rsidRPr="00393437" w:rsidRDefault="00845B22" w:rsidP="002B6FE4">
      <w:pPr>
        <w:spacing w:line="240" w:lineRule="auto"/>
        <w:rPr>
          <w:rFonts w:cs="Times New Roman"/>
          <w:b/>
          <w:bCs/>
          <w:szCs w:val="24"/>
        </w:rPr>
      </w:pPr>
      <w:r w:rsidRPr="00393437">
        <w:rPr>
          <w:rFonts w:cs="Times New Roman"/>
          <w:b/>
          <w:bCs/>
          <w:szCs w:val="24"/>
        </w:rPr>
        <w:t>Introduction of patient</w:t>
      </w:r>
      <w:r w:rsidR="00511B6B" w:rsidRPr="00393437">
        <w:rPr>
          <w:rFonts w:cs="Times New Roman"/>
          <w:b/>
          <w:bCs/>
          <w:szCs w:val="24"/>
        </w:rPr>
        <w:t>'</w:t>
      </w:r>
      <w:r w:rsidRPr="00393437">
        <w:rPr>
          <w:rFonts w:cs="Times New Roman"/>
          <w:b/>
          <w:bCs/>
          <w:szCs w:val="24"/>
        </w:rPr>
        <w:t>s case</w:t>
      </w:r>
    </w:p>
    <w:p w14:paraId="65E5A05E" w14:textId="0E489ACD" w:rsidR="005E0272" w:rsidRPr="00393437" w:rsidRDefault="00D04588" w:rsidP="002B6FE4">
      <w:pPr>
        <w:spacing w:line="240" w:lineRule="auto"/>
        <w:jc w:val="both"/>
        <w:rPr>
          <w:rFonts w:cs="Times New Roman"/>
          <w:szCs w:val="24"/>
        </w:rPr>
      </w:pPr>
      <w:r w:rsidRPr="00393437">
        <w:rPr>
          <w:rFonts w:cs="Times New Roman"/>
          <w:szCs w:val="24"/>
        </w:rPr>
        <w:t>Emma</w:t>
      </w:r>
      <w:r w:rsidR="00692804" w:rsidRPr="00393437">
        <w:rPr>
          <w:rFonts w:cs="Times New Roman"/>
          <w:szCs w:val="24"/>
        </w:rPr>
        <w:t>,</w:t>
      </w:r>
      <w:r w:rsidRPr="00393437">
        <w:rPr>
          <w:rFonts w:cs="Times New Roman"/>
          <w:szCs w:val="24"/>
        </w:rPr>
        <w:t xml:space="preserve"> a 58</w:t>
      </w:r>
      <w:r w:rsidR="009B02BE" w:rsidRPr="00393437">
        <w:rPr>
          <w:rFonts w:cs="Times New Roman"/>
          <w:szCs w:val="24"/>
        </w:rPr>
        <w:t>-</w:t>
      </w:r>
      <w:r w:rsidRPr="00393437">
        <w:rPr>
          <w:rFonts w:cs="Times New Roman"/>
          <w:szCs w:val="24"/>
        </w:rPr>
        <w:t>year</w:t>
      </w:r>
      <w:r w:rsidR="009B02BE" w:rsidRPr="00393437">
        <w:rPr>
          <w:rFonts w:cs="Times New Roman"/>
          <w:szCs w:val="24"/>
        </w:rPr>
        <w:t>-</w:t>
      </w:r>
      <w:r w:rsidRPr="00393437">
        <w:rPr>
          <w:rFonts w:cs="Times New Roman"/>
          <w:szCs w:val="24"/>
        </w:rPr>
        <w:t>old</w:t>
      </w:r>
      <w:r w:rsidR="009B02BE" w:rsidRPr="00393437">
        <w:rPr>
          <w:rFonts w:cs="Times New Roman"/>
          <w:szCs w:val="24"/>
        </w:rPr>
        <w:t xml:space="preserve"> female</w:t>
      </w:r>
      <w:r w:rsidR="000073B9" w:rsidRPr="00393437">
        <w:rPr>
          <w:rFonts w:cs="Times New Roman"/>
          <w:szCs w:val="24"/>
        </w:rPr>
        <w:t xml:space="preserve">, who works as a </w:t>
      </w:r>
      <w:r w:rsidRPr="00393437">
        <w:rPr>
          <w:rFonts w:cs="Times New Roman"/>
          <w:szCs w:val="24"/>
        </w:rPr>
        <w:t>catering manager</w:t>
      </w:r>
      <w:r w:rsidR="00C957C4" w:rsidRPr="00393437">
        <w:rPr>
          <w:rFonts w:cs="Times New Roman"/>
          <w:szCs w:val="24"/>
        </w:rPr>
        <w:t>,</w:t>
      </w:r>
      <w:r w:rsidRPr="00393437">
        <w:rPr>
          <w:rFonts w:cs="Times New Roman"/>
          <w:szCs w:val="24"/>
        </w:rPr>
        <w:t xml:space="preserve"> presented in </w:t>
      </w:r>
      <w:r w:rsidR="00692804" w:rsidRPr="00393437">
        <w:rPr>
          <w:rFonts w:cs="Times New Roman"/>
          <w:szCs w:val="24"/>
        </w:rPr>
        <w:t xml:space="preserve">the </w:t>
      </w:r>
      <w:r w:rsidRPr="00393437">
        <w:rPr>
          <w:rFonts w:cs="Times New Roman"/>
          <w:szCs w:val="24"/>
        </w:rPr>
        <w:t>emergency department</w:t>
      </w:r>
      <w:r w:rsidR="009B02BE" w:rsidRPr="00393437">
        <w:rPr>
          <w:rFonts w:cs="Times New Roman"/>
          <w:szCs w:val="24"/>
        </w:rPr>
        <w:t xml:space="preserve"> with severe </w:t>
      </w:r>
      <w:r w:rsidR="000073B9" w:rsidRPr="00393437">
        <w:rPr>
          <w:rFonts w:cs="Times New Roman"/>
          <w:szCs w:val="24"/>
        </w:rPr>
        <w:t xml:space="preserve">left </w:t>
      </w:r>
      <w:r w:rsidR="009B02BE" w:rsidRPr="00393437">
        <w:rPr>
          <w:rFonts w:cs="Times New Roman"/>
          <w:szCs w:val="24"/>
        </w:rPr>
        <w:t>wrist pain</w:t>
      </w:r>
      <w:r w:rsidR="006439F3" w:rsidRPr="00393437">
        <w:rPr>
          <w:rFonts w:cs="Times New Roman"/>
          <w:szCs w:val="24"/>
        </w:rPr>
        <w:t xml:space="preserve">. </w:t>
      </w:r>
      <w:r w:rsidR="00C957C4" w:rsidRPr="00393437">
        <w:rPr>
          <w:rFonts w:cs="Times New Roman"/>
          <w:szCs w:val="24"/>
        </w:rPr>
        <w:t>Sudden joint</w:t>
      </w:r>
      <w:r w:rsidR="006439F3" w:rsidRPr="00393437">
        <w:rPr>
          <w:rFonts w:cs="Times New Roman"/>
          <w:szCs w:val="24"/>
        </w:rPr>
        <w:t xml:space="preserve"> pain</w:t>
      </w:r>
      <w:r w:rsidR="00AB5B1A" w:rsidRPr="00393437">
        <w:rPr>
          <w:rFonts w:cs="Times New Roman"/>
          <w:szCs w:val="24"/>
        </w:rPr>
        <w:t xml:space="preserve"> is</w:t>
      </w:r>
      <w:r w:rsidR="006439F3" w:rsidRPr="00393437">
        <w:rPr>
          <w:rFonts w:cs="Times New Roman"/>
          <w:szCs w:val="24"/>
        </w:rPr>
        <w:t xml:space="preserve"> commonly </w:t>
      </w:r>
      <w:r w:rsidR="00AB5B1A" w:rsidRPr="00393437">
        <w:rPr>
          <w:rFonts w:cs="Times New Roman"/>
          <w:szCs w:val="24"/>
        </w:rPr>
        <w:t>seen</w:t>
      </w:r>
      <w:r w:rsidR="006439F3" w:rsidRPr="00393437">
        <w:rPr>
          <w:rFonts w:cs="Times New Roman"/>
          <w:szCs w:val="24"/>
        </w:rPr>
        <w:t xml:space="preserve"> </w:t>
      </w:r>
      <w:r w:rsidR="00C957C4" w:rsidRPr="00393437">
        <w:rPr>
          <w:rFonts w:cs="Times New Roman"/>
          <w:szCs w:val="24"/>
        </w:rPr>
        <w:t>after</w:t>
      </w:r>
      <w:r w:rsidR="006439F3" w:rsidRPr="00393437">
        <w:rPr>
          <w:rFonts w:cs="Times New Roman"/>
          <w:szCs w:val="24"/>
        </w:rPr>
        <w:t xml:space="preserve"> an acute injury,</w:t>
      </w:r>
      <w:r w:rsidR="00511B6B" w:rsidRPr="00393437">
        <w:rPr>
          <w:rFonts w:cs="Times New Roman"/>
          <w:szCs w:val="24"/>
        </w:rPr>
        <w:t xml:space="preserve"> and</w:t>
      </w:r>
      <w:r w:rsidR="006439F3" w:rsidRPr="00393437">
        <w:rPr>
          <w:rFonts w:cs="Times New Roman"/>
          <w:szCs w:val="24"/>
        </w:rPr>
        <w:t xml:space="preserve"> </w:t>
      </w:r>
      <w:r w:rsidR="00C957C4" w:rsidRPr="00393437">
        <w:rPr>
          <w:rFonts w:cs="Times New Roman"/>
          <w:szCs w:val="24"/>
        </w:rPr>
        <w:t>patients</w:t>
      </w:r>
      <w:r w:rsidR="006439F3" w:rsidRPr="00393437">
        <w:rPr>
          <w:rFonts w:cs="Times New Roman"/>
          <w:szCs w:val="24"/>
        </w:rPr>
        <w:t xml:space="preserve"> can have</w:t>
      </w:r>
      <w:r w:rsidR="00511B6B" w:rsidRPr="00393437">
        <w:rPr>
          <w:rFonts w:cs="Times New Roman"/>
          <w:szCs w:val="24"/>
        </w:rPr>
        <w:t xml:space="preserve"> </w:t>
      </w:r>
      <w:r w:rsidR="00415DA6" w:rsidRPr="00393437">
        <w:rPr>
          <w:rFonts w:cs="Times New Roman"/>
          <w:szCs w:val="24"/>
        </w:rPr>
        <w:t xml:space="preserve">the </w:t>
      </w:r>
      <w:r w:rsidR="006439F3" w:rsidRPr="00393437">
        <w:rPr>
          <w:rFonts w:cs="Times New Roman"/>
          <w:szCs w:val="24"/>
        </w:rPr>
        <w:t xml:space="preserve">spontaneous onset of pain without a traumatic event (Shehab and </w:t>
      </w:r>
      <w:proofErr w:type="spellStart"/>
      <w:r w:rsidR="006439F3" w:rsidRPr="00393437">
        <w:rPr>
          <w:rFonts w:cs="Times New Roman"/>
          <w:szCs w:val="24"/>
        </w:rPr>
        <w:t>Mirabelli</w:t>
      </w:r>
      <w:proofErr w:type="spellEnd"/>
      <w:r w:rsidR="006439F3" w:rsidRPr="00393437">
        <w:rPr>
          <w:rFonts w:cs="Times New Roman"/>
          <w:szCs w:val="24"/>
        </w:rPr>
        <w:t xml:space="preserve"> 2013). In this case, </w:t>
      </w:r>
      <w:r w:rsidR="00692804" w:rsidRPr="00393437">
        <w:rPr>
          <w:rFonts w:cs="Times New Roman"/>
          <w:szCs w:val="24"/>
        </w:rPr>
        <w:t xml:space="preserve">Emma </w:t>
      </w:r>
      <w:r w:rsidR="00C957C4" w:rsidRPr="00393437">
        <w:rPr>
          <w:rFonts w:cs="Times New Roman"/>
          <w:szCs w:val="24"/>
        </w:rPr>
        <w:t>reported to the professional taking the history,</w:t>
      </w:r>
      <w:r w:rsidR="002A12CA" w:rsidRPr="00393437">
        <w:rPr>
          <w:rFonts w:cs="Times New Roman"/>
          <w:szCs w:val="24"/>
        </w:rPr>
        <w:t xml:space="preserve"> </w:t>
      </w:r>
      <w:r w:rsidR="00C957C4" w:rsidRPr="00393437">
        <w:rPr>
          <w:rFonts w:cs="Times New Roman"/>
          <w:szCs w:val="24"/>
        </w:rPr>
        <w:t xml:space="preserve">that </w:t>
      </w:r>
      <w:r w:rsidR="006439F3" w:rsidRPr="00393437">
        <w:rPr>
          <w:rFonts w:cs="Times New Roman"/>
          <w:szCs w:val="24"/>
        </w:rPr>
        <w:t xml:space="preserve">her </w:t>
      </w:r>
      <w:r w:rsidR="00C957C4" w:rsidRPr="00393437">
        <w:rPr>
          <w:rFonts w:cs="Times New Roman"/>
          <w:szCs w:val="24"/>
        </w:rPr>
        <w:t xml:space="preserve">pain started after her </w:t>
      </w:r>
      <w:r w:rsidR="006439F3" w:rsidRPr="00393437">
        <w:rPr>
          <w:rFonts w:cs="Times New Roman"/>
          <w:szCs w:val="24"/>
        </w:rPr>
        <w:t xml:space="preserve">hand </w:t>
      </w:r>
      <w:r w:rsidR="000073B9" w:rsidRPr="00393437">
        <w:rPr>
          <w:rFonts w:cs="Times New Roman"/>
          <w:szCs w:val="24"/>
        </w:rPr>
        <w:t xml:space="preserve">went through the steering wheel of a golf buggy. </w:t>
      </w:r>
      <w:r w:rsidR="00ED5952" w:rsidRPr="00393437">
        <w:rPr>
          <w:rFonts w:cs="Times New Roman"/>
          <w:szCs w:val="24"/>
        </w:rPr>
        <w:t xml:space="preserve">Dawson-Bowling et al (2015) stated that </w:t>
      </w:r>
      <w:r w:rsidR="00ED5952" w:rsidRPr="00393437">
        <w:rPr>
          <w:rFonts w:eastAsia="Times New Roman" w:cs="Times New Roman"/>
          <w:szCs w:val="24"/>
        </w:rPr>
        <w:t xml:space="preserve">the key features during the assessment of the distal forearm are the injury mechanism, age, hand dominance, </w:t>
      </w:r>
      <w:proofErr w:type="gramStart"/>
      <w:r w:rsidR="00ED5952" w:rsidRPr="00393437">
        <w:rPr>
          <w:rFonts w:eastAsia="Times New Roman" w:cs="Times New Roman"/>
          <w:szCs w:val="24"/>
        </w:rPr>
        <w:t>occupation</w:t>
      </w:r>
      <w:proofErr w:type="gramEnd"/>
      <w:r w:rsidR="00ED5952" w:rsidRPr="00393437">
        <w:rPr>
          <w:rFonts w:eastAsia="Times New Roman" w:cs="Times New Roman"/>
          <w:szCs w:val="24"/>
        </w:rPr>
        <w:t xml:space="preserve"> and medical comorbidities.</w:t>
      </w:r>
      <w:r w:rsidR="00922109" w:rsidRPr="00393437">
        <w:rPr>
          <w:rFonts w:eastAsia="Times New Roman" w:cs="Times New Roman"/>
          <w:szCs w:val="24"/>
        </w:rPr>
        <w:t xml:space="preserve"> </w:t>
      </w:r>
      <w:r w:rsidR="00C957C4" w:rsidRPr="00393437">
        <w:rPr>
          <w:rFonts w:eastAsia="Times New Roman" w:cs="Times New Roman"/>
          <w:szCs w:val="24"/>
        </w:rPr>
        <w:t xml:space="preserve">After a wrist </w:t>
      </w:r>
      <w:r w:rsidR="00200B9E" w:rsidRPr="00393437">
        <w:rPr>
          <w:rFonts w:eastAsia="Times New Roman" w:cs="Times New Roman"/>
          <w:szCs w:val="24"/>
        </w:rPr>
        <w:t>injury</w:t>
      </w:r>
      <w:r w:rsidR="00511B6B" w:rsidRPr="00393437">
        <w:rPr>
          <w:rFonts w:eastAsia="Times New Roman" w:cs="Times New Roman"/>
          <w:szCs w:val="24"/>
        </w:rPr>
        <w:t>,</w:t>
      </w:r>
      <w:r w:rsidR="00C957C4" w:rsidRPr="00393437">
        <w:rPr>
          <w:rFonts w:eastAsia="Times New Roman" w:cs="Times New Roman"/>
          <w:szCs w:val="24"/>
        </w:rPr>
        <w:t xml:space="preserve"> there is a </w:t>
      </w:r>
      <w:r w:rsidR="00922109" w:rsidRPr="00393437">
        <w:rPr>
          <w:rFonts w:cs="Times New Roman"/>
          <w:szCs w:val="24"/>
        </w:rPr>
        <w:t>relatively high incidence of distal radius fractures, mak</w:t>
      </w:r>
      <w:r w:rsidR="00692804" w:rsidRPr="00393437">
        <w:rPr>
          <w:rFonts w:cs="Times New Roman"/>
          <w:szCs w:val="24"/>
        </w:rPr>
        <w:t>ing</w:t>
      </w:r>
      <w:r w:rsidR="00922109" w:rsidRPr="00393437">
        <w:rPr>
          <w:rFonts w:cs="Times New Roman"/>
          <w:szCs w:val="24"/>
        </w:rPr>
        <w:t xml:space="preserve"> them</w:t>
      </w:r>
      <w:r w:rsidR="00692804" w:rsidRPr="00393437">
        <w:rPr>
          <w:rFonts w:cs="Times New Roman"/>
          <w:szCs w:val="24"/>
        </w:rPr>
        <w:t xml:space="preserve"> </w:t>
      </w:r>
      <w:r w:rsidR="00922109" w:rsidRPr="00393437">
        <w:rPr>
          <w:rFonts w:cs="Times New Roman"/>
          <w:szCs w:val="24"/>
        </w:rPr>
        <w:t>the most common fracture of the upper limb extremity (</w:t>
      </w:r>
      <w:proofErr w:type="spellStart"/>
      <w:r w:rsidR="00922109" w:rsidRPr="00393437">
        <w:rPr>
          <w:rFonts w:cs="Times New Roman"/>
          <w:szCs w:val="24"/>
        </w:rPr>
        <w:t>Egol</w:t>
      </w:r>
      <w:proofErr w:type="spellEnd"/>
      <w:r w:rsidR="00922109" w:rsidRPr="00393437">
        <w:rPr>
          <w:rFonts w:cs="Times New Roman"/>
          <w:szCs w:val="24"/>
        </w:rPr>
        <w:t xml:space="preserve">, </w:t>
      </w:r>
      <w:proofErr w:type="spellStart"/>
      <w:r w:rsidR="00922109" w:rsidRPr="00393437">
        <w:rPr>
          <w:rFonts w:cs="Times New Roman"/>
          <w:szCs w:val="24"/>
        </w:rPr>
        <w:t>Koval</w:t>
      </w:r>
      <w:proofErr w:type="spellEnd"/>
      <w:r w:rsidR="00922109" w:rsidRPr="00393437">
        <w:rPr>
          <w:rFonts w:cs="Times New Roman"/>
          <w:szCs w:val="24"/>
        </w:rPr>
        <w:t xml:space="preserve"> </w:t>
      </w:r>
      <w:r w:rsidR="00692804" w:rsidRPr="00393437">
        <w:rPr>
          <w:rFonts w:cs="Times New Roman"/>
          <w:szCs w:val="24"/>
        </w:rPr>
        <w:t>and</w:t>
      </w:r>
      <w:r w:rsidR="00922109" w:rsidRPr="00393437">
        <w:rPr>
          <w:rFonts w:cs="Times New Roman"/>
          <w:szCs w:val="24"/>
        </w:rPr>
        <w:t xml:space="preserve"> Zuckerman 2010). </w:t>
      </w:r>
    </w:p>
    <w:p w14:paraId="5C252B7A" w14:textId="0782D410" w:rsidR="005E0272" w:rsidRPr="00393437" w:rsidRDefault="005E0272" w:rsidP="002B6FE4">
      <w:pPr>
        <w:spacing w:line="240" w:lineRule="auto"/>
        <w:jc w:val="both"/>
        <w:rPr>
          <w:rFonts w:cs="Times New Roman"/>
          <w:szCs w:val="24"/>
        </w:rPr>
      </w:pPr>
    </w:p>
    <w:p w14:paraId="1A3607D7" w14:textId="77777777" w:rsidR="009B2F63" w:rsidRDefault="009B2F63">
      <w:pPr>
        <w:spacing w:line="264" w:lineRule="auto"/>
        <w:rPr>
          <w:rFonts w:eastAsiaTheme="majorEastAsia" w:cstheme="majorBidi"/>
          <w:b/>
          <w:szCs w:val="32"/>
        </w:rPr>
      </w:pPr>
      <w:r>
        <w:br w:type="page"/>
      </w:r>
    </w:p>
    <w:p w14:paraId="410E0B88" w14:textId="454243F6" w:rsidR="005E0272" w:rsidRPr="00393437" w:rsidRDefault="009C0E44" w:rsidP="009B2F63">
      <w:pPr>
        <w:pStyle w:val="Heading1"/>
      </w:pPr>
      <w:r w:rsidRPr="00393437">
        <w:lastRenderedPageBreak/>
        <w:t>A</w:t>
      </w:r>
      <w:r w:rsidR="005E0272" w:rsidRPr="00393437">
        <w:t>natomy</w:t>
      </w:r>
    </w:p>
    <w:p w14:paraId="426CE52F" w14:textId="1D314B85" w:rsidR="001A5861" w:rsidRPr="00393437" w:rsidRDefault="004333A6" w:rsidP="002B6FE4">
      <w:pPr>
        <w:spacing w:line="240" w:lineRule="auto"/>
        <w:jc w:val="both"/>
        <w:rPr>
          <w:rFonts w:cs="Times New Roman"/>
          <w:szCs w:val="24"/>
          <w:shd w:val="clear" w:color="auto" w:fill="FFFFFF"/>
        </w:rPr>
      </w:pPr>
      <w:r w:rsidRPr="00393437">
        <w:rPr>
          <w:rFonts w:cs="Times New Roman"/>
          <w:szCs w:val="24"/>
          <w:shd w:val="clear" w:color="auto" w:fill="FFFFFF"/>
        </w:rPr>
        <w:t>The anatomy of the wrist includes bones</w:t>
      </w:r>
      <w:r w:rsidR="008B4336" w:rsidRPr="00393437">
        <w:rPr>
          <w:rFonts w:cs="Times New Roman"/>
          <w:szCs w:val="24"/>
          <w:shd w:val="clear" w:color="auto" w:fill="FFFFFF"/>
        </w:rPr>
        <w:t xml:space="preserve"> (see </w:t>
      </w:r>
      <w:r w:rsidR="00482EAB" w:rsidRPr="00393437">
        <w:rPr>
          <w:rFonts w:cs="Times New Roman"/>
          <w:szCs w:val="24"/>
          <w:shd w:val="clear" w:color="auto" w:fill="FFFFFF"/>
        </w:rPr>
        <w:t>F</w:t>
      </w:r>
      <w:r w:rsidR="008B4336" w:rsidRPr="00393437">
        <w:rPr>
          <w:rFonts w:cs="Times New Roman"/>
          <w:szCs w:val="24"/>
          <w:shd w:val="clear" w:color="auto" w:fill="FFFFFF"/>
        </w:rPr>
        <w:t>igure 1)</w:t>
      </w:r>
      <w:r w:rsidRPr="00393437">
        <w:rPr>
          <w:rFonts w:cs="Times New Roman"/>
          <w:szCs w:val="24"/>
          <w:shd w:val="clear" w:color="auto" w:fill="FFFFFF"/>
        </w:rPr>
        <w:t>, ligaments and tendons, muscles</w:t>
      </w:r>
      <w:r w:rsidR="008B4336" w:rsidRPr="00393437">
        <w:rPr>
          <w:rFonts w:cs="Times New Roman"/>
          <w:szCs w:val="24"/>
          <w:shd w:val="clear" w:color="auto" w:fill="FFFFFF"/>
        </w:rPr>
        <w:t xml:space="preserve"> (see </w:t>
      </w:r>
      <w:r w:rsidR="00482EAB" w:rsidRPr="00393437">
        <w:rPr>
          <w:rFonts w:cs="Times New Roman"/>
          <w:szCs w:val="24"/>
          <w:shd w:val="clear" w:color="auto" w:fill="FFFFFF"/>
        </w:rPr>
        <w:t>F</w:t>
      </w:r>
      <w:r w:rsidR="008B4336" w:rsidRPr="00393437">
        <w:rPr>
          <w:rFonts w:cs="Times New Roman"/>
          <w:szCs w:val="24"/>
          <w:shd w:val="clear" w:color="auto" w:fill="FFFFFF"/>
        </w:rPr>
        <w:t>igure 2)</w:t>
      </w:r>
      <w:r w:rsidRPr="00393437">
        <w:rPr>
          <w:rFonts w:cs="Times New Roman"/>
          <w:szCs w:val="24"/>
          <w:shd w:val="clear" w:color="auto" w:fill="FFFFFF"/>
        </w:rPr>
        <w:t>, blood vessels and nerves.</w:t>
      </w:r>
      <w:r w:rsidR="007572C0" w:rsidRPr="00393437">
        <w:rPr>
          <w:rFonts w:cs="Times New Roman"/>
          <w:szCs w:val="24"/>
          <w:shd w:val="clear" w:color="auto" w:fill="FFFFFF"/>
        </w:rPr>
        <w:t xml:space="preserve"> </w:t>
      </w:r>
    </w:p>
    <w:p w14:paraId="63862325" w14:textId="77777777" w:rsidR="00E07F47" w:rsidRPr="00393437" w:rsidRDefault="00E07F47" w:rsidP="002B6FE4">
      <w:pPr>
        <w:spacing w:line="240" w:lineRule="auto"/>
        <w:jc w:val="both"/>
        <w:rPr>
          <w:rFonts w:cs="Times New Roman"/>
          <w:szCs w:val="24"/>
          <w:shd w:val="clear" w:color="auto" w:fill="FFFFFF"/>
        </w:rPr>
      </w:pPr>
    </w:p>
    <w:p w14:paraId="2D875BDE" w14:textId="73268849" w:rsidR="00B954A0" w:rsidRPr="00393437" w:rsidRDefault="00B954A0" w:rsidP="002B6FE4">
      <w:pPr>
        <w:spacing w:line="240" w:lineRule="auto"/>
        <w:jc w:val="both"/>
        <w:rPr>
          <w:rFonts w:cs="Times New Roman"/>
          <w:szCs w:val="24"/>
        </w:rPr>
      </w:pPr>
      <w:r w:rsidRPr="00393437">
        <w:rPr>
          <w:rFonts w:cs="Times New Roman"/>
          <w:szCs w:val="24"/>
        </w:rPr>
        <w:t xml:space="preserve">Figure 1: </w:t>
      </w:r>
      <w:r w:rsidR="008B4336" w:rsidRPr="00393437">
        <w:rPr>
          <w:rFonts w:cs="Times New Roman"/>
          <w:szCs w:val="24"/>
        </w:rPr>
        <w:t>Hand and wrist bones</w:t>
      </w:r>
    </w:p>
    <w:p w14:paraId="451D7510" w14:textId="372FFD56" w:rsidR="00B954A0" w:rsidRPr="00393437" w:rsidRDefault="008B4336" w:rsidP="002B6FE4">
      <w:pPr>
        <w:spacing w:line="240" w:lineRule="auto"/>
        <w:jc w:val="both"/>
        <w:rPr>
          <w:rFonts w:cs="Times New Roman"/>
          <w:szCs w:val="24"/>
        </w:rPr>
      </w:pPr>
      <w:r w:rsidRPr="00393437">
        <w:rPr>
          <w:rFonts w:cs="Times New Roman"/>
          <w:noProof/>
          <w:szCs w:val="24"/>
          <w:lang w:eastAsia="en-GB"/>
        </w:rPr>
        <w:drawing>
          <wp:inline distT="0" distB="0" distL="0" distR="0" wp14:anchorId="52B25777" wp14:editId="2D945B64">
            <wp:extent cx="3431968" cy="3462286"/>
            <wp:effectExtent l="0" t="0" r="0" b="5080"/>
            <wp:docPr id="4" name="Picture 4" descr="Fig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Fig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434435" cy="3464775"/>
                    </a:xfrm>
                    <a:prstGeom prst="rect">
                      <a:avLst/>
                    </a:prstGeom>
                    <a:noFill/>
                    <a:ln>
                      <a:noFill/>
                    </a:ln>
                  </pic:spPr>
                </pic:pic>
              </a:graphicData>
            </a:graphic>
          </wp:inline>
        </w:drawing>
      </w:r>
    </w:p>
    <w:p w14:paraId="28475C9F" w14:textId="57B12D50" w:rsidR="008B4336" w:rsidRPr="00393437" w:rsidRDefault="008B4336" w:rsidP="002B6FE4">
      <w:pPr>
        <w:spacing w:line="240" w:lineRule="auto"/>
        <w:jc w:val="both"/>
        <w:rPr>
          <w:rFonts w:cs="Times New Roman"/>
          <w:szCs w:val="24"/>
        </w:rPr>
      </w:pPr>
      <w:r w:rsidRPr="00393437">
        <w:rPr>
          <w:rFonts w:cs="Times New Roman"/>
          <w:szCs w:val="24"/>
        </w:rPr>
        <w:t xml:space="preserve">Copyright </w:t>
      </w:r>
      <w:proofErr w:type="gramStart"/>
      <w:r w:rsidRPr="00393437">
        <w:rPr>
          <w:rFonts w:cs="Times New Roman"/>
          <w:szCs w:val="24"/>
        </w:rPr>
        <w:t>by:</w:t>
      </w:r>
      <w:proofErr w:type="gramEnd"/>
      <w:r w:rsidRPr="00393437">
        <w:rPr>
          <w:rFonts w:cs="Times New Roman"/>
          <w:szCs w:val="24"/>
        </w:rPr>
        <w:t xml:space="preserve"> Shutterstock</w:t>
      </w:r>
    </w:p>
    <w:p w14:paraId="0DA17856" w14:textId="77777777" w:rsidR="00CE7523" w:rsidRPr="00393437" w:rsidRDefault="00CE7523" w:rsidP="002B6FE4">
      <w:pPr>
        <w:spacing w:line="240" w:lineRule="auto"/>
        <w:jc w:val="both"/>
        <w:rPr>
          <w:rFonts w:cs="Times New Roman"/>
          <w:szCs w:val="24"/>
        </w:rPr>
      </w:pPr>
    </w:p>
    <w:p w14:paraId="4D9C3A21" w14:textId="33A9A165" w:rsidR="008B4336" w:rsidRPr="00393437" w:rsidRDefault="008B4336" w:rsidP="002B6FE4">
      <w:pPr>
        <w:spacing w:line="240" w:lineRule="auto"/>
        <w:jc w:val="both"/>
        <w:rPr>
          <w:rFonts w:cs="Times New Roman"/>
          <w:b/>
          <w:bCs/>
          <w:szCs w:val="24"/>
        </w:rPr>
      </w:pPr>
      <w:r w:rsidRPr="00393437">
        <w:rPr>
          <w:rFonts w:cs="Times New Roman"/>
          <w:b/>
          <w:bCs/>
          <w:szCs w:val="24"/>
        </w:rPr>
        <w:t>Figure 2: Superficial muscles of the hand</w:t>
      </w:r>
    </w:p>
    <w:p w14:paraId="728C0FAD" w14:textId="6709D42C" w:rsidR="008B4336" w:rsidRPr="00393437" w:rsidRDefault="008B4336" w:rsidP="002B6FE4">
      <w:pPr>
        <w:spacing w:line="240" w:lineRule="auto"/>
        <w:jc w:val="both"/>
        <w:rPr>
          <w:rFonts w:cs="Times New Roman"/>
          <w:szCs w:val="24"/>
        </w:rPr>
      </w:pPr>
      <w:r w:rsidRPr="00393437">
        <w:rPr>
          <w:rFonts w:cs="Times New Roman"/>
          <w:noProof/>
          <w:szCs w:val="24"/>
          <w:lang w:eastAsia="en-GB"/>
        </w:rPr>
        <w:drawing>
          <wp:inline distT="0" distB="0" distL="0" distR="0" wp14:anchorId="378A5EDC" wp14:editId="5B3B26C0">
            <wp:extent cx="2973788" cy="3000021"/>
            <wp:effectExtent l="0" t="0" r="0" b="0"/>
            <wp:docPr id="6" name="Picture 6" descr="Fig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Fig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73697" cy="2999929"/>
                    </a:xfrm>
                    <a:prstGeom prst="rect">
                      <a:avLst/>
                    </a:prstGeom>
                    <a:noFill/>
                    <a:ln>
                      <a:noFill/>
                    </a:ln>
                  </pic:spPr>
                </pic:pic>
              </a:graphicData>
            </a:graphic>
          </wp:inline>
        </w:drawing>
      </w:r>
    </w:p>
    <w:p w14:paraId="1F9850B6" w14:textId="2D252969" w:rsidR="008B4336" w:rsidRPr="00393437" w:rsidRDefault="008B4336" w:rsidP="002B6FE4">
      <w:pPr>
        <w:spacing w:line="240" w:lineRule="auto"/>
        <w:jc w:val="both"/>
        <w:rPr>
          <w:rFonts w:cs="Times New Roman"/>
          <w:szCs w:val="24"/>
        </w:rPr>
      </w:pPr>
      <w:r w:rsidRPr="00393437">
        <w:rPr>
          <w:rFonts w:cs="Times New Roman"/>
          <w:szCs w:val="24"/>
        </w:rPr>
        <w:t xml:space="preserve">Copyright </w:t>
      </w:r>
      <w:proofErr w:type="gramStart"/>
      <w:r w:rsidRPr="00393437">
        <w:rPr>
          <w:rFonts w:cs="Times New Roman"/>
          <w:szCs w:val="24"/>
        </w:rPr>
        <w:t>by:</w:t>
      </w:r>
      <w:proofErr w:type="gramEnd"/>
      <w:r w:rsidRPr="00393437">
        <w:rPr>
          <w:rFonts w:cs="Times New Roman"/>
          <w:szCs w:val="24"/>
        </w:rPr>
        <w:t xml:space="preserve"> Shutterstock</w:t>
      </w:r>
    </w:p>
    <w:p w14:paraId="242900D2" w14:textId="7AC49B50" w:rsidR="00F8449C" w:rsidRPr="00393437" w:rsidRDefault="001048DB" w:rsidP="002B6FE4">
      <w:pPr>
        <w:spacing w:line="240" w:lineRule="auto"/>
        <w:jc w:val="both"/>
        <w:rPr>
          <w:rFonts w:cs="Times New Roman"/>
          <w:szCs w:val="24"/>
        </w:rPr>
      </w:pPr>
      <w:r w:rsidRPr="00393437">
        <w:rPr>
          <w:rFonts w:cs="Times New Roman"/>
          <w:szCs w:val="24"/>
        </w:rPr>
        <w:lastRenderedPageBreak/>
        <w:t>T</w:t>
      </w:r>
      <w:r w:rsidR="004333A6" w:rsidRPr="00393437">
        <w:rPr>
          <w:rFonts w:cs="Times New Roman"/>
          <w:szCs w:val="24"/>
        </w:rPr>
        <w:t xml:space="preserve">his </w:t>
      </w:r>
      <w:r w:rsidR="002A12CA" w:rsidRPr="00393437">
        <w:rPr>
          <w:rFonts w:cs="Times New Roman"/>
          <w:szCs w:val="24"/>
        </w:rPr>
        <w:t xml:space="preserve">area </w:t>
      </w:r>
      <w:r w:rsidR="004333A6" w:rsidRPr="00393437">
        <w:rPr>
          <w:rFonts w:cs="Times New Roman"/>
          <w:szCs w:val="24"/>
        </w:rPr>
        <w:t>represents an</w:t>
      </w:r>
      <w:r w:rsidR="002A12CA" w:rsidRPr="00393437">
        <w:rPr>
          <w:rFonts w:cs="Times New Roman"/>
          <w:szCs w:val="24"/>
        </w:rPr>
        <w:t xml:space="preserve"> immense complexity</w:t>
      </w:r>
      <w:r w:rsidR="005E1DBF" w:rsidRPr="00393437">
        <w:rPr>
          <w:rFonts w:cs="Times New Roman"/>
          <w:szCs w:val="24"/>
        </w:rPr>
        <w:t xml:space="preserve"> of the wrist movements</w:t>
      </w:r>
      <w:r w:rsidR="002A12CA" w:rsidRPr="00393437">
        <w:rPr>
          <w:rFonts w:cs="Times New Roman"/>
          <w:szCs w:val="24"/>
        </w:rPr>
        <w:t xml:space="preserve"> due to the series of joints involved (Ramachandran</w:t>
      </w:r>
      <w:r w:rsidR="00A66678" w:rsidRPr="00393437">
        <w:rPr>
          <w:rFonts w:cs="Times New Roman"/>
          <w:szCs w:val="24"/>
        </w:rPr>
        <w:t xml:space="preserve"> and Nunn</w:t>
      </w:r>
      <w:r w:rsidR="002A12CA" w:rsidRPr="00393437">
        <w:rPr>
          <w:rFonts w:cs="Times New Roman"/>
          <w:szCs w:val="24"/>
        </w:rPr>
        <w:t xml:space="preserve"> 2017).</w:t>
      </w:r>
      <w:r w:rsidR="004333A6" w:rsidRPr="00393437">
        <w:rPr>
          <w:rFonts w:cs="Times New Roman"/>
          <w:szCs w:val="24"/>
        </w:rPr>
        <w:t xml:space="preserve"> </w:t>
      </w:r>
      <w:r w:rsidR="00CB7790" w:rsidRPr="00393437">
        <w:rPr>
          <w:rFonts w:cs="Times New Roman"/>
          <w:szCs w:val="24"/>
          <w:shd w:val="clear" w:color="auto" w:fill="FFFFFF"/>
        </w:rPr>
        <w:t>The normal anatomy of the</w:t>
      </w:r>
      <w:r w:rsidR="00F57EEB" w:rsidRPr="00393437">
        <w:rPr>
          <w:rFonts w:cs="Times New Roman"/>
          <w:szCs w:val="24"/>
          <w:shd w:val="clear" w:color="auto" w:fill="FFFFFF"/>
        </w:rPr>
        <w:t xml:space="preserve"> wrist </w:t>
      </w:r>
      <w:r w:rsidR="004333A6" w:rsidRPr="00393437">
        <w:rPr>
          <w:rFonts w:cs="Times New Roman"/>
          <w:szCs w:val="24"/>
          <w:shd w:val="clear" w:color="auto" w:fill="FFFFFF"/>
        </w:rPr>
        <w:t>includes</w:t>
      </w:r>
      <w:r w:rsidR="00CB7790" w:rsidRPr="00393437">
        <w:rPr>
          <w:rFonts w:cs="Times New Roman"/>
          <w:szCs w:val="24"/>
          <w:shd w:val="clear" w:color="auto" w:fill="FFFFFF"/>
        </w:rPr>
        <w:t xml:space="preserve"> the </w:t>
      </w:r>
      <w:r w:rsidR="00F57EEB" w:rsidRPr="00393437">
        <w:rPr>
          <w:rFonts w:cs="Times New Roman"/>
          <w:szCs w:val="24"/>
          <w:shd w:val="clear" w:color="auto" w:fill="FFFFFF"/>
        </w:rPr>
        <w:t>connect</w:t>
      </w:r>
      <w:r w:rsidR="00CB7790" w:rsidRPr="00393437">
        <w:rPr>
          <w:rFonts w:cs="Times New Roman"/>
          <w:szCs w:val="24"/>
          <w:shd w:val="clear" w:color="auto" w:fill="FFFFFF"/>
        </w:rPr>
        <w:t>ion of</w:t>
      </w:r>
      <w:r w:rsidR="00F57EEB" w:rsidRPr="00393437">
        <w:rPr>
          <w:rFonts w:cs="Times New Roman"/>
          <w:szCs w:val="24"/>
          <w:shd w:val="clear" w:color="auto" w:fill="FFFFFF"/>
        </w:rPr>
        <w:t xml:space="preserve"> </w:t>
      </w:r>
      <w:r w:rsidR="001A6909" w:rsidRPr="00393437">
        <w:rPr>
          <w:rFonts w:cs="Times New Roman"/>
          <w:szCs w:val="24"/>
        </w:rPr>
        <w:t xml:space="preserve">the hand </w:t>
      </w:r>
      <w:r w:rsidR="002A3486" w:rsidRPr="00393437">
        <w:rPr>
          <w:rFonts w:cs="Times New Roman"/>
          <w:szCs w:val="24"/>
        </w:rPr>
        <w:t xml:space="preserve">with the radius and ulna bones in the forearm </w:t>
      </w:r>
      <w:r w:rsidR="004333A6" w:rsidRPr="00393437">
        <w:rPr>
          <w:rFonts w:cs="Times New Roman"/>
          <w:szCs w:val="24"/>
        </w:rPr>
        <w:t>(</w:t>
      </w:r>
      <w:r w:rsidR="002A3486" w:rsidRPr="00393437">
        <w:rPr>
          <w:rFonts w:cs="Times New Roman"/>
          <w:szCs w:val="24"/>
        </w:rPr>
        <w:t xml:space="preserve">the </w:t>
      </w:r>
      <w:r w:rsidR="007C661F" w:rsidRPr="00393437">
        <w:rPr>
          <w:rFonts w:cs="Times New Roman"/>
          <w:szCs w:val="24"/>
        </w:rPr>
        <w:t>radio-ulnar joint</w:t>
      </w:r>
      <w:r w:rsidR="004333A6" w:rsidRPr="00393437">
        <w:rPr>
          <w:rFonts w:cs="Times New Roman"/>
          <w:szCs w:val="24"/>
        </w:rPr>
        <w:t xml:space="preserve"> </w:t>
      </w:r>
      <w:r w:rsidR="007C661F" w:rsidRPr="00393437">
        <w:rPr>
          <w:rFonts w:cs="Times New Roman"/>
          <w:szCs w:val="24"/>
        </w:rPr>
        <w:t>proximally</w:t>
      </w:r>
      <w:r w:rsidR="00163B83" w:rsidRPr="00393437">
        <w:rPr>
          <w:rFonts w:cs="Times New Roman"/>
          <w:szCs w:val="24"/>
        </w:rPr>
        <w:t>)</w:t>
      </w:r>
      <w:r w:rsidR="00DC3562" w:rsidRPr="00393437">
        <w:rPr>
          <w:rFonts w:cs="Times New Roman"/>
          <w:szCs w:val="24"/>
        </w:rPr>
        <w:t xml:space="preserve"> </w:t>
      </w:r>
      <w:r w:rsidR="00163B83" w:rsidRPr="00393437">
        <w:rPr>
          <w:rFonts w:cs="Times New Roman"/>
          <w:szCs w:val="24"/>
        </w:rPr>
        <w:t>(</w:t>
      </w:r>
      <w:r w:rsidR="008B4336" w:rsidRPr="00393437">
        <w:rPr>
          <w:rFonts w:cs="Times New Roman"/>
          <w:szCs w:val="24"/>
        </w:rPr>
        <w:t xml:space="preserve">see </w:t>
      </w:r>
      <w:r w:rsidR="00482EAB" w:rsidRPr="00393437">
        <w:rPr>
          <w:rFonts w:cs="Times New Roman"/>
          <w:szCs w:val="24"/>
        </w:rPr>
        <w:t>F</w:t>
      </w:r>
      <w:r w:rsidR="008B4336" w:rsidRPr="00393437">
        <w:rPr>
          <w:rFonts w:cs="Times New Roman"/>
          <w:szCs w:val="24"/>
        </w:rPr>
        <w:t>igure 3</w:t>
      </w:r>
      <w:r w:rsidR="004333A6" w:rsidRPr="00393437">
        <w:rPr>
          <w:rFonts w:cs="Times New Roman"/>
          <w:szCs w:val="24"/>
        </w:rPr>
        <w:t>) and d</w:t>
      </w:r>
      <w:r w:rsidR="002213C5" w:rsidRPr="00393437">
        <w:rPr>
          <w:rFonts w:cs="Times New Roman"/>
          <w:szCs w:val="24"/>
        </w:rPr>
        <w:t>istally, the surface of this joint</w:t>
      </w:r>
      <w:r w:rsidR="00EE5A2D" w:rsidRPr="00393437">
        <w:rPr>
          <w:rFonts w:cs="Times New Roman"/>
          <w:szCs w:val="24"/>
        </w:rPr>
        <w:t>,</w:t>
      </w:r>
      <w:r w:rsidR="002213C5" w:rsidRPr="00393437">
        <w:rPr>
          <w:rFonts w:cs="Times New Roman"/>
          <w:szCs w:val="24"/>
        </w:rPr>
        <w:t xml:space="preserve"> is formed by the proximal articular surfaces of the scaphoid, </w:t>
      </w:r>
      <w:proofErr w:type="gramStart"/>
      <w:r w:rsidR="002213C5" w:rsidRPr="00393437">
        <w:rPr>
          <w:rFonts w:cs="Times New Roman"/>
          <w:szCs w:val="24"/>
        </w:rPr>
        <w:t>lunate</w:t>
      </w:r>
      <w:proofErr w:type="gramEnd"/>
      <w:r w:rsidR="002213C5" w:rsidRPr="00393437">
        <w:rPr>
          <w:rFonts w:cs="Times New Roman"/>
          <w:szCs w:val="24"/>
        </w:rPr>
        <w:t xml:space="preserve"> and triquetrum (Ellis and Mahadevan</w:t>
      </w:r>
      <w:r w:rsidR="00A70591" w:rsidRPr="00393437">
        <w:rPr>
          <w:rFonts w:cs="Times New Roman"/>
          <w:szCs w:val="24"/>
        </w:rPr>
        <w:t xml:space="preserve"> </w:t>
      </w:r>
      <w:r w:rsidR="002213C5" w:rsidRPr="00393437">
        <w:rPr>
          <w:rFonts w:cs="Times New Roman"/>
          <w:szCs w:val="24"/>
        </w:rPr>
        <w:t>201</w:t>
      </w:r>
      <w:r w:rsidR="00CF6DA1" w:rsidRPr="00393437">
        <w:rPr>
          <w:rFonts w:cs="Times New Roman"/>
          <w:szCs w:val="24"/>
        </w:rPr>
        <w:t>8</w:t>
      </w:r>
      <w:r w:rsidR="002213C5" w:rsidRPr="00393437">
        <w:rPr>
          <w:rFonts w:cs="Times New Roman"/>
          <w:szCs w:val="24"/>
        </w:rPr>
        <w:t>).</w:t>
      </w:r>
      <w:r w:rsidR="002A3486" w:rsidRPr="00393437">
        <w:rPr>
          <w:rFonts w:cs="Times New Roman"/>
          <w:szCs w:val="24"/>
        </w:rPr>
        <w:t xml:space="preserve"> Those individual carpal bones are flexibly interconnected</w:t>
      </w:r>
      <w:r w:rsidR="00044EA4" w:rsidRPr="00393437">
        <w:rPr>
          <w:rFonts w:cs="Times New Roman"/>
          <w:szCs w:val="24"/>
        </w:rPr>
        <w:t xml:space="preserve">. </w:t>
      </w:r>
    </w:p>
    <w:p w14:paraId="0D4792E3" w14:textId="02EDF3ED" w:rsidR="00B954A0" w:rsidRPr="00393437" w:rsidRDefault="008B4336" w:rsidP="002B6FE4">
      <w:pPr>
        <w:spacing w:line="240" w:lineRule="auto"/>
        <w:jc w:val="both"/>
        <w:rPr>
          <w:rFonts w:cs="Times New Roman"/>
          <w:b/>
          <w:bCs/>
          <w:szCs w:val="24"/>
        </w:rPr>
      </w:pPr>
      <w:r w:rsidRPr="00393437">
        <w:rPr>
          <w:rFonts w:cs="Times New Roman"/>
          <w:b/>
          <w:bCs/>
          <w:szCs w:val="24"/>
        </w:rPr>
        <w:t>Figure 3: Axial view of the wrist</w:t>
      </w:r>
    </w:p>
    <w:p w14:paraId="167EE7F9" w14:textId="2EA9EAE2" w:rsidR="00CE7523" w:rsidRPr="00393437" w:rsidRDefault="008B4336" w:rsidP="002B6FE4">
      <w:pPr>
        <w:spacing w:line="240" w:lineRule="auto"/>
        <w:jc w:val="both"/>
        <w:rPr>
          <w:rFonts w:cs="Times New Roman"/>
          <w:szCs w:val="24"/>
        </w:rPr>
      </w:pPr>
      <w:r w:rsidRPr="00393437">
        <w:rPr>
          <w:rFonts w:cs="Times New Roman"/>
          <w:noProof/>
          <w:szCs w:val="24"/>
          <w:lang w:eastAsia="en-GB"/>
        </w:rPr>
        <w:drawing>
          <wp:inline distT="0" distB="0" distL="0" distR="0" wp14:anchorId="0D15D973" wp14:editId="68602ED8">
            <wp:extent cx="5008245" cy="2244725"/>
            <wp:effectExtent l="0" t="0" r="1905" b="3175"/>
            <wp:docPr id="11" name="Picture 11" descr="Fig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Fig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15106" cy="2247800"/>
                    </a:xfrm>
                    <a:prstGeom prst="rect">
                      <a:avLst/>
                    </a:prstGeom>
                    <a:noFill/>
                    <a:ln>
                      <a:noFill/>
                    </a:ln>
                  </pic:spPr>
                </pic:pic>
              </a:graphicData>
            </a:graphic>
          </wp:inline>
        </w:drawing>
      </w:r>
      <w:r w:rsidRPr="00393437">
        <w:rPr>
          <w:rFonts w:cs="Times New Roman"/>
          <w:szCs w:val="24"/>
        </w:rPr>
        <w:t xml:space="preserve">Copyright </w:t>
      </w:r>
      <w:proofErr w:type="gramStart"/>
      <w:r w:rsidRPr="00393437">
        <w:rPr>
          <w:rFonts w:cs="Times New Roman"/>
          <w:szCs w:val="24"/>
        </w:rPr>
        <w:t>by:</w:t>
      </w:r>
      <w:proofErr w:type="gramEnd"/>
      <w:r w:rsidRPr="00393437">
        <w:rPr>
          <w:rFonts w:cs="Times New Roman"/>
          <w:szCs w:val="24"/>
        </w:rPr>
        <w:t xml:space="preserve"> Shutterstock</w:t>
      </w:r>
    </w:p>
    <w:p w14:paraId="4848712A" w14:textId="448DFF10" w:rsidR="00A11922" w:rsidRPr="00393437" w:rsidRDefault="00A11922" w:rsidP="009B2F63">
      <w:pPr>
        <w:pStyle w:val="Heading1"/>
      </w:pPr>
      <w:r w:rsidRPr="00393437">
        <w:t>Aetiology and epidemiology</w:t>
      </w:r>
    </w:p>
    <w:p w14:paraId="3DEC5774" w14:textId="77777777" w:rsidR="009D6DFF" w:rsidRPr="00393437" w:rsidRDefault="0004089A" w:rsidP="002B6FE4">
      <w:pPr>
        <w:spacing w:line="240" w:lineRule="auto"/>
        <w:jc w:val="both"/>
        <w:rPr>
          <w:rFonts w:cs="Times New Roman"/>
          <w:szCs w:val="24"/>
        </w:rPr>
      </w:pPr>
      <w:r w:rsidRPr="00393437">
        <w:rPr>
          <w:rFonts w:cs="Times New Roman"/>
          <w:szCs w:val="24"/>
        </w:rPr>
        <w:t xml:space="preserve">There appears to be a consensus in the literature </w:t>
      </w:r>
      <w:r w:rsidR="00A11922" w:rsidRPr="00393437">
        <w:rPr>
          <w:rFonts w:cs="Times New Roman"/>
          <w:szCs w:val="24"/>
        </w:rPr>
        <w:t>(</w:t>
      </w:r>
      <w:proofErr w:type="spellStart"/>
      <w:r w:rsidR="00A11922" w:rsidRPr="00393437">
        <w:rPr>
          <w:rFonts w:cs="Times New Roman"/>
          <w:szCs w:val="24"/>
        </w:rPr>
        <w:t>Egol</w:t>
      </w:r>
      <w:proofErr w:type="spellEnd"/>
      <w:r w:rsidR="009D6DFF" w:rsidRPr="00393437">
        <w:rPr>
          <w:rFonts w:cs="Times New Roman"/>
          <w:szCs w:val="24"/>
        </w:rPr>
        <w:t xml:space="preserve"> et al</w:t>
      </w:r>
      <w:r w:rsidR="00A11922" w:rsidRPr="00393437">
        <w:rPr>
          <w:rFonts w:cs="Times New Roman"/>
          <w:szCs w:val="24"/>
        </w:rPr>
        <w:t xml:space="preserve"> 2010; Me</w:t>
      </w:r>
      <w:r w:rsidR="00596D8B" w:rsidRPr="00393437">
        <w:rPr>
          <w:rFonts w:cs="Times New Roman"/>
          <w:szCs w:val="24"/>
        </w:rPr>
        <w:t>e</w:t>
      </w:r>
      <w:r w:rsidR="00A11922" w:rsidRPr="00393437">
        <w:rPr>
          <w:rFonts w:cs="Times New Roman"/>
          <w:szCs w:val="24"/>
        </w:rPr>
        <w:t xml:space="preserve">na et al 2014; </w:t>
      </w:r>
      <w:proofErr w:type="spellStart"/>
      <w:r w:rsidR="00A11922" w:rsidRPr="00393437">
        <w:rPr>
          <w:rFonts w:cs="Times New Roman"/>
          <w:szCs w:val="24"/>
        </w:rPr>
        <w:t>MacIntyre</w:t>
      </w:r>
      <w:proofErr w:type="spellEnd"/>
      <w:r w:rsidR="00A11922" w:rsidRPr="00393437">
        <w:rPr>
          <w:rFonts w:cs="Times New Roman"/>
          <w:szCs w:val="24"/>
        </w:rPr>
        <w:t xml:space="preserve"> and Dewan 2016; </w:t>
      </w:r>
      <w:proofErr w:type="spellStart"/>
      <w:r w:rsidR="00A11922" w:rsidRPr="00393437">
        <w:rPr>
          <w:rFonts w:cs="Times New Roman"/>
          <w:szCs w:val="24"/>
        </w:rPr>
        <w:t>Wæver</w:t>
      </w:r>
      <w:proofErr w:type="spellEnd"/>
      <w:r w:rsidR="00A11922" w:rsidRPr="00393437">
        <w:rPr>
          <w:rFonts w:cs="Times New Roman"/>
          <w:szCs w:val="24"/>
        </w:rPr>
        <w:t xml:space="preserve"> et al 2018) </w:t>
      </w:r>
      <w:r w:rsidRPr="00393437">
        <w:rPr>
          <w:rFonts w:cs="Times New Roman"/>
          <w:szCs w:val="24"/>
        </w:rPr>
        <w:t>regarding the high incidence</w:t>
      </w:r>
      <w:r w:rsidR="00A11922" w:rsidRPr="00393437">
        <w:rPr>
          <w:rFonts w:cs="Times New Roman"/>
          <w:szCs w:val="24"/>
        </w:rPr>
        <w:t xml:space="preserve"> of distal ra</w:t>
      </w:r>
      <w:r w:rsidR="006F7EAC" w:rsidRPr="00393437">
        <w:rPr>
          <w:rFonts w:cs="Times New Roman"/>
          <w:szCs w:val="24"/>
        </w:rPr>
        <w:t>dius fractures in the upper extremity. T</w:t>
      </w:r>
      <w:r w:rsidR="00A11922" w:rsidRPr="00393437">
        <w:rPr>
          <w:rFonts w:cs="Times New Roman"/>
          <w:szCs w:val="24"/>
        </w:rPr>
        <w:t>he inj</w:t>
      </w:r>
      <w:r w:rsidR="006F7EAC" w:rsidRPr="00393437">
        <w:rPr>
          <w:rFonts w:cs="Times New Roman"/>
          <w:szCs w:val="24"/>
        </w:rPr>
        <w:t>ury</w:t>
      </w:r>
      <w:r w:rsidR="00511B6B" w:rsidRPr="00393437">
        <w:rPr>
          <w:rFonts w:cs="Times New Roman"/>
          <w:szCs w:val="24"/>
        </w:rPr>
        <w:t xml:space="preserve"> mechanism</w:t>
      </w:r>
      <w:r w:rsidR="006F7EAC" w:rsidRPr="00393437">
        <w:rPr>
          <w:rFonts w:cs="Times New Roman"/>
          <w:szCs w:val="24"/>
        </w:rPr>
        <w:t xml:space="preserve"> </w:t>
      </w:r>
      <w:r w:rsidR="00511B6B" w:rsidRPr="00393437">
        <w:rPr>
          <w:rFonts w:cs="Times New Roman"/>
          <w:szCs w:val="24"/>
        </w:rPr>
        <w:t xml:space="preserve">with </w:t>
      </w:r>
      <w:r w:rsidR="006F7EAC" w:rsidRPr="00393437">
        <w:rPr>
          <w:rFonts w:cs="Times New Roman"/>
          <w:szCs w:val="24"/>
        </w:rPr>
        <w:t>fractures is</w:t>
      </w:r>
      <w:r w:rsidR="00A11922" w:rsidRPr="00393437">
        <w:rPr>
          <w:rFonts w:cs="Times New Roman"/>
          <w:szCs w:val="24"/>
        </w:rPr>
        <w:t xml:space="preserve"> mostly caused by a fall on the outstretched hand with the wrist in dorsiflexion (</w:t>
      </w:r>
      <w:proofErr w:type="gramStart"/>
      <w:r w:rsidR="00A11922" w:rsidRPr="00393437">
        <w:rPr>
          <w:rFonts w:cs="Times New Roman"/>
          <w:szCs w:val="24"/>
        </w:rPr>
        <w:t>low-energy</w:t>
      </w:r>
      <w:proofErr w:type="gramEnd"/>
      <w:r w:rsidR="00A11922" w:rsidRPr="00393437">
        <w:rPr>
          <w:rFonts w:cs="Times New Roman"/>
          <w:szCs w:val="24"/>
        </w:rPr>
        <w:t>).</w:t>
      </w:r>
      <w:r w:rsidR="00826CCD" w:rsidRPr="00393437">
        <w:rPr>
          <w:rFonts w:cs="Times New Roman"/>
          <w:szCs w:val="24"/>
        </w:rPr>
        <w:t xml:space="preserve"> The fracture appears when the bone suffers more stress than it can resist</w:t>
      </w:r>
      <w:r w:rsidR="00B6118D" w:rsidRPr="00393437">
        <w:rPr>
          <w:rFonts w:cs="Times New Roman"/>
          <w:szCs w:val="24"/>
        </w:rPr>
        <w:t xml:space="preserve"> (Nelson 2018).</w:t>
      </w:r>
      <w:r w:rsidR="00A11922" w:rsidRPr="00393437">
        <w:rPr>
          <w:rFonts w:cs="Times New Roman"/>
          <w:szCs w:val="24"/>
        </w:rPr>
        <w:t xml:space="preserve"> </w:t>
      </w:r>
      <w:r w:rsidR="00511B6B" w:rsidRPr="00393437">
        <w:rPr>
          <w:rFonts w:cs="Times New Roman"/>
          <w:szCs w:val="24"/>
        </w:rPr>
        <w:t>According to the</w:t>
      </w:r>
      <w:r w:rsidR="00A11922" w:rsidRPr="00393437">
        <w:rPr>
          <w:rFonts w:cs="Times New Roman"/>
          <w:szCs w:val="24"/>
        </w:rPr>
        <w:t xml:space="preserve"> mechanism of injury</w:t>
      </w:r>
      <w:r w:rsidR="003441C6" w:rsidRPr="00393437">
        <w:rPr>
          <w:rFonts w:cs="Times New Roman"/>
          <w:szCs w:val="24"/>
        </w:rPr>
        <w:t>,</w:t>
      </w:r>
      <w:r w:rsidR="00A11922" w:rsidRPr="00393437">
        <w:rPr>
          <w:rFonts w:cs="Times New Roman"/>
          <w:szCs w:val="24"/>
        </w:rPr>
        <w:t xml:space="preserve"> a distinction should be made between high or low energy fractures </w:t>
      </w:r>
      <w:proofErr w:type="gramStart"/>
      <w:r w:rsidR="00A11922" w:rsidRPr="00393437">
        <w:rPr>
          <w:rFonts w:cs="Times New Roman"/>
          <w:szCs w:val="24"/>
        </w:rPr>
        <w:t>in order to</w:t>
      </w:r>
      <w:proofErr w:type="gramEnd"/>
      <w:r w:rsidR="00A11922" w:rsidRPr="00393437">
        <w:rPr>
          <w:rFonts w:cs="Times New Roman"/>
          <w:szCs w:val="24"/>
        </w:rPr>
        <w:t xml:space="preserve"> have an insight into the </w:t>
      </w:r>
      <w:r w:rsidR="003441C6" w:rsidRPr="00393437">
        <w:rPr>
          <w:rFonts w:cs="Times New Roman"/>
          <w:szCs w:val="24"/>
        </w:rPr>
        <w:t>aetiology</w:t>
      </w:r>
      <w:r w:rsidR="00A11922" w:rsidRPr="00393437">
        <w:rPr>
          <w:rFonts w:cs="Times New Roman"/>
          <w:szCs w:val="24"/>
        </w:rPr>
        <w:t xml:space="preserve"> and pathogenesis of the fracture (Dawson-Bowling et al 2015)</w:t>
      </w:r>
      <w:r w:rsidR="006F7EAC" w:rsidRPr="00393437">
        <w:rPr>
          <w:rFonts w:cs="Times New Roman"/>
          <w:szCs w:val="24"/>
        </w:rPr>
        <w:t xml:space="preserve"> and its subsequent treatment</w:t>
      </w:r>
      <w:r w:rsidR="00A11922" w:rsidRPr="00393437">
        <w:rPr>
          <w:rFonts w:cs="Times New Roman"/>
          <w:szCs w:val="24"/>
        </w:rPr>
        <w:t xml:space="preserve">. </w:t>
      </w:r>
    </w:p>
    <w:p w14:paraId="1890818D" w14:textId="038A04AE" w:rsidR="00934F3F" w:rsidRPr="00393437" w:rsidRDefault="002761C9" w:rsidP="002B6FE4">
      <w:pPr>
        <w:spacing w:line="240" w:lineRule="auto"/>
        <w:jc w:val="both"/>
        <w:rPr>
          <w:rFonts w:cs="Times New Roman"/>
          <w:szCs w:val="24"/>
        </w:rPr>
      </w:pPr>
      <w:r w:rsidRPr="00393437">
        <w:rPr>
          <w:rFonts w:cs="Times New Roman"/>
          <w:szCs w:val="24"/>
        </w:rPr>
        <w:t xml:space="preserve">Emma </w:t>
      </w:r>
      <w:r w:rsidR="003441C6" w:rsidRPr="00393437">
        <w:rPr>
          <w:rFonts w:cs="Times New Roman"/>
          <w:szCs w:val="24"/>
        </w:rPr>
        <w:t>presented with a low-energy</w:t>
      </w:r>
      <w:r w:rsidR="002674FC" w:rsidRPr="00393437">
        <w:rPr>
          <w:rFonts w:cs="Times New Roman"/>
          <w:szCs w:val="24"/>
        </w:rPr>
        <w:t xml:space="preserve"> traumatic</w:t>
      </w:r>
      <w:r w:rsidR="003441C6" w:rsidRPr="00393437">
        <w:rPr>
          <w:rFonts w:cs="Times New Roman"/>
          <w:szCs w:val="24"/>
        </w:rPr>
        <w:t xml:space="preserve"> fracture</w:t>
      </w:r>
      <w:r w:rsidR="002674FC" w:rsidRPr="00393437">
        <w:rPr>
          <w:rFonts w:cs="Times New Roman"/>
          <w:szCs w:val="24"/>
        </w:rPr>
        <w:t xml:space="preserve"> with previous pathological osteopenia. </w:t>
      </w:r>
      <w:r w:rsidR="00524BE2" w:rsidRPr="00393437">
        <w:rPr>
          <w:rFonts w:cs="Times New Roman"/>
          <w:szCs w:val="24"/>
        </w:rPr>
        <w:t>Risk factors such a</w:t>
      </w:r>
      <w:r w:rsidR="00C67CD8" w:rsidRPr="00393437">
        <w:rPr>
          <w:rFonts w:cs="Times New Roman"/>
          <w:szCs w:val="24"/>
        </w:rPr>
        <w:t>s</w:t>
      </w:r>
      <w:r w:rsidR="00524BE2" w:rsidRPr="00393437">
        <w:rPr>
          <w:rFonts w:cs="Times New Roman"/>
          <w:szCs w:val="24"/>
        </w:rPr>
        <w:t xml:space="preserve"> reduc</w:t>
      </w:r>
      <w:r w:rsidR="00FF7E67" w:rsidRPr="00393437">
        <w:rPr>
          <w:rFonts w:cs="Times New Roman"/>
          <w:szCs w:val="24"/>
        </w:rPr>
        <w:t xml:space="preserve">ed bone mineral density, female </w:t>
      </w:r>
      <w:r w:rsidR="00524BE2" w:rsidRPr="00393437">
        <w:rPr>
          <w:rFonts w:cs="Times New Roman"/>
          <w:szCs w:val="24"/>
        </w:rPr>
        <w:t>sex, white race, family history and early menopause are known to incre</w:t>
      </w:r>
      <w:r w:rsidR="00AD1D85" w:rsidRPr="00393437">
        <w:rPr>
          <w:rFonts w:cs="Times New Roman"/>
          <w:szCs w:val="24"/>
        </w:rPr>
        <w:t>ase</w:t>
      </w:r>
      <w:r w:rsidR="00524BE2" w:rsidRPr="00393437">
        <w:rPr>
          <w:rFonts w:cs="Times New Roman"/>
          <w:szCs w:val="24"/>
        </w:rPr>
        <w:t xml:space="preserve"> the incidence of radius fractures in this type of injury (</w:t>
      </w:r>
      <w:proofErr w:type="spellStart"/>
      <w:r w:rsidR="00524BE2" w:rsidRPr="00393437">
        <w:rPr>
          <w:rFonts w:cs="Times New Roman"/>
          <w:szCs w:val="24"/>
        </w:rPr>
        <w:t>Egol</w:t>
      </w:r>
      <w:proofErr w:type="spellEnd"/>
      <w:r w:rsidR="00524BE2" w:rsidRPr="00393437">
        <w:rPr>
          <w:rFonts w:cs="Times New Roman"/>
          <w:szCs w:val="24"/>
        </w:rPr>
        <w:t xml:space="preserve"> </w:t>
      </w:r>
      <w:r w:rsidR="009D6DFF" w:rsidRPr="00393437">
        <w:rPr>
          <w:rFonts w:cs="Times New Roman"/>
          <w:szCs w:val="24"/>
        </w:rPr>
        <w:t xml:space="preserve">et al </w:t>
      </w:r>
      <w:r w:rsidR="00524BE2" w:rsidRPr="00393437">
        <w:rPr>
          <w:rFonts w:cs="Times New Roman"/>
          <w:szCs w:val="24"/>
        </w:rPr>
        <w:t xml:space="preserve">2010). </w:t>
      </w:r>
      <w:r w:rsidR="00826CCD" w:rsidRPr="00393437">
        <w:rPr>
          <w:rFonts w:cs="Times New Roman"/>
          <w:szCs w:val="24"/>
        </w:rPr>
        <w:t>O</w:t>
      </w:r>
      <w:r w:rsidR="00524BE2" w:rsidRPr="00393437">
        <w:rPr>
          <w:rFonts w:cs="Times New Roman"/>
          <w:szCs w:val="24"/>
        </w:rPr>
        <w:t>steoporosis</w:t>
      </w:r>
      <w:r w:rsidR="003731CC" w:rsidRPr="00393437">
        <w:rPr>
          <w:rFonts w:cs="Times New Roman"/>
          <w:szCs w:val="24"/>
        </w:rPr>
        <w:t xml:space="preserve"> affects</w:t>
      </w:r>
      <w:r w:rsidR="00524BE2" w:rsidRPr="00393437">
        <w:rPr>
          <w:rFonts w:cs="Times New Roman"/>
          <w:szCs w:val="24"/>
        </w:rPr>
        <w:t xml:space="preserve"> the bones by reducing their mass and deteriorating the micro-architecture of bone tissue</w:t>
      </w:r>
      <w:r w:rsidR="00F85EAE" w:rsidRPr="00393437">
        <w:rPr>
          <w:rFonts w:cs="Times New Roman"/>
          <w:szCs w:val="24"/>
        </w:rPr>
        <w:t xml:space="preserve"> (</w:t>
      </w:r>
      <w:r w:rsidR="00482EAB" w:rsidRPr="00393437">
        <w:rPr>
          <w:rFonts w:cs="Times New Roman"/>
          <w:szCs w:val="24"/>
        </w:rPr>
        <w:t>F</w:t>
      </w:r>
      <w:r w:rsidR="00F85EAE" w:rsidRPr="00393437">
        <w:rPr>
          <w:rFonts w:cs="Times New Roman"/>
          <w:szCs w:val="24"/>
        </w:rPr>
        <w:t xml:space="preserve">igure </w:t>
      </w:r>
      <w:r w:rsidR="00CE7523" w:rsidRPr="00393437">
        <w:rPr>
          <w:rFonts w:cs="Times New Roman"/>
          <w:szCs w:val="24"/>
        </w:rPr>
        <w:t>4</w:t>
      </w:r>
      <w:r w:rsidR="00F85EAE" w:rsidRPr="00393437">
        <w:rPr>
          <w:rFonts w:cs="Times New Roman"/>
          <w:szCs w:val="24"/>
        </w:rPr>
        <w:t>)</w:t>
      </w:r>
      <w:r w:rsidR="00524BE2" w:rsidRPr="00393437">
        <w:rPr>
          <w:rFonts w:cs="Times New Roman"/>
          <w:szCs w:val="24"/>
        </w:rPr>
        <w:t xml:space="preserve">, </w:t>
      </w:r>
      <w:proofErr w:type="gramStart"/>
      <w:r w:rsidR="00524BE2" w:rsidRPr="00393437">
        <w:rPr>
          <w:rFonts w:cs="Times New Roman"/>
          <w:szCs w:val="24"/>
        </w:rPr>
        <w:t>as a consequence</w:t>
      </w:r>
      <w:proofErr w:type="gramEnd"/>
      <w:r w:rsidR="00524BE2" w:rsidRPr="00393437">
        <w:rPr>
          <w:rFonts w:cs="Times New Roman"/>
          <w:szCs w:val="24"/>
        </w:rPr>
        <w:t xml:space="preserve"> the bone become</w:t>
      </w:r>
      <w:r w:rsidR="00511B6B" w:rsidRPr="00393437">
        <w:rPr>
          <w:rFonts w:cs="Times New Roman"/>
          <w:szCs w:val="24"/>
        </w:rPr>
        <w:t>s</w:t>
      </w:r>
      <w:r w:rsidR="00524BE2" w:rsidRPr="00393437">
        <w:rPr>
          <w:rFonts w:cs="Times New Roman"/>
          <w:szCs w:val="24"/>
        </w:rPr>
        <w:t xml:space="preserve"> more fragile and susceptible to low-trauma fractures</w:t>
      </w:r>
      <w:r w:rsidR="00754610" w:rsidRPr="00393437">
        <w:rPr>
          <w:rFonts w:cs="Times New Roman"/>
          <w:szCs w:val="24"/>
        </w:rPr>
        <w:t xml:space="preserve"> (Rothrock</w:t>
      </w:r>
      <w:r w:rsidR="009D6DFF" w:rsidRPr="00393437">
        <w:rPr>
          <w:rFonts w:cs="Times New Roman"/>
          <w:szCs w:val="24"/>
        </w:rPr>
        <w:t xml:space="preserve"> et al</w:t>
      </w:r>
      <w:r w:rsidR="001B3597" w:rsidRPr="00393437">
        <w:rPr>
          <w:rFonts w:cs="Times New Roman"/>
          <w:szCs w:val="24"/>
        </w:rPr>
        <w:t xml:space="preserve"> </w:t>
      </w:r>
      <w:r w:rsidR="00754610" w:rsidRPr="00393437">
        <w:rPr>
          <w:rFonts w:cs="Times New Roman"/>
          <w:szCs w:val="24"/>
        </w:rPr>
        <w:t>2015)</w:t>
      </w:r>
      <w:r w:rsidR="00524BE2" w:rsidRPr="00393437">
        <w:rPr>
          <w:rFonts w:cs="Times New Roman"/>
          <w:szCs w:val="24"/>
        </w:rPr>
        <w:t>.</w:t>
      </w:r>
      <w:r w:rsidR="00F61B04" w:rsidRPr="00393437">
        <w:rPr>
          <w:rFonts w:cs="Times New Roman"/>
          <w:szCs w:val="24"/>
        </w:rPr>
        <w:t xml:space="preserve"> F</w:t>
      </w:r>
      <w:r w:rsidR="00CD2278" w:rsidRPr="00393437">
        <w:rPr>
          <w:rFonts w:cs="Times New Roman"/>
          <w:szCs w:val="24"/>
        </w:rPr>
        <w:t>olic acid</w:t>
      </w:r>
      <w:r w:rsidR="00943D17" w:rsidRPr="00393437">
        <w:rPr>
          <w:rFonts w:cs="Times New Roman"/>
          <w:szCs w:val="24"/>
        </w:rPr>
        <w:t xml:space="preserve"> and vitamin B12</w:t>
      </w:r>
      <w:r w:rsidR="00254E03" w:rsidRPr="00393437">
        <w:rPr>
          <w:rFonts w:cs="Times New Roman"/>
          <w:szCs w:val="24"/>
        </w:rPr>
        <w:t xml:space="preserve"> </w:t>
      </w:r>
      <w:r w:rsidR="00943D17" w:rsidRPr="00393437">
        <w:rPr>
          <w:rFonts w:cs="Times New Roman"/>
          <w:szCs w:val="24"/>
        </w:rPr>
        <w:t xml:space="preserve">have </w:t>
      </w:r>
      <w:r w:rsidR="00F61B04" w:rsidRPr="00393437">
        <w:rPr>
          <w:rFonts w:cs="Times New Roman"/>
          <w:szCs w:val="24"/>
        </w:rPr>
        <w:t xml:space="preserve">been </w:t>
      </w:r>
      <w:r w:rsidR="00943D17" w:rsidRPr="00393437">
        <w:rPr>
          <w:rFonts w:cs="Times New Roman"/>
          <w:szCs w:val="24"/>
        </w:rPr>
        <w:t>demonstrated</w:t>
      </w:r>
      <w:r w:rsidR="003D002C" w:rsidRPr="00393437">
        <w:rPr>
          <w:rFonts w:cs="Times New Roman"/>
          <w:szCs w:val="24"/>
        </w:rPr>
        <w:t xml:space="preserve"> in some cases</w:t>
      </w:r>
      <w:r w:rsidR="00943D17" w:rsidRPr="00393437">
        <w:rPr>
          <w:rFonts w:cs="Times New Roman"/>
          <w:szCs w:val="24"/>
        </w:rPr>
        <w:t xml:space="preserve"> to reduce the risk of osteoporosis after menopause</w:t>
      </w:r>
      <w:r w:rsidR="003D002C" w:rsidRPr="00393437">
        <w:rPr>
          <w:rFonts w:cs="Times New Roman"/>
          <w:szCs w:val="24"/>
        </w:rPr>
        <w:t xml:space="preserve"> (</w:t>
      </w:r>
      <w:proofErr w:type="spellStart"/>
      <w:r w:rsidR="003D002C" w:rsidRPr="00393437">
        <w:rPr>
          <w:rFonts w:cs="Times New Roman"/>
          <w:szCs w:val="24"/>
        </w:rPr>
        <w:t>Keser</w:t>
      </w:r>
      <w:proofErr w:type="spellEnd"/>
      <w:r w:rsidR="00C01505" w:rsidRPr="00393437">
        <w:rPr>
          <w:rFonts w:cs="Times New Roman"/>
          <w:szCs w:val="24"/>
        </w:rPr>
        <w:t xml:space="preserve"> </w:t>
      </w:r>
      <w:r w:rsidR="003D002C" w:rsidRPr="00393437">
        <w:rPr>
          <w:rFonts w:cs="Times New Roman"/>
          <w:szCs w:val="24"/>
        </w:rPr>
        <w:t>et al</w:t>
      </w:r>
      <w:r w:rsidR="001B3597" w:rsidRPr="00393437">
        <w:rPr>
          <w:rFonts w:cs="Times New Roman"/>
          <w:szCs w:val="24"/>
        </w:rPr>
        <w:t xml:space="preserve"> </w:t>
      </w:r>
      <w:r w:rsidR="003D002C" w:rsidRPr="00393437">
        <w:rPr>
          <w:rFonts w:cs="Times New Roman"/>
          <w:szCs w:val="24"/>
        </w:rPr>
        <w:t>2013)</w:t>
      </w:r>
      <w:r w:rsidR="00943D17" w:rsidRPr="00393437">
        <w:rPr>
          <w:rFonts w:cs="Times New Roman"/>
          <w:szCs w:val="24"/>
        </w:rPr>
        <w:t>.</w:t>
      </w:r>
      <w:r w:rsidR="003D002C" w:rsidRPr="00393437">
        <w:rPr>
          <w:rFonts w:cs="Times New Roman"/>
          <w:szCs w:val="24"/>
        </w:rPr>
        <w:t xml:space="preserve"> </w:t>
      </w:r>
      <w:r w:rsidR="00CB18A4" w:rsidRPr="00393437">
        <w:rPr>
          <w:rFonts w:cs="Times New Roman"/>
          <w:szCs w:val="24"/>
        </w:rPr>
        <w:t>However, a recent study published by Garcia Lopez et al (2018) showed no association between</w:t>
      </w:r>
      <w:r w:rsidR="00F61B04" w:rsidRPr="00393437">
        <w:rPr>
          <w:rFonts w:cs="Times New Roman"/>
          <w:szCs w:val="24"/>
        </w:rPr>
        <w:t xml:space="preserve"> those supplements </w:t>
      </w:r>
      <w:r w:rsidR="00CB18A4" w:rsidRPr="00393437">
        <w:rPr>
          <w:rFonts w:cs="Times New Roman"/>
          <w:szCs w:val="24"/>
        </w:rPr>
        <w:t>and the risk of fractures</w:t>
      </w:r>
      <w:r w:rsidR="00511B6B" w:rsidRPr="00393437">
        <w:rPr>
          <w:rFonts w:cs="Times New Roman"/>
          <w:szCs w:val="24"/>
        </w:rPr>
        <w:t>;</w:t>
      </w:r>
      <w:r w:rsidR="00CB18A4" w:rsidRPr="00393437">
        <w:rPr>
          <w:rFonts w:cs="Times New Roman"/>
          <w:szCs w:val="24"/>
        </w:rPr>
        <w:t xml:space="preserve"> therefore</w:t>
      </w:r>
      <w:r w:rsidR="00511B6B" w:rsidRPr="00393437">
        <w:rPr>
          <w:rFonts w:cs="Times New Roman"/>
          <w:szCs w:val="24"/>
        </w:rPr>
        <w:t>,</w:t>
      </w:r>
      <w:r w:rsidR="00CB18A4" w:rsidRPr="00393437">
        <w:rPr>
          <w:rFonts w:cs="Times New Roman"/>
          <w:szCs w:val="24"/>
        </w:rPr>
        <w:t xml:space="preserve"> it should not be prescribed as a fracture prevention measure.</w:t>
      </w:r>
      <w:r w:rsidR="00693197" w:rsidRPr="00393437">
        <w:rPr>
          <w:rFonts w:cs="Times New Roman"/>
          <w:szCs w:val="24"/>
        </w:rPr>
        <w:t xml:space="preserve"> In this case, 400 micrograms of folic acid daily </w:t>
      </w:r>
      <w:r w:rsidR="00CE7523" w:rsidRPr="00393437">
        <w:rPr>
          <w:rFonts w:cs="Times New Roman"/>
          <w:szCs w:val="24"/>
        </w:rPr>
        <w:t>w</w:t>
      </w:r>
      <w:r w:rsidR="00511B6B" w:rsidRPr="00393437">
        <w:rPr>
          <w:rFonts w:cs="Times New Roman"/>
          <w:szCs w:val="24"/>
        </w:rPr>
        <w:t>ere</w:t>
      </w:r>
      <w:r w:rsidR="00693197" w:rsidRPr="00393437">
        <w:rPr>
          <w:rFonts w:cs="Times New Roman"/>
          <w:szCs w:val="24"/>
        </w:rPr>
        <w:t xml:space="preserve"> the only tablet that Emma was regularly taking as part</w:t>
      </w:r>
      <w:r w:rsidR="006F0CC4" w:rsidRPr="00393437">
        <w:rPr>
          <w:rFonts w:cs="Times New Roman"/>
          <w:szCs w:val="24"/>
        </w:rPr>
        <w:t xml:space="preserve"> of her osteoporosis treatment.</w:t>
      </w:r>
    </w:p>
    <w:p w14:paraId="4F5A61E0" w14:textId="47A4B1B3" w:rsidR="00511B6B" w:rsidRPr="00393437" w:rsidRDefault="00511B6B" w:rsidP="002B6FE4">
      <w:pPr>
        <w:spacing w:line="240" w:lineRule="auto"/>
        <w:jc w:val="both"/>
        <w:rPr>
          <w:rFonts w:cs="Times New Roman"/>
          <w:b/>
          <w:bCs/>
          <w:szCs w:val="24"/>
        </w:rPr>
      </w:pPr>
    </w:p>
    <w:p w14:paraId="052AF987" w14:textId="5CB37580" w:rsidR="00070210" w:rsidRPr="00393437" w:rsidRDefault="00070210" w:rsidP="002B6FE4">
      <w:pPr>
        <w:spacing w:line="240" w:lineRule="auto"/>
        <w:jc w:val="both"/>
        <w:rPr>
          <w:rFonts w:cs="Times New Roman"/>
          <w:b/>
          <w:bCs/>
          <w:szCs w:val="24"/>
        </w:rPr>
      </w:pPr>
    </w:p>
    <w:p w14:paraId="6BAF97F3" w14:textId="77777777" w:rsidR="00070210" w:rsidRPr="00393437" w:rsidRDefault="00070210" w:rsidP="002B6FE4">
      <w:pPr>
        <w:spacing w:line="240" w:lineRule="auto"/>
        <w:jc w:val="both"/>
        <w:rPr>
          <w:rFonts w:cs="Times New Roman"/>
          <w:b/>
          <w:bCs/>
          <w:szCs w:val="24"/>
        </w:rPr>
      </w:pPr>
    </w:p>
    <w:p w14:paraId="05846EA7" w14:textId="346B7C30" w:rsidR="00F85EAE" w:rsidRPr="00393437" w:rsidRDefault="00F85EAE" w:rsidP="002B6FE4">
      <w:pPr>
        <w:spacing w:line="240" w:lineRule="auto"/>
        <w:jc w:val="both"/>
        <w:rPr>
          <w:rFonts w:cs="Times New Roman"/>
          <w:b/>
          <w:bCs/>
          <w:szCs w:val="24"/>
        </w:rPr>
      </w:pPr>
      <w:r w:rsidRPr="00393437">
        <w:rPr>
          <w:rFonts w:cs="Times New Roman"/>
          <w:b/>
          <w:bCs/>
          <w:szCs w:val="24"/>
        </w:rPr>
        <w:lastRenderedPageBreak/>
        <w:t xml:space="preserve">Figure </w:t>
      </w:r>
      <w:r w:rsidR="00CE7523" w:rsidRPr="00393437">
        <w:rPr>
          <w:rFonts w:cs="Times New Roman"/>
          <w:b/>
          <w:bCs/>
          <w:szCs w:val="24"/>
        </w:rPr>
        <w:t>4</w:t>
      </w:r>
      <w:r w:rsidRPr="00393437">
        <w:rPr>
          <w:rFonts w:cs="Times New Roman"/>
          <w:b/>
          <w:bCs/>
          <w:szCs w:val="24"/>
        </w:rPr>
        <w:t xml:space="preserve">: Stages of osteoporosis </w:t>
      </w:r>
    </w:p>
    <w:p w14:paraId="53D0DB10" w14:textId="76722195" w:rsidR="008B4336" w:rsidRPr="00393437" w:rsidRDefault="008B4336" w:rsidP="002B6FE4">
      <w:pPr>
        <w:spacing w:line="240" w:lineRule="auto"/>
        <w:jc w:val="both"/>
        <w:rPr>
          <w:rFonts w:cs="Times New Roman"/>
          <w:szCs w:val="24"/>
        </w:rPr>
      </w:pPr>
      <w:r w:rsidRPr="00393437">
        <w:rPr>
          <w:rFonts w:cs="Times New Roman"/>
          <w:noProof/>
          <w:szCs w:val="24"/>
          <w:lang w:eastAsia="en-GB"/>
        </w:rPr>
        <w:drawing>
          <wp:inline distT="0" distB="0" distL="0" distR="0" wp14:anchorId="789685C8" wp14:editId="1A276DB9">
            <wp:extent cx="2870421" cy="2870421"/>
            <wp:effectExtent l="0" t="0" r="6350" b="6350"/>
            <wp:docPr id="14" name="Picture 14" descr="Fig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Fig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70509" cy="2870509"/>
                    </a:xfrm>
                    <a:prstGeom prst="rect">
                      <a:avLst/>
                    </a:prstGeom>
                    <a:noFill/>
                    <a:ln>
                      <a:noFill/>
                    </a:ln>
                  </pic:spPr>
                </pic:pic>
              </a:graphicData>
            </a:graphic>
          </wp:inline>
        </w:drawing>
      </w:r>
    </w:p>
    <w:p w14:paraId="0FF58A6A" w14:textId="25B12B49" w:rsidR="00F85EAE" w:rsidRPr="00393437" w:rsidRDefault="008B4336" w:rsidP="002B6FE4">
      <w:pPr>
        <w:spacing w:line="240" w:lineRule="auto"/>
        <w:jc w:val="both"/>
        <w:rPr>
          <w:rFonts w:cs="Times New Roman"/>
          <w:szCs w:val="24"/>
        </w:rPr>
      </w:pPr>
      <w:r w:rsidRPr="00393437">
        <w:rPr>
          <w:rFonts w:cs="Times New Roman"/>
          <w:szCs w:val="24"/>
        </w:rPr>
        <w:t xml:space="preserve">Copyright </w:t>
      </w:r>
      <w:proofErr w:type="gramStart"/>
      <w:r w:rsidRPr="00393437">
        <w:rPr>
          <w:rFonts w:cs="Times New Roman"/>
          <w:szCs w:val="24"/>
        </w:rPr>
        <w:t>by:</w:t>
      </w:r>
      <w:proofErr w:type="gramEnd"/>
      <w:r w:rsidRPr="00393437">
        <w:rPr>
          <w:rFonts w:cs="Times New Roman"/>
          <w:szCs w:val="24"/>
        </w:rPr>
        <w:t xml:space="preserve"> Shutterstock</w:t>
      </w:r>
    </w:p>
    <w:p w14:paraId="73CBB20C" w14:textId="001ECB4F" w:rsidR="00E10579" w:rsidRPr="00393437" w:rsidRDefault="00C67CD8" w:rsidP="002B6FE4">
      <w:pPr>
        <w:spacing w:after="173" w:line="240" w:lineRule="auto"/>
        <w:jc w:val="both"/>
        <w:rPr>
          <w:rFonts w:cs="Times New Roman"/>
          <w:szCs w:val="24"/>
        </w:rPr>
      </w:pPr>
      <w:r w:rsidRPr="00393437">
        <w:rPr>
          <w:rFonts w:cs="Times New Roman"/>
          <w:szCs w:val="24"/>
        </w:rPr>
        <w:t>In regards to the selection of appropri</w:t>
      </w:r>
      <w:r w:rsidR="006F0CC4" w:rsidRPr="00393437">
        <w:rPr>
          <w:rFonts w:cs="Times New Roman"/>
          <w:szCs w:val="24"/>
        </w:rPr>
        <w:t xml:space="preserve">ate classification of fracture </w:t>
      </w:r>
      <w:r w:rsidR="006F0CC4" w:rsidRPr="00393437">
        <w:rPr>
          <w:rFonts w:eastAsia="Times New Roman" w:cs="Times New Roman"/>
          <w:szCs w:val="24"/>
        </w:rPr>
        <w:t xml:space="preserve">Meena et al (2014) and </w:t>
      </w:r>
      <w:hyperlink r:id="rId13" w:history="1">
        <w:proofErr w:type="spellStart"/>
        <w:r w:rsidRPr="00393437">
          <w:rPr>
            <w:rStyle w:val="Hyperlink"/>
            <w:rFonts w:cs="Times New Roman"/>
            <w:color w:val="auto"/>
            <w:szCs w:val="24"/>
            <w:u w:val="none"/>
          </w:rPr>
          <w:t>Shehovych</w:t>
        </w:r>
        <w:proofErr w:type="spellEnd"/>
      </w:hyperlink>
      <w:r w:rsidR="006F0CC4" w:rsidRPr="00393437">
        <w:rPr>
          <w:rFonts w:cs="Times New Roman"/>
          <w:szCs w:val="24"/>
        </w:rPr>
        <w:t xml:space="preserve"> et al (2016) recogni</w:t>
      </w:r>
      <w:r w:rsidR="00511B6B" w:rsidRPr="00393437">
        <w:rPr>
          <w:rFonts w:cs="Times New Roman"/>
          <w:szCs w:val="24"/>
        </w:rPr>
        <w:t>s</w:t>
      </w:r>
      <w:r w:rsidR="006F0CC4" w:rsidRPr="00393437">
        <w:rPr>
          <w:rFonts w:cs="Times New Roman"/>
          <w:szCs w:val="24"/>
        </w:rPr>
        <w:t xml:space="preserve">ed </w:t>
      </w:r>
      <w:r w:rsidR="009D6DFF" w:rsidRPr="00393437">
        <w:rPr>
          <w:rFonts w:cs="Times New Roman"/>
          <w:szCs w:val="24"/>
        </w:rPr>
        <w:t>the Orthopaedic Trauma Association (</w:t>
      </w:r>
      <w:r w:rsidR="006F0CC4" w:rsidRPr="00393437">
        <w:rPr>
          <w:rFonts w:cs="Times New Roman"/>
          <w:szCs w:val="24"/>
        </w:rPr>
        <w:t>AO/OTA</w:t>
      </w:r>
      <w:r w:rsidR="009D6DFF" w:rsidRPr="00393437">
        <w:rPr>
          <w:rFonts w:cs="Times New Roman"/>
          <w:szCs w:val="24"/>
        </w:rPr>
        <w:t>)</w:t>
      </w:r>
      <w:r w:rsidR="006F0CC4" w:rsidRPr="00393437">
        <w:rPr>
          <w:rFonts w:cs="Times New Roman"/>
          <w:szCs w:val="24"/>
        </w:rPr>
        <w:t xml:space="preserve"> system to be the most reliable for routine use</w:t>
      </w:r>
      <w:r w:rsidR="00116442" w:rsidRPr="00393437">
        <w:rPr>
          <w:rFonts w:cs="Times New Roman"/>
          <w:szCs w:val="24"/>
        </w:rPr>
        <w:t xml:space="preserve"> (see </w:t>
      </w:r>
      <w:r w:rsidR="00482EAB" w:rsidRPr="00393437">
        <w:rPr>
          <w:rFonts w:cs="Times New Roman"/>
          <w:szCs w:val="24"/>
        </w:rPr>
        <w:t>T</w:t>
      </w:r>
      <w:r w:rsidR="00116442" w:rsidRPr="00393437">
        <w:rPr>
          <w:rFonts w:cs="Times New Roman"/>
          <w:szCs w:val="24"/>
        </w:rPr>
        <w:t>able 1)</w:t>
      </w:r>
      <w:r w:rsidR="006F0CC4" w:rsidRPr="00393437">
        <w:rPr>
          <w:rFonts w:cs="Times New Roman"/>
          <w:szCs w:val="24"/>
        </w:rPr>
        <w:t>.</w:t>
      </w:r>
      <w:r w:rsidRPr="00393437">
        <w:rPr>
          <w:rFonts w:cs="Times New Roman"/>
          <w:szCs w:val="24"/>
        </w:rPr>
        <w:t xml:space="preserve"> </w:t>
      </w:r>
    </w:p>
    <w:p w14:paraId="4363DF6D" w14:textId="0DEC212F" w:rsidR="004A555F" w:rsidRPr="00393437" w:rsidRDefault="007E70B7" w:rsidP="002B6FE4">
      <w:pPr>
        <w:spacing w:after="173" w:line="240" w:lineRule="auto"/>
        <w:rPr>
          <w:rFonts w:cs="Times New Roman"/>
          <w:b/>
          <w:bCs/>
          <w:szCs w:val="24"/>
        </w:rPr>
      </w:pPr>
      <w:r w:rsidRPr="00393437">
        <w:rPr>
          <w:rFonts w:eastAsia="Times New Roman" w:cs="Times New Roman"/>
          <w:b/>
          <w:bCs/>
          <w:szCs w:val="24"/>
        </w:rPr>
        <w:t>Table 1</w:t>
      </w:r>
      <w:r w:rsidR="004A555F" w:rsidRPr="00393437">
        <w:rPr>
          <w:rFonts w:eastAsia="Times New Roman" w:cs="Times New Roman"/>
          <w:b/>
          <w:bCs/>
          <w:szCs w:val="24"/>
        </w:rPr>
        <w:t xml:space="preserve">: </w:t>
      </w:r>
      <w:r w:rsidR="004A555F" w:rsidRPr="00393437">
        <w:rPr>
          <w:rFonts w:cs="Times New Roman"/>
          <w:b/>
          <w:bCs/>
          <w:szCs w:val="24"/>
        </w:rPr>
        <w:t>The Müller AO Classification of distal radius fracture</w:t>
      </w:r>
    </w:p>
    <w:tbl>
      <w:tblPr>
        <w:tblStyle w:val="TableGrid"/>
        <w:tblW w:w="0" w:type="auto"/>
        <w:tblLook w:val="04A0" w:firstRow="1" w:lastRow="0" w:firstColumn="1" w:lastColumn="0" w:noHBand="0" w:noVBand="1"/>
      </w:tblPr>
      <w:tblGrid>
        <w:gridCol w:w="817"/>
        <w:gridCol w:w="2410"/>
        <w:gridCol w:w="5493"/>
      </w:tblGrid>
      <w:tr w:rsidR="00393437" w:rsidRPr="00393437" w14:paraId="4B48AA73" w14:textId="77777777" w:rsidTr="00116442">
        <w:trPr>
          <w:trHeight w:val="487"/>
        </w:trPr>
        <w:tc>
          <w:tcPr>
            <w:tcW w:w="8720" w:type="dxa"/>
            <w:gridSpan w:val="3"/>
            <w:shd w:val="clear" w:color="auto" w:fill="D9E2F3" w:themeFill="accent1" w:themeFillTint="33"/>
          </w:tcPr>
          <w:p w14:paraId="1E80B912" w14:textId="698846C3" w:rsidR="007E70B7" w:rsidRPr="00393437" w:rsidRDefault="007E70B7" w:rsidP="002B6FE4">
            <w:pPr>
              <w:spacing w:after="173"/>
              <w:jc w:val="center"/>
              <w:rPr>
                <w:rFonts w:cs="Times New Roman"/>
                <w:b/>
                <w:bCs/>
                <w:szCs w:val="24"/>
              </w:rPr>
            </w:pPr>
            <w:r w:rsidRPr="00393437">
              <w:rPr>
                <w:rFonts w:cs="Times New Roman"/>
                <w:b/>
                <w:bCs/>
                <w:szCs w:val="24"/>
              </w:rPr>
              <w:t>23 Distal Radius fracture</w:t>
            </w:r>
          </w:p>
        </w:tc>
      </w:tr>
      <w:tr w:rsidR="00393437" w:rsidRPr="00393437" w14:paraId="046C3E70" w14:textId="77777777" w:rsidTr="00116442">
        <w:tc>
          <w:tcPr>
            <w:tcW w:w="817" w:type="dxa"/>
            <w:shd w:val="clear" w:color="auto" w:fill="EDEDED" w:themeFill="accent3" w:themeFillTint="33"/>
          </w:tcPr>
          <w:p w14:paraId="3DBFDF7C" w14:textId="2C0F94B0" w:rsidR="007E70B7" w:rsidRPr="00393437" w:rsidRDefault="007E70B7" w:rsidP="00F070A8">
            <w:pPr>
              <w:spacing w:after="173"/>
              <w:rPr>
                <w:rFonts w:cs="Times New Roman"/>
                <w:bCs/>
                <w:szCs w:val="24"/>
              </w:rPr>
            </w:pPr>
            <w:r w:rsidRPr="00393437">
              <w:rPr>
                <w:rFonts w:cs="Times New Roman"/>
                <w:bCs/>
                <w:szCs w:val="24"/>
              </w:rPr>
              <w:t>23-A</w:t>
            </w:r>
          </w:p>
        </w:tc>
        <w:tc>
          <w:tcPr>
            <w:tcW w:w="2410" w:type="dxa"/>
            <w:shd w:val="clear" w:color="auto" w:fill="EDEDED" w:themeFill="accent3" w:themeFillTint="33"/>
          </w:tcPr>
          <w:p w14:paraId="04ED6C7F" w14:textId="6CC7E25A" w:rsidR="007E70B7" w:rsidRPr="00393437" w:rsidRDefault="007E70B7" w:rsidP="00F070A8">
            <w:pPr>
              <w:spacing w:after="173"/>
              <w:rPr>
                <w:rFonts w:cs="Times New Roman"/>
                <w:bCs/>
                <w:szCs w:val="24"/>
              </w:rPr>
            </w:pPr>
            <w:r w:rsidRPr="00393437">
              <w:rPr>
                <w:rFonts w:cs="Times New Roman"/>
                <w:bCs/>
                <w:szCs w:val="24"/>
              </w:rPr>
              <w:t>Extraarticular fracture</w:t>
            </w:r>
          </w:p>
        </w:tc>
        <w:tc>
          <w:tcPr>
            <w:tcW w:w="5493" w:type="dxa"/>
            <w:shd w:val="clear" w:color="auto" w:fill="EDEDED" w:themeFill="accent3" w:themeFillTint="33"/>
          </w:tcPr>
          <w:p w14:paraId="741BCA05" w14:textId="77777777" w:rsidR="007E70B7" w:rsidRPr="00393437" w:rsidRDefault="007E70B7" w:rsidP="00F070A8">
            <w:pPr>
              <w:spacing w:after="173"/>
              <w:rPr>
                <w:rFonts w:cs="Times New Roman"/>
                <w:bCs/>
                <w:szCs w:val="24"/>
              </w:rPr>
            </w:pPr>
            <w:r w:rsidRPr="00393437">
              <w:rPr>
                <w:rFonts w:cs="Times New Roman"/>
                <w:bCs/>
                <w:szCs w:val="24"/>
              </w:rPr>
              <w:t xml:space="preserve">23-A1 ulna </w:t>
            </w:r>
            <w:proofErr w:type="gramStart"/>
            <w:r w:rsidRPr="00393437">
              <w:rPr>
                <w:rFonts w:cs="Times New Roman"/>
                <w:bCs/>
                <w:szCs w:val="24"/>
              </w:rPr>
              <w:t>fractured,</w:t>
            </w:r>
            <w:proofErr w:type="gramEnd"/>
            <w:r w:rsidRPr="00393437">
              <w:rPr>
                <w:rFonts w:cs="Times New Roman"/>
                <w:bCs/>
                <w:szCs w:val="24"/>
              </w:rPr>
              <w:t xml:space="preserve"> radius intact</w:t>
            </w:r>
          </w:p>
          <w:p w14:paraId="692216ED" w14:textId="77777777" w:rsidR="007E70B7" w:rsidRPr="00393437" w:rsidRDefault="007E70B7" w:rsidP="00F070A8">
            <w:pPr>
              <w:spacing w:after="173"/>
              <w:rPr>
                <w:rFonts w:cs="Times New Roman"/>
                <w:bCs/>
                <w:szCs w:val="24"/>
              </w:rPr>
            </w:pPr>
            <w:r w:rsidRPr="00393437">
              <w:rPr>
                <w:rFonts w:cs="Times New Roman"/>
                <w:bCs/>
                <w:szCs w:val="24"/>
              </w:rPr>
              <w:t>23-A2 radius, simple and impacted</w:t>
            </w:r>
          </w:p>
          <w:p w14:paraId="64E6C6FA" w14:textId="74CC96C7" w:rsidR="007E70B7" w:rsidRPr="00393437" w:rsidRDefault="007E70B7" w:rsidP="00F070A8">
            <w:pPr>
              <w:spacing w:after="173"/>
              <w:rPr>
                <w:rFonts w:cs="Times New Roman"/>
                <w:bCs/>
                <w:szCs w:val="24"/>
              </w:rPr>
            </w:pPr>
            <w:r w:rsidRPr="00393437">
              <w:rPr>
                <w:rFonts w:cs="Times New Roman"/>
                <w:bCs/>
                <w:szCs w:val="24"/>
              </w:rPr>
              <w:t xml:space="preserve">23-A3 radius, </w:t>
            </w:r>
            <w:proofErr w:type="spellStart"/>
            <w:r w:rsidRPr="00393437">
              <w:rPr>
                <w:rFonts w:cs="Times New Roman"/>
                <w:bCs/>
                <w:szCs w:val="24"/>
              </w:rPr>
              <w:t>multifragmentary</w:t>
            </w:r>
            <w:proofErr w:type="spellEnd"/>
            <w:r w:rsidRPr="00393437">
              <w:rPr>
                <w:rFonts w:cs="Times New Roman"/>
                <w:bCs/>
                <w:szCs w:val="24"/>
              </w:rPr>
              <w:t xml:space="preserve"> </w:t>
            </w:r>
          </w:p>
        </w:tc>
      </w:tr>
      <w:tr w:rsidR="00393437" w:rsidRPr="00393437" w14:paraId="1A442A9E" w14:textId="77777777" w:rsidTr="00116442">
        <w:tc>
          <w:tcPr>
            <w:tcW w:w="817" w:type="dxa"/>
            <w:shd w:val="clear" w:color="auto" w:fill="DBDBDB" w:themeFill="accent3" w:themeFillTint="66"/>
          </w:tcPr>
          <w:p w14:paraId="47A40B74" w14:textId="67C14A59" w:rsidR="007E70B7" w:rsidRPr="00393437" w:rsidRDefault="007E70B7" w:rsidP="00F070A8">
            <w:pPr>
              <w:spacing w:after="173"/>
              <w:rPr>
                <w:rFonts w:cs="Times New Roman"/>
                <w:bCs/>
                <w:szCs w:val="24"/>
              </w:rPr>
            </w:pPr>
            <w:r w:rsidRPr="00393437">
              <w:rPr>
                <w:rFonts w:cs="Times New Roman"/>
                <w:bCs/>
                <w:szCs w:val="24"/>
              </w:rPr>
              <w:t>23-B</w:t>
            </w:r>
          </w:p>
        </w:tc>
        <w:tc>
          <w:tcPr>
            <w:tcW w:w="2410" w:type="dxa"/>
            <w:shd w:val="clear" w:color="auto" w:fill="DBDBDB" w:themeFill="accent3" w:themeFillTint="66"/>
          </w:tcPr>
          <w:p w14:paraId="7B5846E4" w14:textId="5B6A3AC5" w:rsidR="007E70B7" w:rsidRPr="00393437" w:rsidRDefault="007E70B7" w:rsidP="00F070A8">
            <w:pPr>
              <w:spacing w:after="173"/>
              <w:rPr>
                <w:rFonts w:cs="Times New Roman"/>
                <w:bCs/>
                <w:szCs w:val="24"/>
              </w:rPr>
            </w:pPr>
            <w:r w:rsidRPr="00393437">
              <w:rPr>
                <w:rFonts w:cs="Times New Roman"/>
                <w:bCs/>
                <w:szCs w:val="24"/>
              </w:rPr>
              <w:t xml:space="preserve">Partial articular fracture of </w:t>
            </w:r>
            <w:r w:rsidR="00511B6B" w:rsidRPr="00393437">
              <w:rPr>
                <w:rFonts w:cs="Times New Roman"/>
                <w:bCs/>
                <w:szCs w:val="24"/>
              </w:rPr>
              <w:t xml:space="preserve">the </w:t>
            </w:r>
            <w:r w:rsidRPr="00393437">
              <w:rPr>
                <w:rFonts w:cs="Times New Roman"/>
                <w:bCs/>
                <w:szCs w:val="24"/>
              </w:rPr>
              <w:t>radius</w:t>
            </w:r>
          </w:p>
        </w:tc>
        <w:tc>
          <w:tcPr>
            <w:tcW w:w="5493" w:type="dxa"/>
            <w:shd w:val="clear" w:color="auto" w:fill="DBDBDB" w:themeFill="accent3" w:themeFillTint="66"/>
          </w:tcPr>
          <w:p w14:paraId="40D6CAE4" w14:textId="77777777" w:rsidR="007E70B7" w:rsidRPr="00393437" w:rsidRDefault="007E70B7" w:rsidP="00F070A8">
            <w:pPr>
              <w:spacing w:after="173"/>
              <w:rPr>
                <w:rFonts w:cs="Times New Roman"/>
                <w:bCs/>
                <w:szCs w:val="24"/>
              </w:rPr>
            </w:pPr>
            <w:r w:rsidRPr="00393437">
              <w:rPr>
                <w:rFonts w:cs="Times New Roman"/>
                <w:bCs/>
                <w:szCs w:val="24"/>
              </w:rPr>
              <w:t>23-B1 sagittal</w:t>
            </w:r>
          </w:p>
          <w:p w14:paraId="24FE9DCC" w14:textId="77777777" w:rsidR="007E70B7" w:rsidRPr="00393437" w:rsidRDefault="007E70B7" w:rsidP="00F070A8">
            <w:pPr>
              <w:spacing w:after="173"/>
              <w:rPr>
                <w:rFonts w:cs="Times New Roman"/>
                <w:bCs/>
                <w:szCs w:val="24"/>
              </w:rPr>
            </w:pPr>
            <w:r w:rsidRPr="00393437">
              <w:rPr>
                <w:rFonts w:cs="Times New Roman"/>
                <w:bCs/>
                <w:szCs w:val="24"/>
              </w:rPr>
              <w:t>23-B2 Coronal, dorsal rim</w:t>
            </w:r>
          </w:p>
          <w:p w14:paraId="37A6EFA4" w14:textId="142725E7" w:rsidR="007E70B7" w:rsidRPr="00393437" w:rsidRDefault="007E70B7" w:rsidP="00F070A8">
            <w:pPr>
              <w:spacing w:after="173"/>
              <w:rPr>
                <w:rFonts w:cs="Times New Roman"/>
                <w:bCs/>
                <w:szCs w:val="24"/>
              </w:rPr>
            </w:pPr>
            <w:r w:rsidRPr="00393437">
              <w:rPr>
                <w:rFonts w:cs="Times New Roman"/>
                <w:bCs/>
                <w:szCs w:val="24"/>
              </w:rPr>
              <w:t>23-B3 coronal, palmar rim</w:t>
            </w:r>
          </w:p>
        </w:tc>
      </w:tr>
      <w:tr w:rsidR="00393437" w:rsidRPr="00393437" w14:paraId="75561E49" w14:textId="77777777" w:rsidTr="00116442">
        <w:tc>
          <w:tcPr>
            <w:tcW w:w="817" w:type="dxa"/>
            <w:shd w:val="clear" w:color="auto" w:fill="C9C9C9" w:themeFill="accent3" w:themeFillTint="99"/>
          </w:tcPr>
          <w:p w14:paraId="4423A02D" w14:textId="77C30E8C" w:rsidR="007E70B7" w:rsidRPr="00393437" w:rsidRDefault="007E70B7" w:rsidP="00F070A8">
            <w:pPr>
              <w:spacing w:after="173"/>
              <w:rPr>
                <w:rFonts w:cs="Times New Roman"/>
                <w:bCs/>
                <w:szCs w:val="24"/>
              </w:rPr>
            </w:pPr>
            <w:r w:rsidRPr="00393437">
              <w:rPr>
                <w:rFonts w:cs="Times New Roman"/>
                <w:bCs/>
                <w:szCs w:val="24"/>
              </w:rPr>
              <w:t>23-C</w:t>
            </w:r>
          </w:p>
        </w:tc>
        <w:tc>
          <w:tcPr>
            <w:tcW w:w="2410" w:type="dxa"/>
            <w:shd w:val="clear" w:color="auto" w:fill="C9C9C9" w:themeFill="accent3" w:themeFillTint="99"/>
          </w:tcPr>
          <w:p w14:paraId="25C4C1B4" w14:textId="155D9047" w:rsidR="007E70B7" w:rsidRPr="00393437" w:rsidRDefault="007E70B7" w:rsidP="00F070A8">
            <w:pPr>
              <w:spacing w:after="173"/>
              <w:rPr>
                <w:rFonts w:cs="Times New Roman"/>
                <w:bCs/>
                <w:szCs w:val="24"/>
              </w:rPr>
            </w:pPr>
            <w:r w:rsidRPr="00393437">
              <w:rPr>
                <w:rFonts w:cs="Times New Roman"/>
                <w:bCs/>
                <w:szCs w:val="24"/>
              </w:rPr>
              <w:t xml:space="preserve">Complete articular fracture of </w:t>
            </w:r>
            <w:r w:rsidR="00511B6B" w:rsidRPr="00393437">
              <w:rPr>
                <w:rFonts w:cs="Times New Roman"/>
                <w:bCs/>
                <w:szCs w:val="24"/>
              </w:rPr>
              <w:t xml:space="preserve">the </w:t>
            </w:r>
            <w:r w:rsidRPr="00393437">
              <w:rPr>
                <w:rFonts w:cs="Times New Roman"/>
                <w:bCs/>
                <w:szCs w:val="24"/>
              </w:rPr>
              <w:t>radius</w:t>
            </w:r>
          </w:p>
        </w:tc>
        <w:tc>
          <w:tcPr>
            <w:tcW w:w="5493" w:type="dxa"/>
            <w:shd w:val="clear" w:color="auto" w:fill="C9C9C9" w:themeFill="accent3" w:themeFillTint="99"/>
          </w:tcPr>
          <w:p w14:paraId="29AFFECC" w14:textId="77777777" w:rsidR="007E70B7" w:rsidRPr="00393437" w:rsidRDefault="007E70B7" w:rsidP="00F070A8">
            <w:pPr>
              <w:spacing w:after="173"/>
              <w:rPr>
                <w:rFonts w:cs="Times New Roman"/>
                <w:bCs/>
                <w:szCs w:val="24"/>
              </w:rPr>
            </w:pPr>
            <w:r w:rsidRPr="00393437">
              <w:rPr>
                <w:rFonts w:cs="Times New Roman"/>
                <w:bCs/>
                <w:szCs w:val="24"/>
              </w:rPr>
              <w:t>23-C1 articular simple, metaphyseal simple</w:t>
            </w:r>
          </w:p>
          <w:p w14:paraId="13B9550D" w14:textId="447BFF55" w:rsidR="007E70B7" w:rsidRPr="00393437" w:rsidRDefault="007E70B7" w:rsidP="00F070A8">
            <w:pPr>
              <w:spacing w:after="173"/>
              <w:rPr>
                <w:rFonts w:cs="Times New Roman"/>
                <w:bCs/>
                <w:szCs w:val="24"/>
              </w:rPr>
            </w:pPr>
            <w:r w:rsidRPr="00393437">
              <w:rPr>
                <w:rFonts w:cs="Times New Roman"/>
                <w:bCs/>
                <w:szCs w:val="24"/>
              </w:rPr>
              <w:t xml:space="preserve">23-C2 articular simple, metaphyseal </w:t>
            </w:r>
            <w:proofErr w:type="spellStart"/>
            <w:r w:rsidRPr="00393437">
              <w:rPr>
                <w:rFonts w:cs="Times New Roman"/>
                <w:bCs/>
                <w:szCs w:val="24"/>
              </w:rPr>
              <w:t>multifragmentary</w:t>
            </w:r>
            <w:proofErr w:type="spellEnd"/>
          </w:p>
          <w:p w14:paraId="4A0322AD" w14:textId="7F52555E" w:rsidR="007E70B7" w:rsidRPr="00393437" w:rsidRDefault="007E70B7" w:rsidP="00F070A8">
            <w:pPr>
              <w:spacing w:after="173"/>
              <w:rPr>
                <w:rFonts w:cs="Times New Roman"/>
                <w:bCs/>
                <w:szCs w:val="24"/>
              </w:rPr>
            </w:pPr>
            <w:r w:rsidRPr="00393437">
              <w:rPr>
                <w:rFonts w:cs="Times New Roman"/>
                <w:bCs/>
                <w:szCs w:val="24"/>
              </w:rPr>
              <w:lastRenderedPageBreak/>
              <w:t xml:space="preserve">23-C3 articular </w:t>
            </w:r>
            <w:proofErr w:type="spellStart"/>
            <w:r w:rsidRPr="00393437">
              <w:rPr>
                <w:rFonts w:cs="Times New Roman"/>
                <w:bCs/>
                <w:szCs w:val="24"/>
              </w:rPr>
              <w:t>multifragmentary</w:t>
            </w:r>
            <w:proofErr w:type="spellEnd"/>
          </w:p>
        </w:tc>
      </w:tr>
    </w:tbl>
    <w:p w14:paraId="6FBAD274" w14:textId="0E9B70D2" w:rsidR="0079790A" w:rsidRPr="00393437" w:rsidRDefault="001F3DBE" w:rsidP="002B6FE4">
      <w:pPr>
        <w:spacing w:after="173" w:line="240" w:lineRule="auto"/>
        <w:rPr>
          <w:rFonts w:eastAsia="Times New Roman" w:cs="Times New Roman"/>
          <w:szCs w:val="24"/>
        </w:rPr>
      </w:pPr>
      <w:r w:rsidRPr="00393437">
        <w:rPr>
          <w:rFonts w:cs="Times New Roman"/>
          <w:szCs w:val="24"/>
        </w:rPr>
        <w:lastRenderedPageBreak/>
        <w:t>(</w:t>
      </w:r>
      <w:r w:rsidR="000C3A63" w:rsidRPr="00393437">
        <w:rPr>
          <w:rFonts w:cs="Times New Roman"/>
          <w:szCs w:val="24"/>
        </w:rPr>
        <w:t>Adapted from</w:t>
      </w:r>
      <w:r w:rsidR="00156AEB" w:rsidRPr="00393437">
        <w:rPr>
          <w:rFonts w:cs="Times New Roman"/>
          <w:szCs w:val="24"/>
        </w:rPr>
        <w:t xml:space="preserve"> </w:t>
      </w:r>
      <w:r w:rsidR="00224210" w:rsidRPr="00393437">
        <w:rPr>
          <w:rFonts w:cs="Times New Roman"/>
          <w:szCs w:val="24"/>
        </w:rPr>
        <w:t>A</w:t>
      </w:r>
      <w:r w:rsidR="00511B6B" w:rsidRPr="00393437">
        <w:rPr>
          <w:rFonts w:cs="Times New Roman"/>
          <w:szCs w:val="24"/>
        </w:rPr>
        <w:t>.O.</w:t>
      </w:r>
      <w:r w:rsidR="00224210" w:rsidRPr="00393437">
        <w:rPr>
          <w:rFonts w:cs="Times New Roman"/>
          <w:szCs w:val="24"/>
        </w:rPr>
        <w:t xml:space="preserve"> Foundation</w:t>
      </w:r>
      <w:r w:rsidR="00156AEB" w:rsidRPr="00393437">
        <w:rPr>
          <w:rFonts w:cs="Times New Roman"/>
          <w:szCs w:val="24"/>
        </w:rPr>
        <w:t xml:space="preserve"> 2019</w:t>
      </w:r>
      <w:r w:rsidR="00691013" w:rsidRPr="00393437">
        <w:rPr>
          <w:rFonts w:cs="Times New Roman"/>
          <w:szCs w:val="24"/>
        </w:rPr>
        <w:t>)</w:t>
      </w:r>
      <w:r w:rsidR="009F5BDE" w:rsidRPr="00393437">
        <w:rPr>
          <w:rFonts w:cs="Times New Roman"/>
          <w:szCs w:val="24"/>
        </w:rPr>
        <w:t>.</w:t>
      </w:r>
    </w:p>
    <w:p w14:paraId="71F63123" w14:textId="2DC5BD69" w:rsidR="00FF7E67" w:rsidRPr="00393437" w:rsidRDefault="002761C9" w:rsidP="002B6FE4">
      <w:pPr>
        <w:spacing w:line="240" w:lineRule="auto"/>
        <w:jc w:val="both"/>
        <w:rPr>
          <w:rFonts w:cs="Times New Roman"/>
          <w:szCs w:val="24"/>
        </w:rPr>
      </w:pPr>
      <w:r w:rsidRPr="00393437">
        <w:rPr>
          <w:rFonts w:eastAsia="Times New Roman" w:cs="Times New Roman"/>
          <w:szCs w:val="24"/>
        </w:rPr>
        <w:t>Emma</w:t>
      </w:r>
      <w:r w:rsidR="00E2173E" w:rsidRPr="00393437">
        <w:rPr>
          <w:rFonts w:eastAsia="Times New Roman" w:cs="Times New Roman"/>
          <w:szCs w:val="24"/>
        </w:rPr>
        <w:t>'</w:t>
      </w:r>
      <w:r w:rsidRPr="00393437">
        <w:rPr>
          <w:rFonts w:eastAsia="Times New Roman" w:cs="Times New Roman"/>
          <w:szCs w:val="24"/>
        </w:rPr>
        <w:t xml:space="preserve">s </w:t>
      </w:r>
      <w:r w:rsidR="0079790A" w:rsidRPr="00393437">
        <w:rPr>
          <w:rFonts w:eastAsia="Times New Roman" w:cs="Times New Roman"/>
          <w:szCs w:val="24"/>
        </w:rPr>
        <w:t>X-ray</w:t>
      </w:r>
      <w:r w:rsidR="00F65715" w:rsidRPr="00393437">
        <w:rPr>
          <w:rFonts w:eastAsia="Times New Roman" w:cs="Times New Roman"/>
          <w:szCs w:val="24"/>
        </w:rPr>
        <w:t xml:space="preserve"> scan</w:t>
      </w:r>
      <w:r w:rsidRPr="00393437">
        <w:rPr>
          <w:rFonts w:eastAsia="Times New Roman" w:cs="Times New Roman"/>
          <w:szCs w:val="24"/>
        </w:rPr>
        <w:t xml:space="preserve"> showed</w:t>
      </w:r>
      <w:r w:rsidR="0079790A" w:rsidRPr="00393437">
        <w:rPr>
          <w:rFonts w:eastAsia="Times New Roman" w:cs="Times New Roman"/>
          <w:szCs w:val="24"/>
        </w:rPr>
        <w:t xml:space="preserve">: </w:t>
      </w:r>
      <w:r w:rsidR="00511B6B" w:rsidRPr="00393437">
        <w:rPr>
          <w:rFonts w:eastAsia="Times New Roman" w:cs="Times New Roman"/>
          <w:szCs w:val="24"/>
        </w:rPr>
        <w:t>"</w:t>
      </w:r>
      <w:r w:rsidR="00F32129" w:rsidRPr="00393437">
        <w:rPr>
          <w:rFonts w:cs="Times New Roman"/>
          <w:szCs w:val="24"/>
        </w:rPr>
        <w:t xml:space="preserve">Impacted fracture of the distal radius with </w:t>
      </w:r>
      <w:r w:rsidR="00511B6B" w:rsidRPr="00393437">
        <w:rPr>
          <w:rFonts w:cs="Times New Roman"/>
          <w:szCs w:val="24"/>
        </w:rPr>
        <w:t xml:space="preserve">the </w:t>
      </w:r>
      <w:r w:rsidR="00F32129" w:rsidRPr="00393437">
        <w:rPr>
          <w:rFonts w:cs="Times New Roman"/>
          <w:szCs w:val="24"/>
        </w:rPr>
        <w:t>proximal linear extension of the fracture line</w:t>
      </w:r>
      <w:r w:rsidR="00722B2D" w:rsidRPr="00393437">
        <w:rPr>
          <w:rFonts w:cs="Times New Roman"/>
          <w:szCs w:val="24"/>
        </w:rPr>
        <w:t>;</w:t>
      </w:r>
      <w:r w:rsidR="00F32129" w:rsidRPr="00393437">
        <w:rPr>
          <w:rFonts w:cs="Times New Roman"/>
          <w:szCs w:val="24"/>
        </w:rPr>
        <w:t xml:space="preserve"> </w:t>
      </w:r>
      <w:proofErr w:type="gramStart"/>
      <w:r w:rsidR="00F32129" w:rsidRPr="00393437">
        <w:rPr>
          <w:rFonts w:cs="Times New Roman"/>
          <w:szCs w:val="24"/>
        </w:rPr>
        <w:t>also</w:t>
      </w:r>
      <w:proofErr w:type="gramEnd"/>
      <w:r w:rsidR="00F32129" w:rsidRPr="00393437">
        <w:rPr>
          <w:rFonts w:cs="Times New Roman"/>
          <w:szCs w:val="24"/>
        </w:rPr>
        <w:t xml:space="preserve"> mildly </w:t>
      </w:r>
      <w:r w:rsidR="008A44AA" w:rsidRPr="00393437">
        <w:rPr>
          <w:rFonts w:cs="Times New Roman"/>
          <w:szCs w:val="24"/>
        </w:rPr>
        <w:t>comminute</w:t>
      </w:r>
      <w:r w:rsidR="00F32129" w:rsidRPr="00393437">
        <w:rPr>
          <w:rFonts w:cs="Times New Roman"/>
          <w:szCs w:val="24"/>
        </w:rPr>
        <w:t>/spiral fracture of the distal third</w:t>
      </w:r>
      <w:r w:rsidR="00722B2D" w:rsidRPr="00393437">
        <w:rPr>
          <w:rFonts w:cs="Times New Roman"/>
          <w:szCs w:val="24"/>
        </w:rPr>
        <w:t xml:space="preserve"> of the ulna, with dorsal displacement of the distal fracture fragments. Generali</w:t>
      </w:r>
      <w:r w:rsidR="00156AEB" w:rsidRPr="00393437">
        <w:rPr>
          <w:rFonts w:cs="Times New Roman"/>
          <w:szCs w:val="24"/>
        </w:rPr>
        <w:t>s</w:t>
      </w:r>
      <w:r w:rsidR="00722B2D" w:rsidRPr="00393437">
        <w:rPr>
          <w:rFonts w:cs="Times New Roman"/>
          <w:szCs w:val="24"/>
        </w:rPr>
        <w:t>ed osteopenia</w:t>
      </w:r>
      <w:r w:rsidR="00511B6B" w:rsidRPr="00393437">
        <w:rPr>
          <w:rFonts w:cs="Times New Roman"/>
          <w:szCs w:val="24"/>
        </w:rPr>
        <w:t>"</w:t>
      </w:r>
      <w:r w:rsidR="0079790A" w:rsidRPr="00393437">
        <w:rPr>
          <w:rFonts w:cs="Times New Roman"/>
          <w:szCs w:val="24"/>
        </w:rPr>
        <w:t xml:space="preserve">. </w:t>
      </w:r>
    </w:p>
    <w:p w14:paraId="04468B8A" w14:textId="1BED77AA" w:rsidR="004C071E" w:rsidRPr="00393437" w:rsidRDefault="00BD733A" w:rsidP="002B6FE4">
      <w:pPr>
        <w:spacing w:line="240" w:lineRule="auto"/>
        <w:jc w:val="both"/>
        <w:rPr>
          <w:rFonts w:cs="Times New Roman"/>
          <w:szCs w:val="24"/>
        </w:rPr>
      </w:pPr>
      <w:r w:rsidRPr="00393437">
        <w:rPr>
          <w:rFonts w:cs="Times New Roman"/>
          <w:szCs w:val="24"/>
        </w:rPr>
        <w:t xml:space="preserve">The aim of fracture management </w:t>
      </w:r>
      <w:r w:rsidR="00462B58" w:rsidRPr="00393437">
        <w:rPr>
          <w:rFonts w:cs="Times New Roman"/>
          <w:szCs w:val="24"/>
        </w:rPr>
        <w:t>is always base</w:t>
      </w:r>
      <w:r w:rsidR="00156AEB" w:rsidRPr="00393437">
        <w:rPr>
          <w:rFonts w:cs="Times New Roman"/>
          <w:szCs w:val="24"/>
        </w:rPr>
        <w:t>d</w:t>
      </w:r>
      <w:r w:rsidR="00462B58" w:rsidRPr="00393437">
        <w:rPr>
          <w:rFonts w:cs="Times New Roman"/>
          <w:szCs w:val="24"/>
        </w:rPr>
        <w:t xml:space="preserve"> on</w:t>
      </w:r>
      <w:r w:rsidRPr="00393437">
        <w:rPr>
          <w:rFonts w:cs="Times New Roman"/>
          <w:szCs w:val="24"/>
        </w:rPr>
        <w:t xml:space="preserve"> achiev</w:t>
      </w:r>
      <w:r w:rsidR="00462B58" w:rsidRPr="00393437">
        <w:rPr>
          <w:rFonts w:cs="Times New Roman"/>
          <w:szCs w:val="24"/>
        </w:rPr>
        <w:t>ing</w:t>
      </w:r>
      <w:r w:rsidRPr="00393437">
        <w:rPr>
          <w:rFonts w:cs="Times New Roman"/>
          <w:szCs w:val="24"/>
        </w:rPr>
        <w:t xml:space="preserve"> a pain-free mobile wrist joint with </w:t>
      </w:r>
      <w:r w:rsidR="00F65715" w:rsidRPr="00393437">
        <w:rPr>
          <w:rFonts w:cs="Times New Roman"/>
          <w:szCs w:val="24"/>
        </w:rPr>
        <w:t>the minimum functional impairment possible</w:t>
      </w:r>
      <w:r w:rsidR="004C071E" w:rsidRPr="00393437">
        <w:rPr>
          <w:rFonts w:cs="Times New Roman"/>
          <w:szCs w:val="24"/>
        </w:rPr>
        <w:t xml:space="preserve"> (</w:t>
      </w:r>
      <w:r w:rsidR="004C071E" w:rsidRPr="00393437">
        <w:rPr>
          <w:rFonts w:eastAsia="Times New Roman" w:cs="Times New Roman"/>
          <w:szCs w:val="24"/>
        </w:rPr>
        <w:t>Meena et al 2014)</w:t>
      </w:r>
      <w:r w:rsidR="00F65715" w:rsidRPr="00393437">
        <w:rPr>
          <w:rFonts w:cs="Times New Roman"/>
          <w:szCs w:val="24"/>
        </w:rPr>
        <w:t>.</w:t>
      </w:r>
      <w:r w:rsidR="004829A3" w:rsidRPr="00393437">
        <w:rPr>
          <w:rFonts w:cs="Times New Roman"/>
          <w:szCs w:val="24"/>
        </w:rPr>
        <w:t xml:space="preserve"> Specific techniques can be used to </w:t>
      </w:r>
      <w:r w:rsidR="00103E3F" w:rsidRPr="00393437">
        <w:rPr>
          <w:rFonts w:cs="Times New Roman"/>
          <w:szCs w:val="24"/>
        </w:rPr>
        <w:t xml:space="preserve">reach </w:t>
      </w:r>
      <w:r w:rsidR="004829A3" w:rsidRPr="00393437">
        <w:rPr>
          <w:rFonts w:cs="Times New Roman"/>
          <w:szCs w:val="24"/>
        </w:rPr>
        <w:t>this</w:t>
      </w:r>
      <w:r w:rsidR="00103E3F" w:rsidRPr="00393437">
        <w:rPr>
          <w:rFonts w:cs="Times New Roman"/>
          <w:szCs w:val="24"/>
        </w:rPr>
        <w:t xml:space="preserve"> outcome</w:t>
      </w:r>
      <w:r w:rsidR="004829A3" w:rsidRPr="00393437">
        <w:rPr>
          <w:rFonts w:cs="Times New Roman"/>
          <w:szCs w:val="24"/>
        </w:rPr>
        <w:t>, depending on the type of fracture.</w:t>
      </w:r>
      <w:r w:rsidR="00360358" w:rsidRPr="00393437">
        <w:rPr>
          <w:rFonts w:cs="Times New Roman"/>
          <w:szCs w:val="24"/>
        </w:rPr>
        <w:t xml:space="preserve"> The use of c</w:t>
      </w:r>
      <w:r w:rsidR="004829A3" w:rsidRPr="00393437">
        <w:rPr>
          <w:rFonts w:cs="Times New Roman"/>
          <w:szCs w:val="24"/>
        </w:rPr>
        <w:t xml:space="preserve">onservative </w:t>
      </w:r>
      <w:r w:rsidR="00997758" w:rsidRPr="00393437">
        <w:rPr>
          <w:rFonts w:cs="Times New Roman"/>
          <w:szCs w:val="24"/>
        </w:rPr>
        <w:t>management</w:t>
      </w:r>
      <w:r w:rsidR="004829A3" w:rsidRPr="00393437">
        <w:rPr>
          <w:rFonts w:cs="Times New Roman"/>
          <w:szCs w:val="24"/>
        </w:rPr>
        <w:t xml:space="preserve"> involves the application of a moulded plaster cast</w:t>
      </w:r>
      <w:r w:rsidR="003C4A4D" w:rsidRPr="00393437">
        <w:rPr>
          <w:rFonts w:cs="Times New Roman"/>
          <w:szCs w:val="24"/>
        </w:rPr>
        <w:t>,</w:t>
      </w:r>
      <w:r w:rsidR="004829A3" w:rsidRPr="00393437">
        <w:rPr>
          <w:rFonts w:cs="Times New Roman"/>
          <w:szCs w:val="24"/>
        </w:rPr>
        <w:t xml:space="preserve"> </w:t>
      </w:r>
      <w:r w:rsidR="00360358" w:rsidRPr="00393437">
        <w:rPr>
          <w:rFonts w:cs="Times New Roman"/>
          <w:szCs w:val="24"/>
        </w:rPr>
        <w:t>which</w:t>
      </w:r>
      <w:r w:rsidR="004829A3" w:rsidRPr="00393437">
        <w:rPr>
          <w:rFonts w:cs="Times New Roman"/>
          <w:szCs w:val="24"/>
        </w:rPr>
        <w:t xml:space="preserve"> is ideal for </w:t>
      </w:r>
      <w:r w:rsidR="00632E66" w:rsidRPr="00393437">
        <w:rPr>
          <w:rFonts w:cs="Times New Roman"/>
          <w:szCs w:val="24"/>
        </w:rPr>
        <w:t>non-</w:t>
      </w:r>
      <w:r w:rsidR="00360358" w:rsidRPr="00393437">
        <w:rPr>
          <w:rFonts w:cs="Times New Roman"/>
          <w:szCs w:val="24"/>
        </w:rPr>
        <w:t>displaced</w:t>
      </w:r>
      <w:r w:rsidR="004829A3" w:rsidRPr="00393437">
        <w:rPr>
          <w:rFonts w:cs="Times New Roman"/>
          <w:szCs w:val="24"/>
        </w:rPr>
        <w:t xml:space="preserve"> f</w:t>
      </w:r>
      <w:r w:rsidR="00FF7E67" w:rsidRPr="00393437">
        <w:rPr>
          <w:rFonts w:cs="Times New Roman"/>
          <w:szCs w:val="24"/>
        </w:rPr>
        <w:t>ractures or fractures which can</w:t>
      </w:r>
      <w:r w:rsidR="004829A3" w:rsidRPr="00393437">
        <w:rPr>
          <w:rFonts w:cs="Times New Roman"/>
          <w:szCs w:val="24"/>
        </w:rPr>
        <w:t xml:space="preserve"> be easily reduced with close</w:t>
      </w:r>
      <w:r w:rsidR="00FF7E67" w:rsidRPr="00393437">
        <w:rPr>
          <w:rFonts w:cs="Times New Roman"/>
          <w:szCs w:val="24"/>
        </w:rPr>
        <w:t>d</w:t>
      </w:r>
      <w:r w:rsidR="004829A3" w:rsidRPr="00393437">
        <w:rPr>
          <w:rFonts w:cs="Times New Roman"/>
          <w:szCs w:val="24"/>
        </w:rPr>
        <w:t xml:space="preserve"> manipulation and with</w:t>
      </w:r>
      <w:r w:rsidR="00FF7E67" w:rsidRPr="00393437">
        <w:rPr>
          <w:rFonts w:cs="Times New Roman"/>
          <w:szCs w:val="24"/>
        </w:rPr>
        <w:t xml:space="preserve"> a</w:t>
      </w:r>
      <w:r w:rsidR="004829A3" w:rsidRPr="00393437">
        <w:rPr>
          <w:rFonts w:cs="Times New Roman"/>
          <w:szCs w:val="24"/>
        </w:rPr>
        <w:t xml:space="preserve"> low tendency to re</w:t>
      </w:r>
      <w:r w:rsidR="00FD4C87" w:rsidRPr="00393437">
        <w:rPr>
          <w:rFonts w:cs="Times New Roman"/>
          <w:szCs w:val="24"/>
        </w:rPr>
        <w:t>-</w:t>
      </w:r>
      <w:r w:rsidR="004829A3" w:rsidRPr="00393437">
        <w:rPr>
          <w:rFonts w:cs="Times New Roman"/>
          <w:szCs w:val="24"/>
        </w:rPr>
        <w:t>displace (Dawson-Bowling et a</w:t>
      </w:r>
      <w:r w:rsidR="00393450" w:rsidRPr="00393437">
        <w:rPr>
          <w:rFonts w:cs="Times New Roman"/>
          <w:szCs w:val="24"/>
        </w:rPr>
        <w:t>l</w:t>
      </w:r>
      <w:r w:rsidR="004829A3" w:rsidRPr="00393437">
        <w:rPr>
          <w:rFonts w:cs="Times New Roman"/>
          <w:szCs w:val="24"/>
        </w:rPr>
        <w:t xml:space="preserve"> 2015). </w:t>
      </w:r>
      <w:r w:rsidR="008E54ED" w:rsidRPr="00393437">
        <w:rPr>
          <w:rFonts w:cs="Times New Roman"/>
          <w:szCs w:val="24"/>
        </w:rPr>
        <w:t>However</w:t>
      </w:r>
      <w:r w:rsidR="00997758" w:rsidRPr="00393437">
        <w:rPr>
          <w:rFonts w:cs="Times New Roman"/>
          <w:szCs w:val="24"/>
        </w:rPr>
        <w:t>,</w:t>
      </w:r>
      <w:r w:rsidR="008E54ED" w:rsidRPr="00393437">
        <w:rPr>
          <w:rFonts w:cs="Times New Roman"/>
          <w:szCs w:val="24"/>
        </w:rPr>
        <w:t xml:space="preserve"> when surgical fixation is needed, the insertion of Kirschner wires is a possibility only if the patient has</w:t>
      </w:r>
      <w:r w:rsidR="00511B6B" w:rsidRPr="00393437">
        <w:rPr>
          <w:rFonts w:cs="Times New Roman"/>
          <w:szCs w:val="24"/>
        </w:rPr>
        <w:t xml:space="preserve"> </w:t>
      </w:r>
      <w:r w:rsidR="008E54ED" w:rsidRPr="00393437">
        <w:rPr>
          <w:rFonts w:cs="Times New Roman"/>
          <w:szCs w:val="24"/>
        </w:rPr>
        <w:t xml:space="preserve">good bone quality and </w:t>
      </w:r>
      <w:r w:rsidR="006F6448" w:rsidRPr="00393437">
        <w:rPr>
          <w:rFonts w:cs="Times New Roman"/>
          <w:szCs w:val="24"/>
        </w:rPr>
        <w:t>enough metaphyseal support</w:t>
      </w:r>
      <w:r w:rsidR="00634F91" w:rsidRPr="00393437">
        <w:rPr>
          <w:rFonts w:cs="Times New Roman"/>
          <w:szCs w:val="24"/>
        </w:rPr>
        <w:t xml:space="preserve"> (Dawson-Bowling</w:t>
      </w:r>
      <w:r w:rsidR="00C01505" w:rsidRPr="00393437">
        <w:rPr>
          <w:rFonts w:cs="Times New Roman"/>
          <w:szCs w:val="24"/>
        </w:rPr>
        <w:t>,</w:t>
      </w:r>
      <w:r w:rsidR="00634F91" w:rsidRPr="00393437">
        <w:rPr>
          <w:rFonts w:cs="Times New Roman"/>
          <w:szCs w:val="24"/>
        </w:rPr>
        <w:t xml:space="preserve"> et al 2015)</w:t>
      </w:r>
      <w:r w:rsidR="006F6448" w:rsidRPr="00393437">
        <w:rPr>
          <w:rFonts w:cs="Times New Roman"/>
          <w:szCs w:val="24"/>
        </w:rPr>
        <w:t xml:space="preserve">. </w:t>
      </w:r>
      <w:r w:rsidR="00360358" w:rsidRPr="00393437">
        <w:rPr>
          <w:rFonts w:cs="Times New Roman"/>
          <w:szCs w:val="24"/>
        </w:rPr>
        <w:t>Otherwise</w:t>
      </w:r>
      <w:r w:rsidR="00997758" w:rsidRPr="00393437">
        <w:rPr>
          <w:rFonts w:cs="Times New Roman"/>
          <w:szCs w:val="24"/>
        </w:rPr>
        <w:t xml:space="preserve">, </w:t>
      </w:r>
      <w:r w:rsidR="00360358" w:rsidRPr="00393437">
        <w:rPr>
          <w:rFonts w:cs="Times New Roman"/>
          <w:szCs w:val="24"/>
        </w:rPr>
        <w:t xml:space="preserve">the surgeon may </w:t>
      </w:r>
      <w:r w:rsidR="00970262" w:rsidRPr="00393437">
        <w:rPr>
          <w:rFonts w:cs="Times New Roman"/>
          <w:szCs w:val="24"/>
        </w:rPr>
        <w:t>have</w:t>
      </w:r>
      <w:r w:rsidR="00360358" w:rsidRPr="00393437">
        <w:rPr>
          <w:rFonts w:cs="Times New Roman"/>
          <w:szCs w:val="24"/>
        </w:rPr>
        <w:t xml:space="preserve"> to</w:t>
      </w:r>
      <w:r w:rsidR="00FF7E67" w:rsidRPr="00393437">
        <w:rPr>
          <w:rFonts w:cs="Times New Roman"/>
          <w:szCs w:val="24"/>
        </w:rPr>
        <w:t xml:space="preserve"> carry out open reduction internal fixation (ORIF)</w:t>
      </w:r>
      <w:r w:rsidR="00360358" w:rsidRPr="00393437">
        <w:rPr>
          <w:rFonts w:cs="Times New Roman"/>
          <w:szCs w:val="24"/>
        </w:rPr>
        <w:t>,</w:t>
      </w:r>
      <w:r w:rsidR="00997758" w:rsidRPr="00393437">
        <w:rPr>
          <w:rFonts w:cs="Times New Roman"/>
          <w:szCs w:val="24"/>
        </w:rPr>
        <w:t xml:space="preserve"> </w:t>
      </w:r>
      <w:r w:rsidR="00360358" w:rsidRPr="00393437">
        <w:rPr>
          <w:rFonts w:cs="Times New Roman"/>
          <w:szCs w:val="24"/>
        </w:rPr>
        <w:t>and i</w:t>
      </w:r>
      <w:r w:rsidR="00FF7E67" w:rsidRPr="00393437">
        <w:rPr>
          <w:rFonts w:cs="Times New Roman"/>
          <w:szCs w:val="24"/>
        </w:rPr>
        <w:t>t is often found to be</w:t>
      </w:r>
      <w:r w:rsidR="00360358" w:rsidRPr="00393437">
        <w:rPr>
          <w:rFonts w:cs="Times New Roman"/>
          <w:szCs w:val="24"/>
        </w:rPr>
        <w:t xml:space="preserve"> the</w:t>
      </w:r>
      <w:r w:rsidR="00997758" w:rsidRPr="00393437">
        <w:rPr>
          <w:rFonts w:cs="Times New Roman"/>
          <w:szCs w:val="24"/>
        </w:rPr>
        <w:t xml:space="preserve"> most suitable option to achieve the best outcome</w:t>
      </w:r>
      <w:r w:rsidR="00360358" w:rsidRPr="00393437">
        <w:rPr>
          <w:rFonts w:cs="Times New Roman"/>
          <w:szCs w:val="24"/>
        </w:rPr>
        <w:t xml:space="preserve"> in unstable fractures</w:t>
      </w:r>
      <w:r w:rsidR="00997758" w:rsidRPr="00393437">
        <w:rPr>
          <w:rFonts w:cs="Times New Roman"/>
          <w:szCs w:val="24"/>
        </w:rPr>
        <w:t xml:space="preserve"> </w:t>
      </w:r>
      <w:r w:rsidR="00561C59" w:rsidRPr="00393437">
        <w:rPr>
          <w:rFonts w:cs="Times New Roman"/>
          <w:szCs w:val="24"/>
        </w:rPr>
        <w:t>(</w:t>
      </w:r>
      <w:r w:rsidR="009D6DFF" w:rsidRPr="00393437">
        <w:rPr>
          <w:rFonts w:cs="Times New Roman"/>
          <w:szCs w:val="24"/>
        </w:rPr>
        <w:t xml:space="preserve">The National Institute for Health and Care </w:t>
      </w:r>
      <w:proofErr w:type="gramStart"/>
      <w:r w:rsidR="009D6DFF" w:rsidRPr="00393437">
        <w:rPr>
          <w:rFonts w:cs="Times New Roman"/>
          <w:szCs w:val="24"/>
        </w:rPr>
        <w:t>Excellence</w:t>
      </w:r>
      <w:r w:rsidR="00A05580" w:rsidRPr="00393437">
        <w:rPr>
          <w:rFonts w:cs="Times New Roman"/>
          <w:szCs w:val="24"/>
        </w:rPr>
        <w:t>(</w:t>
      </w:r>
      <w:proofErr w:type="gramEnd"/>
      <w:r w:rsidR="00A05580" w:rsidRPr="00393437">
        <w:rPr>
          <w:rFonts w:cs="Times New Roman"/>
          <w:szCs w:val="24"/>
        </w:rPr>
        <w:t>NICE),</w:t>
      </w:r>
      <w:r w:rsidR="009D6DFF" w:rsidRPr="00393437">
        <w:rPr>
          <w:rFonts w:cs="Times New Roman"/>
          <w:szCs w:val="24"/>
        </w:rPr>
        <w:t xml:space="preserve"> </w:t>
      </w:r>
      <w:r w:rsidR="006F6448" w:rsidRPr="00393437">
        <w:rPr>
          <w:rFonts w:cs="Times New Roman"/>
          <w:szCs w:val="24"/>
        </w:rPr>
        <w:t>2015). The time recommended for fixation in this type of injury is</w:t>
      </w:r>
      <w:r w:rsidR="00FF7E67" w:rsidRPr="00393437">
        <w:rPr>
          <w:rFonts w:cs="Times New Roman"/>
          <w:szCs w:val="24"/>
        </w:rPr>
        <w:t xml:space="preserve"> within</w:t>
      </w:r>
      <w:r w:rsidR="006F6448" w:rsidRPr="00393437">
        <w:rPr>
          <w:rFonts w:cs="Times New Roman"/>
          <w:szCs w:val="24"/>
        </w:rPr>
        <w:t xml:space="preserve"> </w:t>
      </w:r>
      <w:r w:rsidR="00E13AFD" w:rsidRPr="00393437">
        <w:rPr>
          <w:rFonts w:cs="Times New Roman"/>
          <w:szCs w:val="24"/>
        </w:rPr>
        <w:t>72 hours for intra-articular fractures</w:t>
      </w:r>
      <w:r w:rsidR="006F6448" w:rsidRPr="00393437">
        <w:rPr>
          <w:rFonts w:cs="Times New Roman"/>
          <w:szCs w:val="24"/>
        </w:rPr>
        <w:t xml:space="preserve"> and</w:t>
      </w:r>
      <w:r w:rsidR="00E13AFD" w:rsidRPr="00393437">
        <w:rPr>
          <w:rFonts w:cs="Times New Roman"/>
          <w:szCs w:val="24"/>
        </w:rPr>
        <w:t xml:space="preserve"> within </w:t>
      </w:r>
      <w:r w:rsidR="002A039C" w:rsidRPr="00393437">
        <w:rPr>
          <w:rFonts w:cs="Times New Roman"/>
          <w:szCs w:val="24"/>
        </w:rPr>
        <w:t>seven</w:t>
      </w:r>
      <w:r w:rsidR="00E13AFD" w:rsidRPr="00393437">
        <w:rPr>
          <w:rFonts w:cs="Times New Roman"/>
          <w:szCs w:val="24"/>
        </w:rPr>
        <w:t xml:space="preserve"> days of injury for extraarticular fractures</w:t>
      </w:r>
      <w:r w:rsidR="006F6448" w:rsidRPr="00393437">
        <w:rPr>
          <w:rFonts w:cs="Times New Roman"/>
          <w:szCs w:val="24"/>
        </w:rPr>
        <w:t xml:space="preserve"> (NICE 2015).</w:t>
      </w:r>
      <w:r w:rsidR="004C071E" w:rsidRPr="00393437">
        <w:rPr>
          <w:rFonts w:cs="Times New Roman"/>
          <w:szCs w:val="24"/>
        </w:rPr>
        <w:t xml:space="preserve"> </w:t>
      </w:r>
      <w:r w:rsidR="00360358" w:rsidRPr="00393437">
        <w:rPr>
          <w:rFonts w:cs="Times New Roman"/>
          <w:szCs w:val="24"/>
        </w:rPr>
        <w:t xml:space="preserve">In </w:t>
      </w:r>
      <w:r w:rsidR="000E16DF" w:rsidRPr="00393437">
        <w:rPr>
          <w:rFonts w:cs="Times New Roman"/>
          <w:szCs w:val="24"/>
        </w:rPr>
        <w:t>Emma</w:t>
      </w:r>
      <w:r w:rsidR="00E2173E" w:rsidRPr="00393437">
        <w:rPr>
          <w:rFonts w:cs="Times New Roman"/>
          <w:szCs w:val="24"/>
        </w:rPr>
        <w:t>'</w:t>
      </w:r>
      <w:r w:rsidR="000E16DF" w:rsidRPr="00393437">
        <w:rPr>
          <w:rFonts w:cs="Times New Roman"/>
          <w:szCs w:val="24"/>
        </w:rPr>
        <w:t>s case,</w:t>
      </w:r>
      <w:r w:rsidR="00360358" w:rsidRPr="00393437">
        <w:rPr>
          <w:rFonts w:cs="Times New Roman"/>
          <w:szCs w:val="24"/>
        </w:rPr>
        <w:t xml:space="preserve"> d</w:t>
      </w:r>
      <w:r w:rsidR="00281B8A" w:rsidRPr="00393437">
        <w:rPr>
          <w:rFonts w:cs="Times New Roman"/>
          <w:szCs w:val="24"/>
        </w:rPr>
        <w:t xml:space="preserve">ue to the </w:t>
      </w:r>
      <w:r w:rsidR="00360358" w:rsidRPr="00393437">
        <w:rPr>
          <w:rFonts w:cs="Times New Roman"/>
          <w:szCs w:val="24"/>
        </w:rPr>
        <w:t>nature and i</w:t>
      </w:r>
      <w:r w:rsidR="00281B8A" w:rsidRPr="00393437">
        <w:rPr>
          <w:rFonts w:cs="Times New Roman"/>
          <w:szCs w:val="24"/>
        </w:rPr>
        <w:t>nstability of th</w:t>
      </w:r>
      <w:r w:rsidR="000E16DF" w:rsidRPr="00393437">
        <w:rPr>
          <w:rFonts w:cs="Times New Roman"/>
          <w:szCs w:val="24"/>
        </w:rPr>
        <w:t>e</w:t>
      </w:r>
      <w:r w:rsidR="00281B8A" w:rsidRPr="00393437">
        <w:rPr>
          <w:rFonts w:cs="Times New Roman"/>
          <w:szCs w:val="24"/>
        </w:rPr>
        <w:t xml:space="preserve"> fracture i</w:t>
      </w:r>
      <w:r w:rsidR="005227B3" w:rsidRPr="00393437">
        <w:rPr>
          <w:rFonts w:cs="Times New Roman"/>
          <w:szCs w:val="24"/>
        </w:rPr>
        <w:t>n</w:t>
      </w:r>
      <w:r w:rsidR="00281B8A" w:rsidRPr="00393437">
        <w:rPr>
          <w:rFonts w:cs="Times New Roman"/>
          <w:szCs w:val="24"/>
        </w:rPr>
        <w:t xml:space="preserve"> plaster</w:t>
      </w:r>
      <w:r w:rsidR="007630DA" w:rsidRPr="00393437">
        <w:rPr>
          <w:rFonts w:cs="Times New Roman"/>
          <w:szCs w:val="24"/>
        </w:rPr>
        <w:t xml:space="preserve"> and </w:t>
      </w:r>
      <w:r w:rsidR="000E16DF" w:rsidRPr="00393437">
        <w:rPr>
          <w:rFonts w:cs="Times New Roman"/>
          <w:szCs w:val="24"/>
        </w:rPr>
        <w:t xml:space="preserve">her level </w:t>
      </w:r>
      <w:r w:rsidR="007630DA" w:rsidRPr="00393437">
        <w:rPr>
          <w:rFonts w:cs="Times New Roman"/>
          <w:szCs w:val="24"/>
        </w:rPr>
        <w:t>of activity</w:t>
      </w:r>
      <w:r w:rsidR="00281B8A" w:rsidRPr="00393437">
        <w:rPr>
          <w:rFonts w:cs="Times New Roman"/>
          <w:szCs w:val="24"/>
        </w:rPr>
        <w:t>, an ORIF was the management chosen by the surgeon</w:t>
      </w:r>
      <w:r w:rsidR="000E16DF" w:rsidRPr="00393437">
        <w:rPr>
          <w:rFonts w:cs="Times New Roman"/>
          <w:szCs w:val="24"/>
        </w:rPr>
        <w:t xml:space="preserve">. </w:t>
      </w:r>
      <w:r w:rsidR="004C071E" w:rsidRPr="00393437">
        <w:rPr>
          <w:rFonts w:cs="Times New Roman"/>
          <w:szCs w:val="24"/>
        </w:rPr>
        <w:t xml:space="preserve">Complications related to the insertion of a volar plating include tendon irritation/rupture (flexor pollicis longus is </w:t>
      </w:r>
      <w:proofErr w:type="gramStart"/>
      <w:r w:rsidR="004C071E" w:rsidRPr="00393437">
        <w:rPr>
          <w:rFonts w:cs="Times New Roman"/>
          <w:szCs w:val="24"/>
        </w:rPr>
        <w:t>most commonly affected</w:t>
      </w:r>
      <w:proofErr w:type="gramEnd"/>
      <w:r w:rsidR="004C071E" w:rsidRPr="00393437">
        <w:rPr>
          <w:rFonts w:cs="Times New Roman"/>
          <w:szCs w:val="24"/>
        </w:rPr>
        <w:t xml:space="preserve">), injury to </w:t>
      </w:r>
      <w:r w:rsidR="00FF7E67" w:rsidRPr="00393437">
        <w:rPr>
          <w:rFonts w:cs="Times New Roman"/>
          <w:szCs w:val="24"/>
        </w:rPr>
        <w:t xml:space="preserve">the </w:t>
      </w:r>
      <w:r w:rsidR="004C071E" w:rsidRPr="00393437">
        <w:rPr>
          <w:rFonts w:cs="Times New Roman"/>
          <w:szCs w:val="24"/>
        </w:rPr>
        <w:t>palmar cutaneous branch of the median nerve, loss of reduction/malunion, infection and complex regional pain syndrome (Dawson-Bowling</w:t>
      </w:r>
      <w:r w:rsidR="00C01505" w:rsidRPr="00393437">
        <w:rPr>
          <w:rFonts w:cs="Times New Roman"/>
          <w:szCs w:val="24"/>
        </w:rPr>
        <w:t xml:space="preserve"> </w:t>
      </w:r>
      <w:r w:rsidR="004C071E" w:rsidRPr="00393437">
        <w:rPr>
          <w:rFonts w:cs="Times New Roman"/>
          <w:szCs w:val="24"/>
        </w:rPr>
        <w:t>et al 2015).</w:t>
      </w:r>
      <w:r w:rsidR="00281B8A" w:rsidRPr="00393437">
        <w:rPr>
          <w:rFonts w:cs="Times New Roman"/>
          <w:szCs w:val="24"/>
        </w:rPr>
        <w:t xml:space="preserve"> </w:t>
      </w:r>
    </w:p>
    <w:p w14:paraId="1AC8BB59" w14:textId="264B60A8" w:rsidR="00E546A7" w:rsidRPr="00393437" w:rsidRDefault="00415DA6" w:rsidP="009B2F63">
      <w:pPr>
        <w:pStyle w:val="Heading1"/>
      </w:pPr>
      <w:r w:rsidRPr="00393437">
        <w:t>The r</w:t>
      </w:r>
      <w:r w:rsidR="00E546A7" w:rsidRPr="00393437">
        <w:t>ationale for investigations conducted during the consultation</w:t>
      </w:r>
    </w:p>
    <w:p w14:paraId="42F73500" w14:textId="618AADB1" w:rsidR="00CA01D2" w:rsidRPr="00393437" w:rsidRDefault="00324F08" w:rsidP="002B6FE4">
      <w:pPr>
        <w:spacing w:line="240" w:lineRule="auto"/>
        <w:jc w:val="both"/>
        <w:rPr>
          <w:rFonts w:eastAsia="Times New Roman" w:cs="Times New Roman"/>
          <w:szCs w:val="24"/>
        </w:rPr>
      </w:pPr>
      <w:r w:rsidRPr="00393437">
        <w:rPr>
          <w:rFonts w:eastAsia="Times New Roman" w:cs="Times New Roman"/>
          <w:szCs w:val="24"/>
        </w:rPr>
        <w:t xml:space="preserve">Emma attended </w:t>
      </w:r>
      <w:r w:rsidR="00511B6B" w:rsidRPr="00393437">
        <w:rPr>
          <w:rFonts w:eastAsia="Times New Roman" w:cs="Times New Roman"/>
          <w:szCs w:val="24"/>
        </w:rPr>
        <w:t xml:space="preserve">the </w:t>
      </w:r>
      <w:r w:rsidR="00845B22" w:rsidRPr="00393437">
        <w:rPr>
          <w:rFonts w:eastAsia="Times New Roman" w:cs="Times New Roman"/>
          <w:szCs w:val="24"/>
        </w:rPr>
        <w:t>Emergency department</w:t>
      </w:r>
      <w:r w:rsidRPr="00393437">
        <w:rPr>
          <w:rFonts w:eastAsia="Times New Roman" w:cs="Times New Roman"/>
          <w:szCs w:val="24"/>
        </w:rPr>
        <w:t xml:space="preserve"> just after her injury, </w:t>
      </w:r>
      <w:r w:rsidR="00CA01D2" w:rsidRPr="00393437">
        <w:rPr>
          <w:rFonts w:eastAsia="Times New Roman" w:cs="Times New Roman"/>
          <w:szCs w:val="24"/>
        </w:rPr>
        <w:t xml:space="preserve">during her </w:t>
      </w:r>
      <w:r w:rsidRPr="00393437">
        <w:rPr>
          <w:rFonts w:eastAsia="Times New Roman" w:cs="Times New Roman"/>
          <w:szCs w:val="24"/>
        </w:rPr>
        <w:t>admission</w:t>
      </w:r>
      <w:r w:rsidR="00511B6B" w:rsidRPr="00393437">
        <w:rPr>
          <w:rFonts w:eastAsia="Times New Roman" w:cs="Times New Roman"/>
          <w:szCs w:val="24"/>
        </w:rPr>
        <w:t>,</w:t>
      </w:r>
      <w:r w:rsidR="00CA01D2" w:rsidRPr="00393437">
        <w:rPr>
          <w:rFonts w:eastAsia="Times New Roman" w:cs="Times New Roman"/>
          <w:szCs w:val="24"/>
        </w:rPr>
        <w:t xml:space="preserve"> </w:t>
      </w:r>
      <w:r w:rsidRPr="00393437">
        <w:rPr>
          <w:rFonts w:eastAsia="Times New Roman" w:cs="Times New Roman"/>
          <w:szCs w:val="24"/>
        </w:rPr>
        <w:t>she</w:t>
      </w:r>
      <w:r w:rsidR="00CA01D2" w:rsidRPr="00393437">
        <w:rPr>
          <w:rFonts w:eastAsia="Times New Roman" w:cs="Times New Roman"/>
          <w:szCs w:val="24"/>
        </w:rPr>
        <w:t xml:space="preserve"> was offered paracetamol and oral morphine to reduce her level of pain. Oral morphine acts in the </w:t>
      </w:r>
      <w:r w:rsidR="00CA01D2" w:rsidRPr="00393437">
        <w:rPr>
          <w:rFonts w:cs="Times New Roman"/>
          <w:szCs w:val="24"/>
        </w:rPr>
        <w:t>opioid receptors, which are distributed throughout the central nervous system and within peripheral tissue (Pathan and Williams 2012)</w:t>
      </w:r>
      <w:r w:rsidR="00CA01D2" w:rsidRPr="00393437">
        <w:rPr>
          <w:rFonts w:eastAsia="Times New Roman" w:cs="Times New Roman"/>
          <w:szCs w:val="24"/>
        </w:rPr>
        <w:t>. Evidence suggests that oral paracetamol works for mild pain</w:t>
      </w:r>
      <w:r w:rsidR="00511B6B" w:rsidRPr="00393437">
        <w:rPr>
          <w:rFonts w:eastAsia="Times New Roman" w:cs="Times New Roman"/>
          <w:szCs w:val="24"/>
        </w:rPr>
        <w:t>;</w:t>
      </w:r>
      <w:r w:rsidR="00CA01D2" w:rsidRPr="00393437">
        <w:rPr>
          <w:rFonts w:eastAsia="Times New Roman" w:cs="Times New Roman"/>
          <w:szCs w:val="24"/>
        </w:rPr>
        <w:t xml:space="preserve"> however</w:t>
      </w:r>
      <w:r w:rsidR="00511B6B" w:rsidRPr="00393437">
        <w:rPr>
          <w:rFonts w:eastAsia="Times New Roman" w:cs="Times New Roman"/>
          <w:szCs w:val="24"/>
        </w:rPr>
        <w:t>,</w:t>
      </w:r>
      <w:r w:rsidR="00CA01D2" w:rsidRPr="00393437">
        <w:rPr>
          <w:rFonts w:eastAsia="Times New Roman" w:cs="Times New Roman"/>
          <w:szCs w:val="24"/>
        </w:rPr>
        <w:t xml:space="preserve"> in case of severe pain, the pharmacological combination given should be intravenous paracetamol with intravenous morphine (NICE 2015). </w:t>
      </w:r>
    </w:p>
    <w:p w14:paraId="51F8CC5E" w14:textId="41CB1BDE" w:rsidR="00DB34F5" w:rsidRPr="00393437" w:rsidRDefault="00CA01D2" w:rsidP="002B6FE4">
      <w:pPr>
        <w:spacing w:line="240" w:lineRule="auto"/>
        <w:jc w:val="both"/>
        <w:rPr>
          <w:rFonts w:cs="Times New Roman"/>
          <w:szCs w:val="24"/>
        </w:rPr>
      </w:pPr>
      <w:r w:rsidRPr="00393437">
        <w:rPr>
          <w:rFonts w:eastAsia="Times New Roman" w:cs="Times New Roman"/>
          <w:szCs w:val="24"/>
        </w:rPr>
        <w:t xml:space="preserve">As </w:t>
      </w:r>
      <w:r w:rsidR="00C9042A" w:rsidRPr="00393437">
        <w:rPr>
          <w:rFonts w:eastAsia="Times New Roman" w:cs="Times New Roman"/>
          <w:szCs w:val="24"/>
        </w:rPr>
        <w:t>one</w:t>
      </w:r>
      <w:r w:rsidRPr="00393437">
        <w:rPr>
          <w:rFonts w:eastAsia="Times New Roman" w:cs="Times New Roman"/>
          <w:szCs w:val="24"/>
        </w:rPr>
        <w:t xml:space="preserve"> of the professionals involve</w:t>
      </w:r>
      <w:r w:rsidR="00A62720" w:rsidRPr="00393437">
        <w:rPr>
          <w:rFonts w:eastAsia="Times New Roman" w:cs="Times New Roman"/>
          <w:szCs w:val="24"/>
        </w:rPr>
        <w:t>d</w:t>
      </w:r>
      <w:r w:rsidR="002C10AD" w:rsidRPr="00393437">
        <w:rPr>
          <w:rFonts w:eastAsia="Times New Roman" w:cs="Times New Roman"/>
          <w:szCs w:val="24"/>
        </w:rPr>
        <w:t xml:space="preserve"> </w:t>
      </w:r>
      <w:r w:rsidRPr="00393437">
        <w:rPr>
          <w:rFonts w:eastAsia="Times New Roman" w:cs="Times New Roman"/>
          <w:szCs w:val="24"/>
        </w:rPr>
        <w:t xml:space="preserve">in the patient pathway, </w:t>
      </w:r>
      <w:r w:rsidRPr="00393437">
        <w:rPr>
          <w:rFonts w:cs="Times New Roman"/>
          <w:szCs w:val="24"/>
        </w:rPr>
        <w:t xml:space="preserve">the surgical care practitioner </w:t>
      </w:r>
      <w:r w:rsidR="00C9042A" w:rsidRPr="00393437">
        <w:rPr>
          <w:rFonts w:cs="Times New Roman"/>
          <w:szCs w:val="24"/>
        </w:rPr>
        <w:t xml:space="preserve">supports </w:t>
      </w:r>
      <w:r w:rsidRPr="00393437">
        <w:rPr>
          <w:rFonts w:cs="Times New Roman"/>
          <w:szCs w:val="24"/>
        </w:rPr>
        <w:t>on-call doctors and emergency services (</w:t>
      </w:r>
      <w:r w:rsidR="00D50A41" w:rsidRPr="00393437">
        <w:rPr>
          <w:rFonts w:cs="Times New Roman"/>
          <w:szCs w:val="24"/>
        </w:rPr>
        <w:t>T</w:t>
      </w:r>
      <w:r w:rsidR="00C708B3" w:rsidRPr="00393437">
        <w:rPr>
          <w:rFonts w:cs="Times New Roman"/>
          <w:szCs w:val="24"/>
        </w:rPr>
        <w:t>he Royal College of Surgeons</w:t>
      </w:r>
      <w:r w:rsidRPr="00393437">
        <w:rPr>
          <w:rFonts w:cs="Times New Roman"/>
          <w:szCs w:val="24"/>
        </w:rPr>
        <w:t xml:space="preserve"> 2014</w:t>
      </w:r>
      <w:r w:rsidR="0036528A" w:rsidRPr="00393437">
        <w:rPr>
          <w:rFonts w:cs="Times New Roman"/>
          <w:szCs w:val="24"/>
        </w:rPr>
        <w:t>; 2018</w:t>
      </w:r>
      <w:r w:rsidRPr="00393437">
        <w:rPr>
          <w:rFonts w:cs="Times New Roman"/>
          <w:szCs w:val="24"/>
        </w:rPr>
        <w:t>).</w:t>
      </w:r>
      <w:r w:rsidR="00816EFF" w:rsidRPr="00393437">
        <w:rPr>
          <w:rFonts w:eastAsia="Times New Roman" w:cs="Times New Roman"/>
          <w:szCs w:val="24"/>
        </w:rPr>
        <w:t xml:space="preserve"> </w:t>
      </w:r>
      <w:r w:rsidRPr="00393437">
        <w:rPr>
          <w:rFonts w:eastAsia="Times New Roman" w:cs="Times New Roman"/>
          <w:szCs w:val="24"/>
        </w:rPr>
        <w:t xml:space="preserve">To avoid mismanagement, a detailed history was taken by the </w:t>
      </w:r>
      <w:r w:rsidR="000E16DF" w:rsidRPr="00393437">
        <w:rPr>
          <w:rFonts w:eastAsia="Times New Roman" w:cs="Times New Roman"/>
          <w:szCs w:val="24"/>
        </w:rPr>
        <w:t>Surgical Care Practitioner (SCP)</w:t>
      </w:r>
      <w:r w:rsidR="00511B6B" w:rsidRPr="00393437">
        <w:rPr>
          <w:rFonts w:eastAsia="Times New Roman" w:cs="Times New Roman"/>
          <w:szCs w:val="24"/>
        </w:rPr>
        <w:t>,</w:t>
      </w:r>
      <w:r w:rsidRPr="00393437">
        <w:rPr>
          <w:rFonts w:eastAsia="Times New Roman" w:cs="Times New Roman"/>
          <w:szCs w:val="24"/>
        </w:rPr>
        <w:t xml:space="preserve"> </w:t>
      </w:r>
      <w:r w:rsidR="0061542E" w:rsidRPr="00393437">
        <w:rPr>
          <w:rFonts w:cs="Times New Roman"/>
          <w:szCs w:val="24"/>
        </w:rPr>
        <w:t xml:space="preserve">including symptoms, psychological, spiritual, </w:t>
      </w:r>
      <w:proofErr w:type="gramStart"/>
      <w:r w:rsidR="0061542E" w:rsidRPr="00393437">
        <w:rPr>
          <w:rFonts w:cs="Times New Roman"/>
          <w:szCs w:val="24"/>
        </w:rPr>
        <w:t>social</w:t>
      </w:r>
      <w:proofErr w:type="gramEnd"/>
      <w:r w:rsidR="0061542E" w:rsidRPr="00393437">
        <w:rPr>
          <w:rFonts w:cs="Times New Roman"/>
          <w:szCs w:val="24"/>
        </w:rPr>
        <w:t xml:space="preserve"> and cultural factors (</w:t>
      </w:r>
      <w:r w:rsidR="00895575" w:rsidRPr="00393437">
        <w:rPr>
          <w:rFonts w:cs="Times New Roman"/>
          <w:szCs w:val="24"/>
        </w:rPr>
        <w:t>The Royal College of Surgeons, 2014</w:t>
      </w:r>
      <w:r w:rsidR="0061542E" w:rsidRPr="00393437">
        <w:rPr>
          <w:rFonts w:cs="Times New Roman"/>
          <w:szCs w:val="24"/>
        </w:rPr>
        <w:t>)</w:t>
      </w:r>
      <w:r w:rsidR="001A0C21" w:rsidRPr="00393437">
        <w:rPr>
          <w:rFonts w:cs="Times New Roman"/>
          <w:szCs w:val="24"/>
        </w:rPr>
        <w:t xml:space="preserve"> and </w:t>
      </w:r>
      <w:r w:rsidR="0061542E" w:rsidRPr="00393437">
        <w:rPr>
          <w:rFonts w:eastAsia="Times New Roman" w:cs="Times New Roman"/>
          <w:szCs w:val="24"/>
        </w:rPr>
        <w:t>helped th</w:t>
      </w:r>
      <w:r w:rsidR="001A0C21" w:rsidRPr="00393437">
        <w:rPr>
          <w:rFonts w:eastAsia="Times New Roman" w:cs="Times New Roman"/>
          <w:szCs w:val="24"/>
        </w:rPr>
        <w:t>e</w:t>
      </w:r>
      <w:r w:rsidRPr="00393437">
        <w:rPr>
          <w:rFonts w:eastAsia="Times New Roman" w:cs="Times New Roman"/>
          <w:szCs w:val="24"/>
        </w:rPr>
        <w:t xml:space="preserve"> professional to</w:t>
      </w:r>
      <w:r w:rsidR="00C739CF" w:rsidRPr="00393437">
        <w:rPr>
          <w:rFonts w:eastAsia="Times New Roman" w:cs="Times New Roman"/>
          <w:szCs w:val="24"/>
        </w:rPr>
        <w:t xml:space="preserve"> </w:t>
      </w:r>
      <w:r w:rsidRPr="00393437">
        <w:rPr>
          <w:rFonts w:eastAsia="Times New Roman" w:cs="Times New Roman"/>
          <w:szCs w:val="24"/>
        </w:rPr>
        <w:t>conduct a</w:t>
      </w:r>
      <w:r w:rsidR="0061542E" w:rsidRPr="00393437">
        <w:rPr>
          <w:rFonts w:eastAsia="Times New Roman" w:cs="Times New Roman"/>
          <w:szCs w:val="24"/>
        </w:rPr>
        <w:t xml:space="preserve"> more </w:t>
      </w:r>
      <w:r w:rsidRPr="00393437">
        <w:rPr>
          <w:rFonts w:eastAsia="Times New Roman" w:cs="Times New Roman"/>
          <w:szCs w:val="24"/>
        </w:rPr>
        <w:t>thorough physical examination and request the necessary</w:t>
      </w:r>
      <w:r w:rsidR="002C10AD" w:rsidRPr="00393437">
        <w:rPr>
          <w:rFonts w:eastAsia="Times New Roman" w:cs="Times New Roman"/>
          <w:szCs w:val="24"/>
        </w:rPr>
        <w:t xml:space="preserve"> radiological investigations</w:t>
      </w:r>
      <w:r w:rsidRPr="00393437">
        <w:rPr>
          <w:rFonts w:eastAsia="Times New Roman" w:cs="Times New Roman"/>
          <w:szCs w:val="24"/>
        </w:rPr>
        <w:t xml:space="preserve">. </w:t>
      </w:r>
    </w:p>
    <w:p w14:paraId="58FC0225" w14:textId="744078B2" w:rsidR="00C84D51" w:rsidRPr="00393437" w:rsidRDefault="0084206E" w:rsidP="002B6FE4">
      <w:pPr>
        <w:autoSpaceDE w:val="0"/>
        <w:autoSpaceDN w:val="0"/>
        <w:adjustRightInd w:val="0"/>
        <w:spacing w:after="0" w:line="240" w:lineRule="auto"/>
        <w:jc w:val="both"/>
        <w:rPr>
          <w:rFonts w:cs="Times New Roman"/>
          <w:szCs w:val="24"/>
        </w:rPr>
      </w:pPr>
      <w:r w:rsidRPr="00393437">
        <w:rPr>
          <w:rFonts w:eastAsia="Times New Roman" w:cs="Times New Roman"/>
          <w:szCs w:val="24"/>
        </w:rPr>
        <w:t xml:space="preserve">After </w:t>
      </w:r>
      <w:r w:rsidR="00BA30C4" w:rsidRPr="00393437">
        <w:rPr>
          <w:rFonts w:eastAsia="Times New Roman" w:cs="Times New Roman"/>
          <w:szCs w:val="24"/>
        </w:rPr>
        <w:t>ruling out</w:t>
      </w:r>
      <w:r w:rsidRPr="00393437">
        <w:rPr>
          <w:rFonts w:eastAsia="Times New Roman" w:cs="Times New Roman"/>
          <w:szCs w:val="24"/>
        </w:rPr>
        <w:t xml:space="preserve"> any other </w:t>
      </w:r>
      <w:r w:rsidR="00D016B8" w:rsidRPr="00393437">
        <w:rPr>
          <w:rFonts w:eastAsia="Times New Roman" w:cs="Times New Roman"/>
          <w:szCs w:val="24"/>
        </w:rPr>
        <w:t>lesions</w:t>
      </w:r>
      <w:r w:rsidRPr="00393437">
        <w:rPr>
          <w:rFonts w:eastAsia="Times New Roman" w:cs="Times New Roman"/>
          <w:szCs w:val="24"/>
        </w:rPr>
        <w:t xml:space="preserve">, special attention </w:t>
      </w:r>
      <w:r w:rsidR="00CB3A93" w:rsidRPr="00393437">
        <w:rPr>
          <w:rFonts w:eastAsia="Times New Roman" w:cs="Times New Roman"/>
          <w:szCs w:val="24"/>
        </w:rPr>
        <w:t>was</w:t>
      </w:r>
      <w:r w:rsidRPr="00393437">
        <w:rPr>
          <w:rFonts w:eastAsia="Times New Roman" w:cs="Times New Roman"/>
          <w:szCs w:val="24"/>
        </w:rPr>
        <w:t xml:space="preserve"> given to the </w:t>
      </w:r>
      <w:r w:rsidR="00CB3A93" w:rsidRPr="00393437">
        <w:rPr>
          <w:rFonts w:eastAsia="Times New Roman" w:cs="Times New Roman"/>
          <w:szCs w:val="24"/>
        </w:rPr>
        <w:t>injury site</w:t>
      </w:r>
      <w:r w:rsidRPr="00393437">
        <w:rPr>
          <w:rFonts w:eastAsia="Times New Roman" w:cs="Times New Roman"/>
          <w:szCs w:val="24"/>
        </w:rPr>
        <w:t>. In this case, the patient</w:t>
      </w:r>
      <w:r w:rsidR="00511B6B" w:rsidRPr="00393437">
        <w:rPr>
          <w:rFonts w:eastAsia="Times New Roman" w:cs="Times New Roman"/>
          <w:szCs w:val="24"/>
        </w:rPr>
        <w:t>'</w:t>
      </w:r>
      <w:r w:rsidRPr="00393437">
        <w:rPr>
          <w:rFonts w:eastAsia="Times New Roman" w:cs="Times New Roman"/>
          <w:szCs w:val="24"/>
        </w:rPr>
        <w:t xml:space="preserve">s history of trauma </w:t>
      </w:r>
      <w:r w:rsidR="00BA5120" w:rsidRPr="00393437">
        <w:rPr>
          <w:rFonts w:eastAsia="Times New Roman" w:cs="Times New Roman"/>
          <w:szCs w:val="24"/>
        </w:rPr>
        <w:t xml:space="preserve">guided </w:t>
      </w:r>
      <w:r w:rsidRPr="00393437">
        <w:rPr>
          <w:rFonts w:eastAsia="Times New Roman" w:cs="Times New Roman"/>
          <w:szCs w:val="24"/>
        </w:rPr>
        <w:t>the professional SCP to the examination of the forearm and wrist, looking for clinical signs of fracture</w:t>
      </w:r>
      <w:r w:rsidR="00D016B8" w:rsidRPr="00393437">
        <w:rPr>
          <w:rFonts w:eastAsia="Times New Roman" w:cs="Times New Roman"/>
          <w:szCs w:val="24"/>
        </w:rPr>
        <w:t xml:space="preserve"> </w:t>
      </w:r>
      <w:r w:rsidR="00AF0C50" w:rsidRPr="00393437">
        <w:rPr>
          <w:rFonts w:eastAsia="Times New Roman" w:cs="Times New Roman"/>
          <w:szCs w:val="24"/>
        </w:rPr>
        <w:t xml:space="preserve">as recommended by </w:t>
      </w:r>
      <w:r w:rsidR="00D016B8" w:rsidRPr="00393437">
        <w:rPr>
          <w:rFonts w:cs="Times New Roman"/>
          <w:szCs w:val="24"/>
        </w:rPr>
        <w:t>Innes</w:t>
      </w:r>
      <w:r w:rsidR="00C9042A" w:rsidRPr="00393437">
        <w:rPr>
          <w:rFonts w:cs="Times New Roman"/>
          <w:szCs w:val="24"/>
        </w:rPr>
        <w:t xml:space="preserve"> et al</w:t>
      </w:r>
      <w:r w:rsidR="00AF0C50" w:rsidRPr="00393437">
        <w:rPr>
          <w:rFonts w:cs="Times New Roman"/>
          <w:szCs w:val="24"/>
        </w:rPr>
        <w:t xml:space="preserve"> (</w:t>
      </w:r>
      <w:r w:rsidR="00D016B8" w:rsidRPr="00393437">
        <w:rPr>
          <w:rFonts w:cs="Times New Roman"/>
          <w:szCs w:val="24"/>
        </w:rPr>
        <w:t>2018)</w:t>
      </w:r>
      <w:r w:rsidR="008B16CD" w:rsidRPr="00393437">
        <w:rPr>
          <w:rFonts w:cs="Times New Roman"/>
          <w:szCs w:val="24"/>
        </w:rPr>
        <w:t>.</w:t>
      </w:r>
      <w:r w:rsidR="00AF3BF0" w:rsidRPr="00393437">
        <w:rPr>
          <w:rFonts w:cs="Times New Roman"/>
          <w:szCs w:val="24"/>
        </w:rPr>
        <w:t xml:space="preserve"> Alternatively, the diagnosis </w:t>
      </w:r>
      <w:r w:rsidR="00B64BBE" w:rsidRPr="00393437">
        <w:rPr>
          <w:rFonts w:cs="Times New Roman"/>
          <w:szCs w:val="24"/>
        </w:rPr>
        <w:t>was based</w:t>
      </w:r>
      <w:r w:rsidR="00AF3BF0" w:rsidRPr="00393437">
        <w:rPr>
          <w:rFonts w:cs="Times New Roman"/>
          <w:szCs w:val="24"/>
        </w:rPr>
        <w:t xml:space="preserve"> on the different sign and symptoms </w:t>
      </w:r>
      <w:r w:rsidR="00AF3BF0" w:rsidRPr="00393437">
        <w:rPr>
          <w:rFonts w:cs="Times New Roman"/>
          <w:szCs w:val="24"/>
        </w:rPr>
        <w:lastRenderedPageBreak/>
        <w:t>encountered during the examination</w:t>
      </w:r>
      <w:r w:rsidR="00BB4A99" w:rsidRPr="00393437">
        <w:rPr>
          <w:rFonts w:cs="Times New Roman"/>
          <w:szCs w:val="24"/>
        </w:rPr>
        <w:t xml:space="preserve"> and the </w:t>
      </w:r>
      <w:r w:rsidR="00511B6B" w:rsidRPr="00393437">
        <w:rPr>
          <w:rFonts w:cs="Times New Roman"/>
          <w:szCs w:val="24"/>
        </w:rPr>
        <w:t>further request</w:t>
      </w:r>
      <w:r w:rsidR="00BB4A99" w:rsidRPr="00393437">
        <w:rPr>
          <w:rFonts w:cs="Times New Roman"/>
          <w:szCs w:val="24"/>
        </w:rPr>
        <w:t xml:space="preserve"> scans.</w:t>
      </w:r>
      <w:r w:rsidR="00AF3BF0" w:rsidRPr="00393437">
        <w:rPr>
          <w:rFonts w:cs="Times New Roman"/>
          <w:szCs w:val="24"/>
        </w:rPr>
        <w:t xml:space="preserve"> </w:t>
      </w:r>
      <w:r w:rsidR="00BB4A99" w:rsidRPr="00393437">
        <w:rPr>
          <w:rFonts w:cs="Times New Roman"/>
          <w:szCs w:val="24"/>
        </w:rPr>
        <w:t>In this case, th</w:t>
      </w:r>
      <w:r w:rsidR="00BA30C4" w:rsidRPr="00393437">
        <w:rPr>
          <w:rFonts w:cs="Times New Roman"/>
          <w:szCs w:val="24"/>
        </w:rPr>
        <w:t>e possible differential diagnose</w:t>
      </w:r>
      <w:r w:rsidR="00BB4A99" w:rsidRPr="00393437">
        <w:rPr>
          <w:rFonts w:cs="Times New Roman"/>
          <w:szCs w:val="24"/>
        </w:rPr>
        <w:t xml:space="preserve">s </w:t>
      </w:r>
      <w:r w:rsidR="007D7277" w:rsidRPr="00393437">
        <w:rPr>
          <w:rFonts w:cs="Times New Roman"/>
          <w:szCs w:val="24"/>
        </w:rPr>
        <w:t>were</w:t>
      </w:r>
      <w:r w:rsidR="00BB4A99" w:rsidRPr="00393437">
        <w:rPr>
          <w:rFonts w:cs="Times New Roman"/>
          <w:szCs w:val="24"/>
        </w:rPr>
        <w:t xml:space="preserve"> wrist strain, ligamentous carpal injury, triangular fibrocartilage complex tear</w:t>
      </w:r>
      <w:r w:rsidR="000201D2" w:rsidRPr="00393437">
        <w:rPr>
          <w:rFonts w:cs="Times New Roman"/>
          <w:szCs w:val="24"/>
        </w:rPr>
        <w:t xml:space="preserve"> (see </w:t>
      </w:r>
      <w:r w:rsidR="00482EAB" w:rsidRPr="00393437">
        <w:rPr>
          <w:rFonts w:cs="Times New Roman"/>
          <w:szCs w:val="24"/>
        </w:rPr>
        <w:t>T</w:t>
      </w:r>
      <w:r w:rsidR="004A7B4A" w:rsidRPr="00393437">
        <w:rPr>
          <w:rFonts w:cs="Times New Roman"/>
          <w:szCs w:val="24"/>
        </w:rPr>
        <w:t>able</w:t>
      </w:r>
      <w:r w:rsidR="000B7205" w:rsidRPr="00393437">
        <w:rPr>
          <w:rFonts w:cs="Times New Roman"/>
          <w:szCs w:val="24"/>
        </w:rPr>
        <w:t xml:space="preserve"> 2</w:t>
      </w:r>
      <w:r w:rsidR="000201D2" w:rsidRPr="00393437">
        <w:rPr>
          <w:rFonts w:cs="Times New Roman"/>
          <w:szCs w:val="24"/>
        </w:rPr>
        <w:t>)</w:t>
      </w:r>
      <w:r w:rsidR="00BB4A99" w:rsidRPr="00393437">
        <w:rPr>
          <w:rFonts w:cs="Times New Roman"/>
          <w:szCs w:val="24"/>
        </w:rPr>
        <w:t xml:space="preserve"> or wrist fracture. </w:t>
      </w:r>
    </w:p>
    <w:p w14:paraId="7AAEC03A" w14:textId="77777777" w:rsidR="00AE0D3B" w:rsidRPr="00393437" w:rsidRDefault="00AE0D3B" w:rsidP="002B6FE4">
      <w:pPr>
        <w:autoSpaceDE w:val="0"/>
        <w:autoSpaceDN w:val="0"/>
        <w:adjustRightInd w:val="0"/>
        <w:spacing w:after="0" w:line="240" w:lineRule="auto"/>
        <w:jc w:val="both"/>
        <w:rPr>
          <w:rFonts w:cs="Times New Roman"/>
          <w:szCs w:val="24"/>
        </w:rPr>
      </w:pPr>
    </w:p>
    <w:p w14:paraId="54198534" w14:textId="77777777" w:rsidR="00071611" w:rsidRPr="00393437" w:rsidRDefault="00071611" w:rsidP="00071611">
      <w:pPr>
        <w:autoSpaceDE w:val="0"/>
        <w:autoSpaceDN w:val="0"/>
        <w:adjustRightInd w:val="0"/>
        <w:spacing w:after="0" w:line="276" w:lineRule="auto"/>
        <w:jc w:val="both"/>
        <w:rPr>
          <w:rFonts w:cs="Times New Roman"/>
          <w:szCs w:val="24"/>
        </w:rPr>
      </w:pPr>
    </w:p>
    <w:p w14:paraId="49B957AA" w14:textId="27A74A2F" w:rsidR="00067967" w:rsidRPr="00393437" w:rsidRDefault="000B7205" w:rsidP="00067967">
      <w:pPr>
        <w:rPr>
          <w:rFonts w:cs="Times New Roman"/>
          <w:b/>
          <w:bCs/>
          <w:szCs w:val="24"/>
        </w:rPr>
      </w:pPr>
      <w:r w:rsidRPr="00393437">
        <w:rPr>
          <w:rFonts w:cs="Times New Roman"/>
          <w:b/>
          <w:bCs/>
          <w:szCs w:val="24"/>
        </w:rPr>
        <w:t>Table 2</w:t>
      </w:r>
      <w:r w:rsidR="00067967" w:rsidRPr="00393437">
        <w:rPr>
          <w:rFonts w:cs="Times New Roman"/>
          <w:b/>
          <w:bCs/>
          <w:szCs w:val="24"/>
        </w:rPr>
        <w:t>: Differential diagnosis of wrist fracture</w:t>
      </w:r>
    </w:p>
    <w:tbl>
      <w:tblPr>
        <w:tblStyle w:val="TableGrid"/>
        <w:tblW w:w="0" w:type="auto"/>
        <w:tblLook w:val="04A0" w:firstRow="1" w:lastRow="0" w:firstColumn="1" w:lastColumn="0" w:noHBand="0" w:noVBand="1"/>
      </w:tblPr>
      <w:tblGrid>
        <w:gridCol w:w="2003"/>
        <w:gridCol w:w="3827"/>
        <w:gridCol w:w="2687"/>
      </w:tblGrid>
      <w:tr w:rsidR="00393437" w:rsidRPr="00393437" w14:paraId="55B0992D" w14:textId="77777777" w:rsidTr="003D7BBD">
        <w:tc>
          <w:tcPr>
            <w:tcW w:w="1980" w:type="dxa"/>
            <w:shd w:val="clear" w:color="auto" w:fill="C5E0B3" w:themeFill="accent6" w:themeFillTint="66"/>
          </w:tcPr>
          <w:p w14:paraId="6664F929" w14:textId="77777777" w:rsidR="00067967" w:rsidRPr="00393437" w:rsidRDefault="00067967" w:rsidP="000C308B">
            <w:pPr>
              <w:rPr>
                <w:rFonts w:cs="Times New Roman"/>
                <w:b/>
                <w:bCs/>
                <w:szCs w:val="24"/>
              </w:rPr>
            </w:pPr>
            <w:r w:rsidRPr="00393437">
              <w:rPr>
                <w:rFonts w:cs="Times New Roman"/>
                <w:b/>
                <w:bCs/>
                <w:szCs w:val="24"/>
              </w:rPr>
              <w:t>Disease/condition</w:t>
            </w:r>
          </w:p>
        </w:tc>
        <w:tc>
          <w:tcPr>
            <w:tcW w:w="3827" w:type="dxa"/>
            <w:shd w:val="clear" w:color="auto" w:fill="C5E0B3" w:themeFill="accent6" w:themeFillTint="66"/>
          </w:tcPr>
          <w:p w14:paraId="4AB78305" w14:textId="77777777" w:rsidR="00067967" w:rsidRPr="00393437" w:rsidRDefault="00067967" w:rsidP="000C308B">
            <w:pPr>
              <w:rPr>
                <w:rFonts w:cs="Times New Roman"/>
                <w:b/>
                <w:bCs/>
                <w:szCs w:val="24"/>
              </w:rPr>
            </w:pPr>
            <w:r w:rsidRPr="00393437">
              <w:rPr>
                <w:rFonts w:cs="Times New Roman"/>
                <w:b/>
                <w:bCs/>
                <w:szCs w:val="24"/>
              </w:rPr>
              <w:t>Differentiating signs/Symptoms</w:t>
            </w:r>
          </w:p>
        </w:tc>
        <w:tc>
          <w:tcPr>
            <w:tcW w:w="2687" w:type="dxa"/>
            <w:shd w:val="clear" w:color="auto" w:fill="C5E0B3" w:themeFill="accent6" w:themeFillTint="66"/>
          </w:tcPr>
          <w:p w14:paraId="7D2A2A95" w14:textId="77777777" w:rsidR="00067967" w:rsidRPr="00393437" w:rsidRDefault="00067967" w:rsidP="000C308B">
            <w:pPr>
              <w:rPr>
                <w:rFonts w:cs="Times New Roman"/>
                <w:b/>
                <w:bCs/>
                <w:szCs w:val="24"/>
              </w:rPr>
            </w:pPr>
            <w:r w:rsidRPr="00393437">
              <w:rPr>
                <w:rFonts w:cs="Times New Roman"/>
                <w:b/>
                <w:bCs/>
                <w:szCs w:val="24"/>
              </w:rPr>
              <w:t>Differentiating tests</w:t>
            </w:r>
          </w:p>
        </w:tc>
      </w:tr>
      <w:tr w:rsidR="00393437" w:rsidRPr="00393437" w14:paraId="0E478552" w14:textId="77777777" w:rsidTr="003D7BBD">
        <w:tc>
          <w:tcPr>
            <w:tcW w:w="1980" w:type="dxa"/>
            <w:shd w:val="clear" w:color="auto" w:fill="FFE599" w:themeFill="accent4" w:themeFillTint="66"/>
          </w:tcPr>
          <w:p w14:paraId="72F147B5" w14:textId="77777777" w:rsidR="00067967" w:rsidRPr="00393437" w:rsidRDefault="00067967" w:rsidP="000C308B">
            <w:pPr>
              <w:rPr>
                <w:rFonts w:cs="Times New Roman"/>
                <w:szCs w:val="24"/>
              </w:rPr>
            </w:pPr>
            <w:r w:rsidRPr="00393437">
              <w:rPr>
                <w:rFonts w:cs="Times New Roman"/>
                <w:szCs w:val="24"/>
              </w:rPr>
              <w:t>Wrist strain</w:t>
            </w:r>
          </w:p>
        </w:tc>
        <w:tc>
          <w:tcPr>
            <w:tcW w:w="3827" w:type="dxa"/>
          </w:tcPr>
          <w:p w14:paraId="2D58EE54" w14:textId="77777777" w:rsidR="00067967" w:rsidRPr="00393437" w:rsidRDefault="00067967" w:rsidP="000C308B">
            <w:pPr>
              <w:pStyle w:val="ListParagraph"/>
              <w:numPr>
                <w:ilvl w:val="0"/>
                <w:numId w:val="5"/>
              </w:numPr>
              <w:spacing w:after="0" w:line="240" w:lineRule="auto"/>
              <w:rPr>
                <w:rFonts w:ascii="Times New Roman" w:hAnsi="Times New Roman"/>
                <w:sz w:val="24"/>
                <w:szCs w:val="24"/>
              </w:rPr>
            </w:pPr>
            <w:r w:rsidRPr="00393437">
              <w:rPr>
                <w:rFonts w:ascii="Times New Roman" w:hAnsi="Times New Roman"/>
                <w:sz w:val="24"/>
                <w:szCs w:val="24"/>
              </w:rPr>
              <w:t>No presentation of deformity</w:t>
            </w:r>
          </w:p>
        </w:tc>
        <w:tc>
          <w:tcPr>
            <w:tcW w:w="2687" w:type="dxa"/>
          </w:tcPr>
          <w:p w14:paraId="47BBE4DB" w14:textId="77777777" w:rsidR="00067967" w:rsidRPr="00393437" w:rsidRDefault="00067967" w:rsidP="000C308B">
            <w:pPr>
              <w:pStyle w:val="ListParagraph"/>
              <w:numPr>
                <w:ilvl w:val="0"/>
                <w:numId w:val="7"/>
              </w:numPr>
              <w:spacing w:after="0" w:line="240" w:lineRule="auto"/>
              <w:rPr>
                <w:rFonts w:ascii="Times New Roman" w:hAnsi="Times New Roman"/>
                <w:sz w:val="24"/>
                <w:szCs w:val="24"/>
              </w:rPr>
            </w:pPr>
            <w:r w:rsidRPr="00393437">
              <w:rPr>
                <w:rFonts w:ascii="Times New Roman" w:hAnsi="Times New Roman"/>
                <w:sz w:val="24"/>
                <w:szCs w:val="24"/>
              </w:rPr>
              <w:t>Radiographs: no fracture</w:t>
            </w:r>
          </w:p>
        </w:tc>
      </w:tr>
      <w:tr w:rsidR="00393437" w:rsidRPr="00393437" w14:paraId="48F477B3" w14:textId="77777777" w:rsidTr="003D7BBD">
        <w:tc>
          <w:tcPr>
            <w:tcW w:w="1980" w:type="dxa"/>
            <w:shd w:val="clear" w:color="auto" w:fill="FFE599" w:themeFill="accent4" w:themeFillTint="66"/>
          </w:tcPr>
          <w:p w14:paraId="68D25382" w14:textId="77777777" w:rsidR="00067967" w:rsidRPr="00393437" w:rsidRDefault="00067967" w:rsidP="000C308B">
            <w:pPr>
              <w:rPr>
                <w:rFonts w:cs="Times New Roman"/>
                <w:szCs w:val="24"/>
              </w:rPr>
            </w:pPr>
            <w:r w:rsidRPr="00393437">
              <w:rPr>
                <w:rFonts w:cs="Times New Roman"/>
                <w:szCs w:val="24"/>
              </w:rPr>
              <w:t>Ligamentous carpal injury</w:t>
            </w:r>
          </w:p>
        </w:tc>
        <w:tc>
          <w:tcPr>
            <w:tcW w:w="3827" w:type="dxa"/>
          </w:tcPr>
          <w:p w14:paraId="67DA8F52" w14:textId="77777777" w:rsidR="00067967" w:rsidRPr="00393437" w:rsidRDefault="00067967" w:rsidP="000C308B">
            <w:pPr>
              <w:pStyle w:val="ListParagraph"/>
              <w:numPr>
                <w:ilvl w:val="0"/>
                <w:numId w:val="7"/>
              </w:numPr>
              <w:spacing w:after="0" w:line="240" w:lineRule="auto"/>
              <w:rPr>
                <w:rFonts w:ascii="Times New Roman" w:hAnsi="Times New Roman"/>
                <w:sz w:val="24"/>
                <w:szCs w:val="24"/>
              </w:rPr>
            </w:pPr>
            <w:r w:rsidRPr="00393437">
              <w:rPr>
                <w:rFonts w:ascii="Times New Roman" w:hAnsi="Times New Roman"/>
                <w:sz w:val="24"/>
                <w:szCs w:val="24"/>
              </w:rPr>
              <w:t>Wrist pain with no signs of fracture</w:t>
            </w:r>
          </w:p>
          <w:p w14:paraId="46B9289C" w14:textId="77777777" w:rsidR="00067967" w:rsidRPr="00393437" w:rsidRDefault="00067967" w:rsidP="000C308B">
            <w:pPr>
              <w:pStyle w:val="ListParagraph"/>
              <w:numPr>
                <w:ilvl w:val="0"/>
                <w:numId w:val="7"/>
              </w:numPr>
              <w:spacing w:after="0" w:line="240" w:lineRule="auto"/>
              <w:rPr>
                <w:rFonts w:ascii="Times New Roman" w:hAnsi="Times New Roman"/>
                <w:sz w:val="24"/>
                <w:szCs w:val="24"/>
              </w:rPr>
            </w:pPr>
            <w:r w:rsidRPr="00393437">
              <w:rPr>
                <w:rFonts w:ascii="Times New Roman" w:hAnsi="Times New Roman"/>
                <w:sz w:val="24"/>
                <w:szCs w:val="24"/>
              </w:rPr>
              <w:t>Pain with palpation on dorsum of wrist at the scapholunate interval</w:t>
            </w:r>
          </w:p>
          <w:p w14:paraId="4857D11F" w14:textId="77777777" w:rsidR="00067967" w:rsidRPr="00393437" w:rsidRDefault="00067967" w:rsidP="000C308B">
            <w:pPr>
              <w:pStyle w:val="ListParagraph"/>
              <w:numPr>
                <w:ilvl w:val="0"/>
                <w:numId w:val="7"/>
              </w:numPr>
              <w:spacing w:after="0" w:line="240" w:lineRule="auto"/>
              <w:rPr>
                <w:rFonts w:ascii="Times New Roman" w:hAnsi="Times New Roman"/>
                <w:sz w:val="24"/>
                <w:szCs w:val="24"/>
              </w:rPr>
            </w:pPr>
            <w:r w:rsidRPr="00393437">
              <w:rPr>
                <w:rFonts w:ascii="Times New Roman" w:hAnsi="Times New Roman"/>
                <w:sz w:val="24"/>
                <w:szCs w:val="24"/>
              </w:rPr>
              <w:t>Positive Watson shift test</w:t>
            </w:r>
          </w:p>
          <w:p w14:paraId="6BFE740A" w14:textId="77777777" w:rsidR="00067967" w:rsidRPr="00393437" w:rsidRDefault="00067967" w:rsidP="000C308B">
            <w:pPr>
              <w:pStyle w:val="ListParagraph"/>
              <w:spacing w:after="0" w:line="240" w:lineRule="auto"/>
              <w:rPr>
                <w:rFonts w:ascii="Times New Roman" w:hAnsi="Times New Roman"/>
                <w:sz w:val="24"/>
                <w:szCs w:val="24"/>
              </w:rPr>
            </w:pPr>
          </w:p>
        </w:tc>
        <w:tc>
          <w:tcPr>
            <w:tcW w:w="2687" w:type="dxa"/>
          </w:tcPr>
          <w:p w14:paraId="1BB6A569" w14:textId="77777777" w:rsidR="00067967" w:rsidRPr="00393437" w:rsidRDefault="00067967" w:rsidP="000C308B">
            <w:pPr>
              <w:rPr>
                <w:rFonts w:cs="Times New Roman"/>
                <w:szCs w:val="24"/>
              </w:rPr>
            </w:pPr>
          </w:p>
        </w:tc>
      </w:tr>
      <w:tr w:rsidR="00393437" w:rsidRPr="00393437" w14:paraId="1056ECBE" w14:textId="77777777" w:rsidTr="003D7BBD">
        <w:tc>
          <w:tcPr>
            <w:tcW w:w="1980" w:type="dxa"/>
            <w:shd w:val="clear" w:color="auto" w:fill="FFE599" w:themeFill="accent4" w:themeFillTint="66"/>
          </w:tcPr>
          <w:p w14:paraId="65A0DD99" w14:textId="77777777" w:rsidR="00067967" w:rsidRPr="00393437" w:rsidRDefault="00067967" w:rsidP="000C308B">
            <w:pPr>
              <w:rPr>
                <w:rFonts w:cs="Times New Roman"/>
                <w:szCs w:val="24"/>
                <w:lang w:val="pt-PT"/>
              </w:rPr>
            </w:pPr>
            <w:r w:rsidRPr="00393437">
              <w:rPr>
                <w:rFonts w:cs="Times New Roman"/>
                <w:szCs w:val="24"/>
                <w:lang w:val="pt-PT"/>
              </w:rPr>
              <w:t>Triangular fibrocartilage complex (TFCC) tear</w:t>
            </w:r>
          </w:p>
        </w:tc>
        <w:tc>
          <w:tcPr>
            <w:tcW w:w="3827" w:type="dxa"/>
          </w:tcPr>
          <w:p w14:paraId="67623309" w14:textId="77777777" w:rsidR="00067967" w:rsidRPr="00393437" w:rsidRDefault="00067967" w:rsidP="000C308B">
            <w:pPr>
              <w:pStyle w:val="ListParagraph"/>
              <w:numPr>
                <w:ilvl w:val="0"/>
                <w:numId w:val="7"/>
              </w:numPr>
              <w:spacing w:after="0" w:line="240" w:lineRule="auto"/>
              <w:rPr>
                <w:rFonts w:ascii="Times New Roman" w:hAnsi="Times New Roman"/>
                <w:sz w:val="24"/>
                <w:szCs w:val="24"/>
                <w:lang w:val="pt-PT"/>
              </w:rPr>
            </w:pPr>
            <w:r w:rsidRPr="00393437">
              <w:rPr>
                <w:rFonts w:ascii="Times New Roman" w:hAnsi="Times New Roman"/>
                <w:sz w:val="24"/>
                <w:szCs w:val="24"/>
                <w:lang w:val="pt-PT"/>
              </w:rPr>
              <w:t>Ulnar-sided wrist pain</w:t>
            </w:r>
          </w:p>
          <w:p w14:paraId="3D4CD528" w14:textId="77777777" w:rsidR="00067967" w:rsidRPr="00393437" w:rsidRDefault="00067967" w:rsidP="000C308B">
            <w:pPr>
              <w:pStyle w:val="ListParagraph"/>
              <w:numPr>
                <w:ilvl w:val="0"/>
                <w:numId w:val="7"/>
              </w:numPr>
              <w:spacing w:after="0" w:line="240" w:lineRule="auto"/>
              <w:rPr>
                <w:rFonts w:ascii="Times New Roman" w:hAnsi="Times New Roman"/>
                <w:sz w:val="24"/>
                <w:szCs w:val="24"/>
              </w:rPr>
            </w:pPr>
            <w:r w:rsidRPr="00393437">
              <w:rPr>
                <w:rFonts w:ascii="Times New Roman" w:hAnsi="Times New Roman"/>
                <w:sz w:val="24"/>
                <w:szCs w:val="24"/>
              </w:rPr>
              <w:t>Pain with more ulnar deviation than radial.</w:t>
            </w:r>
          </w:p>
          <w:p w14:paraId="479A4728" w14:textId="77777777" w:rsidR="00067967" w:rsidRPr="00393437" w:rsidRDefault="00067967" w:rsidP="000C308B">
            <w:pPr>
              <w:pStyle w:val="ListParagraph"/>
              <w:numPr>
                <w:ilvl w:val="0"/>
                <w:numId w:val="7"/>
              </w:numPr>
              <w:spacing w:after="0" w:line="240" w:lineRule="auto"/>
              <w:rPr>
                <w:rFonts w:ascii="Times New Roman" w:hAnsi="Times New Roman"/>
                <w:sz w:val="24"/>
                <w:szCs w:val="24"/>
              </w:rPr>
            </w:pPr>
            <w:r w:rsidRPr="00393437">
              <w:rPr>
                <w:rFonts w:ascii="Times New Roman" w:hAnsi="Times New Roman"/>
                <w:sz w:val="24"/>
                <w:szCs w:val="24"/>
              </w:rPr>
              <w:t>Pain with manipulation of distal ulna dorsal/volar</w:t>
            </w:r>
          </w:p>
          <w:p w14:paraId="04A8AB64" w14:textId="77777777" w:rsidR="00067967" w:rsidRPr="00393437" w:rsidRDefault="00067967" w:rsidP="000C308B">
            <w:pPr>
              <w:rPr>
                <w:rFonts w:cs="Times New Roman"/>
                <w:szCs w:val="24"/>
              </w:rPr>
            </w:pPr>
          </w:p>
        </w:tc>
        <w:tc>
          <w:tcPr>
            <w:tcW w:w="2687" w:type="dxa"/>
          </w:tcPr>
          <w:p w14:paraId="55C3D758" w14:textId="77777777" w:rsidR="00067967" w:rsidRPr="00393437" w:rsidRDefault="00067967" w:rsidP="000C308B">
            <w:pPr>
              <w:rPr>
                <w:rFonts w:cs="Times New Roman"/>
                <w:szCs w:val="24"/>
              </w:rPr>
            </w:pPr>
            <w:r w:rsidRPr="00393437">
              <w:rPr>
                <w:rFonts w:cs="Times New Roman"/>
                <w:szCs w:val="24"/>
              </w:rPr>
              <w:t>For accurate diagnosis:</w:t>
            </w:r>
          </w:p>
          <w:p w14:paraId="552937C3" w14:textId="77777777" w:rsidR="00067967" w:rsidRPr="00393437" w:rsidRDefault="00067967" w:rsidP="000C308B">
            <w:pPr>
              <w:pStyle w:val="ListParagraph"/>
              <w:numPr>
                <w:ilvl w:val="0"/>
                <w:numId w:val="8"/>
              </w:numPr>
              <w:spacing w:after="0" w:line="240" w:lineRule="auto"/>
              <w:rPr>
                <w:rFonts w:ascii="Times New Roman" w:hAnsi="Times New Roman"/>
                <w:sz w:val="24"/>
                <w:szCs w:val="24"/>
              </w:rPr>
            </w:pPr>
            <w:r w:rsidRPr="00393437">
              <w:rPr>
                <w:rFonts w:ascii="Times New Roman" w:hAnsi="Times New Roman"/>
                <w:sz w:val="24"/>
                <w:szCs w:val="24"/>
              </w:rPr>
              <w:t>MRI arthrogram of the wrist</w:t>
            </w:r>
          </w:p>
          <w:p w14:paraId="294D2A27" w14:textId="77777777" w:rsidR="00067967" w:rsidRPr="00393437" w:rsidRDefault="00067967" w:rsidP="000C308B">
            <w:pPr>
              <w:pStyle w:val="ListParagraph"/>
              <w:numPr>
                <w:ilvl w:val="0"/>
                <w:numId w:val="8"/>
              </w:numPr>
              <w:spacing w:after="0" w:line="240" w:lineRule="auto"/>
              <w:rPr>
                <w:rFonts w:ascii="Times New Roman" w:hAnsi="Times New Roman"/>
                <w:sz w:val="24"/>
                <w:szCs w:val="24"/>
              </w:rPr>
            </w:pPr>
            <w:r w:rsidRPr="00393437">
              <w:rPr>
                <w:rFonts w:ascii="Times New Roman" w:hAnsi="Times New Roman"/>
                <w:sz w:val="24"/>
                <w:szCs w:val="24"/>
              </w:rPr>
              <w:t>Wrist arthroscopy</w:t>
            </w:r>
          </w:p>
        </w:tc>
      </w:tr>
    </w:tbl>
    <w:p w14:paraId="71C4EEF1" w14:textId="7EBFC3E4" w:rsidR="00067967" w:rsidRPr="00393437" w:rsidRDefault="001F3DBE" w:rsidP="00067967">
      <w:pPr>
        <w:rPr>
          <w:rFonts w:cs="Times New Roman"/>
          <w:szCs w:val="24"/>
        </w:rPr>
      </w:pPr>
      <w:r w:rsidRPr="00393437">
        <w:rPr>
          <w:rFonts w:cs="Times New Roman"/>
          <w:szCs w:val="24"/>
        </w:rPr>
        <w:t>(</w:t>
      </w:r>
      <w:r w:rsidR="000C3A63" w:rsidRPr="00393437">
        <w:rPr>
          <w:rFonts w:cs="Times New Roman"/>
          <w:szCs w:val="24"/>
        </w:rPr>
        <w:t>Adapted from</w:t>
      </w:r>
      <w:r w:rsidR="00F05B7E" w:rsidRPr="00393437">
        <w:rPr>
          <w:rFonts w:cs="Times New Roman"/>
          <w:szCs w:val="24"/>
        </w:rPr>
        <w:t xml:space="preserve"> </w:t>
      </w:r>
      <w:proofErr w:type="spellStart"/>
      <w:r w:rsidR="00F05B7E" w:rsidRPr="00393437">
        <w:rPr>
          <w:rFonts w:cs="Times New Roman"/>
          <w:szCs w:val="24"/>
        </w:rPr>
        <w:t>S</w:t>
      </w:r>
      <w:r w:rsidR="00DF54D9" w:rsidRPr="00393437">
        <w:rPr>
          <w:rFonts w:cs="Times New Roman"/>
          <w:szCs w:val="24"/>
        </w:rPr>
        <w:t>chep</w:t>
      </w:r>
      <w:proofErr w:type="spellEnd"/>
      <w:r w:rsidR="00DF54D9" w:rsidRPr="00393437">
        <w:rPr>
          <w:rFonts w:cs="Times New Roman"/>
          <w:szCs w:val="24"/>
        </w:rPr>
        <w:t xml:space="preserve"> ,2020</w:t>
      </w:r>
      <w:r w:rsidR="00691013" w:rsidRPr="00393437">
        <w:rPr>
          <w:rFonts w:cs="Times New Roman"/>
          <w:szCs w:val="24"/>
        </w:rPr>
        <w:t>)</w:t>
      </w:r>
      <w:r w:rsidR="00067967" w:rsidRPr="00393437">
        <w:rPr>
          <w:rFonts w:cs="Times New Roman"/>
          <w:szCs w:val="24"/>
        </w:rPr>
        <w:t>.</w:t>
      </w:r>
    </w:p>
    <w:p w14:paraId="1483C7F4" w14:textId="39A2E43F" w:rsidR="00222935" w:rsidRPr="00393437" w:rsidRDefault="008B16CD" w:rsidP="00071611">
      <w:pPr>
        <w:autoSpaceDE w:val="0"/>
        <w:autoSpaceDN w:val="0"/>
        <w:adjustRightInd w:val="0"/>
        <w:spacing w:after="0" w:line="240" w:lineRule="auto"/>
        <w:jc w:val="both"/>
        <w:rPr>
          <w:rFonts w:cs="Times New Roman"/>
          <w:szCs w:val="24"/>
        </w:rPr>
      </w:pPr>
      <w:r w:rsidRPr="00393437">
        <w:rPr>
          <w:rFonts w:cs="Times New Roman"/>
          <w:szCs w:val="24"/>
        </w:rPr>
        <w:t>T</w:t>
      </w:r>
      <w:r w:rsidR="00D016B8" w:rsidRPr="00393437">
        <w:rPr>
          <w:rFonts w:cs="Times New Roman"/>
          <w:szCs w:val="24"/>
        </w:rPr>
        <w:t>o develop an appropriate structure</w:t>
      </w:r>
      <w:r w:rsidRPr="00393437">
        <w:rPr>
          <w:rFonts w:cs="Times New Roman"/>
          <w:szCs w:val="24"/>
        </w:rPr>
        <w:t xml:space="preserve"> of the examination process</w:t>
      </w:r>
      <w:r w:rsidR="00D016B8" w:rsidRPr="00393437">
        <w:rPr>
          <w:rFonts w:cs="Times New Roman"/>
          <w:szCs w:val="24"/>
        </w:rPr>
        <w:t xml:space="preserve">, </w:t>
      </w:r>
      <w:proofErr w:type="spellStart"/>
      <w:r w:rsidR="0084206E" w:rsidRPr="00393437">
        <w:rPr>
          <w:rFonts w:cs="Times New Roman"/>
          <w:szCs w:val="24"/>
        </w:rPr>
        <w:t>Burnand</w:t>
      </w:r>
      <w:proofErr w:type="spellEnd"/>
      <w:r w:rsidR="0084206E" w:rsidRPr="00393437">
        <w:rPr>
          <w:rFonts w:cs="Times New Roman"/>
          <w:szCs w:val="24"/>
        </w:rPr>
        <w:t xml:space="preserve"> and Browse</w:t>
      </w:r>
      <w:r w:rsidR="00D016B8" w:rsidRPr="00393437">
        <w:rPr>
          <w:rFonts w:cs="Times New Roman"/>
          <w:szCs w:val="24"/>
        </w:rPr>
        <w:t xml:space="preserve"> (</w:t>
      </w:r>
      <w:r w:rsidR="0084206E" w:rsidRPr="00393437">
        <w:rPr>
          <w:rFonts w:cs="Times New Roman"/>
          <w:szCs w:val="24"/>
        </w:rPr>
        <w:t>2015</w:t>
      </w:r>
      <w:r w:rsidR="00D016B8" w:rsidRPr="00393437">
        <w:rPr>
          <w:rFonts w:cs="Times New Roman"/>
          <w:szCs w:val="24"/>
        </w:rPr>
        <w:t>) supported by Innes, Dover and Fairhurst (2018) divide</w:t>
      </w:r>
      <w:r w:rsidRPr="00393437">
        <w:rPr>
          <w:rFonts w:cs="Times New Roman"/>
          <w:szCs w:val="24"/>
        </w:rPr>
        <w:t>d</w:t>
      </w:r>
      <w:r w:rsidR="00D016B8" w:rsidRPr="00393437">
        <w:rPr>
          <w:rFonts w:cs="Times New Roman"/>
          <w:szCs w:val="24"/>
        </w:rPr>
        <w:t xml:space="preserve"> </w:t>
      </w:r>
      <w:r w:rsidRPr="00393437">
        <w:rPr>
          <w:rFonts w:cs="Times New Roman"/>
          <w:szCs w:val="24"/>
        </w:rPr>
        <w:t xml:space="preserve">it </w:t>
      </w:r>
      <w:r w:rsidR="00D016B8" w:rsidRPr="00393437">
        <w:rPr>
          <w:rFonts w:cs="Times New Roman"/>
          <w:szCs w:val="24"/>
        </w:rPr>
        <w:t xml:space="preserve">into inspection, </w:t>
      </w:r>
      <w:proofErr w:type="gramStart"/>
      <w:r w:rsidR="00D016B8" w:rsidRPr="00393437">
        <w:rPr>
          <w:rFonts w:cs="Times New Roman"/>
          <w:szCs w:val="24"/>
        </w:rPr>
        <w:t>palpation</w:t>
      </w:r>
      <w:proofErr w:type="gramEnd"/>
      <w:r w:rsidR="00D016B8" w:rsidRPr="00393437">
        <w:rPr>
          <w:rFonts w:cs="Times New Roman"/>
          <w:szCs w:val="24"/>
        </w:rPr>
        <w:t xml:space="preserve"> and movement of the joint.</w:t>
      </w:r>
      <w:r w:rsidR="00320601" w:rsidRPr="00393437">
        <w:rPr>
          <w:rFonts w:cs="Times New Roman"/>
          <w:szCs w:val="24"/>
        </w:rPr>
        <w:t xml:space="preserve"> The professional should have the patient</w:t>
      </w:r>
      <w:r w:rsidR="00511B6B" w:rsidRPr="00393437">
        <w:rPr>
          <w:rFonts w:cs="Times New Roman"/>
          <w:szCs w:val="24"/>
        </w:rPr>
        <w:t>'</w:t>
      </w:r>
      <w:r w:rsidR="00320601" w:rsidRPr="00393437">
        <w:rPr>
          <w:rFonts w:cs="Times New Roman"/>
          <w:szCs w:val="24"/>
        </w:rPr>
        <w:t>s consent before performing any examination or investigation (</w:t>
      </w:r>
      <w:r w:rsidR="007F08CC" w:rsidRPr="00393437">
        <w:rPr>
          <w:rFonts w:cs="Times New Roman"/>
          <w:szCs w:val="24"/>
        </w:rPr>
        <w:t>General Medical Council</w:t>
      </w:r>
      <w:r w:rsidR="00320601" w:rsidRPr="00393437">
        <w:rPr>
          <w:rFonts w:cs="Times New Roman"/>
          <w:szCs w:val="24"/>
        </w:rPr>
        <w:t xml:space="preserve"> 2013).</w:t>
      </w:r>
      <w:r w:rsidR="00D016B8" w:rsidRPr="00393437">
        <w:rPr>
          <w:rFonts w:cs="Times New Roman"/>
          <w:szCs w:val="24"/>
        </w:rPr>
        <w:t xml:space="preserve"> </w:t>
      </w:r>
      <w:r w:rsidR="00AD4ADC" w:rsidRPr="00393437">
        <w:rPr>
          <w:rFonts w:cs="Times New Roman"/>
          <w:szCs w:val="24"/>
        </w:rPr>
        <w:t>During the inspection of the forearm</w:t>
      </w:r>
      <w:r w:rsidR="00E85120" w:rsidRPr="00393437">
        <w:rPr>
          <w:rFonts w:cs="Times New Roman"/>
          <w:szCs w:val="24"/>
        </w:rPr>
        <w:t xml:space="preserve"> swelling, bruising and </w:t>
      </w:r>
      <w:r w:rsidR="00AD4ADC" w:rsidRPr="00393437">
        <w:rPr>
          <w:rFonts w:cs="Times New Roman"/>
          <w:szCs w:val="24"/>
        </w:rPr>
        <w:t xml:space="preserve">some </w:t>
      </w:r>
      <w:proofErr w:type="gramStart"/>
      <w:r w:rsidR="00AD4ADC" w:rsidRPr="00393437">
        <w:rPr>
          <w:rFonts w:cs="Times New Roman"/>
          <w:szCs w:val="24"/>
        </w:rPr>
        <w:t>deformity</w:t>
      </w:r>
      <w:proofErr w:type="gramEnd"/>
      <w:r w:rsidR="00E85120" w:rsidRPr="00393437">
        <w:rPr>
          <w:rFonts w:cs="Times New Roman"/>
          <w:szCs w:val="24"/>
        </w:rPr>
        <w:t xml:space="preserve"> of the wrist</w:t>
      </w:r>
      <w:r w:rsidR="00AD4ADC" w:rsidRPr="00393437">
        <w:rPr>
          <w:rFonts w:cs="Times New Roman"/>
          <w:szCs w:val="24"/>
        </w:rPr>
        <w:t xml:space="preserve"> were seen</w:t>
      </w:r>
      <w:r w:rsidR="00E85120" w:rsidRPr="00393437">
        <w:rPr>
          <w:rFonts w:cs="Times New Roman"/>
          <w:szCs w:val="24"/>
        </w:rPr>
        <w:t>. Specific characteristics as angulation, rotation, displacement and shortening of the joint should be recorded clearly into the patient</w:t>
      </w:r>
      <w:r w:rsidR="00511B6B" w:rsidRPr="00393437">
        <w:rPr>
          <w:rFonts w:cs="Times New Roman"/>
          <w:szCs w:val="24"/>
        </w:rPr>
        <w:t>'</w:t>
      </w:r>
      <w:r w:rsidR="00E85120" w:rsidRPr="00393437">
        <w:rPr>
          <w:rFonts w:cs="Times New Roman"/>
          <w:szCs w:val="24"/>
        </w:rPr>
        <w:t xml:space="preserve">s notes. </w:t>
      </w:r>
      <w:r w:rsidR="0062005B" w:rsidRPr="00393437">
        <w:rPr>
          <w:rFonts w:cs="Times New Roman"/>
          <w:szCs w:val="24"/>
        </w:rPr>
        <w:t xml:space="preserve">Also, </w:t>
      </w:r>
      <w:r w:rsidR="00AD4ADC" w:rsidRPr="00393437">
        <w:rPr>
          <w:rFonts w:cs="Times New Roman"/>
          <w:szCs w:val="24"/>
        </w:rPr>
        <w:t>there was</w:t>
      </w:r>
      <w:r w:rsidR="009358FD" w:rsidRPr="00393437">
        <w:rPr>
          <w:rFonts w:cs="Times New Roman"/>
          <w:szCs w:val="24"/>
        </w:rPr>
        <w:t xml:space="preserve"> evidence of</w:t>
      </w:r>
      <w:r w:rsidR="00EF1722" w:rsidRPr="00393437">
        <w:rPr>
          <w:rFonts w:cs="Times New Roman"/>
          <w:szCs w:val="24"/>
        </w:rPr>
        <w:t xml:space="preserve"> </w:t>
      </w:r>
      <w:r w:rsidR="00AD4ADC" w:rsidRPr="00393437">
        <w:rPr>
          <w:rFonts w:cs="Times New Roman"/>
          <w:szCs w:val="24"/>
        </w:rPr>
        <w:t>s</w:t>
      </w:r>
      <w:r w:rsidR="0062005B" w:rsidRPr="00393437">
        <w:rPr>
          <w:rFonts w:cs="Times New Roman"/>
          <w:szCs w:val="24"/>
        </w:rPr>
        <w:t>oft tissue swelling</w:t>
      </w:r>
      <w:r w:rsidR="00511B6B" w:rsidRPr="00393437">
        <w:rPr>
          <w:rFonts w:cs="Times New Roman"/>
          <w:szCs w:val="24"/>
        </w:rPr>
        <w:t>,</w:t>
      </w:r>
      <w:r w:rsidR="00EF1722" w:rsidRPr="00393437">
        <w:rPr>
          <w:rFonts w:cs="Times New Roman"/>
          <w:szCs w:val="24"/>
        </w:rPr>
        <w:t xml:space="preserve"> </w:t>
      </w:r>
      <w:r w:rsidR="009358FD" w:rsidRPr="00393437">
        <w:rPr>
          <w:rFonts w:cs="Times New Roman"/>
          <w:szCs w:val="24"/>
        </w:rPr>
        <w:t xml:space="preserve">which was </w:t>
      </w:r>
      <w:r w:rsidR="00EF1722" w:rsidRPr="00393437">
        <w:rPr>
          <w:rFonts w:cs="Times New Roman"/>
          <w:szCs w:val="24"/>
        </w:rPr>
        <w:t>classif</w:t>
      </w:r>
      <w:r w:rsidR="009358FD" w:rsidRPr="00393437">
        <w:rPr>
          <w:rFonts w:cs="Times New Roman"/>
          <w:szCs w:val="24"/>
        </w:rPr>
        <w:t>ied</w:t>
      </w:r>
      <w:r w:rsidR="004649D6" w:rsidRPr="00393437">
        <w:rPr>
          <w:rFonts w:cs="Times New Roman"/>
          <w:szCs w:val="24"/>
        </w:rPr>
        <w:t xml:space="preserve"> using the </w:t>
      </w:r>
      <w:proofErr w:type="spellStart"/>
      <w:r w:rsidR="00EF1722" w:rsidRPr="00393437">
        <w:rPr>
          <w:rFonts w:cs="Times New Roman"/>
          <w:szCs w:val="24"/>
        </w:rPr>
        <w:t>Tscherne</w:t>
      </w:r>
      <w:proofErr w:type="spellEnd"/>
      <w:r w:rsidR="004649D6" w:rsidRPr="00393437">
        <w:rPr>
          <w:rFonts w:cs="Times New Roman"/>
          <w:szCs w:val="24"/>
        </w:rPr>
        <w:t xml:space="preserve"> classification</w:t>
      </w:r>
      <w:r w:rsidR="009358FD" w:rsidRPr="00393437">
        <w:rPr>
          <w:rFonts w:cs="Times New Roman"/>
          <w:szCs w:val="24"/>
        </w:rPr>
        <w:t xml:space="preserve"> </w:t>
      </w:r>
      <w:r w:rsidR="00EF1722" w:rsidRPr="00393437">
        <w:rPr>
          <w:rFonts w:cs="Times New Roman"/>
          <w:szCs w:val="24"/>
        </w:rPr>
        <w:t>for closed fractures</w:t>
      </w:r>
      <w:r w:rsidR="009358FD" w:rsidRPr="00393437">
        <w:rPr>
          <w:rFonts w:cs="Times New Roman"/>
          <w:szCs w:val="24"/>
        </w:rPr>
        <w:t xml:space="preserve">, </w:t>
      </w:r>
      <w:r w:rsidR="004649D6" w:rsidRPr="00393437">
        <w:rPr>
          <w:rFonts w:cs="Times New Roman"/>
          <w:szCs w:val="24"/>
        </w:rPr>
        <w:t xml:space="preserve">but there was no evidence </w:t>
      </w:r>
      <w:r w:rsidR="0062005B" w:rsidRPr="00393437">
        <w:rPr>
          <w:rFonts w:cs="Times New Roman"/>
          <w:szCs w:val="24"/>
        </w:rPr>
        <w:t>of a compound wo</w:t>
      </w:r>
      <w:r w:rsidR="00A8146C" w:rsidRPr="00393437">
        <w:rPr>
          <w:rFonts w:cs="Times New Roman"/>
          <w:szCs w:val="24"/>
        </w:rPr>
        <w:t>und</w:t>
      </w:r>
      <w:r w:rsidR="009358FD" w:rsidRPr="00393437">
        <w:rPr>
          <w:rFonts w:cs="Times New Roman"/>
          <w:szCs w:val="24"/>
        </w:rPr>
        <w:t xml:space="preserve"> </w:t>
      </w:r>
      <w:r w:rsidR="00EF1722" w:rsidRPr="00393437">
        <w:rPr>
          <w:rFonts w:cs="Times New Roman"/>
          <w:szCs w:val="24"/>
        </w:rPr>
        <w:t>(</w:t>
      </w:r>
      <w:proofErr w:type="spellStart"/>
      <w:r w:rsidR="00EF1722" w:rsidRPr="00393437">
        <w:rPr>
          <w:rFonts w:cs="Times New Roman"/>
          <w:szCs w:val="24"/>
        </w:rPr>
        <w:t>Burnand</w:t>
      </w:r>
      <w:proofErr w:type="spellEnd"/>
      <w:r w:rsidR="00EF1722" w:rsidRPr="00393437">
        <w:rPr>
          <w:rFonts w:cs="Times New Roman"/>
          <w:szCs w:val="24"/>
        </w:rPr>
        <w:t xml:space="preserve"> and Browse 2015).</w:t>
      </w:r>
      <w:r w:rsidR="004C0CC1" w:rsidRPr="00393437">
        <w:rPr>
          <w:rFonts w:cs="Times New Roman"/>
          <w:szCs w:val="24"/>
        </w:rPr>
        <w:t xml:space="preserve"> </w:t>
      </w:r>
      <w:r w:rsidR="00C54A88" w:rsidRPr="00393437">
        <w:rPr>
          <w:rFonts w:cs="Times New Roman"/>
          <w:szCs w:val="24"/>
        </w:rPr>
        <w:t>Palpation of the wrist showed generali</w:t>
      </w:r>
      <w:r w:rsidR="00511B6B" w:rsidRPr="00393437">
        <w:rPr>
          <w:rFonts w:cs="Times New Roman"/>
          <w:szCs w:val="24"/>
        </w:rPr>
        <w:t>s</w:t>
      </w:r>
      <w:r w:rsidR="00C54A88" w:rsidRPr="00393437">
        <w:rPr>
          <w:rFonts w:cs="Times New Roman"/>
          <w:szCs w:val="24"/>
        </w:rPr>
        <w:t>ed t</w:t>
      </w:r>
      <w:r w:rsidR="00A8146C" w:rsidRPr="00393437">
        <w:rPr>
          <w:rFonts w:cs="Times New Roman"/>
          <w:szCs w:val="24"/>
        </w:rPr>
        <w:t>enderness</w:t>
      </w:r>
      <w:r w:rsidR="00511B6B" w:rsidRPr="00393437">
        <w:rPr>
          <w:rFonts w:cs="Times New Roman"/>
          <w:szCs w:val="24"/>
        </w:rPr>
        <w:t>. T</w:t>
      </w:r>
      <w:r w:rsidR="00C54A88" w:rsidRPr="00393437">
        <w:rPr>
          <w:rFonts w:cs="Times New Roman"/>
          <w:szCs w:val="24"/>
        </w:rPr>
        <w:t xml:space="preserve">his </w:t>
      </w:r>
      <w:r w:rsidR="00511B6B" w:rsidRPr="00393437">
        <w:rPr>
          <w:rFonts w:cs="Times New Roman"/>
          <w:szCs w:val="24"/>
        </w:rPr>
        <w:t>is</w:t>
      </w:r>
      <w:r w:rsidR="00A8146C" w:rsidRPr="00393437">
        <w:rPr>
          <w:rFonts w:cs="Times New Roman"/>
          <w:szCs w:val="24"/>
        </w:rPr>
        <w:t xml:space="preserve"> a clinical sign of fracture. Finally, </w:t>
      </w:r>
      <w:r w:rsidR="00E77217" w:rsidRPr="00393437">
        <w:rPr>
          <w:rFonts w:cs="Times New Roman"/>
          <w:szCs w:val="24"/>
        </w:rPr>
        <w:t>the joint</w:t>
      </w:r>
      <w:r w:rsidR="00C54A88" w:rsidRPr="00393437">
        <w:rPr>
          <w:rFonts w:cs="Times New Roman"/>
          <w:szCs w:val="24"/>
        </w:rPr>
        <w:t xml:space="preserve"> was assessed</w:t>
      </w:r>
      <w:r w:rsidR="00E77217" w:rsidRPr="00393437">
        <w:rPr>
          <w:rFonts w:cs="Times New Roman"/>
          <w:szCs w:val="24"/>
        </w:rPr>
        <w:t xml:space="preserve"> on movement</w:t>
      </w:r>
      <w:r w:rsidR="00222935" w:rsidRPr="00393437">
        <w:rPr>
          <w:rFonts w:cs="Times New Roman"/>
          <w:szCs w:val="24"/>
        </w:rPr>
        <w:t xml:space="preserve"> </w:t>
      </w:r>
      <w:r w:rsidR="000B7205" w:rsidRPr="00393437">
        <w:rPr>
          <w:rFonts w:cs="Times New Roman"/>
          <w:szCs w:val="24"/>
        </w:rPr>
        <w:t xml:space="preserve">(see </w:t>
      </w:r>
      <w:r w:rsidR="00482EAB" w:rsidRPr="00393437">
        <w:rPr>
          <w:rFonts w:cs="Times New Roman"/>
          <w:szCs w:val="24"/>
        </w:rPr>
        <w:t>T</w:t>
      </w:r>
      <w:r w:rsidR="000B7205" w:rsidRPr="00393437">
        <w:rPr>
          <w:rFonts w:cs="Times New Roman"/>
          <w:szCs w:val="24"/>
        </w:rPr>
        <w:t>able 3</w:t>
      </w:r>
      <w:r w:rsidR="00693F55" w:rsidRPr="00393437">
        <w:rPr>
          <w:rFonts w:cs="Times New Roman"/>
          <w:szCs w:val="24"/>
        </w:rPr>
        <w:t>)</w:t>
      </w:r>
      <w:r w:rsidR="00C54A88" w:rsidRPr="00393437">
        <w:rPr>
          <w:rFonts w:cs="Times New Roman"/>
          <w:szCs w:val="24"/>
        </w:rPr>
        <w:t xml:space="preserve"> very carefully as it</w:t>
      </w:r>
      <w:r w:rsidR="00E77217" w:rsidRPr="00393437">
        <w:rPr>
          <w:rFonts w:cs="Times New Roman"/>
          <w:szCs w:val="24"/>
        </w:rPr>
        <w:t xml:space="preserve"> could be painful for the patient</w:t>
      </w:r>
      <w:r w:rsidR="00C54A88" w:rsidRPr="00393437">
        <w:rPr>
          <w:rFonts w:cs="Times New Roman"/>
          <w:szCs w:val="24"/>
        </w:rPr>
        <w:t>.</w:t>
      </w:r>
      <w:r w:rsidR="00E77217" w:rsidRPr="00393437">
        <w:rPr>
          <w:rFonts w:cs="Times New Roman"/>
          <w:szCs w:val="24"/>
        </w:rPr>
        <w:t xml:space="preserve"> </w:t>
      </w:r>
      <w:r w:rsidR="00C54A88" w:rsidRPr="00393437">
        <w:rPr>
          <w:rFonts w:cs="Times New Roman"/>
          <w:szCs w:val="24"/>
        </w:rPr>
        <w:t>I</w:t>
      </w:r>
      <w:r w:rsidR="00E77217" w:rsidRPr="00393437">
        <w:rPr>
          <w:rFonts w:cs="Times New Roman"/>
          <w:szCs w:val="24"/>
        </w:rPr>
        <w:t>t is important not to encourage any abnormal movement</w:t>
      </w:r>
      <w:r w:rsidR="00511B6B" w:rsidRPr="00393437">
        <w:rPr>
          <w:rFonts w:cs="Times New Roman"/>
          <w:szCs w:val="24"/>
        </w:rPr>
        <w:t>,</w:t>
      </w:r>
      <w:r w:rsidR="00E77217" w:rsidRPr="00393437">
        <w:rPr>
          <w:rFonts w:cs="Times New Roman"/>
          <w:szCs w:val="24"/>
        </w:rPr>
        <w:t xml:space="preserve"> as this may cause further soft tissue damage or periosteal stripping</w:t>
      </w:r>
      <w:r w:rsidR="00947CDC" w:rsidRPr="00393437">
        <w:rPr>
          <w:rFonts w:cs="Times New Roman"/>
          <w:szCs w:val="24"/>
        </w:rPr>
        <w:t xml:space="preserve"> (</w:t>
      </w:r>
      <w:proofErr w:type="spellStart"/>
      <w:r w:rsidR="00947CDC" w:rsidRPr="00393437">
        <w:rPr>
          <w:rFonts w:cs="Times New Roman"/>
          <w:szCs w:val="24"/>
        </w:rPr>
        <w:t>Burnand</w:t>
      </w:r>
      <w:proofErr w:type="spellEnd"/>
      <w:r w:rsidR="00947CDC" w:rsidRPr="00393437">
        <w:rPr>
          <w:rFonts w:cs="Times New Roman"/>
          <w:szCs w:val="24"/>
        </w:rPr>
        <w:t xml:space="preserve"> and Browse 2015).</w:t>
      </w:r>
      <w:r w:rsidR="00350491" w:rsidRPr="00393437">
        <w:rPr>
          <w:rFonts w:cs="Times New Roman"/>
          <w:szCs w:val="24"/>
        </w:rPr>
        <w:t xml:space="preserve"> </w:t>
      </w:r>
    </w:p>
    <w:p w14:paraId="4A94357C" w14:textId="77777777" w:rsidR="00071611" w:rsidRPr="00393437" w:rsidRDefault="00071611" w:rsidP="00071611">
      <w:pPr>
        <w:autoSpaceDE w:val="0"/>
        <w:autoSpaceDN w:val="0"/>
        <w:adjustRightInd w:val="0"/>
        <w:spacing w:after="0" w:line="240" w:lineRule="auto"/>
        <w:jc w:val="both"/>
        <w:rPr>
          <w:rFonts w:cs="Times New Roman"/>
          <w:szCs w:val="24"/>
        </w:rPr>
      </w:pPr>
    </w:p>
    <w:p w14:paraId="2BBBD4B3" w14:textId="1D265D47" w:rsidR="00222935" w:rsidRPr="00393437" w:rsidRDefault="000B7205" w:rsidP="003357E9">
      <w:pPr>
        <w:autoSpaceDE w:val="0"/>
        <w:autoSpaceDN w:val="0"/>
        <w:adjustRightInd w:val="0"/>
        <w:spacing w:after="0"/>
        <w:jc w:val="both"/>
        <w:rPr>
          <w:rFonts w:cs="Times New Roman"/>
          <w:b/>
          <w:bCs/>
          <w:szCs w:val="24"/>
        </w:rPr>
      </w:pPr>
      <w:r w:rsidRPr="00393437">
        <w:rPr>
          <w:rFonts w:cs="Times New Roman"/>
          <w:b/>
          <w:bCs/>
          <w:szCs w:val="24"/>
        </w:rPr>
        <w:t>Table 3</w:t>
      </w:r>
      <w:r w:rsidR="00693F55" w:rsidRPr="00393437">
        <w:rPr>
          <w:rFonts w:cs="Times New Roman"/>
          <w:b/>
          <w:bCs/>
          <w:szCs w:val="24"/>
        </w:rPr>
        <w:t>: Normal</w:t>
      </w:r>
      <w:r w:rsidR="00A47F5C" w:rsidRPr="00393437">
        <w:rPr>
          <w:rFonts w:cs="Times New Roman"/>
          <w:b/>
          <w:bCs/>
          <w:szCs w:val="24"/>
        </w:rPr>
        <w:t xml:space="preserve"> </w:t>
      </w:r>
      <w:r w:rsidR="00693F55" w:rsidRPr="00393437">
        <w:rPr>
          <w:rFonts w:cs="Times New Roman"/>
          <w:b/>
          <w:bCs/>
          <w:szCs w:val="24"/>
        </w:rPr>
        <w:t xml:space="preserve">movements </w:t>
      </w:r>
      <w:r w:rsidR="00A47F5C" w:rsidRPr="00393437">
        <w:rPr>
          <w:rFonts w:cs="Times New Roman"/>
          <w:b/>
          <w:bCs/>
          <w:szCs w:val="24"/>
        </w:rPr>
        <w:t>of the condyloid synovial wrist joint</w:t>
      </w:r>
    </w:p>
    <w:tbl>
      <w:tblPr>
        <w:tblStyle w:val="TableGrid"/>
        <w:tblW w:w="0" w:type="auto"/>
        <w:tblLook w:val="04A0" w:firstRow="1" w:lastRow="0" w:firstColumn="1" w:lastColumn="0" w:noHBand="0" w:noVBand="1"/>
      </w:tblPr>
      <w:tblGrid>
        <w:gridCol w:w="1809"/>
        <w:gridCol w:w="6911"/>
      </w:tblGrid>
      <w:tr w:rsidR="00393437" w:rsidRPr="00393437" w14:paraId="49C09C37" w14:textId="77777777" w:rsidTr="00A47F5C">
        <w:tc>
          <w:tcPr>
            <w:tcW w:w="1809" w:type="dxa"/>
            <w:shd w:val="clear" w:color="auto" w:fill="FFE599" w:themeFill="accent4" w:themeFillTint="66"/>
          </w:tcPr>
          <w:p w14:paraId="6C45EA63" w14:textId="121F013E" w:rsidR="00693F55" w:rsidRPr="00393437" w:rsidRDefault="00693F55" w:rsidP="00AC48EA">
            <w:pPr>
              <w:autoSpaceDE w:val="0"/>
              <w:autoSpaceDN w:val="0"/>
              <w:adjustRightInd w:val="0"/>
              <w:jc w:val="both"/>
              <w:rPr>
                <w:rFonts w:cs="Times New Roman"/>
                <w:szCs w:val="24"/>
              </w:rPr>
            </w:pPr>
            <w:r w:rsidRPr="00393437">
              <w:rPr>
                <w:rFonts w:cs="Times New Roman"/>
                <w:szCs w:val="24"/>
              </w:rPr>
              <w:t>Flexion</w:t>
            </w:r>
          </w:p>
        </w:tc>
        <w:tc>
          <w:tcPr>
            <w:tcW w:w="6911" w:type="dxa"/>
          </w:tcPr>
          <w:p w14:paraId="513DC522" w14:textId="1C9FA1CC" w:rsidR="00693F55" w:rsidRPr="00393437" w:rsidRDefault="003E2EE8" w:rsidP="00AC48EA">
            <w:pPr>
              <w:autoSpaceDE w:val="0"/>
              <w:autoSpaceDN w:val="0"/>
              <w:adjustRightInd w:val="0"/>
              <w:jc w:val="both"/>
              <w:rPr>
                <w:rFonts w:cs="Times New Roman"/>
                <w:szCs w:val="24"/>
              </w:rPr>
            </w:pPr>
            <w:r w:rsidRPr="00393437">
              <w:rPr>
                <w:rFonts w:cs="Times New Roman"/>
                <w:szCs w:val="24"/>
              </w:rPr>
              <w:t>B</w:t>
            </w:r>
            <w:r w:rsidR="00693F55" w:rsidRPr="00393437">
              <w:rPr>
                <w:rFonts w:cs="Times New Roman"/>
                <w:szCs w:val="24"/>
              </w:rPr>
              <w:t>ending the palm toward the forearm</w:t>
            </w:r>
          </w:p>
        </w:tc>
      </w:tr>
      <w:tr w:rsidR="00393437" w:rsidRPr="00393437" w14:paraId="6861B75B" w14:textId="77777777" w:rsidTr="00A47F5C">
        <w:tc>
          <w:tcPr>
            <w:tcW w:w="1809" w:type="dxa"/>
            <w:shd w:val="clear" w:color="auto" w:fill="FFE599" w:themeFill="accent4" w:themeFillTint="66"/>
          </w:tcPr>
          <w:p w14:paraId="7D35D546" w14:textId="459E529C" w:rsidR="00693F55" w:rsidRPr="00393437" w:rsidRDefault="00693F55" w:rsidP="00AC48EA">
            <w:pPr>
              <w:autoSpaceDE w:val="0"/>
              <w:autoSpaceDN w:val="0"/>
              <w:adjustRightInd w:val="0"/>
              <w:jc w:val="both"/>
              <w:rPr>
                <w:rFonts w:cs="Times New Roman"/>
                <w:szCs w:val="24"/>
              </w:rPr>
            </w:pPr>
            <w:r w:rsidRPr="00393437">
              <w:rPr>
                <w:rFonts w:cs="Times New Roman"/>
                <w:szCs w:val="24"/>
              </w:rPr>
              <w:t>Extension</w:t>
            </w:r>
          </w:p>
        </w:tc>
        <w:tc>
          <w:tcPr>
            <w:tcW w:w="6911" w:type="dxa"/>
          </w:tcPr>
          <w:p w14:paraId="1543E2D5" w14:textId="5C3CB8C5" w:rsidR="00693F55" w:rsidRPr="00393437" w:rsidRDefault="003E2EE8" w:rsidP="00AC48EA">
            <w:pPr>
              <w:autoSpaceDE w:val="0"/>
              <w:autoSpaceDN w:val="0"/>
              <w:adjustRightInd w:val="0"/>
              <w:jc w:val="both"/>
              <w:rPr>
                <w:rFonts w:cs="Times New Roman"/>
                <w:szCs w:val="24"/>
              </w:rPr>
            </w:pPr>
            <w:r w:rsidRPr="00393437">
              <w:rPr>
                <w:rFonts w:cs="Times New Roman"/>
                <w:szCs w:val="24"/>
              </w:rPr>
              <w:t>M</w:t>
            </w:r>
            <w:r w:rsidR="00693F55" w:rsidRPr="00393437">
              <w:rPr>
                <w:rFonts w:cs="Times New Roman"/>
                <w:szCs w:val="24"/>
              </w:rPr>
              <w:t>oving the hand toward the thumb</w:t>
            </w:r>
          </w:p>
        </w:tc>
      </w:tr>
      <w:tr w:rsidR="00393437" w:rsidRPr="00393437" w14:paraId="170BABD3" w14:textId="77777777" w:rsidTr="00A47F5C">
        <w:tc>
          <w:tcPr>
            <w:tcW w:w="1809" w:type="dxa"/>
            <w:shd w:val="clear" w:color="auto" w:fill="FFE599" w:themeFill="accent4" w:themeFillTint="66"/>
          </w:tcPr>
          <w:p w14:paraId="07C3FDD2" w14:textId="52B27FB6" w:rsidR="00693F55" w:rsidRPr="00393437" w:rsidRDefault="00693F55" w:rsidP="00AC48EA">
            <w:pPr>
              <w:autoSpaceDE w:val="0"/>
              <w:autoSpaceDN w:val="0"/>
              <w:adjustRightInd w:val="0"/>
              <w:jc w:val="both"/>
              <w:rPr>
                <w:rFonts w:cs="Times New Roman"/>
                <w:szCs w:val="24"/>
              </w:rPr>
            </w:pPr>
            <w:r w:rsidRPr="00393437">
              <w:rPr>
                <w:rFonts w:cs="Times New Roman"/>
                <w:szCs w:val="24"/>
              </w:rPr>
              <w:lastRenderedPageBreak/>
              <w:t>Radial deviation</w:t>
            </w:r>
          </w:p>
        </w:tc>
        <w:tc>
          <w:tcPr>
            <w:tcW w:w="6911" w:type="dxa"/>
          </w:tcPr>
          <w:p w14:paraId="04ED1A04" w14:textId="4CC02FB3" w:rsidR="00693F55" w:rsidRPr="00393437" w:rsidRDefault="003E2EE8" w:rsidP="00AC48EA">
            <w:pPr>
              <w:autoSpaceDE w:val="0"/>
              <w:autoSpaceDN w:val="0"/>
              <w:adjustRightInd w:val="0"/>
              <w:jc w:val="both"/>
              <w:rPr>
                <w:rFonts w:cs="Times New Roman"/>
                <w:szCs w:val="24"/>
              </w:rPr>
            </w:pPr>
            <w:r w:rsidRPr="00393437">
              <w:rPr>
                <w:rFonts w:cs="Times New Roman"/>
                <w:szCs w:val="24"/>
              </w:rPr>
              <w:t>M</w:t>
            </w:r>
            <w:r w:rsidR="00693F55" w:rsidRPr="00393437">
              <w:rPr>
                <w:rFonts w:cs="Times New Roman"/>
                <w:szCs w:val="24"/>
              </w:rPr>
              <w:t>oving the hand toward the thumb</w:t>
            </w:r>
          </w:p>
        </w:tc>
      </w:tr>
      <w:tr w:rsidR="00393437" w:rsidRPr="00393437" w14:paraId="33B8028B" w14:textId="77777777" w:rsidTr="00A47F5C">
        <w:tc>
          <w:tcPr>
            <w:tcW w:w="1809" w:type="dxa"/>
            <w:shd w:val="clear" w:color="auto" w:fill="FFE599" w:themeFill="accent4" w:themeFillTint="66"/>
          </w:tcPr>
          <w:p w14:paraId="35CB831D" w14:textId="06F2FAA0" w:rsidR="00693F55" w:rsidRPr="00393437" w:rsidRDefault="00693F55" w:rsidP="00AC48EA">
            <w:pPr>
              <w:autoSpaceDE w:val="0"/>
              <w:autoSpaceDN w:val="0"/>
              <w:adjustRightInd w:val="0"/>
              <w:jc w:val="both"/>
              <w:rPr>
                <w:rFonts w:cs="Times New Roman"/>
                <w:szCs w:val="24"/>
              </w:rPr>
            </w:pPr>
            <w:r w:rsidRPr="00393437">
              <w:rPr>
                <w:rFonts w:cs="Times New Roman"/>
                <w:szCs w:val="24"/>
              </w:rPr>
              <w:t>Ulnar deviation</w:t>
            </w:r>
          </w:p>
        </w:tc>
        <w:tc>
          <w:tcPr>
            <w:tcW w:w="6911" w:type="dxa"/>
          </w:tcPr>
          <w:p w14:paraId="5B71B19F" w14:textId="1515FE09" w:rsidR="00693F55" w:rsidRPr="00393437" w:rsidRDefault="003E2EE8" w:rsidP="00AC48EA">
            <w:pPr>
              <w:autoSpaceDE w:val="0"/>
              <w:autoSpaceDN w:val="0"/>
              <w:adjustRightInd w:val="0"/>
              <w:jc w:val="both"/>
              <w:rPr>
                <w:rFonts w:cs="Times New Roman"/>
                <w:szCs w:val="24"/>
              </w:rPr>
            </w:pPr>
            <w:r w:rsidRPr="00393437">
              <w:rPr>
                <w:rFonts w:cs="Times New Roman"/>
                <w:szCs w:val="24"/>
              </w:rPr>
              <w:t>M</w:t>
            </w:r>
            <w:r w:rsidR="00693F55" w:rsidRPr="00393437">
              <w:rPr>
                <w:rFonts w:cs="Times New Roman"/>
                <w:szCs w:val="24"/>
              </w:rPr>
              <w:t>oving the hand toward the little finger</w:t>
            </w:r>
          </w:p>
        </w:tc>
      </w:tr>
      <w:tr w:rsidR="00393437" w:rsidRPr="00393437" w14:paraId="3714A61A" w14:textId="77777777" w:rsidTr="00A47F5C">
        <w:tc>
          <w:tcPr>
            <w:tcW w:w="1809" w:type="dxa"/>
            <w:shd w:val="clear" w:color="auto" w:fill="FFE599" w:themeFill="accent4" w:themeFillTint="66"/>
          </w:tcPr>
          <w:p w14:paraId="354669E9" w14:textId="319075AD" w:rsidR="00693F55" w:rsidRPr="00393437" w:rsidRDefault="00693F55" w:rsidP="00AC48EA">
            <w:pPr>
              <w:autoSpaceDE w:val="0"/>
              <w:autoSpaceDN w:val="0"/>
              <w:adjustRightInd w:val="0"/>
              <w:jc w:val="both"/>
              <w:rPr>
                <w:rFonts w:cs="Times New Roman"/>
                <w:szCs w:val="24"/>
              </w:rPr>
            </w:pPr>
            <w:r w:rsidRPr="00393437">
              <w:rPr>
                <w:rFonts w:cs="Times New Roman"/>
                <w:szCs w:val="24"/>
              </w:rPr>
              <w:t xml:space="preserve">Circumduction </w:t>
            </w:r>
          </w:p>
        </w:tc>
        <w:tc>
          <w:tcPr>
            <w:tcW w:w="6911" w:type="dxa"/>
          </w:tcPr>
          <w:p w14:paraId="6959DA32" w14:textId="53B085B8" w:rsidR="00693F55" w:rsidRPr="00393437" w:rsidRDefault="003E2EE8" w:rsidP="00AC48EA">
            <w:pPr>
              <w:autoSpaceDE w:val="0"/>
              <w:autoSpaceDN w:val="0"/>
              <w:adjustRightInd w:val="0"/>
              <w:jc w:val="both"/>
              <w:rPr>
                <w:rFonts w:cs="Times New Roman"/>
                <w:szCs w:val="24"/>
              </w:rPr>
            </w:pPr>
            <w:r w:rsidRPr="00393437">
              <w:rPr>
                <w:rFonts w:cs="Times New Roman"/>
                <w:szCs w:val="24"/>
              </w:rPr>
              <w:t>C</w:t>
            </w:r>
            <w:r w:rsidR="00693F55" w:rsidRPr="00393437">
              <w:rPr>
                <w:rFonts w:cs="Times New Roman"/>
                <w:szCs w:val="24"/>
              </w:rPr>
              <w:t>ombination of extension and flexion with radial and ulnar deviation</w:t>
            </w:r>
          </w:p>
        </w:tc>
      </w:tr>
    </w:tbl>
    <w:p w14:paraId="2B6E3233" w14:textId="57F0D4AB" w:rsidR="00023D1F" w:rsidRPr="00393437" w:rsidRDefault="001F3DBE" w:rsidP="00023D1F">
      <w:pPr>
        <w:autoSpaceDE w:val="0"/>
        <w:autoSpaceDN w:val="0"/>
        <w:adjustRightInd w:val="0"/>
        <w:spacing w:after="0"/>
        <w:jc w:val="both"/>
        <w:rPr>
          <w:rFonts w:cs="Times New Roman"/>
          <w:szCs w:val="24"/>
        </w:rPr>
      </w:pPr>
      <w:r w:rsidRPr="00393437">
        <w:rPr>
          <w:rFonts w:cs="Times New Roman"/>
          <w:szCs w:val="24"/>
        </w:rPr>
        <w:t>(</w:t>
      </w:r>
      <w:r w:rsidR="00693F55" w:rsidRPr="00393437">
        <w:rPr>
          <w:rFonts w:cs="Times New Roman"/>
          <w:szCs w:val="24"/>
        </w:rPr>
        <w:t>Adapted from Hirt et al 2017</w:t>
      </w:r>
      <w:r w:rsidR="006E513C" w:rsidRPr="00393437">
        <w:rPr>
          <w:rFonts w:cs="Times New Roman"/>
          <w:szCs w:val="24"/>
        </w:rPr>
        <w:t xml:space="preserve"> </w:t>
      </w:r>
      <w:r w:rsidR="00BC67F0" w:rsidRPr="00393437">
        <w:rPr>
          <w:rFonts w:cs="Times New Roman"/>
          <w:szCs w:val="24"/>
        </w:rPr>
        <w:t>:</w:t>
      </w:r>
      <w:r w:rsidR="006E513C" w:rsidRPr="00393437">
        <w:rPr>
          <w:rFonts w:cs="Times New Roman"/>
          <w:szCs w:val="24"/>
        </w:rPr>
        <w:t>11</w:t>
      </w:r>
      <w:r w:rsidR="00691013" w:rsidRPr="00393437">
        <w:rPr>
          <w:rFonts w:cs="Times New Roman"/>
          <w:szCs w:val="24"/>
        </w:rPr>
        <w:t>)</w:t>
      </w:r>
      <w:r w:rsidR="003D7BBD" w:rsidRPr="00393437">
        <w:rPr>
          <w:rFonts w:cs="Times New Roman"/>
          <w:szCs w:val="24"/>
        </w:rPr>
        <w:t>.</w:t>
      </w:r>
    </w:p>
    <w:p w14:paraId="727C55B4" w14:textId="1B5338CA" w:rsidR="000C2378" w:rsidRPr="00393437" w:rsidRDefault="00B8159D" w:rsidP="00071611">
      <w:pPr>
        <w:autoSpaceDE w:val="0"/>
        <w:autoSpaceDN w:val="0"/>
        <w:adjustRightInd w:val="0"/>
        <w:spacing w:after="0" w:line="240" w:lineRule="auto"/>
        <w:jc w:val="both"/>
        <w:rPr>
          <w:rFonts w:cs="Times New Roman"/>
          <w:szCs w:val="24"/>
        </w:rPr>
      </w:pPr>
      <w:proofErr w:type="spellStart"/>
      <w:r w:rsidRPr="00393437">
        <w:rPr>
          <w:rFonts w:cs="Times New Roman"/>
          <w:szCs w:val="24"/>
        </w:rPr>
        <w:t>Eyler</w:t>
      </w:r>
      <w:proofErr w:type="spellEnd"/>
      <w:r w:rsidRPr="00393437">
        <w:rPr>
          <w:rFonts w:cs="Times New Roman"/>
          <w:szCs w:val="24"/>
        </w:rPr>
        <w:t xml:space="preserve"> et al </w:t>
      </w:r>
      <w:r w:rsidR="005839F3" w:rsidRPr="00393437">
        <w:rPr>
          <w:rFonts w:cs="Times New Roman"/>
          <w:szCs w:val="24"/>
        </w:rPr>
        <w:t>(</w:t>
      </w:r>
      <w:r w:rsidRPr="00393437">
        <w:rPr>
          <w:rFonts w:cs="Times New Roman"/>
          <w:szCs w:val="24"/>
        </w:rPr>
        <w:t>2018</w:t>
      </w:r>
      <w:r w:rsidR="005839F3" w:rsidRPr="00393437">
        <w:rPr>
          <w:rFonts w:cs="Times New Roman"/>
          <w:szCs w:val="24"/>
        </w:rPr>
        <w:t xml:space="preserve">) </w:t>
      </w:r>
      <w:r w:rsidR="00A7268E" w:rsidRPr="00393437">
        <w:rPr>
          <w:rFonts w:eastAsia="Times New Roman" w:cs="Times New Roman"/>
          <w:szCs w:val="24"/>
        </w:rPr>
        <w:t xml:space="preserve">suggested </w:t>
      </w:r>
      <w:r w:rsidR="005839F3" w:rsidRPr="00393437">
        <w:rPr>
          <w:rFonts w:eastAsia="Times New Roman" w:cs="Times New Roman"/>
          <w:szCs w:val="24"/>
        </w:rPr>
        <w:t xml:space="preserve">after studying </w:t>
      </w:r>
      <w:r w:rsidR="005839F3" w:rsidRPr="00393437">
        <w:rPr>
          <w:rFonts w:asciiTheme="majorBidi" w:hAnsiTheme="majorBidi" w:cstheme="majorBidi"/>
          <w:szCs w:val="24"/>
        </w:rPr>
        <w:t xml:space="preserve">232 patients presented to the Emergency Department with acute wrist trauma </w:t>
      </w:r>
      <w:r w:rsidR="0062005B" w:rsidRPr="00393437">
        <w:rPr>
          <w:rFonts w:asciiTheme="majorBidi" w:eastAsia="Times New Roman" w:hAnsiTheme="majorBidi" w:cstheme="majorBidi"/>
          <w:szCs w:val="24"/>
        </w:rPr>
        <w:t>that the</w:t>
      </w:r>
      <w:r w:rsidR="0062005B" w:rsidRPr="00393437">
        <w:rPr>
          <w:rFonts w:eastAsia="Times New Roman" w:cs="Times New Roman"/>
          <w:szCs w:val="24"/>
        </w:rPr>
        <w:t xml:space="preserve"> trilogy of wrist oedema, deformity and pain with pronation is a reliable clinical prediction of all wrist fractures, 94% of sensit</w:t>
      </w:r>
      <w:r w:rsidR="004649D6" w:rsidRPr="00393437">
        <w:rPr>
          <w:rFonts w:eastAsia="Times New Roman" w:cs="Times New Roman"/>
          <w:szCs w:val="24"/>
        </w:rPr>
        <w:t xml:space="preserve">ive and </w:t>
      </w:r>
      <w:r w:rsidR="0062005B" w:rsidRPr="00393437">
        <w:rPr>
          <w:rFonts w:eastAsia="Times New Roman" w:cs="Times New Roman"/>
          <w:szCs w:val="24"/>
        </w:rPr>
        <w:t xml:space="preserve">95% </w:t>
      </w:r>
      <w:r w:rsidR="004649D6" w:rsidRPr="00393437">
        <w:rPr>
          <w:rFonts w:eastAsia="Times New Roman" w:cs="Times New Roman"/>
          <w:szCs w:val="24"/>
        </w:rPr>
        <w:t>specific</w:t>
      </w:r>
      <w:r w:rsidR="00B0689A" w:rsidRPr="00393437">
        <w:rPr>
          <w:rFonts w:cs="Times New Roman"/>
          <w:szCs w:val="24"/>
        </w:rPr>
        <w:t xml:space="preserve">. </w:t>
      </w:r>
      <w:r w:rsidR="004649D6" w:rsidRPr="00393437">
        <w:rPr>
          <w:rFonts w:cs="Times New Roman"/>
          <w:szCs w:val="24"/>
        </w:rPr>
        <w:t xml:space="preserve">Further assessment should also include feeling the peripheral pulses </w:t>
      </w:r>
      <w:r w:rsidR="009E62B6" w:rsidRPr="00393437">
        <w:rPr>
          <w:rFonts w:cs="Times New Roman"/>
          <w:szCs w:val="24"/>
        </w:rPr>
        <w:t>(including the capillary refill time for the skin circulation) and</w:t>
      </w:r>
      <w:r w:rsidR="004649D6" w:rsidRPr="00393437">
        <w:rPr>
          <w:rFonts w:cs="Times New Roman"/>
          <w:szCs w:val="24"/>
        </w:rPr>
        <w:t xml:space="preserve"> examining the peripheral nerves</w:t>
      </w:r>
      <w:r w:rsidR="009E62B6" w:rsidRPr="00393437">
        <w:rPr>
          <w:rFonts w:cs="Times New Roman"/>
          <w:szCs w:val="24"/>
        </w:rPr>
        <w:t>.</w:t>
      </w:r>
      <w:r w:rsidR="00301FE9" w:rsidRPr="00393437">
        <w:rPr>
          <w:rFonts w:cs="Times New Roman"/>
          <w:szCs w:val="24"/>
        </w:rPr>
        <w:t xml:space="preserve"> </w:t>
      </w:r>
      <w:r w:rsidR="00431E58" w:rsidRPr="00393437">
        <w:rPr>
          <w:rFonts w:cs="Times New Roman"/>
          <w:szCs w:val="24"/>
        </w:rPr>
        <w:t xml:space="preserve">In cases of </w:t>
      </w:r>
      <w:r w:rsidR="00511B6B" w:rsidRPr="00393437">
        <w:rPr>
          <w:rFonts w:cs="Times New Roman"/>
          <w:szCs w:val="24"/>
        </w:rPr>
        <w:t xml:space="preserve">the </w:t>
      </w:r>
      <w:r w:rsidR="00301FE9" w:rsidRPr="00393437">
        <w:rPr>
          <w:rFonts w:cs="Times New Roman"/>
          <w:szCs w:val="24"/>
        </w:rPr>
        <w:t>suspected limb or joint fracture</w:t>
      </w:r>
      <w:r w:rsidR="005F23EC" w:rsidRPr="00393437">
        <w:rPr>
          <w:rFonts w:cs="Times New Roman"/>
          <w:szCs w:val="24"/>
        </w:rPr>
        <w:t xml:space="preserve">, </w:t>
      </w:r>
      <w:r w:rsidR="00301FE9" w:rsidRPr="00393437">
        <w:rPr>
          <w:rFonts w:cs="Times New Roman"/>
          <w:szCs w:val="24"/>
        </w:rPr>
        <w:t xml:space="preserve">the examination must include </w:t>
      </w:r>
      <w:r w:rsidR="00511B6B" w:rsidRPr="00393437">
        <w:rPr>
          <w:rFonts w:cs="Times New Roman"/>
          <w:szCs w:val="24"/>
        </w:rPr>
        <w:t xml:space="preserve">the </w:t>
      </w:r>
      <w:r w:rsidR="005F23EC" w:rsidRPr="00393437">
        <w:rPr>
          <w:rFonts w:cs="Times New Roman"/>
          <w:szCs w:val="24"/>
        </w:rPr>
        <w:t>patient</w:t>
      </w:r>
      <w:r w:rsidR="00511B6B" w:rsidRPr="00393437">
        <w:rPr>
          <w:rFonts w:cs="Times New Roman"/>
          <w:szCs w:val="24"/>
        </w:rPr>
        <w:t>'</w:t>
      </w:r>
      <w:r w:rsidR="005F23EC" w:rsidRPr="00393437">
        <w:rPr>
          <w:rFonts w:cs="Times New Roman"/>
          <w:szCs w:val="24"/>
        </w:rPr>
        <w:t>s</w:t>
      </w:r>
      <w:r w:rsidR="00301FE9" w:rsidRPr="00393437">
        <w:rPr>
          <w:rFonts w:cs="Times New Roman"/>
          <w:szCs w:val="24"/>
        </w:rPr>
        <w:t xml:space="preserve"> neurovascular status</w:t>
      </w:r>
      <w:r w:rsidR="005F23EC" w:rsidRPr="00393437">
        <w:rPr>
          <w:rFonts w:cs="Times New Roman"/>
          <w:szCs w:val="24"/>
        </w:rPr>
        <w:t xml:space="preserve"> to exclude compartment syndrome or any damage to the nerves</w:t>
      </w:r>
      <w:r w:rsidR="00301FE9" w:rsidRPr="00393437">
        <w:rPr>
          <w:rFonts w:cs="Times New Roman"/>
          <w:szCs w:val="24"/>
        </w:rPr>
        <w:t xml:space="preserve">. </w:t>
      </w:r>
      <w:r w:rsidR="00524556" w:rsidRPr="00393437">
        <w:rPr>
          <w:rFonts w:cs="Times New Roman"/>
          <w:szCs w:val="24"/>
        </w:rPr>
        <w:t>The incidence of neurolo</w:t>
      </w:r>
      <w:r w:rsidR="00842CCF" w:rsidRPr="00393437">
        <w:rPr>
          <w:rFonts w:cs="Times New Roman"/>
          <w:szCs w:val="24"/>
        </w:rPr>
        <w:t xml:space="preserve">gical impairment on admission </w:t>
      </w:r>
      <w:r w:rsidR="00524556" w:rsidRPr="00393437">
        <w:rPr>
          <w:rFonts w:cs="Times New Roman"/>
          <w:szCs w:val="24"/>
        </w:rPr>
        <w:t>was</w:t>
      </w:r>
      <w:r w:rsidR="00B80B23" w:rsidRPr="00393437">
        <w:rPr>
          <w:rFonts w:cs="Times New Roman"/>
          <w:szCs w:val="24"/>
        </w:rPr>
        <w:t xml:space="preserve"> reported </w:t>
      </w:r>
      <w:r w:rsidR="00842CCF" w:rsidRPr="00393437">
        <w:rPr>
          <w:rFonts w:cs="Times New Roman"/>
          <w:szCs w:val="24"/>
        </w:rPr>
        <w:t xml:space="preserve">by </w:t>
      </w:r>
      <w:proofErr w:type="spellStart"/>
      <w:r w:rsidR="00842CCF" w:rsidRPr="00393437">
        <w:rPr>
          <w:rFonts w:cs="Times New Roman"/>
          <w:szCs w:val="24"/>
        </w:rPr>
        <w:t>Marcheix</w:t>
      </w:r>
      <w:proofErr w:type="spellEnd"/>
      <w:r w:rsidR="00842CCF" w:rsidRPr="00393437">
        <w:rPr>
          <w:rFonts w:cs="Times New Roman"/>
          <w:szCs w:val="24"/>
        </w:rPr>
        <w:t xml:space="preserve"> et al (2016) </w:t>
      </w:r>
      <w:r w:rsidR="00B80B23" w:rsidRPr="00393437">
        <w:rPr>
          <w:rFonts w:cs="Times New Roman"/>
          <w:szCs w:val="24"/>
        </w:rPr>
        <w:t>to be</w:t>
      </w:r>
      <w:r w:rsidR="00842CCF" w:rsidRPr="00393437">
        <w:rPr>
          <w:rFonts w:cs="Times New Roman"/>
          <w:szCs w:val="24"/>
        </w:rPr>
        <w:t xml:space="preserve"> 9% just after </w:t>
      </w:r>
      <w:r w:rsidR="00524556" w:rsidRPr="00393437">
        <w:rPr>
          <w:rFonts w:cs="Times New Roman"/>
          <w:szCs w:val="24"/>
        </w:rPr>
        <w:t>forearm fracture.</w:t>
      </w:r>
      <w:r w:rsidR="00301FE9" w:rsidRPr="00393437">
        <w:rPr>
          <w:rFonts w:cs="Times New Roman"/>
          <w:szCs w:val="24"/>
        </w:rPr>
        <w:t xml:space="preserve"> </w:t>
      </w:r>
    </w:p>
    <w:p w14:paraId="62B66FA7" w14:textId="77777777" w:rsidR="00F35932" w:rsidRPr="00393437" w:rsidRDefault="00F35932" w:rsidP="00071611">
      <w:pPr>
        <w:autoSpaceDE w:val="0"/>
        <w:autoSpaceDN w:val="0"/>
        <w:adjustRightInd w:val="0"/>
        <w:spacing w:after="0" w:line="240" w:lineRule="auto"/>
        <w:jc w:val="both"/>
        <w:rPr>
          <w:rFonts w:cs="Times New Roman"/>
          <w:szCs w:val="24"/>
        </w:rPr>
      </w:pPr>
    </w:p>
    <w:p w14:paraId="2A59613A" w14:textId="6A8AD541" w:rsidR="004A555F" w:rsidRPr="00393437" w:rsidRDefault="000F6EE2" w:rsidP="00071611">
      <w:pPr>
        <w:spacing w:after="173" w:line="240" w:lineRule="auto"/>
        <w:jc w:val="both"/>
        <w:rPr>
          <w:rFonts w:cs="Times New Roman"/>
          <w:szCs w:val="24"/>
        </w:rPr>
      </w:pPr>
      <w:r w:rsidRPr="00393437">
        <w:rPr>
          <w:rFonts w:eastAsia="Times New Roman" w:cs="Times New Roman"/>
          <w:szCs w:val="24"/>
        </w:rPr>
        <w:t>Due to the practitioner</w:t>
      </w:r>
      <w:r w:rsidR="00511B6B" w:rsidRPr="00393437">
        <w:rPr>
          <w:rFonts w:eastAsia="Times New Roman" w:cs="Times New Roman"/>
          <w:szCs w:val="24"/>
        </w:rPr>
        <w:t>'</w:t>
      </w:r>
      <w:r w:rsidRPr="00393437">
        <w:rPr>
          <w:rFonts w:eastAsia="Times New Roman" w:cs="Times New Roman"/>
          <w:szCs w:val="24"/>
        </w:rPr>
        <w:t>s</w:t>
      </w:r>
      <w:r w:rsidR="00B0689A" w:rsidRPr="00393437">
        <w:rPr>
          <w:rFonts w:eastAsia="Times New Roman" w:cs="Times New Roman"/>
          <w:szCs w:val="24"/>
        </w:rPr>
        <w:t xml:space="preserve"> suspicio</w:t>
      </w:r>
      <w:r w:rsidRPr="00393437">
        <w:rPr>
          <w:rFonts w:eastAsia="Times New Roman" w:cs="Times New Roman"/>
          <w:szCs w:val="24"/>
        </w:rPr>
        <w:t>ns</w:t>
      </w:r>
      <w:r w:rsidR="00B0689A" w:rsidRPr="00393437">
        <w:rPr>
          <w:rFonts w:eastAsia="Times New Roman" w:cs="Times New Roman"/>
          <w:szCs w:val="24"/>
        </w:rPr>
        <w:t xml:space="preserve"> of a fracture, </w:t>
      </w:r>
      <w:r w:rsidR="00842CCF" w:rsidRPr="00393437">
        <w:rPr>
          <w:rFonts w:eastAsia="Times New Roman" w:cs="Times New Roman"/>
          <w:szCs w:val="24"/>
        </w:rPr>
        <w:t>radiographs</w:t>
      </w:r>
      <w:r w:rsidR="00B0689A" w:rsidRPr="00393437">
        <w:rPr>
          <w:rFonts w:eastAsia="Times New Roman" w:cs="Times New Roman"/>
          <w:szCs w:val="24"/>
        </w:rPr>
        <w:t xml:space="preserve"> </w:t>
      </w:r>
      <w:r w:rsidR="00BA5120" w:rsidRPr="00393437">
        <w:rPr>
          <w:rFonts w:eastAsia="Times New Roman" w:cs="Times New Roman"/>
          <w:szCs w:val="24"/>
        </w:rPr>
        <w:t>were requested</w:t>
      </w:r>
      <w:r w:rsidR="00B0689A" w:rsidRPr="00393437">
        <w:rPr>
          <w:rFonts w:eastAsia="Times New Roman" w:cs="Times New Roman"/>
          <w:szCs w:val="24"/>
        </w:rPr>
        <w:t xml:space="preserve">. </w:t>
      </w:r>
      <w:r w:rsidR="00E44046" w:rsidRPr="00393437">
        <w:rPr>
          <w:rFonts w:eastAsia="Times New Roman" w:cs="Times New Roman"/>
          <w:szCs w:val="24"/>
        </w:rPr>
        <w:t>Radiographic evaluation</w:t>
      </w:r>
      <w:r w:rsidR="00C86A23" w:rsidRPr="00393437">
        <w:rPr>
          <w:rFonts w:eastAsia="Times New Roman" w:cs="Times New Roman"/>
          <w:szCs w:val="24"/>
        </w:rPr>
        <w:t xml:space="preserve"> throu</w:t>
      </w:r>
      <w:r w:rsidR="0011477C" w:rsidRPr="00393437">
        <w:rPr>
          <w:rFonts w:eastAsia="Times New Roman" w:cs="Times New Roman"/>
          <w:szCs w:val="24"/>
        </w:rPr>
        <w:t xml:space="preserve">gh a plain x-ray is </w:t>
      </w:r>
      <w:r w:rsidR="00622BB1" w:rsidRPr="00393437">
        <w:rPr>
          <w:rFonts w:eastAsia="Times New Roman" w:cs="Times New Roman"/>
          <w:szCs w:val="24"/>
        </w:rPr>
        <w:t>essential</w:t>
      </w:r>
      <w:r w:rsidR="0011477C" w:rsidRPr="00393437">
        <w:rPr>
          <w:rFonts w:eastAsia="Times New Roman" w:cs="Times New Roman"/>
          <w:szCs w:val="24"/>
        </w:rPr>
        <w:t xml:space="preserve"> for further</w:t>
      </w:r>
      <w:r w:rsidR="00C86A23" w:rsidRPr="00393437">
        <w:rPr>
          <w:rFonts w:eastAsia="Times New Roman" w:cs="Times New Roman"/>
          <w:szCs w:val="24"/>
        </w:rPr>
        <w:t xml:space="preserve"> classification, treatment and follow up of wrist fractures</w:t>
      </w:r>
      <w:r w:rsidR="00511B6B" w:rsidRPr="00393437">
        <w:rPr>
          <w:rFonts w:eastAsia="Times New Roman" w:cs="Times New Roman"/>
          <w:szCs w:val="24"/>
        </w:rPr>
        <w:t>. T</w:t>
      </w:r>
      <w:r w:rsidR="00C86A23" w:rsidRPr="00393437">
        <w:rPr>
          <w:rFonts w:eastAsia="Times New Roman" w:cs="Times New Roman"/>
          <w:szCs w:val="24"/>
        </w:rPr>
        <w:t xml:space="preserve">his should include a posteroanterior view (of the full forearm and wrist) and a </w:t>
      </w:r>
      <w:r w:rsidR="00622BB1" w:rsidRPr="00393437">
        <w:rPr>
          <w:rFonts w:eastAsia="Times New Roman" w:cs="Times New Roman"/>
          <w:szCs w:val="24"/>
        </w:rPr>
        <w:t>right</w:t>
      </w:r>
      <w:r w:rsidR="00C86A23" w:rsidRPr="00393437">
        <w:rPr>
          <w:rFonts w:eastAsia="Times New Roman" w:cs="Times New Roman"/>
          <w:szCs w:val="24"/>
        </w:rPr>
        <w:t xml:space="preserve"> lateral radiograph (</w:t>
      </w:r>
      <w:r w:rsidR="00C86A23" w:rsidRPr="00393437">
        <w:rPr>
          <w:rFonts w:cs="Times New Roman"/>
          <w:szCs w:val="24"/>
        </w:rPr>
        <w:t>Dawson-Bowling et al 2015)</w:t>
      </w:r>
      <w:r w:rsidR="00C86A23" w:rsidRPr="00393437">
        <w:rPr>
          <w:rFonts w:eastAsia="Times New Roman" w:cs="Times New Roman"/>
          <w:szCs w:val="24"/>
        </w:rPr>
        <w:t xml:space="preserve">. </w:t>
      </w:r>
      <w:r w:rsidR="00BF6B9A" w:rsidRPr="00393437">
        <w:rPr>
          <w:rFonts w:eastAsia="Times New Roman" w:cs="Times New Roman"/>
          <w:szCs w:val="24"/>
        </w:rPr>
        <w:t xml:space="preserve">Other radiographic images as Computed Tomography </w:t>
      </w:r>
      <w:r w:rsidR="00F50073" w:rsidRPr="00393437">
        <w:rPr>
          <w:rFonts w:eastAsia="Times New Roman" w:cs="Times New Roman"/>
          <w:szCs w:val="24"/>
        </w:rPr>
        <w:t xml:space="preserve">could be </w:t>
      </w:r>
      <w:r w:rsidR="00BF6B9A" w:rsidRPr="00393437">
        <w:rPr>
          <w:rFonts w:eastAsia="Times New Roman" w:cs="Times New Roman"/>
          <w:szCs w:val="24"/>
        </w:rPr>
        <w:t>useful for confirmation of occult fractures if there w</w:t>
      </w:r>
      <w:r w:rsidR="00622BB1" w:rsidRPr="00393437">
        <w:rPr>
          <w:rFonts w:eastAsia="Times New Roman" w:cs="Times New Roman"/>
          <w:szCs w:val="24"/>
        </w:rPr>
        <w:t>ere</w:t>
      </w:r>
      <w:r w:rsidR="00BF6B9A" w:rsidRPr="00393437">
        <w:rPr>
          <w:rFonts w:eastAsia="Times New Roman" w:cs="Times New Roman"/>
          <w:szCs w:val="24"/>
        </w:rPr>
        <w:t xml:space="preserve"> any suspicio</w:t>
      </w:r>
      <w:r w:rsidR="00F50073" w:rsidRPr="00393437">
        <w:rPr>
          <w:rFonts w:eastAsia="Times New Roman" w:cs="Times New Roman"/>
          <w:szCs w:val="24"/>
        </w:rPr>
        <w:t>n</w:t>
      </w:r>
      <w:r w:rsidR="00D414BD" w:rsidRPr="00393437">
        <w:rPr>
          <w:rFonts w:eastAsia="Times New Roman" w:cs="Times New Roman"/>
          <w:szCs w:val="24"/>
        </w:rPr>
        <w:t xml:space="preserve"> of this during</w:t>
      </w:r>
      <w:r w:rsidR="00BF6B9A" w:rsidRPr="00393437">
        <w:rPr>
          <w:rFonts w:eastAsia="Times New Roman" w:cs="Times New Roman"/>
          <w:szCs w:val="24"/>
        </w:rPr>
        <w:t xml:space="preserve"> the patient examination. </w:t>
      </w:r>
    </w:p>
    <w:p w14:paraId="7F1F181B" w14:textId="6863361A" w:rsidR="00AE0D3B" w:rsidRDefault="00BD4459" w:rsidP="00F070A8">
      <w:pPr>
        <w:spacing w:line="240" w:lineRule="auto"/>
        <w:jc w:val="both"/>
        <w:rPr>
          <w:rFonts w:cs="Times New Roman"/>
          <w:szCs w:val="24"/>
        </w:rPr>
      </w:pPr>
      <w:r w:rsidRPr="00393437">
        <w:rPr>
          <w:rFonts w:cs="Times New Roman"/>
          <w:szCs w:val="24"/>
        </w:rPr>
        <w:t xml:space="preserve">Preoperative evaluation should be done in advance, often one or more days before the procedure. </w:t>
      </w:r>
      <w:r w:rsidR="00C91B02" w:rsidRPr="00393437">
        <w:rPr>
          <w:rFonts w:cs="Times New Roman"/>
          <w:szCs w:val="24"/>
        </w:rPr>
        <w:t>The patient should be aware of the possible risks of the anaesthesia i</w:t>
      </w:r>
      <w:r w:rsidR="008868C7" w:rsidRPr="00393437">
        <w:rPr>
          <w:rFonts w:cs="Times New Roman"/>
          <w:szCs w:val="24"/>
        </w:rPr>
        <w:t xml:space="preserve">n addition to the surgical </w:t>
      </w:r>
      <w:r w:rsidR="00C91B02" w:rsidRPr="00393437">
        <w:rPr>
          <w:rFonts w:cs="Times New Roman"/>
          <w:szCs w:val="24"/>
        </w:rPr>
        <w:t xml:space="preserve">ones when discussing the non-conservative treatment. Those could be present </w:t>
      </w:r>
      <w:r w:rsidR="00D414BD" w:rsidRPr="00393437">
        <w:rPr>
          <w:rFonts w:cs="Times New Roman"/>
          <w:szCs w:val="24"/>
        </w:rPr>
        <w:t>even i</w:t>
      </w:r>
      <w:r w:rsidR="00C91B02" w:rsidRPr="00393437">
        <w:rPr>
          <w:rFonts w:cs="Times New Roman"/>
          <w:szCs w:val="24"/>
        </w:rPr>
        <w:t>n</w:t>
      </w:r>
      <w:r w:rsidRPr="00393437">
        <w:rPr>
          <w:rFonts w:cs="Times New Roman"/>
          <w:szCs w:val="24"/>
        </w:rPr>
        <w:t xml:space="preserve"> healthy patients. </w:t>
      </w:r>
      <w:r w:rsidR="00C91B02" w:rsidRPr="00393437">
        <w:rPr>
          <w:rFonts w:cs="Times New Roman"/>
          <w:szCs w:val="24"/>
        </w:rPr>
        <w:t>A</w:t>
      </w:r>
      <w:r w:rsidR="008868C7" w:rsidRPr="00393437">
        <w:rPr>
          <w:rFonts w:cs="Times New Roman"/>
          <w:szCs w:val="24"/>
        </w:rPr>
        <w:t xml:space="preserve">n appropriate classification system was developed by </w:t>
      </w:r>
      <w:r w:rsidR="00511B6B" w:rsidRPr="00393437">
        <w:rPr>
          <w:rFonts w:cs="Times New Roman"/>
          <w:szCs w:val="24"/>
        </w:rPr>
        <w:t xml:space="preserve">the </w:t>
      </w:r>
      <w:r w:rsidR="008868C7" w:rsidRPr="00393437">
        <w:rPr>
          <w:rFonts w:cs="Times New Roman"/>
          <w:szCs w:val="24"/>
        </w:rPr>
        <w:t>American Society of Anaesthesiologist (ASA) to provide uniform guidelines. This classification is based</w:t>
      </w:r>
      <w:r w:rsidRPr="00393437">
        <w:rPr>
          <w:rFonts w:cs="Times New Roman"/>
          <w:szCs w:val="24"/>
        </w:rPr>
        <w:t xml:space="preserve"> on the physiologic</w:t>
      </w:r>
      <w:r w:rsidR="008868C7" w:rsidRPr="00393437">
        <w:rPr>
          <w:rFonts w:cs="Times New Roman"/>
          <w:szCs w:val="24"/>
        </w:rPr>
        <w:t>al</w:t>
      </w:r>
      <w:r w:rsidRPr="00393437">
        <w:rPr>
          <w:rFonts w:cs="Times New Roman"/>
          <w:szCs w:val="24"/>
        </w:rPr>
        <w:t xml:space="preserve"> </w:t>
      </w:r>
      <w:r w:rsidR="008868C7" w:rsidRPr="00393437">
        <w:rPr>
          <w:rFonts w:cs="Times New Roman"/>
          <w:szCs w:val="24"/>
        </w:rPr>
        <w:t xml:space="preserve">dysfunction and the anatomic abnormalities of the patient preoperatively (Rothrock, McEwen and Alexander 2015). </w:t>
      </w:r>
      <w:r w:rsidR="0089688D" w:rsidRPr="00393437">
        <w:rPr>
          <w:rFonts w:cs="Times New Roman"/>
          <w:szCs w:val="24"/>
        </w:rPr>
        <w:t>Follow</w:t>
      </w:r>
      <w:r w:rsidR="00D414BD" w:rsidRPr="00393437">
        <w:rPr>
          <w:rFonts w:cs="Times New Roman"/>
          <w:szCs w:val="24"/>
        </w:rPr>
        <w:t>ing the guideline for a 58-year</w:t>
      </w:r>
      <w:r w:rsidR="0089688D" w:rsidRPr="00393437">
        <w:rPr>
          <w:rFonts w:cs="Times New Roman"/>
          <w:szCs w:val="24"/>
        </w:rPr>
        <w:t xml:space="preserve">-old female with </w:t>
      </w:r>
      <w:r w:rsidR="00511B6B" w:rsidRPr="00393437">
        <w:rPr>
          <w:rFonts w:cs="Times New Roman"/>
          <w:szCs w:val="24"/>
        </w:rPr>
        <w:t xml:space="preserve">a </w:t>
      </w:r>
      <w:r w:rsidR="0089688D" w:rsidRPr="00393437">
        <w:rPr>
          <w:rFonts w:cs="Times New Roman"/>
          <w:szCs w:val="24"/>
        </w:rPr>
        <w:t>history of osteoporosis having an open reduction</w:t>
      </w:r>
      <w:r w:rsidR="00D414BD" w:rsidRPr="00393437">
        <w:rPr>
          <w:rFonts w:cs="Times New Roman"/>
          <w:szCs w:val="24"/>
        </w:rPr>
        <w:t xml:space="preserve"> and</w:t>
      </w:r>
      <w:r w:rsidR="0089688D" w:rsidRPr="00393437">
        <w:rPr>
          <w:rFonts w:cs="Times New Roman"/>
          <w:szCs w:val="24"/>
        </w:rPr>
        <w:t xml:space="preserve"> internal fixation of her wris</w:t>
      </w:r>
      <w:r w:rsidR="002A4E6D" w:rsidRPr="00393437">
        <w:rPr>
          <w:rFonts w:cs="Times New Roman"/>
          <w:szCs w:val="24"/>
        </w:rPr>
        <w:t>t (intermediate surgery complexity), ASA II (mild systemic disease) was assigned to the patient</w:t>
      </w:r>
      <w:r w:rsidR="007B3340" w:rsidRPr="00393437">
        <w:rPr>
          <w:rFonts w:cs="Times New Roman"/>
          <w:szCs w:val="24"/>
        </w:rPr>
        <w:t xml:space="preserve"> (see </w:t>
      </w:r>
      <w:r w:rsidR="00482EAB" w:rsidRPr="00393437">
        <w:rPr>
          <w:rFonts w:cs="Times New Roman"/>
          <w:szCs w:val="24"/>
        </w:rPr>
        <w:t>T</w:t>
      </w:r>
      <w:r w:rsidR="007B3340" w:rsidRPr="00393437">
        <w:rPr>
          <w:rFonts w:cs="Times New Roman"/>
          <w:szCs w:val="24"/>
        </w:rPr>
        <w:t xml:space="preserve">able </w:t>
      </w:r>
      <w:r w:rsidR="00C23729" w:rsidRPr="00393437">
        <w:rPr>
          <w:rFonts w:cs="Times New Roman"/>
          <w:szCs w:val="24"/>
        </w:rPr>
        <w:t>4</w:t>
      </w:r>
      <w:r w:rsidR="007B3340" w:rsidRPr="00393437">
        <w:rPr>
          <w:rFonts w:cs="Times New Roman"/>
          <w:szCs w:val="24"/>
        </w:rPr>
        <w:t>).</w:t>
      </w:r>
    </w:p>
    <w:p w14:paraId="411F83F3" w14:textId="77777777" w:rsidR="009B2F63" w:rsidRPr="00393437" w:rsidRDefault="009B2F63" w:rsidP="00F070A8">
      <w:pPr>
        <w:spacing w:line="240" w:lineRule="auto"/>
        <w:jc w:val="both"/>
        <w:rPr>
          <w:rFonts w:cs="Times New Roman"/>
          <w:szCs w:val="24"/>
        </w:rPr>
      </w:pPr>
    </w:p>
    <w:p w14:paraId="3DBBCFC1" w14:textId="28CDED8E" w:rsidR="00023D1F" w:rsidRPr="00393437" w:rsidRDefault="00023D1F" w:rsidP="00023D1F">
      <w:pPr>
        <w:jc w:val="both"/>
        <w:rPr>
          <w:rFonts w:cs="Times New Roman"/>
          <w:b/>
          <w:bCs/>
          <w:szCs w:val="24"/>
        </w:rPr>
      </w:pPr>
      <w:r w:rsidRPr="00393437">
        <w:rPr>
          <w:rFonts w:cs="Times New Roman"/>
          <w:b/>
          <w:bCs/>
          <w:szCs w:val="24"/>
        </w:rPr>
        <w:t xml:space="preserve">Table </w:t>
      </w:r>
      <w:r w:rsidR="00C23729" w:rsidRPr="00393437">
        <w:rPr>
          <w:rFonts w:cs="Times New Roman"/>
          <w:b/>
          <w:bCs/>
          <w:szCs w:val="24"/>
        </w:rPr>
        <w:t>4</w:t>
      </w:r>
      <w:r w:rsidRPr="00393437">
        <w:rPr>
          <w:rFonts w:cs="Times New Roman"/>
          <w:b/>
          <w:bCs/>
          <w:szCs w:val="24"/>
        </w:rPr>
        <w:t>: Preoperative tests for ASA II</w:t>
      </w:r>
    </w:p>
    <w:tbl>
      <w:tblPr>
        <w:tblStyle w:val="TableGrid"/>
        <w:tblW w:w="0" w:type="auto"/>
        <w:tblLook w:val="04A0" w:firstRow="1" w:lastRow="0" w:firstColumn="1" w:lastColumn="0" w:noHBand="0" w:noVBand="1"/>
      </w:tblPr>
      <w:tblGrid>
        <w:gridCol w:w="2093"/>
        <w:gridCol w:w="6627"/>
      </w:tblGrid>
      <w:tr w:rsidR="00393437" w:rsidRPr="00393437" w14:paraId="734822E6" w14:textId="77777777" w:rsidTr="00A47622">
        <w:tc>
          <w:tcPr>
            <w:tcW w:w="8720" w:type="dxa"/>
            <w:gridSpan w:val="2"/>
            <w:shd w:val="clear" w:color="auto" w:fill="C5E0B3" w:themeFill="accent6" w:themeFillTint="66"/>
          </w:tcPr>
          <w:p w14:paraId="16AFD9ED" w14:textId="0E03805B" w:rsidR="00CE4B42" w:rsidRPr="00393437" w:rsidRDefault="00CE4B42" w:rsidP="00F070A8">
            <w:pPr>
              <w:jc w:val="center"/>
              <w:rPr>
                <w:rFonts w:cs="Times New Roman"/>
                <w:szCs w:val="24"/>
              </w:rPr>
            </w:pPr>
            <w:r w:rsidRPr="00393437">
              <w:rPr>
                <w:rFonts w:cs="Times New Roman"/>
                <w:szCs w:val="24"/>
              </w:rPr>
              <w:t>Preoperative tests for ASA II</w:t>
            </w:r>
          </w:p>
        </w:tc>
      </w:tr>
      <w:tr w:rsidR="00393437" w:rsidRPr="00393437" w14:paraId="7866AEE4" w14:textId="77777777" w:rsidTr="00A47622">
        <w:tc>
          <w:tcPr>
            <w:tcW w:w="2093" w:type="dxa"/>
            <w:shd w:val="clear" w:color="auto" w:fill="FFE599" w:themeFill="accent4" w:themeFillTint="66"/>
          </w:tcPr>
          <w:p w14:paraId="316FCE89" w14:textId="5023C0B7" w:rsidR="00E601A7" w:rsidRPr="00393437" w:rsidRDefault="00CE4B42" w:rsidP="00F070A8">
            <w:pPr>
              <w:jc w:val="both"/>
              <w:rPr>
                <w:rFonts w:cs="Times New Roman"/>
                <w:szCs w:val="24"/>
              </w:rPr>
            </w:pPr>
            <w:r w:rsidRPr="00393437">
              <w:rPr>
                <w:rFonts w:cs="Times New Roman"/>
                <w:szCs w:val="24"/>
              </w:rPr>
              <w:t>Renal function</w:t>
            </w:r>
          </w:p>
        </w:tc>
        <w:tc>
          <w:tcPr>
            <w:tcW w:w="6627" w:type="dxa"/>
          </w:tcPr>
          <w:p w14:paraId="295336B6" w14:textId="1748EFD0" w:rsidR="00E601A7" w:rsidRPr="00393437" w:rsidRDefault="00CE4B42" w:rsidP="00F070A8">
            <w:pPr>
              <w:jc w:val="both"/>
              <w:rPr>
                <w:rFonts w:cs="Times New Roman"/>
                <w:szCs w:val="24"/>
              </w:rPr>
            </w:pPr>
            <w:r w:rsidRPr="00393437">
              <w:rPr>
                <w:rFonts w:cs="Times New Roman"/>
                <w:szCs w:val="24"/>
              </w:rPr>
              <w:t xml:space="preserve">If </w:t>
            </w:r>
            <w:r w:rsidR="00C9042A" w:rsidRPr="00393437">
              <w:rPr>
                <w:rFonts w:cs="Times New Roman"/>
                <w:szCs w:val="24"/>
              </w:rPr>
              <w:t xml:space="preserve">there is </w:t>
            </w:r>
            <w:r w:rsidRPr="00393437">
              <w:rPr>
                <w:rFonts w:cs="Times New Roman"/>
                <w:szCs w:val="24"/>
              </w:rPr>
              <w:t>a risk of acute kidney injury.</w:t>
            </w:r>
          </w:p>
        </w:tc>
      </w:tr>
      <w:tr w:rsidR="00393437" w:rsidRPr="00393437" w14:paraId="6A9D407F" w14:textId="77777777" w:rsidTr="00A47622">
        <w:tc>
          <w:tcPr>
            <w:tcW w:w="2093" w:type="dxa"/>
            <w:shd w:val="clear" w:color="auto" w:fill="FFE599" w:themeFill="accent4" w:themeFillTint="66"/>
          </w:tcPr>
          <w:p w14:paraId="16506BAC" w14:textId="4C1DFA91" w:rsidR="00E601A7" w:rsidRPr="00393437" w:rsidRDefault="00CE4B42" w:rsidP="00F070A8">
            <w:pPr>
              <w:jc w:val="both"/>
              <w:rPr>
                <w:rFonts w:cs="Times New Roman"/>
                <w:szCs w:val="24"/>
              </w:rPr>
            </w:pPr>
            <w:r w:rsidRPr="00393437">
              <w:rPr>
                <w:rFonts w:cs="Times New Roman"/>
                <w:szCs w:val="24"/>
              </w:rPr>
              <w:t>Electrocardiogram</w:t>
            </w:r>
          </w:p>
        </w:tc>
        <w:tc>
          <w:tcPr>
            <w:tcW w:w="6627" w:type="dxa"/>
          </w:tcPr>
          <w:p w14:paraId="263F6F4A" w14:textId="7ADC2A95" w:rsidR="00E601A7" w:rsidRPr="00393437" w:rsidRDefault="00C9042A" w:rsidP="00F070A8">
            <w:pPr>
              <w:jc w:val="both"/>
              <w:rPr>
                <w:rFonts w:cs="Times New Roman"/>
                <w:szCs w:val="24"/>
              </w:rPr>
            </w:pPr>
            <w:r w:rsidRPr="00393437">
              <w:rPr>
                <w:rFonts w:cs="Times New Roman"/>
                <w:szCs w:val="24"/>
              </w:rPr>
              <w:t>For p</w:t>
            </w:r>
            <w:r w:rsidR="00CE4B42" w:rsidRPr="00393437">
              <w:rPr>
                <w:rFonts w:cs="Times New Roman"/>
                <w:szCs w:val="24"/>
              </w:rPr>
              <w:t>atients with cardiovascular, renal or diabetes comorbidities.</w:t>
            </w:r>
          </w:p>
        </w:tc>
      </w:tr>
      <w:tr w:rsidR="00393437" w:rsidRPr="00393437" w14:paraId="37D19D7F" w14:textId="77777777" w:rsidTr="00A47622">
        <w:tc>
          <w:tcPr>
            <w:tcW w:w="2093" w:type="dxa"/>
            <w:shd w:val="clear" w:color="auto" w:fill="FFE599" w:themeFill="accent4" w:themeFillTint="66"/>
          </w:tcPr>
          <w:p w14:paraId="2DC04771" w14:textId="49A1AC27" w:rsidR="00CE4B42" w:rsidRPr="00393437" w:rsidRDefault="00CE4B42" w:rsidP="00F070A8">
            <w:pPr>
              <w:jc w:val="both"/>
              <w:rPr>
                <w:rFonts w:cs="Times New Roman"/>
                <w:szCs w:val="24"/>
              </w:rPr>
            </w:pPr>
            <w:r w:rsidRPr="00393437">
              <w:rPr>
                <w:rFonts w:cs="Times New Roman"/>
                <w:szCs w:val="24"/>
              </w:rPr>
              <w:t>Full Blood count</w:t>
            </w:r>
          </w:p>
        </w:tc>
        <w:tc>
          <w:tcPr>
            <w:tcW w:w="6627" w:type="dxa"/>
          </w:tcPr>
          <w:p w14:paraId="448184D4" w14:textId="603B653E" w:rsidR="00CE4B42" w:rsidRPr="00393437" w:rsidRDefault="00CE4B42" w:rsidP="00F070A8">
            <w:pPr>
              <w:jc w:val="both"/>
              <w:rPr>
                <w:rFonts w:cs="Times New Roman"/>
                <w:szCs w:val="24"/>
              </w:rPr>
            </w:pPr>
            <w:r w:rsidRPr="00393437">
              <w:rPr>
                <w:rFonts w:cs="Times New Roman"/>
                <w:szCs w:val="24"/>
              </w:rPr>
              <w:t>Useful for the diagnosis of additional pathologies that the patient may present with</w:t>
            </w:r>
            <w:r w:rsidR="00C9042A" w:rsidRPr="00393437">
              <w:rPr>
                <w:rFonts w:cs="Times New Roman"/>
                <w:szCs w:val="24"/>
              </w:rPr>
              <w:t>;</w:t>
            </w:r>
            <w:r w:rsidRPr="00393437">
              <w:rPr>
                <w:rFonts w:cs="Times New Roman"/>
                <w:szCs w:val="24"/>
              </w:rPr>
              <w:t xml:space="preserve"> for example</w:t>
            </w:r>
            <w:r w:rsidR="00511B6B" w:rsidRPr="00393437">
              <w:rPr>
                <w:rFonts w:cs="Times New Roman"/>
                <w:szCs w:val="24"/>
              </w:rPr>
              <w:t>,</w:t>
            </w:r>
            <w:r w:rsidRPr="00393437">
              <w:rPr>
                <w:rFonts w:cs="Times New Roman"/>
                <w:szCs w:val="24"/>
              </w:rPr>
              <w:t xml:space="preserve"> the white cell count is usually </w:t>
            </w:r>
            <w:r w:rsidRPr="00393437">
              <w:rPr>
                <w:rFonts w:cs="Times New Roman"/>
                <w:szCs w:val="24"/>
              </w:rPr>
              <w:lastRenderedPageBreak/>
              <w:t>raised in infection and red cell count and haemoglobin low in anaemia.</w:t>
            </w:r>
          </w:p>
        </w:tc>
      </w:tr>
      <w:tr w:rsidR="00393437" w:rsidRPr="00393437" w14:paraId="4AD5AEBF" w14:textId="77777777" w:rsidTr="00A47622">
        <w:tc>
          <w:tcPr>
            <w:tcW w:w="2093" w:type="dxa"/>
            <w:shd w:val="clear" w:color="auto" w:fill="FFE599" w:themeFill="accent4" w:themeFillTint="66"/>
          </w:tcPr>
          <w:p w14:paraId="7F93DADD" w14:textId="00F0919A" w:rsidR="00CE4B42" w:rsidRPr="00393437" w:rsidRDefault="00CE4B42" w:rsidP="00F070A8">
            <w:pPr>
              <w:jc w:val="both"/>
              <w:rPr>
                <w:rFonts w:cs="Times New Roman"/>
                <w:szCs w:val="24"/>
              </w:rPr>
            </w:pPr>
            <w:r w:rsidRPr="00393437">
              <w:rPr>
                <w:rFonts w:cs="Times New Roman"/>
                <w:szCs w:val="24"/>
              </w:rPr>
              <w:lastRenderedPageBreak/>
              <w:t>Biochemistry</w:t>
            </w:r>
          </w:p>
        </w:tc>
        <w:tc>
          <w:tcPr>
            <w:tcW w:w="6627" w:type="dxa"/>
          </w:tcPr>
          <w:p w14:paraId="6640464C" w14:textId="38EA6226" w:rsidR="00CE4B42" w:rsidRPr="00393437" w:rsidRDefault="00C9042A" w:rsidP="00F070A8">
            <w:pPr>
              <w:jc w:val="both"/>
              <w:rPr>
                <w:rFonts w:cs="Times New Roman"/>
                <w:szCs w:val="24"/>
              </w:rPr>
            </w:pPr>
            <w:r w:rsidRPr="00393437">
              <w:rPr>
                <w:rFonts w:cs="Times New Roman"/>
                <w:szCs w:val="24"/>
              </w:rPr>
              <w:t>G</w:t>
            </w:r>
            <w:r w:rsidR="00CE4B42" w:rsidRPr="00393437">
              <w:rPr>
                <w:rFonts w:cs="Times New Roman"/>
                <w:szCs w:val="24"/>
              </w:rPr>
              <w:t xml:space="preserve">enerally used to review electrolytes, renal </w:t>
            </w:r>
            <w:proofErr w:type="gramStart"/>
            <w:r w:rsidR="00CE4B42" w:rsidRPr="00393437">
              <w:rPr>
                <w:rFonts w:cs="Times New Roman"/>
                <w:szCs w:val="24"/>
              </w:rPr>
              <w:t>function</w:t>
            </w:r>
            <w:proofErr w:type="gramEnd"/>
            <w:r w:rsidR="00CE4B42" w:rsidRPr="00393437">
              <w:rPr>
                <w:rFonts w:cs="Times New Roman"/>
                <w:szCs w:val="24"/>
              </w:rPr>
              <w:t xml:space="preserve"> and inflammatory markers such as C-reactive protein.</w:t>
            </w:r>
          </w:p>
        </w:tc>
      </w:tr>
      <w:tr w:rsidR="00393437" w:rsidRPr="00393437" w14:paraId="7AF6CD61" w14:textId="77777777" w:rsidTr="00A47622">
        <w:tc>
          <w:tcPr>
            <w:tcW w:w="2093" w:type="dxa"/>
            <w:shd w:val="clear" w:color="auto" w:fill="FFE599" w:themeFill="accent4" w:themeFillTint="66"/>
          </w:tcPr>
          <w:p w14:paraId="6814A3F8" w14:textId="2D3B9621" w:rsidR="00CE4B42" w:rsidRPr="00393437" w:rsidRDefault="00CE4B42" w:rsidP="00F070A8">
            <w:pPr>
              <w:jc w:val="both"/>
              <w:rPr>
                <w:rFonts w:cs="Times New Roman"/>
                <w:szCs w:val="24"/>
              </w:rPr>
            </w:pPr>
            <w:r w:rsidRPr="00393437">
              <w:rPr>
                <w:rFonts w:cs="Times New Roman"/>
                <w:szCs w:val="24"/>
              </w:rPr>
              <w:t>Clotting screen</w:t>
            </w:r>
          </w:p>
        </w:tc>
        <w:tc>
          <w:tcPr>
            <w:tcW w:w="6627" w:type="dxa"/>
          </w:tcPr>
          <w:p w14:paraId="7AE33F0D" w14:textId="293F26F3" w:rsidR="00CE4B42" w:rsidRPr="00393437" w:rsidRDefault="00CE4B42" w:rsidP="00F070A8">
            <w:pPr>
              <w:jc w:val="both"/>
              <w:rPr>
                <w:rFonts w:cs="Times New Roman"/>
                <w:szCs w:val="24"/>
              </w:rPr>
            </w:pPr>
            <w:r w:rsidRPr="00393437">
              <w:rPr>
                <w:rFonts w:cs="Times New Roman"/>
                <w:szCs w:val="24"/>
              </w:rPr>
              <w:t xml:space="preserve">In patients on anticoagulation medication </w:t>
            </w:r>
            <w:proofErr w:type="gramStart"/>
            <w:r w:rsidRPr="00393437">
              <w:rPr>
                <w:rFonts w:cs="Times New Roman"/>
                <w:szCs w:val="24"/>
              </w:rPr>
              <w:t>and also</w:t>
            </w:r>
            <w:proofErr w:type="gramEnd"/>
            <w:r w:rsidRPr="00393437">
              <w:rPr>
                <w:rFonts w:cs="Times New Roman"/>
                <w:szCs w:val="24"/>
              </w:rPr>
              <w:t xml:space="preserve"> sometimes to assess the risk of venous thromboembolism (VTE).</w:t>
            </w:r>
          </w:p>
        </w:tc>
      </w:tr>
    </w:tbl>
    <w:p w14:paraId="4E1A094D" w14:textId="4993EDDE" w:rsidR="00934F3F" w:rsidRPr="00393437" w:rsidRDefault="001F3DBE" w:rsidP="00CD27A1">
      <w:pPr>
        <w:jc w:val="both"/>
        <w:rPr>
          <w:rFonts w:cs="Times New Roman"/>
          <w:szCs w:val="24"/>
        </w:rPr>
      </w:pPr>
      <w:r w:rsidRPr="00393437">
        <w:rPr>
          <w:rFonts w:cs="Times New Roman"/>
          <w:szCs w:val="24"/>
        </w:rPr>
        <w:t>(</w:t>
      </w:r>
      <w:r w:rsidR="00023D1F" w:rsidRPr="00393437">
        <w:rPr>
          <w:rFonts w:cs="Times New Roman"/>
          <w:szCs w:val="24"/>
        </w:rPr>
        <w:t>Adapted</w:t>
      </w:r>
      <w:r w:rsidR="00CE4B42" w:rsidRPr="00393437">
        <w:rPr>
          <w:rFonts w:cs="Times New Roman"/>
          <w:szCs w:val="24"/>
        </w:rPr>
        <w:t xml:space="preserve"> from source</w:t>
      </w:r>
      <w:r w:rsidR="00023D1F" w:rsidRPr="00393437">
        <w:rPr>
          <w:rFonts w:cs="Times New Roman"/>
          <w:szCs w:val="24"/>
        </w:rPr>
        <w:t>s</w:t>
      </w:r>
      <w:r w:rsidR="00CE4B42" w:rsidRPr="00393437">
        <w:rPr>
          <w:rFonts w:cs="Times New Roman"/>
          <w:szCs w:val="24"/>
        </w:rPr>
        <w:t xml:space="preserve">: </w:t>
      </w:r>
      <w:proofErr w:type="spellStart"/>
      <w:r w:rsidR="00CE4B42" w:rsidRPr="00393437">
        <w:rPr>
          <w:rFonts w:cs="Times New Roman"/>
          <w:szCs w:val="24"/>
        </w:rPr>
        <w:t>Basten</w:t>
      </w:r>
      <w:proofErr w:type="spellEnd"/>
      <w:r w:rsidR="00CE4B42" w:rsidRPr="00393437">
        <w:rPr>
          <w:rFonts w:cs="Times New Roman"/>
          <w:szCs w:val="24"/>
        </w:rPr>
        <w:t xml:space="preserve"> 2013; National Health Service</w:t>
      </w:r>
      <w:r w:rsidR="002466E5" w:rsidRPr="00393437">
        <w:rPr>
          <w:rFonts w:cs="Times New Roman"/>
          <w:szCs w:val="24"/>
        </w:rPr>
        <w:t xml:space="preserve"> of England</w:t>
      </w:r>
      <w:r w:rsidR="00CE4B42" w:rsidRPr="00393437">
        <w:rPr>
          <w:rFonts w:cs="Times New Roman"/>
          <w:szCs w:val="24"/>
        </w:rPr>
        <w:t xml:space="preserve"> 2018</w:t>
      </w:r>
      <w:r w:rsidR="00691013" w:rsidRPr="00393437">
        <w:rPr>
          <w:rFonts w:cs="Times New Roman"/>
          <w:szCs w:val="24"/>
        </w:rPr>
        <w:t>)</w:t>
      </w:r>
      <w:r w:rsidR="00CE4B42" w:rsidRPr="00393437">
        <w:rPr>
          <w:rFonts w:cs="Times New Roman"/>
          <w:szCs w:val="24"/>
        </w:rPr>
        <w:t>.</w:t>
      </w:r>
    </w:p>
    <w:p w14:paraId="6F7583CE" w14:textId="6BE42C43" w:rsidR="0031246F" w:rsidRPr="00393437" w:rsidRDefault="00C1439B" w:rsidP="005C57A5">
      <w:pPr>
        <w:autoSpaceDE w:val="0"/>
        <w:autoSpaceDN w:val="0"/>
        <w:adjustRightInd w:val="0"/>
        <w:spacing w:after="0"/>
        <w:jc w:val="both"/>
        <w:rPr>
          <w:rFonts w:cs="Times New Roman"/>
          <w:szCs w:val="24"/>
        </w:rPr>
      </w:pPr>
      <w:r w:rsidRPr="00393437">
        <w:rPr>
          <w:rFonts w:cs="Times New Roman"/>
          <w:b/>
          <w:bCs/>
          <w:szCs w:val="24"/>
        </w:rPr>
        <w:t>Ethical principles</w:t>
      </w:r>
      <w:r w:rsidR="00BD4459" w:rsidRPr="00393437">
        <w:rPr>
          <w:rFonts w:cs="Times New Roman"/>
          <w:b/>
          <w:bCs/>
          <w:szCs w:val="24"/>
        </w:rPr>
        <w:t xml:space="preserve"> and preoperative consent</w:t>
      </w:r>
      <w:r w:rsidR="00B6613E" w:rsidRPr="00393437">
        <w:rPr>
          <w:rFonts w:cs="Times New Roman"/>
          <w:szCs w:val="24"/>
        </w:rPr>
        <w:t xml:space="preserve"> </w:t>
      </w:r>
    </w:p>
    <w:p w14:paraId="05057593" w14:textId="70E54672" w:rsidR="005D3F8B" w:rsidRPr="00393437" w:rsidRDefault="00C1439B" w:rsidP="00C23729">
      <w:pPr>
        <w:spacing w:line="240" w:lineRule="auto"/>
        <w:jc w:val="both"/>
        <w:rPr>
          <w:rFonts w:cs="Times New Roman"/>
          <w:szCs w:val="24"/>
        </w:rPr>
      </w:pPr>
      <w:r w:rsidRPr="00393437">
        <w:rPr>
          <w:rFonts w:cs="Times New Roman"/>
          <w:szCs w:val="24"/>
        </w:rPr>
        <w:t xml:space="preserve">The term medical ethics </w:t>
      </w:r>
      <w:r w:rsidR="00B246FB" w:rsidRPr="00393437">
        <w:rPr>
          <w:rFonts w:cs="Times New Roman"/>
          <w:szCs w:val="24"/>
        </w:rPr>
        <w:t>describes the use of ethical reasoning when a medical decision is required (Herring 2018). It guides the clinician to resolve ethical issues</w:t>
      </w:r>
      <w:r w:rsidR="00F45D24" w:rsidRPr="00393437">
        <w:rPr>
          <w:rFonts w:cs="Times New Roman"/>
          <w:szCs w:val="24"/>
        </w:rPr>
        <w:t xml:space="preserve"> in different situations </w:t>
      </w:r>
      <w:r w:rsidR="00B246FB" w:rsidRPr="00393437">
        <w:rPr>
          <w:rFonts w:cs="Times New Roman"/>
          <w:szCs w:val="24"/>
        </w:rPr>
        <w:t>(Davey et al 201</w:t>
      </w:r>
      <w:r w:rsidR="00D40E19" w:rsidRPr="00393437">
        <w:rPr>
          <w:rFonts w:cs="Times New Roman"/>
          <w:szCs w:val="24"/>
        </w:rPr>
        <w:t>7</w:t>
      </w:r>
      <w:r w:rsidR="00D40E19" w:rsidRPr="00393437">
        <w:rPr>
          <w:rFonts w:asciiTheme="majorBidi" w:hAnsiTheme="majorBidi" w:cstheme="majorBidi"/>
          <w:szCs w:val="24"/>
        </w:rPr>
        <w:t>)</w:t>
      </w:r>
      <w:r w:rsidR="00B246FB" w:rsidRPr="00393437">
        <w:rPr>
          <w:rFonts w:asciiTheme="majorBidi" w:hAnsiTheme="majorBidi" w:cstheme="majorBidi"/>
          <w:szCs w:val="24"/>
        </w:rPr>
        <w:t>.</w:t>
      </w:r>
      <w:r w:rsidR="00F45D24" w:rsidRPr="00393437">
        <w:rPr>
          <w:rFonts w:asciiTheme="majorBidi" w:hAnsiTheme="majorBidi" w:cstheme="majorBidi"/>
          <w:szCs w:val="24"/>
        </w:rPr>
        <w:t xml:space="preserve"> </w:t>
      </w:r>
      <w:r w:rsidR="00722DDD" w:rsidRPr="00393437">
        <w:rPr>
          <w:rFonts w:asciiTheme="majorBidi" w:hAnsiTheme="majorBidi" w:cstheme="majorBidi"/>
          <w:szCs w:val="24"/>
        </w:rPr>
        <w:t xml:space="preserve">Specifically, </w:t>
      </w:r>
      <w:proofErr w:type="spellStart"/>
      <w:r w:rsidR="00722DDD" w:rsidRPr="00393437">
        <w:rPr>
          <w:rFonts w:asciiTheme="majorBidi" w:hAnsiTheme="majorBidi" w:cstheme="majorBidi"/>
          <w:szCs w:val="24"/>
        </w:rPr>
        <w:t>principlism</w:t>
      </w:r>
      <w:proofErr w:type="spellEnd"/>
      <w:r w:rsidR="00722DDD" w:rsidRPr="00393437">
        <w:rPr>
          <w:rFonts w:asciiTheme="majorBidi" w:hAnsiTheme="majorBidi" w:cstheme="majorBidi"/>
          <w:szCs w:val="24"/>
        </w:rPr>
        <w:t xml:space="preserve"> is still considered to be the most well</w:t>
      </w:r>
      <w:r w:rsidR="001305DA" w:rsidRPr="00393437">
        <w:rPr>
          <w:rFonts w:asciiTheme="majorBidi" w:hAnsiTheme="majorBidi" w:cstheme="majorBidi"/>
          <w:szCs w:val="24"/>
        </w:rPr>
        <w:t>-</w:t>
      </w:r>
      <w:r w:rsidR="00722DDD" w:rsidRPr="00393437">
        <w:rPr>
          <w:rFonts w:asciiTheme="majorBidi" w:hAnsiTheme="majorBidi" w:cstheme="majorBidi"/>
          <w:szCs w:val="24"/>
        </w:rPr>
        <w:t>recogni</w:t>
      </w:r>
      <w:r w:rsidR="00FB5A97" w:rsidRPr="00393437">
        <w:rPr>
          <w:rFonts w:asciiTheme="majorBidi" w:hAnsiTheme="majorBidi" w:cstheme="majorBidi"/>
          <w:szCs w:val="24"/>
        </w:rPr>
        <w:t>s</w:t>
      </w:r>
      <w:r w:rsidR="00722DDD" w:rsidRPr="00393437">
        <w:rPr>
          <w:rFonts w:asciiTheme="majorBidi" w:hAnsiTheme="majorBidi" w:cstheme="majorBidi"/>
          <w:szCs w:val="24"/>
        </w:rPr>
        <w:t xml:space="preserve">ed approach in bioethics with the influence of Beauchamp and Childress work: </w:t>
      </w:r>
      <w:r w:rsidR="00E2173E" w:rsidRPr="00393437">
        <w:rPr>
          <w:rFonts w:asciiTheme="majorBidi" w:hAnsiTheme="majorBidi" w:cstheme="majorBidi"/>
          <w:szCs w:val="24"/>
        </w:rPr>
        <w:t>"</w:t>
      </w:r>
      <w:r w:rsidR="00722DDD" w:rsidRPr="00393437">
        <w:rPr>
          <w:rFonts w:asciiTheme="majorBidi" w:hAnsiTheme="majorBidi" w:cstheme="majorBidi"/>
          <w:szCs w:val="24"/>
        </w:rPr>
        <w:t>Principles of Biomedical Ethics</w:t>
      </w:r>
      <w:r w:rsidR="00E2173E" w:rsidRPr="00393437">
        <w:rPr>
          <w:rFonts w:asciiTheme="majorBidi" w:hAnsiTheme="majorBidi" w:cstheme="majorBidi"/>
          <w:szCs w:val="24"/>
        </w:rPr>
        <w:t>"</w:t>
      </w:r>
      <w:r w:rsidR="00722DDD" w:rsidRPr="00393437">
        <w:rPr>
          <w:rFonts w:asciiTheme="majorBidi" w:hAnsiTheme="majorBidi" w:cstheme="majorBidi"/>
          <w:szCs w:val="24"/>
        </w:rPr>
        <w:t xml:space="preserve"> (Herring</w:t>
      </w:r>
      <w:r w:rsidR="00B538CB" w:rsidRPr="00393437">
        <w:rPr>
          <w:rFonts w:asciiTheme="majorBidi" w:hAnsiTheme="majorBidi" w:cstheme="majorBidi"/>
          <w:szCs w:val="24"/>
        </w:rPr>
        <w:t xml:space="preserve"> </w:t>
      </w:r>
      <w:r w:rsidR="00722DDD" w:rsidRPr="00393437">
        <w:rPr>
          <w:rFonts w:asciiTheme="majorBidi" w:hAnsiTheme="majorBidi" w:cstheme="majorBidi"/>
          <w:szCs w:val="24"/>
        </w:rPr>
        <w:t>2018).</w:t>
      </w:r>
      <w:r w:rsidR="00722DDD" w:rsidRPr="00393437">
        <w:rPr>
          <w:rFonts w:cstheme="minorHAnsi"/>
          <w:szCs w:val="24"/>
        </w:rPr>
        <w:t xml:space="preserve"> </w:t>
      </w:r>
      <w:r w:rsidR="00722DDD" w:rsidRPr="00393437">
        <w:rPr>
          <w:rFonts w:asciiTheme="majorBidi" w:hAnsiTheme="majorBidi" w:cstheme="majorBidi"/>
          <w:szCs w:val="24"/>
        </w:rPr>
        <w:t xml:space="preserve">Respect for autonomy, non-maleficence, </w:t>
      </w:r>
      <w:proofErr w:type="gramStart"/>
      <w:r w:rsidR="00722DDD" w:rsidRPr="00393437">
        <w:rPr>
          <w:rFonts w:asciiTheme="majorBidi" w:hAnsiTheme="majorBidi" w:cstheme="majorBidi"/>
          <w:szCs w:val="24"/>
        </w:rPr>
        <w:t>beneficence</w:t>
      </w:r>
      <w:proofErr w:type="gramEnd"/>
      <w:r w:rsidR="00722DDD" w:rsidRPr="00393437">
        <w:rPr>
          <w:rFonts w:asciiTheme="majorBidi" w:hAnsiTheme="majorBidi" w:cstheme="majorBidi"/>
          <w:szCs w:val="24"/>
        </w:rPr>
        <w:t xml:space="preserve"> and justice are the four principles in which </w:t>
      </w:r>
      <w:proofErr w:type="spellStart"/>
      <w:r w:rsidR="00722DDD" w:rsidRPr="00393437">
        <w:rPr>
          <w:rFonts w:asciiTheme="majorBidi" w:hAnsiTheme="majorBidi" w:cstheme="majorBidi"/>
          <w:szCs w:val="24"/>
        </w:rPr>
        <w:t>principlism</w:t>
      </w:r>
      <w:proofErr w:type="spellEnd"/>
      <w:r w:rsidR="00722DDD" w:rsidRPr="00393437">
        <w:rPr>
          <w:rFonts w:asciiTheme="majorBidi" w:hAnsiTheme="majorBidi" w:cstheme="majorBidi"/>
          <w:szCs w:val="24"/>
        </w:rPr>
        <w:t xml:space="preserve"> is built representing a </w:t>
      </w:r>
      <w:r w:rsidR="00E2173E" w:rsidRPr="00393437">
        <w:rPr>
          <w:rFonts w:asciiTheme="majorBidi" w:hAnsiTheme="majorBidi" w:cstheme="majorBidi"/>
          <w:szCs w:val="24"/>
        </w:rPr>
        <w:t>"</w:t>
      </w:r>
      <w:r w:rsidR="00722DDD" w:rsidRPr="00393437">
        <w:rPr>
          <w:rFonts w:asciiTheme="majorBidi" w:hAnsiTheme="majorBidi" w:cstheme="majorBidi"/>
          <w:szCs w:val="24"/>
        </w:rPr>
        <w:t>common morality</w:t>
      </w:r>
      <w:r w:rsidR="00E2173E" w:rsidRPr="00393437">
        <w:rPr>
          <w:rFonts w:asciiTheme="majorBidi" w:hAnsiTheme="majorBidi" w:cstheme="majorBidi"/>
          <w:szCs w:val="24"/>
        </w:rPr>
        <w:t>"</w:t>
      </w:r>
      <w:r w:rsidR="00722DDD" w:rsidRPr="00393437">
        <w:rPr>
          <w:rFonts w:asciiTheme="majorBidi" w:hAnsiTheme="majorBidi" w:cstheme="majorBidi"/>
          <w:szCs w:val="24"/>
        </w:rPr>
        <w:t xml:space="preserve"> in many societies (Beauchamp and Childress 2013).</w:t>
      </w:r>
      <w:r w:rsidR="00722DDD" w:rsidRPr="00393437">
        <w:rPr>
          <w:rFonts w:cstheme="minorHAnsi"/>
          <w:szCs w:val="24"/>
        </w:rPr>
        <w:t xml:space="preserve"> </w:t>
      </w:r>
      <w:r w:rsidR="00E546A7" w:rsidRPr="00393437">
        <w:rPr>
          <w:rFonts w:cs="Times New Roman"/>
          <w:szCs w:val="24"/>
        </w:rPr>
        <w:t xml:space="preserve">Those </w:t>
      </w:r>
      <w:r w:rsidR="006944BD" w:rsidRPr="00393437">
        <w:rPr>
          <w:rFonts w:cs="Times New Roman"/>
          <w:szCs w:val="24"/>
        </w:rPr>
        <w:t>premise</w:t>
      </w:r>
      <w:r w:rsidR="00E546A7" w:rsidRPr="00393437">
        <w:rPr>
          <w:rFonts w:cs="Times New Roman"/>
          <w:szCs w:val="24"/>
        </w:rPr>
        <w:t>s</w:t>
      </w:r>
      <w:r w:rsidR="006944BD" w:rsidRPr="00393437">
        <w:rPr>
          <w:rFonts w:cs="Times New Roman"/>
          <w:szCs w:val="24"/>
        </w:rPr>
        <w:t xml:space="preserve"> </w:t>
      </w:r>
      <w:r w:rsidR="00B91310" w:rsidRPr="00393437">
        <w:rPr>
          <w:rFonts w:cs="Times New Roman"/>
          <w:szCs w:val="24"/>
        </w:rPr>
        <w:t>could be transferred to t</w:t>
      </w:r>
      <w:r w:rsidR="00373B05" w:rsidRPr="00393437">
        <w:rPr>
          <w:rFonts w:cs="Times New Roman"/>
          <w:szCs w:val="24"/>
        </w:rPr>
        <w:t xml:space="preserve">he </w:t>
      </w:r>
      <w:r w:rsidR="00257273" w:rsidRPr="00393437">
        <w:rPr>
          <w:rFonts w:cs="Times New Roman"/>
          <w:szCs w:val="24"/>
        </w:rPr>
        <w:t>preoperative consent</w:t>
      </w:r>
      <w:r w:rsidR="00B91310" w:rsidRPr="00393437">
        <w:rPr>
          <w:rFonts w:cs="Times New Roman"/>
          <w:szCs w:val="24"/>
        </w:rPr>
        <w:t>, which</w:t>
      </w:r>
      <w:r w:rsidR="00257273" w:rsidRPr="00393437">
        <w:rPr>
          <w:rFonts w:cs="Times New Roman"/>
          <w:szCs w:val="24"/>
        </w:rPr>
        <w:t xml:space="preserve"> is a process </w:t>
      </w:r>
      <w:r w:rsidR="009B78F4" w:rsidRPr="00393437">
        <w:rPr>
          <w:rFonts w:cs="Times New Roman"/>
          <w:szCs w:val="24"/>
        </w:rPr>
        <w:t>that involves</w:t>
      </w:r>
      <w:r w:rsidR="00257273" w:rsidRPr="00393437">
        <w:rPr>
          <w:rFonts w:cs="Times New Roman"/>
          <w:szCs w:val="24"/>
        </w:rPr>
        <w:t xml:space="preserve"> </w:t>
      </w:r>
      <w:r w:rsidR="00030869" w:rsidRPr="00393437">
        <w:rPr>
          <w:rFonts w:cs="Times New Roman"/>
          <w:szCs w:val="24"/>
        </w:rPr>
        <w:t>clinicians</w:t>
      </w:r>
      <w:r w:rsidR="00257273" w:rsidRPr="00393437">
        <w:rPr>
          <w:rFonts w:cs="Times New Roman"/>
          <w:szCs w:val="24"/>
        </w:rPr>
        <w:t xml:space="preserve"> </w:t>
      </w:r>
      <w:r w:rsidR="009B78F4" w:rsidRPr="00393437">
        <w:rPr>
          <w:rFonts w:cs="Times New Roman"/>
          <w:szCs w:val="24"/>
        </w:rPr>
        <w:t xml:space="preserve">working in </w:t>
      </w:r>
      <w:r w:rsidR="00257273" w:rsidRPr="00393437">
        <w:rPr>
          <w:rFonts w:cs="Times New Roman"/>
          <w:szCs w:val="24"/>
        </w:rPr>
        <w:t>partnership with patients</w:t>
      </w:r>
      <w:r w:rsidR="009B78F4" w:rsidRPr="00393437">
        <w:rPr>
          <w:rFonts w:cs="Times New Roman"/>
          <w:szCs w:val="24"/>
        </w:rPr>
        <w:t xml:space="preserve"> to support their decision-making</w:t>
      </w:r>
      <w:r w:rsidR="00257273" w:rsidRPr="00393437">
        <w:rPr>
          <w:rFonts w:cs="Times New Roman"/>
          <w:szCs w:val="24"/>
        </w:rPr>
        <w:t xml:space="preserve">. To achieve </w:t>
      </w:r>
      <w:r w:rsidR="00B91310" w:rsidRPr="00393437">
        <w:rPr>
          <w:rFonts w:cs="Times New Roman"/>
          <w:szCs w:val="24"/>
        </w:rPr>
        <w:t>it</w:t>
      </w:r>
      <w:r w:rsidR="00257273" w:rsidRPr="00393437">
        <w:rPr>
          <w:rFonts w:cs="Times New Roman"/>
          <w:szCs w:val="24"/>
        </w:rPr>
        <w:t xml:space="preserve">, </w:t>
      </w:r>
      <w:r w:rsidR="00030869" w:rsidRPr="00393437">
        <w:rPr>
          <w:rFonts w:cs="Times New Roman"/>
          <w:szCs w:val="24"/>
        </w:rPr>
        <w:t>clinicians</w:t>
      </w:r>
      <w:r w:rsidR="00257273" w:rsidRPr="00393437">
        <w:rPr>
          <w:rFonts w:cs="Times New Roman"/>
          <w:szCs w:val="24"/>
        </w:rPr>
        <w:t xml:space="preserve"> should fully inform and discuss with the person receiving the treatment about their condition and possible options in a way that they can understand (G</w:t>
      </w:r>
      <w:r w:rsidR="002466E5" w:rsidRPr="00393437">
        <w:rPr>
          <w:rFonts w:cs="Times New Roman"/>
          <w:szCs w:val="24"/>
        </w:rPr>
        <w:t xml:space="preserve">eneral </w:t>
      </w:r>
      <w:r w:rsidR="00257273" w:rsidRPr="00393437">
        <w:rPr>
          <w:rFonts w:cs="Times New Roman"/>
          <w:szCs w:val="24"/>
        </w:rPr>
        <w:t>M</w:t>
      </w:r>
      <w:r w:rsidR="002466E5" w:rsidRPr="00393437">
        <w:rPr>
          <w:rFonts w:cs="Times New Roman"/>
          <w:szCs w:val="24"/>
        </w:rPr>
        <w:t xml:space="preserve">edical </w:t>
      </w:r>
      <w:r w:rsidR="00257273" w:rsidRPr="00393437">
        <w:rPr>
          <w:rFonts w:cs="Times New Roman"/>
          <w:szCs w:val="24"/>
        </w:rPr>
        <w:t>C</w:t>
      </w:r>
      <w:r w:rsidR="002466E5" w:rsidRPr="00393437">
        <w:rPr>
          <w:rFonts w:cs="Times New Roman"/>
          <w:szCs w:val="24"/>
        </w:rPr>
        <w:t>ouncil</w:t>
      </w:r>
      <w:r w:rsidR="00257273" w:rsidRPr="00393437">
        <w:rPr>
          <w:rFonts w:cs="Times New Roman"/>
          <w:szCs w:val="24"/>
        </w:rPr>
        <w:t xml:space="preserve"> 2008</w:t>
      </w:r>
      <w:r w:rsidR="00A03DA5" w:rsidRPr="00393437">
        <w:rPr>
          <w:rFonts w:cs="Times New Roman"/>
          <w:szCs w:val="24"/>
        </w:rPr>
        <w:t xml:space="preserve">; </w:t>
      </w:r>
      <w:r w:rsidR="002D3213" w:rsidRPr="00393437">
        <w:rPr>
          <w:rFonts w:cs="Times New Roman"/>
          <w:szCs w:val="24"/>
        </w:rPr>
        <w:t>T</w:t>
      </w:r>
      <w:r w:rsidR="00C708B3" w:rsidRPr="00393437">
        <w:rPr>
          <w:rFonts w:cs="Times New Roman"/>
          <w:szCs w:val="24"/>
        </w:rPr>
        <w:t xml:space="preserve">he Royal College of </w:t>
      </w:r>
      <w:r w:rsidR="00EC5B43" w:rsidRPr="00393437">
        <w:rPr>
          <w:rFonts w:cs="Times New Roman"/>
          <w:szCs w:val="24"/>
        </w:rPr>
        <w:t>Surgeons</w:t>
      </w:r>
      <w:r w:rsidR="00A03DA5" w:rsidRPr="00393437">
        <w:rPr>
          <w:rFonts w:cs="Times New Roman"/>
          <w:szCs w:val="24"/>
        </w:rPr>
        <w:t xml:space="preserve"> 2016</w:t>
      </w:r>
      <w:r w:rsidR="00257273" w:rsidRPr="00393437">
        <w:rPr>
          <w:rFonts w:cs="Times New Roman"/>
          <w:szCs w:val="24"/>
        </w:rPr>
        <w:t>)</w:t>
      </w:r>
      <w:r w:rsidR="009B78F4" w:rsidRPr="00393437">
        <w:rPr>
          <w:rFonts w:cs="Times New Roman"/>
          <w:szCs w:val="24"/>
        </w:rPr>
        <w:t xml:space="preserve">. </w:t>
      </w:r>
      <w:r w:rsidR="004900CE" w:rsidRPr="00393437">
        <w:rPr>
          <w:rFonts w:cs="Times New Roman"/>
          <w:szCs w:val="24"/>
        </w:rPr>
        <w:t>The bioethical</w:t>
      </w:r>
      <w:r w:rsidR="009B78F4" w:rsidRPr="00393437">
        <w:rPr>
          <w:rFonts w:cs="Times New Roman"/>
          <w:szCs w:val="24"/>
        </w:rPr>
        <w:t xml:space="preserve"> principle </w:t>
      </w:r>
      <w:r w:rsidR="004900CE" w:rsidRPr="00393437">
        <w:rPr>
          <w:rFonts w:cs="Times New Roman"/>
          <w:szCs w:val="24"/>
        </w:rPr>
        <w:t>of</w:t>
      </w:r>
      <w:r w:rsidR="009B78F4" w:rsidRPr="00393437">
        <w:rPr>
          <w:rFonts w:cs="Times New Roman"/>
          <w:szCs w:val="24"/>
        </w:rPr>
        <w:t xml:space="preserve"> autonomy should be reflected in every patient</w:t>
      </w:r>
      <w:r w:rsidR="00511B6B" w:rsidRPr="00393437">
        <w:rPr>
          <w:rFonts w:cs="Times New Roman"/>
          <w:szCs w:val="24"/>
        </w:rPr>
        <w:t>'</w:t>
      </w:r>
      <w:r w:rsidR="004900CE" w:rsidRPr="00393437">
        <w:rPr>
          <w:rFonts w:cs="Times New Roman"/>
          <w:szCs w:val="24"/>
        </w:rPr>
        <w:t>s</w:t>
      </w:r>
      <w:r w:rsidR="009B78F4" w:rsidRPr="00393437">
        <w:rPr>
          <w:rFonts w:cs="Times New Roman"/>
          <w:szCs w:val="24"/>
        </w:rPr>
        <w:t xml:space="preserve"> consent process, </w:t>
      </w:r>
      <w:r w:rsidR="004900CE" w:rsidRPr="00393437">
        <w:rPr>
          <w:rFonts w:cs="Times New Roman"/>
          <w:szCs w:val="24"/>
        </w:rPr>
        <w:t xml:space="preserve">promoting </w:t>
      </w:r>
      <w:r w:rsidR="009B78F4" w:rsidRPr="00393437">
        <w:rPr>
          <w:rFonts w:cs="Times New Roman"/>
          <w:szCs w:val="24"/>
        </w:rPr>
        <w:t xml:space="preserve">the legal aspect to decide what happens to </w:t>
      </w:r>
      <w:r w:rsidR="00D55C68" w:rsidRPr="00393437">
        <w:rPr>
          <w:rFonts w:cs="Times New Roman"/>
          <w:szCs w:val="24"/>
        </w:rPr>
        <w:t>them</w:t>
      </w:r>
      <w:r w:rsidR="009B78F4" w:rsidRPr="00393437">
        <w:rPr>
          <w:rFonts w:cs="Times New Roman"/>
          <w:szCs w:val="24"/>
        </w:rPr>
        <w:t xml:space="preserve"> and </w:t>
      </w:r>
      <w:r w:rsidR="009B78F4" w:rsidRPr="00393437">
        <w:rPr>
          <w:rStyle w:val="Emphasis"/>
          <w:rFonts w:cs="Times New Roman"/>
          <w:i w:val="0"/>
          <w:iCs w:val="0"/>
          <w:szCs w:val="24"/>
          <w:bdr w:val="none" w:sz="0" w:space="0" w:color="auto" w:frame="1"/>
        </w:rPr>
        <w:t>allowing them to make</w:t>
      </w:r>
      <w:r w:rsidR="009B78F4" w:rsidRPr="00393437">
        <w:rPr>
          <w:rFonts w:cs="Times New Roman"/>
          <w:i/>
          <w:iCs/>
          <w:szCs w:val="24"/>
        </w:rPr>
        <w:t xml:space="preserve"> </w:t>
      </w:r>
      <w:r w:rsidR="009B78F4" w:rsidRPr="00393437">
        <w:rPr>
          <w:rFonts w:cs="Times New Roman"/>
          <w:szCs w:val="24"/>
        </w:rPr>
        <w:t>voluntary choices</w:t>
      </w:r>
      <w:r w:rsidR="004900CE" w:rsidRPr="00393437">
        <w:rPr>
          <w:rFonts w:cs="Times New Roman"/>
          <w:szCs w:val="24"/>
        </w:rPr>
        <w:t xml:space="preserve"> (Entwistle et al 2010)</w:t>
      </w:r>
      <w:r w:rsidR="009B78F4" w:rsidRPr="00393437">
        <w:rPr>
          <w:rFonts w:cs="Times New Roman"/>
          <w:szCs w:val="24"/>
        </w:rPr>
        <w:t>.</w:t>
      </w:r>
      <w:r w:rsidR="00BC4E66" w:rsidRPr="00393437">
        <w:rPr>
          <w:rFonts w:cs="Times New Roman"/>
          <w:szCs w:val="24"/>
        </w:rPr>
        <w:t xml:space="preserve"> </w:t>
      </w:r>
    </w:p>
    <w:p w14:paraId="02F74C93" w14:textId="1D7DD2E0" w:rsidR="000F5348" w:rsidRPr="00393437" w:rsidRDefault="00C352EB" w:rsidP="00C23729">
      <w:pPr>
        <w:spacing w:line="240" w:lineRule="auto"/>
        <w:jc w:val="both"/>
        <w:rPr>
          <w:rFonts w:cs="Times New Roman"/>
          <w:szCs w:val="24"/>
        </w:rPr>
      </w:pPr>
      <w:r w:rsidRPr="00393437">
        <w:rPr>
          <w:rFonts w:cs="Times New Roman"/>
          <w:szCs w:val="24"/>
        </w:rPr>
        <w:t>The SCP</w:t>
      </w:r>
      <w:r w:rsidR="00511B6B" w:rsidRPr="00393437">
        <w:rPr>
          <w:rFonts w:cs="Times New Roman"/>
          <w:szCs w:val="24"/>
        </w:rPr>
        <w:t>'</w:t>
      </w:r>
      <w:r w:rsidR="00C57BAB" w:rsidRPr="00393437">
        <w:rPr>
          <w:rFonts w:cs="Times New Roman"/>
          <w:szCs w:val="24"/>
        </w:rPr>
        <w:t>s framework</w:t>
      </w:r>
      <w:r w:rsidR="00C11EC1" w:rsidRPr="00393437">
        <w:rPr>
          <w:rFonts w:cs="Times New Roman"/>
          <w:szCs w:val="24"/>
        </w:rPr>
        <w:t xml:space="preserve"> was developed by </w:t>
      </w:r>
      <w:r w:rsidR="002D3213" w:rsidRPr="00393437">
        <w:rPr>
          <w:rFonts w:cs="Times New Roman"/>
          <w:szCs w:val="24"/>
        </w:rPr>
        <w:t>T</w:t>
      </w:r>
      <w:r w:rsidR="00C708B3" w:rsidRPr="00393437">
        <w:rPr>
          <w:rFonts w:cs="Times New Roman"/>
          <w:szCs w:val="24"/>
        </w:rPr>
        <w:t>he Royal College of Surgeons</w:t>
      </w:r>
      <w:r w:rsidR="00C11EC1" w:rsidRPr="00393437">
        <w:rPr>
          <w:rFonts w:cs="Times New Roman"/>
          <w:szCs w:val="24"/>
        </w:rPr>
        <w:t xml:space="preserve"> in </w:t>
      </w:r>
      <w:r w:rsidR="00F3182A" w:rsidRPr="00393437">
        <w:rPr>
          <w:rFonts w:cs="Times New Roman"/>
          <w:szCs w:val="24"/>
        </w:rPr>
        <w:t>20</w:t>
      </w:r>
      <w:r w:rsidR="00444ED0" w:rsidRPr="00393437">
        <w:rPr>
          <w:rFonts w:cs="Times New Roman"/>
          <w:szCs w:val="24"/>
        </w:rPr>
        <w:t>06</w:t>
      </w:r>
      <w:r w:rsidR="00C11EC1" w:rsidRPr="00393437">
        <w:rPr>
          <w:rFonts w:cs="Times New Roman"/>
          <w:szCs w:val="24"/>
        </w:rPr>
        <w:t xml:space="preserve"> (further updated in </w:t>
      </w:r>
      <w:r w:rsidR="00385362" w:rsidRPr="00393437">
        <w:rPr>
          <w:rFonts w:cs="Times New Roman"/>
          <w:szCs w:val="24"/>
        </w:rPr>
        <w:t>201</w:t>
      </w:r>
      <w:r w:rsidR="00444ED0" w:rsidRPr="00393437">
        <w:rPr>
          <w:rFonts w:cs="Times New Roman"/>
          <w:szCs w:val="24"/>
        </w:rPr>
        <w:t>4</w:t>
      </w:r>
      <w:r w:rsidR="00F3182A" w:rsidRPr="00393437">
        <w:rPr>
          <w:rFonts w:cs="Times New Roman"/>
          <w:szCs w:val="24"/>
        </w:rPr>
        <w:t>)</w:t>
      </w:r>
      <w:r w:rsidR="00C11EC1" w:rsidRPr="00393437">
        <w:rPr>
          <w:rFonts w:cs="Times New Roman"/>
          <w:szCs w:val="24"/>
        </w:rPr>
        <w:t xml:space="preserve"> being the main reference document for the establishment of standards during training</w:t>
      </w:r>
      <w:r w:rsidR="00444ED0" w:rsidRPr="00393437">
        <w:rPr>
          <w:rFonts w:cs="Times New Roman"/>
          <w:szCs w:val="24"/>
        </w:rPr>
        <w:t xml:space="preserve"> (</w:t>
      </w:r>
      <w:r w:rsidR="004C6BD2" w:rsidRPr="00393437">
        <w:rPr>
          <w:rFonts w:cs="Times New Roman"/>
          <w:szCs w:val="24"/>
        </w:rPr>
        <w:t>RCS</w:t>
      </w:r>
      <w:r w:rsidR="00444ED0" w:rsidRPr="00393437">
        <w:rPr>
          <w:rFonts w:cs="Times New Roman"/>
          <w:szCs w:val="24"/>
        </w:rPr>
        <w:t>, 2020)</w:t>
      </w:r>
      <w:r w:rsidR="00C11EC1" w:rsidRPr="00393437">
        <w:rPr>
          <w:rFonts w:cs="Times New Roman"/>
          <w:szCs w:val="24"/>
        </w:rPr>
        <w:t>.</w:t>
      </w:r>
      <w:r w:rsidR="00C9042A" w:rsidRPr="00393437">
        <w:rPr>
          <w:rFonts w:cs="Times New Roman"/>
          <w:szCs w:val="24"/>
        </w:rPr>
        <w:t xml:space="preserve"> </w:t>
      </w:r>
      <w:r w:rsidR="00E86B35" w:rsidRPr="00393437">
        <w:rPr>
          <w:rFonts w:cs="Times New Roman"/>
          <w:szCs w:val="24"/>
        </w:rPr>
        <w:t>SCP role</w:t>
      </w:r>
      <w:r w:rsidR="00C9042A" w:rsidRPr="00393437">
        <w:rPr>
          <w:rFonts w:cs="Times New Roman"/>
          <w:szCs w:val="24"/>
        </w:rPr>
        <w:t xml:space="preserve"> description</w:t>
      </w:r>
      <w:r w:rsidR="00C11EC1" w:rsidRPr="00393437">
        <w:rPr>
          <w:rFonts w:cs="Times New Roman"/>
          <w:szCs w:val="24"/>
        </w:rPr>
        <w:t xml:space="preserve"> </w:t>
      </w:r>
      <w:r w:rsidR="00C57BAB" w:rsidRPr="00393437">
        <w:rPr>
          <w:rFonts w:cs="Times New Roman"/>
          <w:szCs w:val="24"/>
        </w:rPr>
        <w:t>contains the</w:t>
      </w:r>
      <w:r w:rsidR="00F3182A" w:rsidRPr="00393437">
        <w:rPr>
          <w:rFonts w:cs="Times New Roman"/>
          <w:szCs w:val="24"/>
        </w:rPr>
        <w:t xml:space="preserve"> </w:t>
      </w:r>
      <w:r w:rsidR="000F62AB" w:rsidRPr="00393437">
        <w:rPr>
          <w:rFonts w:cs="Times New Roman"/>
          <w:szCs w:val="24"/>
        </w:rPr>
        <w:t xml:space="preserve">possibility </w:t>
      </w:r>
      <w:r w:rsidR="00E86B35" w:rsidRPr="00393437">
        <w:rPr>
          <w:rFonts w:cs="Times New Roman"/>
          <w:szCs w:val="24"/>
        </w:rPr>
        <w:t>for th</w:t>
      </w:r>
      <w:r w:rsidR="001305DA" w:rsidRPr="00393437">
        <w:rPr>
          <w:rFonts w:cs="Times New Roman"/>
          <w:szCs w:val="24"/>
        </w:rPr>
        <w:t>ese</w:t>
      </w:r>
      <w:r w:rsidR="00E86B35" w:rsidRPr="00393437">
        <w:rPr>
          <w:rFonts w:cs="Times New Roman"/>
          <w:szCs w:val="24"/>
        </w:rPr>
        <w:t xml:space="preserve"> professionals</w:t>
      </w:r>
      <w:r w:rsidR="004900CE" w:rsidRPr="00393437">
        <w:rPr>
          <w:rFonts w:cs="Times New Roman"/>
          <w:szCs w:val="24"/>
        </w:rPr>
        <w:t xml:space="preserve"> to consent</w:t>
      </w:r>
      <w:r w:rsidR="001305DA" w:rsidRPr="00393437">
        <w:rPr>
          <w:rFonts w:cs="Times New Roman"/>
          <w:szCs w:val="24"/>
        </w:rPr>
        <w:t xml:space="preserve"> to</w:t>
      </w:r>
      <w:r w:rsidR="000F62AB" w:rsidRPr="00393437">
        <w:rPr>
          <w:rFonts w:cs="Times New Roman"/>
          <w:szCs w:val="24"/>
        </w:rPr>
        <w:t xml:space="preserve"> patients preoperatively</w:t>
      </w:r>
      <w:r w:rsidR="004900CE" w:rsidRPr="00393437">
        <w:rPr>
          <w:rFonts w:cs="Times New Roman"/>
          <w:szCs w:val="24"/>
        </w:rPr>
        <w:t>.</w:t>
      </w:r>
      <w:r w:rsidR="000F62AB" w:rsidRPr="00393437">
        <w:rPr>
          <w:rFonts w:cs="Times New Roman"/>
          <w:szCs w:val="24"/>
        </w:rPr>
        <w:t xml:space="preserve"> </w:t>
      </w:r>
      <w:r w:rsidR="004900CE" w:rsidRPr="00393437">
        <w:rPr>
          <w:rFonts w:cs="Times New Roman"/>
          <w:szCs w:val="24"/>
        </w:rPr>
        <w:t>T</w:t>
      </w:r>
      <w:r w:rsidR="000F62AB" w:rsidRPr="00393437">
        <w:rPr>
          <w:rFonts w:cs="Times New Roman"/>
          <w:szCs w:val="24"/>
        </w:rPr>
        <w:t>his may occur when the surgeon</w:t>
      </w:r>
      <w:r w:rsidR="00242379" w:rsidRPr="00393437">
        <w:rPr>
          <w:rFonts w:cs="Times New Roman"/>
          <w:szCs w:val="24"/>
        </w:rPr>
        <w:t xml:space="preserve"> delegates responsibility agreeing</w:t>
      </w:r>
      <w:r w:rsidR="000F62AB" w:rsidRPr="00393437">
        <w:rPr>
          <w:rFonts w:cs="Times New Roman"/>
          <w:szCs w:val="24"/>
        </w:rPr>
        <w:t xml:space="preserve"> that the SCP has developed the appropriate knowledge to safely do so (</w:t>
      </w:r>
      <w:r w:rsidR="002D3213" w:rsidRPr="00393437">
        <w:rPr>
          <w:rFonts w:cs="Times New Roman"/>
          <w:szCs w:val="24"/>
        </w:rPr>
        <w:t>T</w:t>
      </w:r>
      <w:r w:rsidR="00C708B3" w:rsidRPr="00393437">
        <w:rPr>
          <w:rFonts w:cs="Times New Roman"/>
          <w:szCs w:val="24"/>
        </w:rPr>
        <w:t>he Royal College of Surgeons</w:t>
      </w:r>
      <w:r w:rsidR="000F62AB" w:rsidRPr="00393437">
        <w:rPr>
          <w:rFonts w:cs="Times New Roman"/>
          <w:szCs w:val="24"/>
        </w:rPr>
        <w:t xml:space="preserve"> 201</w:t>
      </w:r>
      <w:r w:rsidR="00E10174" w:rsidRPr="00393437">
        <w:rPr>
          <w:rFonts w:cs="Times New Roman"/>
          <w:szCs w:val="24"/>
        </w:rPr>
        <w:t>4</w:t>
      </w:r>
      <w:r w:rsidR="000F62AB" w:rsidRPr="00393437">
        <w:rPr>
          <w:rFonts w:cs="Times New Roman"/>
          <w:szCs w:val="24"/>
        </w:rPr>
        <w:t>)</w:t>
      </w:r>
      <w:r w:rsidR="00C57BAB" w:rsidRPr="00393437">
        <w:rPr>
          <w:rFonts w:cs="Times New Roman"/>
          <w:szCs w:val="24"/>
        </w:rPr>
        <w:t>.</w:t>
      </w:r>
      <w:r w:rsidR="00500B1B" w:rsidRPr="00393437">
        <w:rPr>
          <w:rFonts w:cs="Times New Roman"/>
          <w:szCs w:val="24"/>
        </w:rPr>
        <w:t xml:space="preserve"> </w:t>
      </w:r>
    </w:p>
    <w:p w14:paraId="33E19846" w14:textId="2AB65649" w:rsidR="000E16C1" w:rsidRPr="00393437" w:rsidRDefault="00035182" w:rsidP="00C23729">
      <w:pPr>
        <w:spacing w:line="240" w:lineRule="auto"/>
        <w:jc w:val="both"/>
        <w:rPr>
          <w:rFonts w:cs="Times New Roman"/>
          <w:szCs w:val="24"/>
        </w:rPr>
      </w:pPr>
      <w:r w:rsidRPr="00393437">
        <w:rPr>
          <w:rFonts w:cs="Times New Roman"/>
          <w:szCs w:val="24"/>
        </w:rPr>
        <w:t xml:space="preserve">To </w:t>
      </w:r>
      <w:r w:rsidR="00E055FD" w:rsidRPr="00393437">
        <w:rPr>
          <w:rFonts w:cs="Times New Roman"/>
          <w:szCs w:val="24"/>
        </w:rPr>
        <w:t>accomplish</w:t>
      </w:r>
      <w:r w:rsidR="00113AF7" w:rsidRPr="00393437">
        <w:rPr>
          <w:rFonts w:cs="Times New Roman"/>
          <w:szCs w:val="24"/>
        </w:rPr>
        <w:t xml:space="preserve"> all the ethical and legal requirements</w:t>
      </w:r>
      <w:r w:rsidR="00AD444C" w:rsidRPr="00393437">
        <w:rPr>
          <w:rFonts w:cs="Times New Roman"/>
          <w:szCs w:val="24"/>
        </w:rPr>
        <w:t>,</w:t>
      </w:r>
      <w:r w:rsidR="00113AF7" w:rsidRPr="00393437">
        <w:rPr>
          <w:rFonts w:cs="Times New Roman"/>
          <w:szCs w:val="24"/>
        </w:rPr>
        <w:t xml:space="preserve"> </w:t>
      </w:r>
      <w:r w:rsidR="000F62AB" w:rsidRPr="00393437">
        <w:rPr>
          <w:rFonts w:cs="Times New Roman"/>
          <w:szCs w:val="24"/>
        </w:rPr>
        <w:t>the SCP</w:t>
      </w:r>
      <w:r w:rsidR="00C57BAB" w:rsidRPr="00393437">
        <w:rPr>
          <w:rFonts w:cs="Times New Roman"/>
          <w:szCs w:val="24"/>
        </w:rPr>
        <w:t xml:space="preserve"> must follow the </w:t>
      </w:r>
      <w:r w:rsidR="00413B91" w:rsidRPr="00393437">
        <w:rPr>
          <w:rFonts w:cs="Times New Roman"/>
          <w:szCs w:val="24"/>
        </w:rPr>
        <w:t>General Medical Council (GMC)</w:t>
      </w:r>
      <w:r w:rsidR="00C57BAB" w:rsidRPr="00393437">
        <w:rPr>
          <w:rFonts w:cs="Times New Roman"/>
          <w:szCs w:val="24"/>
        </w:rPr>
        <w:t xml:space="preserve"> guidelines</w:t>
      </w:r>
      <w:r w:rsidR="00FA66F1" w:rsidRPr="00393437">
        <w:rPr>
          <w:rFonts w:cs="Times New Roman"/>
          <w:szCs w:val="24"/>
        </w:rPr>
        <w:t xml:space="preserve"> for Good Medical Practice</w:t>
      </w:r>
      <w:r w:rsidR="00C57BAB" w:rsidRPr="00393437">
        <w:rPr>
          <w:rFonts w:cs="Times New Roman"/>
          <w:szCs w:val="24"/>
        </w:rPr>
        <w:t xml:space="preserve"> and </w:t>
      </w:r>
      <w:r w:rsidR="00FA66F1" w:rsidRPr="00393437">
        <w:rPr>
          <w:rFonts w:cs="Times New Roman"/>
          <w:szCs w:val="24"/>
        </w:rPr>
        <w:t xml:space="preserve">their </w:t>
      </w:r>
      <w:r w:rsidR="00C57BAB" w:rsidRPr="00393437">
        <w:rPr>
          <w:rFonts w:cs="Times New Roman"/>
          <w:szCs w:val="24"/>
        </w:rPr>
        <w:t xml:space="preserve">local trust policy surrounding the consenting process (RCS 2014). </w:t>
      </w:r>
      <w:r w:rsidR="00466A46" w:rsidRPr="00393437">
        <w:rPr>
          <w:rFonts w:cs="Times New Roman"/>
          <w:szCs w:val="24"/>
        </w:rPr>
        <w:t>Also, professionals consenting patients are</w:t>
      </w:r>
      <w:r w:rsidR="000F62AB" w:rsidRPr="00393437">
        <w:rPr>
          <w:rFonts w:cs="Times New Roman"/>
          <w:szCs w:val="24"/>
        </w:rPr>
        <w:t xml:space="preserve"> required</w:t>
      </w:r>
      <w:r w:rsidR="00C57BAB" w:rsidRPr="00393437">
        <w:rPr>
          <w:rFonts w:cs="Times New Roman"/>
          <w:szCs w:val="24"/>
        </w:rPr>
        <w:t xml:space="preserve"> to </w:t>
      </w:r>
      <w:r w:rsidR="001408AA" w:rsidRPr="00393437">
        <w:rPr>
          <w:rFonts w:cs="Times New Roman"/>
          <w:szCs w:val="24"/>
        </w:rPr>
        <w:t>acknowledge</w:t>
      </w:r>
      <w:r w:rsidR="00C57BAB" w:rsidRPr="00393437">
        <w:rPr>
          <w:rFonts w:cs="Times New Roman"/>
          <w:szCs w:val="24"/>
        </w:rPr>
        <w:t xml:space="preserve"> the principles of the Mental Capacity Act (2005)</w:t>
      </w:r>
      <w:r w:rsidR="00FA66F1" w:rsidRPr="00393437">
        <w:rPr>
          <w:rFonts w:cs="Times New Roman"/>
          <w:szCs w:val="24"/>
        </w:rPr>
        <w:t>, th</w:t>
      </w:r>
      <w:r w:rsidR="00466A46" w:rsidRPr="00393437">
        <w:rPr>
          <w:rFonts w:cs="Times New Roman"/>
          <w:szCs w:val="24"/>
        </w:rPr>
        <w:t>is</w:t>
      </w:r>
      <w:r w:rsidR="00FA66F1" w:rsidRPr="00393437">
        <w:rPr>
          <w:rFonts w:cs="Times New Roman"/>
          <w:szCs w:val="24"/>
        </w:rPr>
        <w:t xml:space="preserve"> will guide </w:t>
      </w:r>
      <w:r w:rsidR="00466A46" w:rsidRPr="00393437">
        <w:rPr>
          <w:rFonts w:cs="Times New Roman"/>
          <w:szCs w:val="24"/>
        </w:rPr>
        <w:t>them</w:t>
      </w:r>
      <w:r w:rsidR="001408AA" w:rsidRPr="00393437">
        <w:rPr>
          <w:rFonts w:cs="Times New Roman"/>
          <w:szCs w:val="24"/>
        </w:rPr>
        <w:t xml:space="preserve"> to </w:t>
      </w:r>
      <w:r w:rsidR="00DD1C74" w:rsidRPr="00393437">
        <w:rPr>
          <w:rFonts w:cs="Times New Roman"/>
          <w:szCs w:val="24"/>
        </w:rPr>
        <w:t xml:space="preserve">establish </w:t>
      </w:r>
      <w:r w:rsidR="00FA66F1" w:rsidRPr="00393437">
        <w:rPr>
          <w:rFonts w:cs="Times New Roman"/>
          <w:szCs w:val="24"/>
        </w:rPr>
        <w:t>if the p</w:t>
      </w:r>
      <w:r w:rsidR="00A85339" w:rsidRPr="00393437">
        <w:rPr>
          <w:rFonts w:cs="Times New Roman"/>
          <w:szCs w:val="24"/>
        </w:rPr>
        <w:t xml:space="preserve">atients can apply </w:t>
      </w:r>
      <w:r w:rsidR="00511B6B" w:rsidRPr="00393437">
        <w:rPr>
          <w:rFonts w:cs="Times New Roman"/>
          <w:szCs w:val="24"/>
        </w:rPr>
        <w:t>their legal right to</w:t>
      </w:r>
      <w:r w:rsidR="00B538CB" w:rsidRPr="00393437">
        <w:rPr>
          <w:rFonts w:cs="Times New Roman"/>
          <w:szCs w:val="24"/>
        </w:rPr>
        <w:t xml:space="preserve"> </w:t>
      </w:r>
      <w:r w:rsidR="00511B6B" w:rsidRPr="00393437">
        <w:rPr>
          <w:rFonts w:cs="Times New Roman"/>
          <w:szCs w:val="24"/>
        </w:rPr>
        <w:t>consent</w:t>
      </w:r>
      <w:r w:rsidR="00444ED0" w:rsidRPr="00393437">
        <w:rPr>
          <w:rFonts w:cs="Times New Roman"/>
          <w:szCs w:val="24"/>
        </w:rPr>
        <w:t xml:space="preserve"> </w:t>
      </w:r>
      <w:r w:rsidR="00F21E4B" w:rsidRPr="00393437">
        <w:rPr>
          <w:rFonts w:cs="Times New Roman"/>
          <w:szCs w:val="24"/>
        </w:rPr>
        <w:t xml:space="preserve">effectively </w:t>
      </w:r>
      <w:r w:rsidR="00511B6B" w:rsidRPr="00393437">
        <w:rPr>
          <w:rFonts w:cs="Times New Roman"/>
          <w:szCs w:val="24"/>
        </w:rPr>
        <w:t>(RCS 2014)</w:t>
      </w:r>
      <w:r w:rsidR="00FA66F1" w:rsidRPr="00393437">
        <w:rPr>
          <w:rFonts w:cs="Times New Roman"/>
          <w:szCs w:val="24"/>
        </w:rPr>
        <w:t xml:space="preserve">. </w:t>
      </w:r>
    </w:p>
    <w:p w14:paraId="4BD281A4" w14:textId="5D3EBB7C" w:rsidR="00580287" w:rsidRPr="00393437" w:rsidRDefault="00901D0C" w:rsidP="00C23729">
      <w:pPr>
        <w:spacing w:line="240" w:lineRule="auto"/>
        <w:jc w:val="both"/>
        <w:rPr>
          <w:rFonts w:asciiTheme="majorBidi" w:hAnsiTheme="majorBidi" w:cstheme="majorBidi"/>
          <w:szCs w:val="24"/>
        </w:rPr>
      </w:pPr>
      <w:r w:rsidRPr="00393437">
        <w:rPr>
          <w:rFonts w:asciiTheme="majorBidi" w:hAnsiTheme="majorBidi" w:cstheme="majorBidi"/>
          <w:szCs w:val="24"/>
        </w:rPr>
        <w:t xml:space="preserve">The SCP role helps </w:t>
      </w:r>
      <w:r w:rsidR="00FB5A97" w:rsidRPr="00393437">
        <w:rPr>
          <w:rFonts w:asciiTheme="majorBidi" w:hAnsiTheme="majorBidi" w:cstheme="majorBidi"/>
          <w:szCs w:val="24"/>
        </w:rPr>
        <w:t>to improve</w:t>
      </w:r>
      <w:r w:rsidRPr="00393437">
        <w:rPr>
          <w:rFonts w:asciiTheme="majorBidi" w:hAnsiTheme="majorBidi" w:cstheme="majorBidi"/>
          <w:szCs w:val="24"/>
        </w:rPr>
        <w:t xml:space="preserve"> the continuity of care and patient experience by having an extensive area of practice through the whole perioperative journey (RCS 2018). </w:t>
      </w:r>
      <w:r w:rsidR="00CB1020" w:rsidRPr="00393437">
        <w:rPr>
          <w:rFonts w:asciiTheme="majorBidi" w:hAnsiTheme="majorBidi" w:cstheme="majorBidi"/>
          <w:szCs w:val="24"/>
        </w:rPr>
        <w:t>It</w:t>
      </w:r>
      <w:r w:rsidRPr="00393437">
        <w:rPr>
          <w:rFonts w:asciiTheme="majorBidi" w:hAnsiTheme="majorBidi" w:cstheme="majorBidi"/>
          <w:szCs w:val="24"/>
        </w:rPr>
        <w:t xml:space="preserve"> may involve the clinical assessment of patients in Emergency Department</w:t>
      </w:r>
      <w:r w:rsidR="00FB5A97" w:rsidRPr="00393437">
        <w:rPr>
          <w:rFonts w:asciiTheme="majorBidi" w:hAnsiTheme="majorBidi" w:cstheme="majorBidi"/>
          <w:szCs w:val="24"/>
        </w:rPr>
        <w:t>s</w:t>
      </w:r>
      <w:r w:rsidRPr="00393437">
        <w:rPr>
          <w:rFonts w:asciiTheme="majorBidi" w:hAnsiTheme="majorBidi" w:cstheme="majorBidi"/>
          <w:szCs w:val="24"/>
        </w:rPr>
        <w:t xml:space="preserve">, surgical preparation on admission, intra-operative assistance to the surgeon, postoperative </w:t>
      </w:r>
      <w:r w:rsidRPr="00393437">
        <w:rPr>
          <w:rFonts w:asciiTheme="majorBidi" w:hAnsiTheme="majorBidi" w:cstheme="majorBidi"/>
          <w:szCs w:val="24"/>
        </w:rPr>
        <w:lastRenderedPageBreak/>
        <w:t xml:space="preserve">revision of patients allocated on the wards, managing clinics and also, </w:t>
      </w:r>
      <w:proofErr w:type="gramStart"/>
      <w:r w:rsidRPr="00393437">
        <w:rPr>
          <w:rFonts w:asciiTheme="majorBidi" w:hAnsiTheme="majorBidi" w:cstheme="majorBidi"/>
          <w:szCs w:val="24"/>
        </w:rPr>
        <w:t>in</w:t>
      </w:r>
      <w:proofErr w:type="gramEnd"/>
      <w:r w:rsidRPr="00393437">
        <w:rPr>
          <w:rFonts w:asciiTheme="majorBidi" w:hAnsiTheme="majorBidi" w:cstheme="majorBidi"/>
          <w:szCs w:val="24"/>
        </w:rPr>
        <w:t xml:space="preserve"> some occasions acting as trauma coordinator for the department. </w:t>
      </w:r>
    </w:p>
    <w:p w14:paraId="07AC39D0" w14:textId="6161CF05" w:rsidR="00D93522" w:rsidRPr="00393437" w:rsidRDefault="006E610C" w:rsidP="009B2F63">
      <w:pPr>
        <w:pStyle w:val="Heading1"/>
      </w:pPr>
      <w:r w:rsidRPr="00393437">
        <w:t xml:space="preserve">Effective teamwork in </w:t>
      </w:r>
      <w:r w:rsidR="00DD1C74" w:rsidRPr="00393437">
        <w:t>perioperative care</w:t>
      </w:r>
    </w:p>
    <w:p w14:paraId="2E0D5056" w14:textId="0ABEB722" w:rsidR="00D93522" w:rsidRPr="00393437" w:rsidRDefault="007B6A1E" w:rsidP="00C23729">
      <w:pPr>
        <w:spacing w:line="240" w:lineRule="auto"/>
        <w:jc w:val="both"/>
        <w:rPr>
          <w:rFonts w:cs="Times New Roman"/>
          <w:szCs w:val="24"/>
        </w:rPr>
      </w:pPr>
      <w:r w:rsidRPr="00393437">
        <w:rPr>
          <w:rFonts w:asciiTheme="majorBidi" w:hAnsiTheme="majorBidi" w:cstheme="majorBidi"/>
          <w:szCs w:val="24"/>
        </w:rPr>
        <w:t xml:space="preserve">In this case, the patient was correctly positioned in the operating table </w:t>
      </w:r>
      <w:proofErr w:type="gramStart"/>
      <w:r w:rsidRPr="00393437">
        <w:rPr>
          <w:rFonts w:asciiTheme="majorBidi" w:hAnsiTheme="majorBidi" w:cstheme="majorBidi"/>
          <w:szCs w:val="24"/>
        </w:rPr>
        <w:t>and also</w:t>
      </w:r>
      <w:proofErr w:type="gramEnd"/>
      <w:r w:rsidRPr="00393437">
        <w:rPr>
          <w:rFonts w:asciiTheme="majorBidi" w:hAnsiTheme="majorBidi" w:cstheme="majorBidi"/>
          <w:szCs w:val="24"/>
        </w:rPr>
        <w:t xml:space="preserve"> adequate communication techniques were followed to complete the safety checklist.</w:t>
      </w:r>
      <w:r w:rsidRPr="00393437">
        <w:rPr>
          <w:rFonts w:cstheme="minorHAnsi"/>
          <w:szCs w:val="24"/>
        </w:rPr>
        <w:t xml:space="preserve"> T</w:t>
      </w:r>
      <w:r w:rsidR="005779DC" w:rsidRPr="00393437">
        <w:rPr>
          <w:rFonts w:cs="Times New Roman"/>
          <w:szCs w:val="24"/>
        </w:rPr>
        <w:t xml:space="preserve">he SCP helped the surgeon to </w:t>
      </w:r>
      <w:r w:rsidR="00D55C68" w:rsidRPr="00393437">
        <w:rPr>
          <w:rFonts w:cs="Times New Roman"/>
          <w:szCs w:val="24"/>
        </w:rPr>
        <w:t>perform</w:t>
      </w:r>
      <w:r w:rsidR="005779DC" w:rsidRPr="00393437">
        <w:rPr>
          <w:rFonts w:cs="Times New Roman"/>
          <w:szCs w:val="24"/>
        </w:rPr>
        <w:t xml:space="preserve"> safe access to the fracture</w:t>
      </w:r>
      <w:r w:rsidR="00511B6B" w:rsidRPr="00393437">
        <w:rPr>
          <w:rFonts w:cs="Times New Roman"/>
          <w:szCs w:val="24"/>
        </w:rPr>
        <w:t>d</w:t>
      </w:r>
      <w:r w:rsidR="005779DC" w:rsidRPr="00393437">
        <w:rPr>
          <w:rFonts w:cs="Times New Roman"/>
          <w:szCs w:val="24"/>
        </w:rPr>
        <w:t xml:space="preserve"> bone by knowing the anatomical layers and structures of the forearm (Hall </w:t>
      </w:r>
      <w:r w:rsidR="00895575" w:rsidRPr="00393437">
        <w:rPr>
          <w:rFonts w:cs="Times New Roman"/>
          <w:szCs w:val="24"/>
        </w:rPr>
        <w:t xml:space="preserve">et al </w:t>
      </w:r>
      <w:r w:rsidR="005779DC" w:rsidRPr="00393437">
        <w:rPr>
          <w:rFonts w:cs="Times New Roman"/>
          <w:szCs w:val="24"/>
        </w:rPr>
        <w:t>2016).</w:t>
      </w:r>
      <w:r w:rsidR="00954551" w:rsidRPr="00393437">
        <w:rPr>
          <w:rFonts w:cs="Times New Roman"/>
          <w:szCs w:val="24"/>
        </w:rPr>
        <w:t xml:space="preserve"> During the procedure, th</w:t>
      </w:r>
      <w:r w:rsidR="005779DC" w:rsidRPr="00393437">
        <w:rPr>
          <w:rFonts w:cs="Times New Roman"/>
          <w:szCs w:val="24"/>
        </w:rPr>
        <w:t xml:space="preserve">is professional </w:t>
      </w:r>
      <w:r w:rsidR="009A5453" w:rsidRPr="00393437">
        <w:rPr>
          <w:rFonts w:cs="Times New Roman"/>
          <w:szCs w:val="24"/>
        </w:rPr>
        <w:t>assisted</w:t>
      </w:r>
      <w:r w:rsidR="00511B6B" w:rsidRPr="00393437">
        <w:rPr>
          <w:rFonts w:cs="Times New Roman"/>
          <w:szCs w:val="24"/>
        </w:rPr>
        <w:t xml:space="preserve"> in</w:t>
      </w:r>
      <w:r w:rsidR="009A5453" w:rsidRPr="00393437">
        <w:rPr>
          <w:rFonts w:cs="Times New Roman"/>
          <w:szCs w:val="24"/>
        </w:rPr>
        <w:t xml:space="preserve"> handling the tissues appropriately (</w:t>
      </w:r>
      <w:proofErr w:type="spellStart"/>
      <w:r w:rsidR="001A129A" w:rsidRPr="00393437">
        <w:rPr>
          <w:rFonts w:cs="Times New Roman"/>
          <w:szCs w:val="24"/>
        </w:rPr>
        <w:t>Myint</w:t>
      </w:r>
      <w:proofErr w:type="spellEnd"/>
      <w:r w:rsidR="001A129A" w:rsidRPr="00393437">
        <w:rPr>
          <w:rFonts w:cs="Times New Roman"/>
          <w:szCs w:val="24"/>
        </w:rPr>
        <w:t xml:space="preserve"> and </w:t>
      </w:r>
      <w:r w:rsidR="009A5453" w:rsidRPr="00393437">
        <w:rPr>
          <w:rFonts w:cs="Times New Roman"/>
          <w:szCs w:val="24"/>
        </w:rPr>
        <w:t>Kirk</w:t>
      </w:r>
      <w:r w:rsidR="00B81EBA" w:rsidRPr="00393437">
        <w:rPr>
          <w:rFonts w:cs="Times New Roman"/>
          <w:szCs w:val="24"/>
        </w:rPr>
        <w:t xml:space="preserve"> 2018</w:t>
      </w:r>
      <w:r w:rsidR="009A5453" w:rsidRPr="00393437">
        <w:rPr>
          <w:rFonts w:cs="Times New Roman"/>
          <w:szCs w:val="24"/>
        </w:rPr>
        <w:t>)</w:t>
      </w:r>
      <w:r w:rsidR="00B84481" w:rsidRPr="00393437">
        <w:rPr>
          <w:rFonts w:cs="Times New Roman"/>
          <w:szCs w:val="24"/>
        </w:rPr>
        <w:t xml:space="preserve">, carefully </w:t>
      </w:r>
      <w:r w:rsidR="0062363A" w:rsidRPr="00393437">
        <w:rPr>
          <w:rFonts w:cs="Times New Roman"/>
          <w:szCs w:val="24"/>
        </w:rPr>
        <w:t>collaborating with the surgeon</w:t>
      </w:r>
      <w:r w:rsidR="00B84481" w:rsidRPr="00393437">
        <w:rPr>
          <w:rFonts w:cs="Times New Roman"/>
          <w:szCs w:val="24"/>
        </w:rPr>
        <w:t xml:space="preserve"> to diminish the potential damage to </w:t>
      </w:r>
      <w:r w:rsidR="00FB5A97" w:rsidRPr="00393437">
        <w:rPr>
          <w:rFonts w:cs="Times New Roman"/>
          <w:szCs w:val="24"/>
        </w:rPr>
        <w:t xml:space="preserve">the </w:t>
      </w:r>
      <w:r w:rsidR="00B84481" w:rsidRPr="00393437">
        <w:rPr>
          <w:rFonts w:cs="Times New Roman"/>
          <w:szCs w:val="24"/>
        </w:rPr>
        <w:t xml:space="preserve">median nerve, radial </w:t>
      </w:r>
      <w:proofErr w:type="gramStart"/>
      <w:r w:rsidR="00B84481" w:rsidRPr="00393437">
        <w:rPr>
          <w:rFonts w:cs="Times New Roman"/>
          <w:szCs w:val="24"/>
        </w:rPr>
        <w:t>artery</w:t>
      </w:r>
      <w:proofErr w:type="gramEnd"/>
      <w:r w:rsidR="00B84481" w:rsidRPr="00393437">
        <w:rPr>
          <w:rFonts w:cs="Times New Roman"/>
          <w:szCs w:val="24"/>
        </w:rPr>
        <w:t xml:space="preserve"> or volar wrist capsule ligaments (Taylor and </w:t>
      </w:r>
      <w:proofErr w:type="spellStart"/>
      <w:r w:rsidR="00B84481" w:rsidRPr="00393437">
        <w:rPr>
          <w:rFonts w:cs="Times New Roman"/>
          <w:szCs w:val="24"/>
        </w:rPr>
        <w:t>Sharareh</w:t>
      </w:r>
      <w:proofErr w:type="spellEnd"/>
      <w:r w:rsidR="00B84481" w:rsidRPr="00393437">
        <w:rPr>
          <w:rFonts w:cs="Times New Roman"/>
          <w:szCs w:val="24"/>
        </w:rPr>
        <w:t xml:space="preserve"> 2019).</w:t>
      </w:r>
      <w:r w:rsidR="009A5453" w:rsidRPr="00393437">
        <w:rPr>
          <w:rFonts w:cs="Times New Roman"/>
          <w:szCs w:val="24"/>
        </w:rPr>
        <w:t xml:space="preserve"> Finally,</w:t>
      </w:r>
      <w:r w:rsidR="005779DC" w:rsidRPr="00393437">
        <w:rPr>
          <w:rFonts w:cs="Times New Roman"/>
          <w:szCs w:val="24"/>
        </w:rPr>
        <w:t xml:space="preserve"> after distal radial fixation was achieved</w:t>
      </w:r>
      <w:r w:rsidR="00337CCC" w:rsidRPr="00393437">
        <w:rPr>
          <w:rFonts w:cs="Times New Roman"/>
          <w:szCs w:val="24"/>
        </w:rPr>
        <w:t xml:space="preserve"> (see </w:t>
      </w:r>
      <w:r w:rsidR="00482EAB" w:rsidRPr="00393437">
        <w:rPr>
          <w:rFonts w:cs="Times New Roman"/>
          <w:szCs w:val="24"/>
        </w:rPr>
        <w:t>F</w:t>
      </w:r>
      <w:r w:rsidR="00337CCC" w:rsidRPr="00393437">
        <w:rPr>
          <w:rFonts w:cs="Times New Roman"/>
          <w:szCs w:val="24"/>
        </w:rPr>
        <w:t xml:space="preserve">igure </w:t>
      </w:r>
      <w:r w:rsidR="00BA70DE" w:rsidRPr="00393437">
        <w:rPr>
          <w:rFonts w:cs="Times New Roman"/>
          <w:szCs w:val="24"/>
        </w:rPr>
        <w:t>5</w:t>
      </w:r>
      <w:r w:rsidR="00337CCC" w:rsidRPr="00393437">
        <w:rPr>
          <w:rFonts w:cs="Times New Roman"/>
          <w:szCs w:val="24"/>
        </w:rPr>
        <w:t>)</w:t>
      </w:r>
      <w:r w:rsidR="005779DC" w:rsidRPr="00393437">
        <w:rPr>
          <w:rFonts w:cs="Times New Roman"/>
          <w:szCs w:val="24"/>
        </w:rPr>
        <w:t>,</w:t>
      </w:r>
      <w:r w:rsidR="00C531CB" w:rsidRPr="00393437">
        <w:rPr>
          <w:rFonts w:cs="Times New Roman"/>
          <w:szCs w:val="24"/>
        </w:rPr>
        <w:t xml:space="preserve"> th</w:t>
      </w:r>
      <w:r w:rsidR="005779DC" w:rsidRPr="00393437">
        <w:rPr>
          <w:rFonts w:cs="Times New Roman"/>
          <w:szCs w:val="24"/>
        </w:rPr>
        <w:t>e SCP</w:t>
      </w:r>
      <w:r w:rsidR="00C531CB" w:rsidRPr="00393437">
        <w:rPr>
          <w:rFonts w:cs="Times New Roman"/>
          <w:szCs w:val="24"/>
        </w:rPr>
        <w:t xml:space="preserve"> closed </w:t>
      </w:r>
      <w:r w:rsidR="005779DC" w:rsidRPr="00393437">
        <w:rPr>
          <w:rFonts w:cs="Times New Roman"/>
          <w:szCs w:val="24"/>
        </w:rPr>
        <w:t>the different</w:t>
      </w:r>
      <w:r w:rsidR="008D01B5" w:rsidRPr="00393437">
        <w:rPr>
          <w:rFonts w:cs="Times New Roman"/>
          <w:szCs w:val="24"/>
        </w:rPr>
        <w:t xml:space="preserve"> anatomical</w:t>
      </w:r>
      <w:r w:rsidR="005779DC" w:rsidRPr="00393437">
        <w:rPr>
          <w:rFonts w:cs="Times New Roman"/>
          <w:szCs w:val="24"/>
        </w:rPr>
        <w:t xml:space="preserve"> layers ensuring a good eversion of the skin edges to facilitate wound healing</w:t>
      </w:r>
      <w:r w:rsidR="006C5E67" w:rsidRPr="00393437">
        <w:rPr>
          <w:rFonts w:cs="Times New Roman"/>
          <w:szCs w:val="24"/>
        </w:rPr>
        <w:t xml:space="preserve"> </w:t>
      </w:r>
      <w:r w:rsidR="005779DC" w:rsidRPr="00393437">
        <w:rPr>
          <w:rFonts w:cs="Times New Roman"/>
          <w:szCs w:val="24"/>
        </w:rPr>
        <w:t>(</w:t>
      </w:r>
      <w:proofErr w:type="spellStart"/>
      <w:r w:rsidR="005779DC" w:rsidRPr="00393437">
        <w:rPr>
          <w:rFonts w:cs="Times New Roman"/>
          <w:szCs w:val="24"/>
        </w:rPr>
        <w:t>Myint</w:t>
      </w:r>
      <w:proofErr w:type="spellEnd"/>
      <w:r w:rsidR="005779DC" w:rsidRPr="00393437">
        <w:rPr>
          <w:rFonts w:cs="Times New Roman"/>
          <w:szCs w:val="24"/>
        </w:rPr>
        <w:t xml:space="preserve"> and Kirk 2018).</w:t>
      </w:r>
      <w:r w:rsidR="006C5E67" w:rsidRPr="00393437">
        <w:rPr>
          <w:rFonts w:cs="Times New Roman"/>
          <w:szCs w:val="24"/>
        </w:rPr>
        <w:t xml:space="preserve"> </w:t>
      </w:r>
    </w:p>
    <w:p w14:paraId="7291A3E5" w14:textId="53B5C6DE" w:rsidR="003F5A95" w:rsidRPr="00393437" w:rsidRDefault="003F5A95" w:rsidP="003F5A95">
      <w:pPr>
        <w:spacing w:line="240" w:lineRule="auto"/>
        <w:jc w:val="both"/>
        <w:rPr>
          <w:rFonts w:asciiTheme="majorBidi" w:hAnsiTheme="majorBidi" w:cstheme="majorBidi"/>
          <w:szCs w:val="24"/>
        </w:rPr>
      </w:pPr>
      <w:r w:rsidRPr="00393437">
        <w:rPr>
          <w:rFonts w:asciiTheme="majorBidi" w:hAnsiTheme="majorBidi" w:cstheme="majorBidi"/>
          <w:szCs w:val="24"/>
        </w:rPr>
        <w:t>The SCPs</w:t>
      </w:r>
      <w:r w:rsidR="00D3296F" w:rsidRPr="00393437">
        <w:rPr>
          <w:rFonts w:asciiTheme="majorBidi" w:hAnsiTheme="majorBidi" w:cstheme="majorBidi"/>
          <w:szCs w:val="24"/>
        </w:rPr>
        <w:t>’</w:t>
      </w:r>
      <w:r w:rsidRPr="00393437">
        <w:rPr>
          <w:rFonts w:asciiTheme="majorBidi" w:hAnsiTheme="majorBidi" w:cstheme="majorBidi"/>
          <w:szCs w:val="24"/>
        </w:rPr>
        <w:t xml:space="preserve"> area of practice is based in the intra- and perioperative environment, including patients from elective or emergency departments. This professional as part of the surgical team should be familiar with the national and local safety standards through </w:t>
      </w:r>
      <w:r w:rsidR="00D3296F" w:rsidRPr="00393437">
        <w:rPr>
          <w:rFonts w:asciiTheme="majorBidi" w:hAnsiTheme="majorBidi" w:cstheme="majorBidi"/>
          <w:szCs w:val="24"/>
        </w:rPr>
        <w:t>“</w:t>
      </w:r>
      <w:r w:rsidRPr="00393437">
        <w:rPr>
          <w:rFonts w:asciiTheme="majorBidi" w:hAnsiTheme="majorBidi" w:cstheme="majorBidi"/>
          <w:szCs w:val="24"/>
        </w:rPr>
        <w:t>The National Safety Standards for Invasive Procedures</w:t>
      </w:r>
      <w:r w:rsidR="00D3296F" w:rsidRPr="00393437">
        <w:rPr>
          <w:rFonts w:asciiTheme="majorBidi" w:hAnsiTheme="majorBidi" w:cstheme="majorBidi"/>
          <w:szCs w:val="24"/>
        </w:rPr>
        <w:t>”</w:t>
      </w:r>
      <w:r w:rsidRPr="00393437">
        <w:rPr>
          <w:rFonts w:asciiTheme="majorBidi" w:hAnsiTheme="majorBidi" w:cstheme="majorBidi"/>
          <w:szCs w:val="24"/>
        </w:rPr>
        <w:t xml:space="preserve"> (</w:t>
      </w:r>
      <w:proofErr w:type="spellStart"/>
      <w:r w:rsidRPr="00393437">
        <w:rPr>
          <w:rFonts w:asciiTheme="majorBidi" w:hAnsiTheme="majorBidi" w:cstheme="majorBidi"/>
          <w:szCs w:val="24"/>
        </w:rPr>
        <w:t>NatSSIPs</w:t>
      </w:r>
      <w:proofErr w:type="spellEnd"/>
      <w:r w:rsidRPr="00393437">
        <w:rPr>
          <w:rFonts w:asciiTheme="majorBidi" w:hAnsiTheme="majorBidi" w:cstheme="majorBidi"/>
          <w:szCs w:val="24"/>
        </w:rPr>
        <w:t xml:space="preserve">) and </w:t>
      </w:r>
      <w:r w:rsidR="00D3296F" w:rsidRPr="00393437">
        <w:rPr>
          <w:rFonts w:asciiTheme="majorBidi" w:hAnsiTheme="majorBidi" w:cstheme="majorBidi"/>
          <w:szCs w:val="24"/>
        </w:rPr>
        <w:t>“</w:t>
      </w:r>
      <w:r w:rsidRPr="00393437">
        <w:rPr>
          <w:rFonts w:asciiTheme="majorBidi" w:hAnsiTheme="majorBidi" w:cstheme="majorBidi"/>
          <w:szCs w:val="24"/>
        </w:rPr>
        <w:t>Local Safety Standards for Invasive Procedures</w:t>
      </w:r>
      <w:r w:rsidR="00D3296F" w:rsidRPr="00393437">
        <w:rPr>
          <w:rFonts w:asciiTheme="majorBidi" w:hAnsiTheme="majorBidi" w:cstheme="majorBidi"/>
          <w:szCs w:val="24"/>
        </w:rPr>
        <w:t>”</w:t>
      </w:r>
      <w:r w:rsidRPr="00393437">
        <w:rPr>
          <w:rFonts w:asciiTheme="majorBidi" w:hAnsiTheme="majorBidi" w:cstheme="majorBidi"/>
          <w:szCs w:val="24"/>
        </w:rPr>
        <w:t xml:space="preserve"> (</w:t>
      </w:r>
      <w:proofErr w:type="spellStart"/>
      <w:r w:rsidRPr="00393437">
        <w:rPr>
          <w:rFonts w:asciiTheme="majorBidi" w:hAnsiTheme="majorBidi" w:cstheme="majorBidi"/>
          <w:szCs w:val="24"/>
        </w:rPr>
        <w:t>LocSSIPs</w:t>
      </w:r>
      <w:proofErr w:type="spellEnd"/>
      <w:r w:rsidRPr="00393437">
        <w:rPr>
          <w:rFonts w:asciiTheme="majorBidi" w:hAnsiTheme="majorBidi" w:cstheme="majorBidi"/>
          <w:szCs w:val="24"/>
        </w:rPr>
        <w:t xml:space="preserve">) (National Health Service of England 2015). The </w:t>
      </w:r>
      <w:proofErr w:type="spellStart"/>
      <w:r w:rsidRPr="00393437">
        <w:rPr>
          <w:rFonts w:asciiTheme="majorBidi" w:hAnsiTheme="majorBidi" w:cstheme="majorBidi"/>
          <w:szCs w:val="24"/>
        </w:rPr>
        <w:t>NatSSIPs</w:t>
      </w:r>
      <w:proofErr w:type="spellEnd"/>
      <w:r w:rsidRPr="00393437">
        <w:rPr>
          <w:rFonts w:asciiTheme="majorBidi" w:hAnsiTheme="majorBidi" w:cstheme="majorBidi"/>
          <w:szCs w:val="24"/>
        </w:rPr>
        <w:t xml:space="preserve"> describes standards required to deliver safe care for patients</w:t>
      </w:r>
      <w:r w:rsidR="00C42C8E" w:rsidRPr="00393437">
        <w:rPr>
          <w:rFonts w:asciiTheme="majorBidi" w:hAnsiTheme="majorBidi" w:cstheme="majorBidi"/>
          <w:szCs w:val="24"/>
        </w:rPr>
        <w:t xml:space="preserve"> </w:t>
      </w:r>
      <w:r w:rsidRPr="00393437">
        <w:rPr>
          <w:rFonts w:asciiTheme="majorBidi" w:hAnsiTheme="majorBidi" w:cstheme="majorBidi"/>
          <w:szCs w:val="24"/>
        </w:rPr>
        <w:t xml:space="preserve">undergoing </w:t>
      </w:r>
      <w:r w:rsidR="00FB5A97" w:rsidRPr="00393437">
        <w:rPr>
          <w:rFonts w:asciiTheme="majorBidi" w:hAnsiTheme="majorBidi" w:cstheme="majorBidi"/>
          <w:szCs w:val="24"/>
        </w:rPr>
        <w:t xml:space="preserve">an </w:t>
      </w:r>
      <w:r w:rsidRPr="00393437">
        <w:rPr>
          <w:rFonts w:asciiTheme="majorBidi" w:hAnsiTheme="majorBidi" w:cstheme="majorBidi"/>
          <w:szCs w:val="24"/>
        </w:rPr>
        <w:t xml:space="preserve">invasive procedure, highlighting the importance of the teamwork as the baseline to achieve it during the procedural pathway. </w:t>
      </w:r>
      <w:proofErr w:type="gramStart"/>
      <w:r w:rsidRPr="00393437">
        <w:rPr>
          <w:rFonts w:asciiTheme="majorBidi" w:hAnsiTheme="majorBidi" w:cstheme="majorBidi"/>
          <w:szCs w:val="24"/>
        </w:rPr>
        <w:t>As a consequence</w:t>
      </w:r>
      <w:proofErr w:type="gramEnd"/>
      <w:r w:rsidRPr="00393437">
        <w:rPr>
          <w:rFonts w:asciiTheme="majorBidi" w:hAnsiTheme="majorBidi" w:cstheme="majorBidi"/>
          <w:szCs w:val="24"/>
        </w:rPr>
        <w:t xml:space="preserve">, the documentation and data collection through the usage of audits for outcome and compliance then became necessary to measure the standards of care provided (National Health Service of England 2015). </w:t>
      </w:r>
    </w:p>
    <w:p w14:paraId="58497C1B" w14:textId="12A0F65D" w:rsidR="003F5A95" w:rsidRPr="00393437" w:rsidRDefault="003F5A95" w:rsidP="003F5A95">
      <w:pPr>
        <w:spacing w:line="240" w:lineRule="auto"/>
        <w:jc w:val="both"/>
        <w:rPr>
          <w:rFonts w:asciiTheme="majorBidi" w:hAnsiTheme="majorBidi" w:cstheme="majorBidi"/>
          <w:szCs w:val="24"/>
        </w:rPr>
      </w:pPr>
      <w:r w:rsidRPr="00393437">
        <w:rPr>
          <w:rFonts w:asciiTheme="majorBidi" w:hAnsiTheme="majorBidi" w:cstheme="majorBidi"/>
          <w:szCs w:val="24"/>
        </w:rPr>
        <w:t xml:space="preserve">After the appropriate dressing was applied and the bone fixation protected using a below elbow plaster of Paris (Dawson-Bowling et al 2015), </w:t>
      </w:r>
      <w:r w:rsidR="00CF00DD" w:rsidRPr="00393437">
        <w:rPr>
          <w:rFonts w:asciiTheme="majorBidi" w:hAnsiTheme="majorBidi" w:cstheme="majorBidi"/>
          <w:szCs w:val="24"/>
        </w:rPr>
        <w:t>Emma</w:t>
      </w:r>
      <w:r w:rsidRPr="00393437">
        <w:rPr>
          <w:rFonts w:asciiTheme="majorBidi" w:hAnsiTheme="majorBidi" w:cstheme="majorBidi"/>
          <w:szCs w:val="24"/>
        </w:rPr>
        <w:t xml:space="preserve"> was transferred to the recovery room for management of complications and pain control (Rothrock McEwen and Alexander 2015). The SCP actively helps with the identification of surgical problems, including the assessment of the wound and </w:t>
      </w:r>
      <w:r w:rsidR="00FB5A97" w:rsidRPr="00393437">
        <w:rPr>
          <w:rFonts w:asciiTheme="majorBidi" w:hAnsiTheme="majorBidi" w:cstheme="majorBidi"/>
          <w:szCs w:val="24"/>
        </w:rPr>
        <w:t xml:space="preserve">the </w:t>
      </w:r>
      <w:r w:rsidRPr="00393437">
        <w:rPr>
          <w:rFonts w:asciiTheme="majorBidi" w:hAnsiTheme="majorBidi" w:cstheme="majorBidi"/>
          <w:szCs w:val="24"/>
        </w:rPr>
        <w:t>patient</w:t>
      </w:r>
      <w:r w:rsidR="00D3296F" w:rsidRPr="00393437">
        <w:rPr>
          <w:rFonts w:asciiTheme="majorBidi" w:hAnsiTheme="majorBidi" w:cstheme="majorBidi"/>
          <w:szCs w:val="24"/>
        </w:rPr>
        <w:t>’</w:t>
      </w:r>
      <w:r w:rsidRPr="00393437">
        <w:rPr>
          <w:rFonts w:asciiTheme="majorBidi" w:hAnsiTheme="majorBidi" w:cstheme="majorBidi"/>
          <w:szCs w:val="24"/>
        </w:rPr>
        <w:t xml:space="preserve">s initial treatment (RCS 2018). Special consideration </w:t>
      </w:r>
      <w:r w:rsidR="00CF00DD" w:rsidRPr="00393437">
        <w:rPr>
          <w:rFonts w:asciiTheme="majorBidi" w:hAnsiTheme="majorBidi" w:cstheme="majorBidi"/>
          <w:szCs w:val="24"/>
        </w:rPr>
        <w:t>was given</w:t>
      </w:r>
      <w:r w:rsidRPr="00393437">
        <w:rPr>
          <w:rFonts w:asciiTheme="majorBidi" w:hAnsiTheme="majorBidi" w:cstheme="majorBidi"/>
          <w:szCs w:val="24"/>
        </w:rPr>
        <w:t xml:space="preserve"> to maintain the patient</w:t>
      </w:r>
      <w:r w:rsidR="00D3296F" w:rsidRPr="00393437">
        <w:rPr>
          <w:rFonts w:asciiTheme="majorBidi" w:hAnsiTheme="majorBidi" w:cstheme="majorBidi"/>
          <w:szCs w:val="24"/>
        </w:rPr>
        <w:t>’</w:t>
      </w:r>
      <w:r w:rsidRPr="00393437">
        <w:rPr>
          <w:rFonts w:asciiTheme="majorBidi" w:hAnsiTheme="majorBidi" w:cstheme="majorBidi"/>
          <w:szCs w:val="24"/>
        </w:rPr>
        <w:t xml:space="preserve">s vital signs, temperature, adequate respiratory rate and depth and laboratory values within normal ranges. Also, early ambulation is considered essential to speed recovery and for prevention of further complications (Rothrock McEwen and Alexander 2015). </w:t>
      </w:r>
      <w:r w:rsidR="009546D4" w:rsidRPr="00393437">
        <w:rPr>
          <w:rFonts w:asciiTheme="majorBidi" w:hAnsiTheme="majorBidi" w:cstheme="majorBidi"/>
          <w:szCs w:val="24"/>
        </w:rPr>
        <w:t>Emma</w:t>
      </w:r>
      <w:r w:rsidR="00D3296F" w:rsidRPr="00393437">
        <w:rPr>
          <w:rFonts w:asciiTheme="majorBidi" w:hAnsiTheme="majorBidi" w:cstheme="majorBidi"/>
          <w:szCs w:val="24"/>
        </w:rPr>
        <w:t>’</w:t>
      </w:r>
      <w:r w:rsidR="009546D4" w:rsidRPr="00393437">
        <w:rPr>
          <w:rFonts w:asciiTheme="majorBidi" w:hAnsiTheme="majorBidi" w:cstheme="majorBidi"/>
          <w:szCs w:val="24"/>
        </w:rPr>
        <w:t xml:space="preserve">s </w:t>
      </w:r>
      <w:r w:rsidRPr="00393437">
        <w:rPr>
          <w:rFonts w:asciiTheme="majorBidi" w:hAnsiTheme="majorBidi" w:cstheme="majorBidi"/>
          <w:szCs w:val="24"/>
        </w:rPr>
        <w:t xml:space="preserve">neurovascular observations were regularly checked to detect early stages of possible compartment syndrome or neurovascular damage (Dawson-Bowling et al 2015). </w:t>
      </w:r>
    </w:p>
    <w:p w14:paraId="4AB09003" w14:textId="77777777" w:rsidR="003F5A95" w:rsidRPr="00393437" w:rsidRDefault="003F5A95" w:rsidP="00C23729">
      <w:pPr>
        <w:spacing w:line="240" w:lineRule="auto"/>
        <w:jc w:val="both"/>
        <w:rPr>
          <w:rFonts w:cs="Times New Roman"/>
          <w:szCs w:val="24"/>
        </w:rPr>
      </w:pPr>
    </w:p>
    <w:p w14:paraId="7E98C5D2" w14:textId="72E5AE5E" w:rsidR="00580763" w:rsidRPr="009B2F63" w:rsidRDefault="00580763" w:rsidP="009B2F63">
      <w:pPr>
        <w:rPr>
          <w:b/>
          <w:bCs/>
          <w:shd w:val="clear" w:color="auto" w:fill="FFFFFF"/>
        </w:rPr>
      </w:pPr>
      <w:r w:rsidRPr="009B2F63">
        <w:rPr>
          <w:b/>
          <w:bCs/>
        </w:rPr>
        <w:t xml:space="preserve">Figure </w:t>
      </w:r>
      <w:r w:rsidR="00BA70DE" w:rsidRPr="009B2F63">
        <w:rPr>
          <w:b/>
          <w:bCs/>
        </w:rPr>
        <w:t>5</w:t>
      </w:r>
      <w:r w:rsidRPr="009B2F63">
        <w:rPr>
          <w:b/>
          <w:bCs/>
        </w:rPr>
        <w:t xml:space="preserve">: </w:t>
      </w:r>
      <w:r w:rsidR="00C67507" w:rsidRPr="009B2F63">
        <w:rPr>
          <w:b/>
          <w:bCs/>
        </w:rPr>
        <w:t>A</w:t>
      </w:r>
      <w:r w:rsidR="00511B6B" w:rsidRPr="009B2F63">
        <w:rPr>
          <w:b/>
          <w:bCs/>
        </w:rPr>
        <w:t>.P.</w:t>
      </w:r>
      <w:r w:rsidR="00C67507" w:rsidRPr="009B2F63">
        <w:rPr>
          <w:b/>
          <w:bCs/>
        </w:rPr>
        <w:t xml:space="preserve"> and lateral images of </w:t>
      </w:r>
      <w:r w:rsidR="00C67507" w:rsidRPr="009B2F63">
        <w:rPr>
          <w:b/>
          <w:bCs/>
          <w:shd w:val="clear" w:color="auto" w:fill="FFFFFF"/>
        </w:rPr>
        <w:t>v</w:t>
      </w:r>
      <w:r w:rsidRPr="009B2F63">
        <w:rPr>
          <w:b/>
          <w:bCs/>
          <w:shd w:val="clear" w:color="auto" w:fill="FFFFFF"/>
        </w:rPr>
        <w:t>olar locked plating technique</w:t>
      </w:r>
    </w:p>
    <w:p w14:paraId="18D65129" w14:textId="7FAA02DC" w:rsidR="008B4336" w:rsidRPr="00393437" w:rsidRDefault="00C67507" w:rsidP="008B4336">
      <w:pPr>
        <w:rPr>
          <w:rFonts w:cs="Times New Roman"/>
          <w:szCs w:val="24"/>
        </w:rPr>
      </w:pPr>
      <w:r w:rsidRPr="00393437">
        <w:rPr>
          <w:rFonts w:cs="Times New Roman"/>
          <w:noProof/>
          <w:szCs w:val="24"/>
          <w:lang w:eastAsia="en-GB"/>
        </w:rPr>
        <w:lastRenderedPageBreak/>
        <w:drawing>
          <wp:inline distT="0" distB="0" distL="0" distR="0" wp14:anchorId="69B84E4C" wp14:editId="1D499157">
            <wp:extent cx="3108960" cy="3108960"/>
            <wp:effectExtent l="0" t="0" r="0" b="0"/>
            <wp:docPr id="16" name="Picture 16" descr="Fig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Fig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108864" cy="3108864"/>
                    </a:xfrm>
                    <a:prstGeom prst="rect">
                      <a:avLst/>
                    </a:prstGeom>
                    <a:noFill/>
                    <a:ln>
                      <a:noFill/>
                    </a:ln>
                  </pic:spPr>
                </pic:pic>
              </a:graphicData>
            </a:graphic>
          </wp:inline>
        </w:drawing>
      </w:r>
    </w:p>
    <w:p w14:paraId="657DC988" w14:textId="602B9F29" w:rsidR="00122230" w:rsidRPr="00393437" w:rsidRDefault="00C67507" w:rsidP="00AC48EA">
      <w:pPr>
        <w:jc w:val="both"/>
        <w:rPr>
          <w:rFonts w:cs="Times New Roman"/>
          <w:szCs w:val="24"/>
        </w:rPr>
      </w:pPr>
      <w:r w:rsidRPr="00393437">
        <w:rPr>
          <w:rFonts w:cs="Times New Roman"/>
          <w:szCs w:val="24"/>
        </w:rPr>
        <w:t xml:space="preserve">Copyright </w:t>
      </w:r>
      <w:proofErr w:type="gramStart"/>
      <w:r w:rsidRPr="00393437">
        <w:rPr>
          <w:rFonts w:cs="Times New Roman"/>
          <w:szCs w:val="24"/>
        </w:rPr>
        <w:t>by:</w:t>
      </w:r>
      <w:proofErr w:type="gramEnd"/>
      <w:r w:rsidRPr="00393437">
        <w:rPr>
          <w:rFonts w:cs="Times New Roman"/>
          <w:szCs w:val="24"/>
        </w:rPr>
        <w:t xml:space="preserve"> Shutterstock</w:t>
      </w:r>
    </w:p>
    <w:p w14:paraId="125B81F4" w14:textId="6F57E63D" w:rsidR="00434C4C" w:rsidRPr="00393437" w:rsidRDefault="00331DDA" w:rsidP="009B2F63">
      <w:pPr>
        <w:pStyle w:val="Heading1"/>
      </w:pPr>
      <w:r w:rsidRPr="00393437">
        <w:t>Conclusion</w:t>
      </w:r>
    </w:p>
    <w:p w14:paraId="47C051D6" w14:textId="15F4B523" w:rsidR="00521BA1" w:rsidRPr="00393437" w:rsidRDefault="00521BA1" w:rsidP="00521BA1">
      <w:pPr>
        <w:spacing w:line="240" w:lineRule="auto"/>
        <w:jc w:val="both"/>
        <w:rPr>
          <w:rFonts w:asciiTheme="majorBidi" w:hAnsiTheme="majorBidi" w:cstheme="majorBidi"/>
          <w:szCs w:val="24"/>
        </w:rPr>
      </w:pPr>
      <w:r w:rsidRPr="00393437">
        <w:rPr>
          <w:rFonts w:asciiTheme="majorBidi" w:hAnsiTheme="majorBidi" w:cstheme="majorBidi"/>
          <w:szCs w:val="24"/>
        </w:rPr>
        <w:t xml:space="preserve">The analysis of </w:t>
      </w:r>
      <w:r w:rsidR="00C72C44" w:rsidRPr="00393437">
        <w:rPr>
          <w:rFonts w:asciiTheme="majorBidi" w:hAnsiTheme="majorBidi" w:cstheme="majorBidi"/>
          <w:szCs w:val="24"/>
        </w:rPr>
        <w:t xml:space="preserve">the patient’s medical condition </w:t>
      </w:r>
      <w:r w:rsidRPr="00393437">
        <w:rPr>
          <w:rFonts w:asciiTheme="majorBidi" w:hAnsiTheme="majorBidi" w:cstheme="majorBidi"/>
          <w:szCs w:val="24"/>
        </w:rPr>
        <w:t xml:space="preserve">and the </w:t>
      </w:r>
      <w:r w:rsidR="00C72C44" w:rsidRPr="00393437">
        <w:rPr>
          <w:rFonts w:asciiTheme="majorBidi" w:hAnsiTheme="majorBidi" w:cstheme="majorBidi"/>
          <w:szCs w:val="24"/>
        </w:rPr>
        <w:t xml:space="preserve">outcome of </w:t>
      </w:r>
      <w:r w:rsidRPr="00393437">
        <w:rPr>
          <w:rFonts w:asciiTheme="majorBidi" w:hAnsiTheme="majorBidi" w:cstheme="majorBidi"/>
          <w:szCs w:val="24"/>
        </w:rPr>
        <w:t xml:space="preserve">actual operation itself was found </w:t>
      </w:r>
      <w:r w:rsidR="00C72C44" w:rsidRPr="00393437">
        <w:rPr>
          <w:rFonts w:asciiTheme="majorBidi" w:hAnsiTheme="majorBidi" w:cstheme="majorBidi"/>
          <w:szCs w:val="24"/>
        </w:rPr>
        <w:t xml:space="preserve">highly important </w:t>
      </w:r>
      <w:r w:rsidRPr="00393437">
        <w:rPr>
          <w:rFonts w:asciiTheme="majorBidi" w:hAnsiTheme="majorBidi" w:cstheme="majorBidi"/>
          <w:szCs w:val="24"/>
        </w:rPr>
        <w:t>to</w:t>
      </w:r>
      <w:r w:rsidR="00C72C44" w:rsidRPr="00393437">
        <w:rPr>
          <w:rFonts w:asciiTheme="majorBidi" w:hAnsiTheme="majorBidi" w:cstheme="majorBidi"/>
          <w:szCs w:val="24"/>
        </w:rPr>
        <w:t xml:space="preserve"> improve the understanding of </w:t>
      </w:r>
      <w:r w:rsidRPr="00393437">
        <w:rPr>
          <w:rFonts w:asciiTheme="majorBidi" w:hAnsiTheme="majorBidi" w:cstheme="majorBidi"/>
          <w:szCs w:val="24"/>
        </w:rPr>
        <w:t>possible problems and to develop a care plan for discharge. The discharge summary recorded all the necessary instructions after the operation including Emma</w:t>
      </w:r>
      <w:r w:rsidR="00D3296F" w:rsidRPr="00393437">
        <w:rPr>
          <w:rFonts w:asciiTheme="majorBidi" w:hAnsiTheme="majorBidi" w:cstheme="majorBidi"/>
          <w:szCs w:val="24"/>
        </w:rPr>
        <w:t>’</w:t>
      </w:r>
      <w:r w:rsidRPr="00393437">
        <w:rPr>
          <w:rFonts w:asciiTheme="majorBidi" w:hAnsiTheme="majorBidi" w:cstheme="majorBidi"/>
          <w:szCs w:val="24"/>
        </w:rPr>
        <w:t xml:space="preserve">s follow up planned for two weeks post-surgery, and the SCP felt it was </w:t>
      </w:r>
      <w:r w:rsidR="00E2173E" w:rsidRPr="00393437">
        <w:rPr>
          <w:rFonts w:asciiTheme="majorBidi" w:hAnsiTheme="majorBidi" w:cstheme="majorBidi"/>
          <w:szCs w:val="24"/>
        </w:rPr>
        <w:t>imperative</w:t>
      </w:r>
      <w:r w:rsidRPr="00393437">
        <w:rPr>
          <w:rFonts w:asciiTheme="majorBidi" w:hAnsiTheme="majorBidi" w:cstheme="majorBidi"/>
          <w:szCs w:val="24"/>
        </w:rPr>
        <w:t xml:space="preserve"> to explain to the patient the possible problems which may occur with the splint and the warning signs to watch out for. Those could be related to numbness, tingling pain or pins and needles. Emma was given a</w:t>
      </w:r>
      <w:r w:rsidR="00C72C44" w:rsidRPr="00393437">
        <w:rPr>
          <w:rFonts w:asciiTheme="majorBidi" w:hAnsiTheme="majorBidi" w:cstheme="majorBidi"/>
          <w:szCs w:val="24"/>
        </w:rPr>
        <w:t xml:space="preserve"> postoperative</w:t>
      </w:r>
      <w:r w:rsidRPr="00393437">
        <w:rPr>
          <w:rFonts w:asciiTheme="majorBidi" w:hAnsiTheme="majorBidi" w:cstheme="majorBidi"/>
          <w:szCs w:val="24"/>
        </w:rPr>
        <w:t xml:space="preserve"> </w:t>
      </w:r>
      <w:r w:rsidR="00C72C44" w:rsidRPr="00393437">
        <w:rPr>
          <w:rFonts w:asciiTheme="majorBidi" w:hAnsiTheme="majorBidi" w:cstheme="majorBidi"/>
          <w:szCs w:val="24"/>
        </w:rPr>
        <w:t xml:space="preserve">information </w:t>
      </w:r>
      <w:r w:rsidRPr="00393437">
        <w:rPr>
          <w:rFonts w:asciiTheme="majorBidi" w:hAnsiTheme="majorBidi" w:cstheme="majorBidi"/>
          <w:szCs w:val="24"/>
        </w:rPr>
        <w:t>leaflet</w:t>
      </w:r>
      <w:r w:rsidR="00E2173E" w:rsidRPr="00393437">
        <w:rPr>
          <w:rFonts w:asciiTheme="majorBidi" w:hAnsiTheme="majorBidi" w:cstheme="majorBidi"/>
          <w:szCs w:val="24"/>
        </w:rPr>
        <w:t>,</w:t>
      </w:r>
      <w:r w:rsidRPr="00393437">
        <w:rPr>
          <w:rFonts w:asciiTheme="majorBidi" w:hAnsiTheme="majorBidi" w:cstheme="majorBidi"/>
          <w:szCs w:val="24"/>
        </w:rPr>
        <w:t xml:space="preserve"> and she was advised to attend ED if any of those signs appeared</w:t>
      </w:r>
      <w:r w:rsidR="0066272B" w:rsidRPr="00393437">
        <w:rPr>
          <w:rFonts w:asciiTheme="majorBidi" w:hAnsiTheme="majorBidi" w:cstheme="majorBidi"/>
          <w:szCs w:val="24"/>
        </w:rPr>
        <w:t>.</w:t>
      </w:r>
      <w:r w:rsidRPr="00393437">
        <w:rPr>
          <w:rFonts w:asciiTheme="majorBidi" w:hAnsiTheme="majorBidi" w:cstheme="majorBidi"/>
          <w:szCs w:val="24"/>
        </w:rPr>
        <w:t xml:space="preserve"> </w:t>
      </w:r>
    </w:p>
    <w:p w14:paraId="5310C0D4" w14:textId="6AFAE078" w:rsidR="008B0C39" w:rsidRPr="00393437" w:rsidRDefault="008B0C39" w:rsidP="008B0C39">
      <w:pPr>
        <w:jc w:val="both"/>
        <w:rPr>
          <w:rFonts w:cs="Times New Roman"/>
          <w:szCs w:val="24"/>
        </w:rPr>
      </w:pPr>
    </w:p>
    <w:p w14:paraId="3582579A" w14:textId="375EAA25" w:rsidR="00A9796C" w:rsidRPr="00393437" w:rsidRDefault="00A9796C" w:rsidP="008B0C39">
      <w:pPr>
        <w:jc w:val="both"/>
        <w:rPr>
          <w:rFonts w:cs="Times New Roman"/>
          <w:szCs w:val="24"/>
        </w:rPr>
      </w:pPr>
      <w:r w:rsidRPr="00393437">
        <w:rPr>
          <w:rFonts w:cs="Times New Roman"/>
          <w:b/>
          <w:bCs/>
          <w:szCs w:val="24"/>
        </w:rPr>
        <w:t>Conflict of Interest:</w:t>
      </w:r>
      <w:r w:rsidRPr="00393437">
        <w:rPr>
          <w:rFonts w:cs="Times New Roman"/>
          <w:szCs w:val="24"/>
        </w:rPr>
        <w:t xml:space="preserve"> None</w:t>
      </w:r>
    </w:p>
    <w:p w14:paraId="45B21047" w14:textId="79D2AAF4" w:rsidR="001047C2" w:rsidRPr="00393437" w:rsidRDefault="001047C2" w:rsidP="008B0C39">
      <w:pPr>
        <w:jc w:val="both"/>
        <w:rPr>
          <w:rFonts w:cs="Times New Roman"/>
          <w:b/>
          <w:bCs/>
          <w:szCs w:val="24"/>
        </w:rPr>
      </w:pPr>
      <w:r w:rsidRPr="00393437">
        <w:rPr>
          <w:rFonts w:cs="Times New Roman"/>
          <w:b/>
          <w:bCs/>
          <w:szCs w:val="24"/>
        </w:rPr>
        <w:t>Acknowledgement:</w:t>
      </w:r>
      <w:r w:rsidR="00094017" w:rsidRPr="00393437">
        <w:rPr>
          <w:rFonts w:cs="Times New Roman"/>
          <w:b/>
          <w:bCs/>
          <w:szCs w:val="24"/>
        </w:rPr>
        <w:t xml:space="preserve"> </w:t>
      </w:r>
      <w:r w:rsidR="00094017" w:rsidRPr="00393437">
        <w:rPr>
          <w:rFonts w:cs="Times New Roman"/>
          <w:szCs w:val="24"/>
        </w:rPr>
        <w:t>Susan Hall for her support and guidance.</w:t>
      </w:r>
    </w:p>
    <w:p w14:paraId="2AA7AA67" w14:textId="246CB21A" w:rsidR="00C57BAB" w:rsidRPr="00393437" w:rsidRDefault="0068348D" w:rsidP="009B2F63">
      <w:pPr>
        <w:pStyle w:val="Heading1"/>
      </w:pPr>
      <w:r w:rsidRPr="00393437">
        <w:t>References</w:t>
      </w:r>
    </w:p>
    <w:p w14:paraId="36D16A97" w14:textId="6D686D74" w:rsidR="0039019B" w:rsidRPr="00393437" w:rsidRDefault="0039019B" w:rsidP="00360CB8">
      <w:pPr>
        <w:spacing w:line="240" w:lineRule="auto"/>
        <w:ind w:left="720" w:hanging="720"/>
        <w:jc w:val="both"/>
        <w:rPr>
          <w:rFonts w:cs="Times New Roman"/>
          <w:szCs w:val="24"/>
        </w:rPr>
      </w:pPr>
      <w:r w:rsidRPr="00393437">
        <w:rPr>
          <w:rFonts w:cs="Times New Roman"/>
          <w:szCs w:val="24"/>
        </w:rPr>
        <w:t>A</w:t>
      </w:r>
      <w:r w:rsidR="00511B6B" w:rsidRPr="00393437">
        <w:rPr>
          <w:rFonts w:cs="Times New Roman"/>
          <w:szCs w:val="24"/>
        </w:rPr>
        <w:t>.O.</w:t>
      </w:r>
      <w:r w:rsidRPr="00393437">
        <w:rPr>
          <w:rFonts w:cs="Times New Roman"/>
          <w:szCs w:val="24"/>
        </w:rPr>
        <w:t xml:space="preserve"> Foundation, 2019. </w:t>
      </w:r>
      <w:r w:rsidRPr="00393437">
        <w:rPr>
          <w:rFonts w:cs="Times New Roman"/>
          <w:i/>
          <w:szCs w:val="24"/>
        </w:rPr>
        <w:t>Distal forearm</w:t>
      </w:r>
      <w:r w:rsidRPr="00393437">
        <w:rPr>
          <w:rFonts w:cs="Times New Roman"/>
          <w:szCs w:val="24"/>
        </w:rPr>
        <w:t>. [</w:t>
      </w:r>
      <w:r w:rsidR="006134A7" w:rsidRPr="00393437">
        <w:rPr>
          <w:rFonts w:cs="Times New Roman"/>
          <w:szCs w:val="24"/>
        </w:rPr>
        <w:t xml:space="preserve">Image </w:t>
      </w:r>
      <w:r w:rsidRPr="00393437">
        <w:rPr>
          <w:rFonts w:cs="Times New Roman"/>
          <w:szCs w:val="24"/>
        </w:rPr>
        <w:t>online] Available at: &lt;</w:t>
      </w:r>
      <w:hyperlink r:id="rId15" w:history="1">
        <w:r w:rsidRPr="00393437">
          <w:rPr>
            <w:rStyle w:val="Hyperlink"/>
            <w:rFonts w:cs="Times New Roman"/>
            <w:color w:val="auto"/>
            <w:szCs w:val="24"/>
          </w:rPr>
          <w:t>https://www2.aofoundation.org/wps/portal/surgery?showPage=diagnosis&amp;bone=Radius&amp;segment=Distal</w:t>
        </w:r>
      </w:hyperlink>
      <w:r w:rsidRPr="00393437">
        <w:rPr>
          <w:rFonts w:cs="Times New Roman"/>
          <w:szCs w:val="24"/>
        </w:rPr>
        <w:t>&gt; [Accessed 16 February 2019]</w:t>
      </w:r>
    </w:p>
    <w:p w14:paraId="58FDCA16" w14:textId="1481FAA4" w:rsidR="0053328F" w:rsidRPr="00393437" w:rsidRDefault="007274D7" w:rsidP="00360CB8">
      <w:pPr>
        <w:pStyle w:val="NormalWeb"/>
        <w:spacing w:before="0" w:beforeAutospacing="0" w:after="173" w:afterAutospacing="0"/>
        <w:ind w:left="720" w:hanging="720"/>
        <w:jc w:val="both"/>
      </w:pPr>
      <w:proofErr w:type="spellStart"/>
      <w:r w:rsidRPr="00393437">
        <w:t>Basten</w:t>
      </w:r>
      <w:proofErr w:type="spellEnd"/>
      <w:r w:rsidR="0053328F" w:rsidRPr="00393437">
        <w:t>, G., 2013.</w:t>
      </w:r>
      <w:r w:rsidR="0053328F" w:rsidRPr="00393437">
        <w:rPr>
          <w:i/>
          <w:iCs/>
        </w:rPr>
        <w:t xml:space="preserve"> Blood Results in Clinical Practice. </w:t>
      </w:r>
      <w:r w:rsidR="0053328F" w:rsidRPr="00393437">
        <w:t>[e-book] United Kingdom: M&amp;K Update Ltd.</w:t>
      </w:r>
      <w:r w:rsidR="005C53B2" w:rsidRPr="00393437">
        <w:t xml:space="preserve"> Available through: &lt;</w:t>
      </w:r>
      <w:hyperlink r:id="rId16" w:history="1">
        <w:r w:rsidR="005C53B2" w:rsidRPr="00393437">
          <w:rPr>
            <w:rStyle w:val="Hyperlink"/>
            <w:color w:val="auto"/>
          </w:rPr>
          <w:t>https://libweb.anglia.ac.uk/</w:t>
        </w:r>
      </w:hyperlink>
      <w:r w:rsidR="005C53B2" w:rsidRPr="00393437">
        <w:t>&gt; [Accessed 20 March 2019]</w:t>
      </w:r>
    </w:p>
    <w:p w14:paraId="597929B0" w14:textId="629DCCE8" w:rsidR="0075631E" w:rsidRPr="00393437" w:rsidRDefault="0075631E" w:rsidP="0075631E">
      <w:pPr>
        <w:pStyle w:val="NormalWeb"/>
        <w:spacing w:before="0" w:beforeAutospacing="0" w:after="173" w:afterAutospacing="0"/>
        <w:ind w:left="720" w:hanging="720"/>
        <w:jc w:val="both"/>
        <w:rPr>
          <w:rFonts w:asciiTheme="majorBidi" w:hAnsiTheme="majorBidi" w:cstheme="majorBidi"/>
        </w:rPr>
      </w:pPr>
      <w:r w:rsidRPr="00393437">
        <w:rPr>
          <w:rFonts w:asciiTheme="majorBidi" w:hAnsiTheme="majorBidi" w:cstheme="majorBidi"/>
        </w:rPr>
        <w:lastRenderedPageBreak/>
        <w:t xml:space="preserve">Beauchamp, T.L. and Childress, J. F., 2013. </w:t>
      </w:r>
      <w:r w:rsidRPr="00393437">
        <w:rPr>
          <w:rFonts w:asciiTheme="majorBidi" w:hAnsiTheme="majorBidi" w:cstheme="majorBidi"/>
          <w:i/>
          <w:iCs/>
        </w:rPr>
        <w:t>Principles of biomedical ethics</w:t>
      </w:r>
      <w:r w:rsidRPr="00393437">
        <w:rPr>
          <w:rFonts w:asciiTheme="majorBidi" w:hAnsiTheme="majorBidi" w:cstheme="majorBidi"/>
        </w:rPr>
        <w:t>. 7</w:t>
      </w:r>
      <w:r w:rsidRPr="00393437">
        <w:rPr>
          <w:rFonts w:asciiTheme="majorBidi" w:hAnsiTheme="majorBidi" w:cstheme="majorBidi"/>
          <w:vertAlign w:val="superscript"/>
        </w:rPr>
        <w:t>th</w:t>
      </w:r>
      <w:r w:rsidRPr="00393437">
        <w:rPr>
          <w:rFonts w:asciiTheme="majorBidi" w:hAnsiTheme="majorBidi" w:cstheme="majorBidi"/>
        </w:rPr>
        <w:t xml:space="preserve"> ed. New </w:t>
      </w:r>
      <w:proofErr w:type="gramStart"/>
      <w:r w:rsidRPr="00393437">
        <w:rPr>
          <w:rFonts w:asciiTheme="majorBidi" w:hAnsiTheme="majorBidi" w:cstheme="majorBidi"/>
        </w:rPr>
        <w:t>York :</w:t>
      </w:r>
      <w:proofErr w:type="gramEnd"/>
      <w:r w:rsidRPr="00393437">
        <w:rPr>
          <w:rFonts w:asciiTheme="majorBidi" w:hAnsiTheme="majorBidi" w:cstheme="majorBidi"/>
        </w:rPr>
        <w:t xml:space="preserve"> Oxford University Press.</w:t>
      </w:r>
    </w:p>
    <w:p w14:paraId="7C0EF0A7" w14:textId="4C13E581" w:rsidR="003A6472" w:rsidRPr="00393437" w:rsidRDefault="003A6472" w:rsidP="00360CB8">
      <w:pPr>
        <w:spacing w:line="240" w:lineRule="auto"/>
        <w:ind w:left="720" w:hanging="720"/>
        <w:jc w:val="both"/>
        <w:rPr>
          <w:rFonts w:cs="Times New Roman"/>
          <w:szCs w:val="24"/>
        </w:rPr>
      </w:pPr>
      <w:r w:rsidRPr="00393437">
        <w:rPr>
          <w:rFonts w:cs="Times New Roman"/>
          <w:szCs w:val="24"/>
        </w:rPr>
        <w:t xml:space="preserve">British Medical Journal, 2018. </w:t>
      </w:r>
      <w:r w:rsidRPr="00393437">
        <w:rPr>
          <w:rFonts w:cs="Times New Roman"/>
          <w:i/>
          <w:szCs w:val="24"/>
        </w:rPr>
        <w:t>Wrist fractures: differential diagnosis</w:t>
      </w:r>
      <w:r w:rsidRPr="00393437">
        <w:rPr>
          <w:rFonts w:cs="Times New Roman"/>
          <w:szCs w:val="24"/>
        </w:rPr>
        <w:t>. [online] Available at: &lt;</w:t>
      </w:r>
      <w:hyperlink r:id="rId17" w:history="1">
        <w:r w:rsidRPr="00393437">
          <w:rPr>
            <w:rStyle w:val="Hyperlink"/>
            <w:rFonts w:cs="Times New Roman"/>
            <w:color w:val="auto"/>
            <w:szCs w:val="24"/>
          </w:rPr>
          <w:t>https://online.epocrates.com/diseases/39235/Wrist-fractures/Differential-Diagnosis</w:t>
        </w:r>
      </w:hyperlink>
      <w:r w:rsidRPr="00393437">
        <w:rPr>
          <w:rFonts w:cs="Times New Roman"/>
          <w:szCs w:val="24"/>
        </w:rPr>
        <w:t>&gt; [Accessed 3</w:t>
      </w:r>
      <w:r w:rsidRPr="00393437">
        <w:rPr>
          <w:rFonts w:cs="Times New Roman"/>
          <w:szCs w:val="24"/>
          <w:vertAlign w:val="superscript"/>
        </w:rPr>
        <w:t xml:space="preserve"> </w:t>
      </w:r>
      <w:r w:rsidRPr="00393437">
        <w:rPr>
          <w:rFonts w:cs="Times New Roman"/>
          <w:szCs w:val="24"/>
        </w:rPr>
        <w:t>March 2019]</w:t>
      </w:r>
    </w:p>
    <w:p w14:paraId="22461E05" w14:textId="71D6EE3E" w:rsidR="0053328F" w:rsidRPr="00393437" w:rsidRDefault="0053328F" w:rsidP="00360CB8">
      <w:pPr>
        <w:pStyle w:val="NormalWeb"/>
        <w:spacing w:before="0" w:beforeAutospacing="0" w:after="173" w:afterAutospacing="0"/>
        <w:ind w:left="720" w:hanging="720"/>
        <w:jc w:val="both"/>
      </w:pPr>
      <w:proofErr w:type="spellStart"/>
      <w:r w:rsidRPr="00393437">
        <w:t>Burnand</w:t>
      </w:r>
      <w:proofErr w:type="spellEnd"/>
      <w:r w:rsidRPr="00393437">
        <w:t>, K.G.</w:t>
      </w:r>
      <w:r w:rsidR="008A111B" w:rsidRPr="00393437">
        <w:t xml:space="preserve"> and Browse, N. L., </w:t>
      </w:r>
      <w:r w:rsidRPr="00393437">
        <w:t>2015.</w:t>
      </w:r>
      <w:r w:rsidRPr="00393437">
        <w:rPr>
          <w:i/>
          <w:iCs/>
        </w:rPr>
        <w:t xml:space="preserve"> Browse</w:t>
      </w:r>
      <w:r w:rsidR="00D3296F" w:rsidRPr="00393437">
        <w:rPr>
          <w:i/>
          <w:iCs/>
        </w:rPr>
        <w:t>’</w:t>
      </w:r>
      <w:r w:rsidRPr="00393437">
        <w:rPr>
          <w:i/>
          <w:iCs/>
        </w:rPr>
        <w:t>s introduction to the symptoms and signs of surgical disease.</w:t>
      </w:r>
      <w:r w:rsidR="004B40E6" w:rsidRPr="00393437">
        <w:rPr>
          <w:i/>
          <w:iCs/>
        </w:rPr>
        <w:t xml:space="preserve"> </w:t>
      </w:r>
      <w:r w:rsidR="004B40E6" w:rsidRPr="00393437">
        <w:t>5</w:t>
      </w:r>
      <w:r w:rsidR="004B40E6" w:rsidRPr="00393437">
        <w:rPr>
          <w:vertAlign w:val="superscript"/>
        </w:rPr>
        <w:t>th</w:t>
      </w:r>
      <w:r w:rsidR="004B40E6" w:rsidRPr="00393437">
        <w:t xml:space="preserve"> ed.</w:t>
      </w:r>
      <w:r w:rsidR="004B40E6" w:rsidRPr="00393437">
        <w:rPr>
          <w:i/>
          <w:iCs/>
        </w:rPr>
        <w:t xml:space="preserve"> </w:t>
      </w:r>
      <w:r w:rsidRPr="00393437">
        <w:t>[e-book]</w:t>
      </w:r>
      <w:r w:rsidR="004B40E6" w:rsidRPr="00393437">
        <w:t xml:space="preserve"> </w:t>
      </w:r>
      <w:r w:rsidRPr="00393437">
        <w:t xml:space="preserve">Boca Raton, </w:t>
      </w:r>
      <w:proofErr w:type="gramStart"/>
      <w:r w:rsidRPr="00393437">
        <w:t>Florida :</w:t>
      </w:r>
      <w:proofErr w:type="gramEnd"/>
      <w:r w:rsidRPr="00393437">
        <w:t xml:space="preserve"> CRC Press.</w:t>
      </w:r>
      <w:r w:rsidR="00BD3390" w:rsidRPr="00393437">
        <w:t xml:space="preserve"> Available through: &lt;</w:t>
      </w:r>
      <w:hyperlink r:id="rId18" w:history="1">
        <w:r w:rsidR="00BD3390" w:rsidRPr="00393437">
          <w:rPr>
            <w:rStyle w:val="Hyperlink"/>
            <w:color w:val="auto"/>
          </w:rPr>
          <w:t>https://libweb.anglia.ac.uk/</w:t>
        </w:r>
      </w:hyperlink>
      <w:r w:rsidR="00BD3390" w:rsidRPr="00393437">
        <w:t>&gt; [Accessed 22 February 2019]</w:t>
      </w:r>
      <w:r w:rsidRPr="00393437">
        <w:t>.</w:t>
      </w:r>
    </w:p>
    <w:p w14:paraId="18676CA0" w14:textId="009BE0D9" w:rsidR="00D12BB7" w:rsidRPr="00393437" w:rsidRDefault="00D12BB7" w:rsidP="00360CB8">
      <w:pPr>
        <w:spacing w:line="240" w:lineRule="auto"/>
        <w:ind w:left="720" w:hanging="720"/>
        <w:jc w:val="both"/>
        <w:rPr>
          <w:rFonts w:cs="Times New Roman"/>
          <w:szCs w:val="24"/>
        </w:rPr>
      </w:pPr>
      <w:r w:rsidRPr="00393437">
        <w:rPr>
          <w:rFonts w:cs="Times New Roman"/>
          <w:szCs w:val="24"/>
        </w:rPr>
        <w:t xml:space="preserve">Davey, P., </w:t>
      </w:r>
      <w:proofErr w:type="spellStart"/>
      <w:r w:rsidRPr="00393437">
        <w:rPr>
          <w:rFonts w:cs="Times New Roman"/>
          <w:szCs w:val="24"/>
        </w:rPr>
        <w:t>Rathmell</w:t>
      </w:r>
      <w:proofErr w:type="spellEnd"/>
      <w:r w:rsidRPr="00393437">
        <w:rPr>
          <w:rFonts w:cs="Times New Roman"/>
          <w:szCs w:val="24"/>
        </w:rPr>
        <w:t>, A., Dunn, Michael, Foster, C. and Salisbury, H., 2017.</w:t>
      </w:r>
      <w:r w:rsidRPr="00393437">
        <w:rPr>
          <w:rFonts w:cs="Times New Roman"/>
          <w:i/>
          <w:iCs/>
          <w:szCs w:val="24"/>
        </w:rPr>
        <w:t xml:space="preserve"> Medical Ethics, Law and Communication </w:t>
      </w:r>
      <w:proofErr w:type="gramStart"/>
      <w:r w:rsidRPr="00393437">
        <w:rPr>
          <w:rFonts w:cs="Times New Roman"/>
          <w:i/>
          <w:iCs/>
          <w:szCs w:val="24"/>
        </w:rPr>
        <w:t>at a Glance</w:t>
      </w:r>
      <w:proofErr w:type="gramEnd"/>
      <w:r w:rsidRPr="00393437">
        <w:rPr>
          <w:rFonts w:cs="Times New Roman"/>
          <w:i/>
          <w:iCs/>
          <w:szCs w:val="24"/>
        </w:rPr>
        <w:t>.</w:t>
      </w:r>
      <w:r w:rsidR="000A5078" w:rsidRPr="00393437">
        <w:rPr>
          <w:rFonts w:cs="Times New Roman"/>
          <w:i/>
          <w:iCs/>
          <w:szCs w:val="24"/>
        </w:rPr>
        <w:t xml:space="preserve"> </w:t>
      </w:r>
      <w:r w:rsidR="000A5078" w:rsidRPr="00393437">
        <w:rPr>
          <w:rFonts w:cs="Times New Roman"/>
          <w:szCs w:val="24"/>
        </w:rPr>
        <w:t>Oxford: Wiley Backwell</w:t>
      </w:r>
    </w:p>
    <w:p w14:paraId="0345C4E9" w14:textId="79FF7A33" w:rsidR="00515524" w:rsidRPr="00393437" w:rsidRDefault="00515524" w:rsidP="00360CB8">
      <w:pPr>
        <w:spacing w:line="240" w:lineRule="auto"/>
        <w:ind w:left="720" w:hanging="720"/>
        <w:jc w:val="both"/>
        <w:rPr>
          <w:rFonts w:cs="Times New Roman"/>
          <w:szCs w:val="24"/>
        </w:rPr>
      </w:pPr>
      <w:r w:rsidRPr="00393437">
        <w:rPr>
          <w:rFonts w:cs="Times New Roman"/>
          <w:szCs w:val="24"/>
        </w:rPr>
        <w:t xml:space="preserve">Dawson-Bowling, S., </w:t>
      </w:r>
      <w:proofErr w:type="spellStart"/>
      <w:r w:rsidR="00E275FB" w:rsidRPr="00393437">
        <w:rPr>
          <w:rFonts w:cs="Times New Roman"/>
          <w:szCs w:val="24"/>
        </w:rPr>
        <w:t>Achan</w:t>
      </w:r>
      <w:proofErr w:type="spellEnd"/>
      <w:r w:rsidR="00E275FB" w:rsidRPr="00393437">
        <w:rPr>
          <w:rFonts w:cs="Times New Roman"/>
          <w:szCs w:val="24"/>
        </w:rPr>
        <w:t xml:space="preserve">, P., Briggs, T. and Ramachandran, M., 2015. </w:t>
      </w:r>
      <w:r w:rsidR="00E275FB" w:rsidRPr="00393437">
        <w:rPr>
          <w:rFonts w:cs="Times New Roman"/>
          <w:i/>
          <w:iCs/>
          <w:szCs w:val="24"/>
        </w:rPr>
        <w:t xml:space="preserve">Orthopaedic Trauma: The Stanmore and Royal London Guide. </w:t>
      </w:r>
      <w:r w:rsidR="00E275FB" w:rsidRPr="00393437">
        <w:rPr>
          <w:rFonts w:cs="Times New Roman"/>
          <w:szCs w:val="24"/>
        </w:rPr>
        <w:t xml:space="preserve">Boca </w:t>
      </w:r>
      <w:proofErr w:type="spellStart"/>
      <w:r w:rsidR="00E275FB" w:rsidRPr="00393437">
        <w:rPr>
          <w:rFonts w:cs="Times New Roman"/>
          <w:szCs w:val="24"/>
        </w:rPr>
        <w:t>raton</w:t>
      </w:r>
      <w:proofErr w:type="spellEnd"/>
      <w:r w:rsidR="00286846" w:rsidRPr="00393437">
        <w:rPr>
          <w:rFonts w:cs="Times New Roman"/>
          <w:szCs w:val="24"/>
        </w:rPr>
        <w:t>, Florida</w:t>
      </w:r>
      <w:r w:rsidR="00E275FB" w:rsidRPr="00393437">
        <w:rPr>
          <w:rFonts w:cs="Times New Roman"/>
          <w:szCs w:val="24"/>
        </w:rPr>
        <w:t>:</w:t>
      </w:r>
      <w:r w:rsidR="00E275FB" w:rsidRPr="00393437">
        <w:rPr>
          <w:rFonts w:cs="Times New Roman"/>
          <w:i/>
          <w:iCs/>
          <w:szCs w:val="24"/>
        </w:rPr>
        <w:t xml:space="preserve"> </w:t>
      </w:r>
      <w:r w:rsidR="00E275FB" w:rsidRPr="00393437">
        <w:rPr>
          <w:rFonts w:cs="Times New Roman"/>
          <w:szCs w:val="24"/>
        </w:rPr>
        <w:t>CRC Press.</w:t>
      </w:r>
    </w:p>
    <w:p w14:paraId="25012A65" w14:textId="2E072B58" w:rsidR="0053328F" w:rsidRPr="00393437" w:rsidRDefault="000565A2" w:rsidP="00360CB8">
      <w:pPr>
        <w:pStyle w:val="NormalWeb"/>
        <w:spacing w:before="0" w:beforeAutospacing="0" w:after="173" w:afterAutospacing="0"/>
        <w:ind w:left="720" w:hanging="720"/>
        <w:jc w:val="both"/>
      </w:pPr>
      <w:proofErr w:type="spellStart"/>
      <w:r w:rsidRPr="00393437">
        <w:t>Egol</w:t>
      </w:r>
      <w:proofErr w:type="spellEnd"/>
      <w:r w:rsidRPr="00393437">
        <w:t xml:space="preserve">, K.A., </w:t>
      </w:r>
      <w:proofErr w:type="spellStart"/>
      <w:r w:rsidRPr="00393437">
        <w:t>Koval</w:t>
      </w:r>
      <w:proofErr w:type="spellEnd"/>
      <w:r w:rsidRPr="00393437">
        <w:t>, Kenneth, J. and Zuckerman, J</w:t>
      </w:r>
      <w:r w:rsidR="00471F07" w:rsidRPr="00393437">
        <w:t>.</w:t>
      </w:r>
      <w:r w:rsidRPr="00393437">
        <w:t xml:space="preserve"> D., 2010</w:t>
      </w:r>
      <w:r w:rsidR="0053328F" w:rsidRPr="00393437">
        <w:t>.</w:t>
      </w:r>
      <w:r w:rsidR="0053328F" w:rsidRPr="00393437">
        <w:rPr>
          <w:i/>
          <w:iCs/>
        </w:rPr>
        <w:t xml:space="preserve"> Handbook of fractures.</w:t>
      </w:r>
      <w:r w:rsidR="00104A89" w:rsidRPr="00393437">
        <w:rPr>
          <w:i/>
          <w:iCs/>
        </w:rPr>
        <w:t xml:space="preserve"> </w:t>
      </w:r>
      <w:r w:rsidR="00104A89" w:rsidRPr="00393437">
        <w:t>4</w:t>
      </w:r>
      <w:r w:rsidR="00104A89" w:rsidRPr="00393437">
        <w:rPr>
          <w:vertAlign w:val="superscript"/>
        </w:rPr>
        <w:t>th</w:t>
      </w:r>
      <w:r w:rsidR="00104A89" w:rsidRPr="00393437">
        <w:t xml:space="preserve"> ed. </w:t>
      </w:r>
      <w:r w:rsidR="0053328F" w:rsidRPr="00393437">
        <w:t>[e-book] Philadelphia, Pa.;</w:t>
      </w:r>
      <w:r w:rsidR="00A245EA" w:rsidRPr="00393437">
        <w:t xml:space="preserve"> </w:t>
      </w:r>
      <w:proofErr w:type="gramStart"/>
      <w:r w:rsidR="0053328F" w:rsidRPr="00393437">
        <w:t>London :</w:t>
      </w:r>
      <w:proofErr w:type="gramEnd"/>
      <w:r w:rsidR="0053328F" w:rsidRPr="00393437">
        <w:t xml:space="preserve"> Wolters Kluwer/Lippincott Williams &amp; Wilkins. </w:t>
      </w:r>
      <w:r w:rsidR="00A245EA" w:rsidRPr="00393437">
        <w:t xml:space="preserve">Available </w:t>
      </w:r>
      <w:proofErr w:type="gramStart"/>
      <w:r w:rsidR="00A245EA" w:rsidRPr="00393437">
        <w:t>through:</w:t>
      </w:r>
      <w:proofErr w:type="gramEnd"/>
      <w:r w:rsidR="00A245EA" w:rsidRPr="00393437">
        <w:t xml:space="preserve"> Anglia Ruskin University Library website &lt;</w:t>
      </w:r>
      <w:hyperlink r:id="rId19" w:history="1">
        <w:r w:rsidR="00A245EA" w:rsidRPr="00393437">
          <w:rPr>
            <w:rStyle w:val="Hyperlink"/>
            <w:color w:val="auto"/>
          </w:rPr>
          <w:t>https://libweb.anglia.ac.uk/</w:t>
        </w:r>
      </w:hyperlink>
      <w:r w:rsidR="00A245EA" w:rsidRPr="00393437">
        <w:t>&gt; [Accessed 15 February 2019]</w:t>
      </w:r>
    </w:p>
    <w:p w14:paraId="57E29B25" w14:textId="5E28A386" w:rsidR="0053328F" w:rsidRPr="00393437" w:rsidRDefault="0053328F" w:rsidP="00360CB8">
      <w:pPr>
        <w:pStyle w:val="NormalWeb"/>
        <w:spacing w:before="0" w:beforeAutospacing="0" w:after="173" w:afterAutospacing="0"/>
        <w:ind w:left="720" w:hanging="720"/>
        <w:jc w:val="both"/>
      </w:pPr>
      <w:r w:rsidRPr="00393437">
        <w:t>Ellis, H.</w:t>
      </w:r>
      <w:r w:rsidR="00C339DD" w:rsidRPr="00393437">
        <w:t xml:space="preserve"> and Mahadevan</w:t>
      </w:r>
      <w:r w:rsidRPr="00393437">
        <w:t>,</w:t>
      </w:r>
      <w:r w:rsidR="00CF6DA1" w:rsidRPr="00393437">
        <w:t xml:space="preserve"> V.,</w:t>
      </w:r>
      <w:r w:rsidRPr="00393437">
        <w:t xml:space="preserve"> 201</w:t>
      </w:r>
      <w:r w:rsidR="00CF6DA1" w:rsidRPr="00393437">
        <w:t>8</w:t>
      </w:r>
      <w:r w:rsidRPr="00393437">
        <w:t>.</w:t>
      </w:r>
      <w:r w:rsidRPr="00393437">
        <w:rPr>
          <w:i/>
          <w:iCs/>
        </w:rPr>
        <w:t xml:space="preserve"> Clinical </w:t>
      </w:r>
      <w:proofErr w:type="gramStart"/>
      <w:r w:rsidRPr="00393437">
        <w:rPr>
          <w:i/>
          <w:iCs/>
        </w:rPr>
        <w:t>anatomy :</w:t>
      </w:r>
      <w:proofErr w:type="gramEnd"/>
      <w:r w:rsidRPr="00393437">
        <w:rPr>
          <w:i/>
          <w:iCs/>
        </w:rPr>
        <w:t xml:space="preserve"> applied anatomy for students and junior doctors.</w:t>
      </w:r>
      <w:r w:rsidR="00104A89" w:rsidRPr="00393437">
        <w:rPr>
          <w:i/>
          <w:iCs/>
        </w:rPr>
        <w:t xml:space="preserve"> </w:t>
      </w:r>
      <w:r w:rsidR="00104A89" w:rsidRPr="00393437">
        <w:t>14</w:t>
      </w:r>
      <w:r w:rsidR="00104A89" w:rsidRPr="00393437">
        <w:rPr>
          <w:vertAlign w:val="superscript"/>
        </w:rPr>
        <w:t>th</w:t>
      </w:r>
      <w:r w:rsidR="00104A89" w:rsidRPr="00393437">
        <w:t xml:space="preserve"> ed.</w:t>
      </w:r>
      <w:r w:rsidRPr="00393437">
        <w:t xml:space="preserve"> [e-book]</w:t>
      </w:r>
      <w:r w:rsidR="00104A89" w:rsidRPr="00393437">
        <w:t xml:space="preserve"> </w:t>
      </w:r>
      <w:r w:rsidRPr="00393437">
        <w:t xml:space="preserve">Hoboken, </w:t>
      </w:r>
      <w:proofErr w:type="gramStart"/>
      <w:r w:rsidRPr="00393437">
        <w:t>NJ :</w:t>
      </w:r>
      <w:proofErr w:type="gramEnd"/>
      <w:r w:rsidRPr="00393437">
        <w:t xml:space="preserve"> Wiley Blackwell. </w:t>
      </w:r>
      <w:r w:rsidR="00085575" w:rsidRPr="00393437">
        <w:t xml:space="preserve">Available </w:t>
      </w:r>
      <w:proofErr w:type="gramStart"/>
      <w:r w:rsidR="00085575" w:rsidRPr="00393437">
        <w:t>through:</w:t>
      </w:r>
      <w:proofErr w:type="gramEnd"/>
      <w:r w:rsidR="00085575" w:rsidRPr="00393437">
        <w:t xml:space="preserve"> Anglia Ruskin University Library website &lt;</w:t>
      </w:r>
      <w:hyperlink r:id="rId20" w:history="1">
        <w:r w:rsidR="00085575" w:rsidRPr="00393437">
          <w:rPr>
            <w:rStyle w:val="Hyperlink"/>
            <w:color w:val="auto"/>
          </w:rPr>
          <w:t>https://libweb.anglia.ac.uk/</w:t>
        </w:r>
      </w:hyperlink>
      <w:r w:rsidR="00085575" w:rsidRPr="00393437">
        <w:t>&gt; [Accessed 15 February 2019]</w:t>
      </w:r>
    </w:p>
    <w:p w14:paraId="18001C1B" w14:textId="12AF75C6" w:rsidR="0053328F" w:rsidRPr="00393437" w:rsidRDefault="0053328F" w:rsidP="00360CB8">
      <w:pPr>
        <w:pStyle w:val="NormalWeb"/>
        <w:spacing w:before="0" w:beforeAutospacing="0" w:after="173" w:afterAutospacing="0"/>
        <w:ind w:left="720" w:hanging="720"/>
        <w:jc w:val="both"/>
      </w:pPr>
      <w:r w:rsidRPr="00393437">
        <w:t xml:space="preserve">Entwistle, V., Carter, S., Cribb, A. and McCaffery, K., 2010. Supporting Patient Autonomy: The Importance of Clinician-patient Relationships. </w:t>
      </w:r>
      <w:r w:rsidRPr="00393437">
        <w:rPr>
          <w:i/>
          <w:iCs/>
        </w:rPr>
        <w:t xml:space="preserve">Journal of General Internal Medicine, </w:t>
      </w:r>
      <w:r w:rsidRPr="00393437">
        <w:t xml:space="preserve">[e-journal] 25 (7), pp.741-745. </w:t>
      </w:r>
      <w:hyperlink r:id="rId21" w:history="1">
        <w:r w:rsidR="00A87F79" w:rsidRPr="00393437">
          <w:rPr>
            <w:rStyle w:val="Hyperlink"/>
            <w:color w:val="auto"/>
          </w:rPr>
          <w:t>http://dx.doi.org/</w:t>
        </w:r>
        <w:r w:rsidRPr="00393437">
          <w:rPr>
            <w:rStyle w:val="Hyperlink"/>
            <w:color w:val="auto"/>
          </w:rPr>
          <w:t>10.1007/s11606-010-1292-2</w:t>
        </w:r>
      </w:hyperlink>
      <w:r w:rsidRPr="00393437">
        <w:t>.</w:t>
      </w:r>
    </w:p>
    <w:p w14:paraId="6E778287" w14:textId="77777777" w:rsidR="004B40E6" w:rsidRPr="00393437" w:rsidRDefault="0053328F" w:rsidP="00360CB8">
      <w:pPr>
        <w:pStyle w:val="NormalWeb"/>
        <w:spacing w:before="0" w:beforeAutospacing="0" w:after="173" w:afterAutospacing="0"/>
        <w:ind w:left="720" w:hanging="720"/>
        <w:jc w:val="both"/>
      </w:pPr>
      <w:proofErr w:type="spellStart"/>
      <w:r w:rsidRPr="00393437">
        <w:t>Eyler</w:t>
      </w:r>
      <w:proofErr w:type="spellEnd"/>
      <w:r w:rsidRPr="00393437">
        <w:t xml:space="preserve">, Y., Sever, M., Turgut, A., Yalcin, N., Zafer, N., </w:t>
      </w:r>
      <w:proofErr w:type="spellStart"/>
      <w:r w:rsidRPr="00393437">
        <w:t>Suner</w:t>
      </w:r>
      <w:proofErr w:type="spellEnd"/>
      <w:r w:rsidRPr="00393437">
        <w:t xml:space="preserve">, A., </w:t>
      </w:r>
      <w:proofErr w:type="spellStart"/>
      <w:r w:rsidRPr="00393437">
        <w:t>Aksay</w:t>
      </w:r>
      <w:proofErr w:type="spellEnd"/>
      <w:r w:rsidRPr="00393437">
        <w:t xml:space="preserve">, E. and </w:t>
      </w:r>
      <w:proofErr w:type="spellStart"/>
      <w:r w:rsidRPr="00393437">
        <w:t>Yesilaras</w:t>
      </w:r>
      <w:proofErr w:type="spellEnd"/>
      <w:r w:rsidRPr="00393437">
        <w:t xml:space="preserve">, M., 2018. The evaluation of the sensitivity and specificity of wrist examination findings for predicting fractures. </w:t>
      </w:r>
      <w:r w:rsidRPr="00393437">
        <w:rPr>
          <w:i/>
          <w:iCs/>
        </w:rPr>
        <w:t xml:space="preserve">American Journal of Emergency Medicine, </w:t>
      </w:r>
      <w:r w:rsidRPr="00393437">
        <w:t xml:space="preserve">[e-journal] 36 (3), pp.425-429. </w:t>
      </w:r>
    </w:p>
    <w:p w14:paraId="5742F759" w14:textId="5EB6110D" w:rsidR="0053328F" w:rsidRPr="00393437" w:rsidRDefault="00575C3F" w:rsidP="00360CB8">
      <w:pPr>
        <w:pStyle w:val="NormalWeb"/>
        <w:spacing w:before="0" w:beforeAutospacing="0" w:after="173" w:afterAutospacing="0"/>
        <w:ind w:left="720"/>
        <w:jc w:val="both"/>
      </w:pPr>
      <w:hyperlink r:id="rId22" w:history="1">
        <w:r w:rsidR="004B40E6" w:rsidRPr="00393437">
          <w:rPr>
            <w:rStyle w:val="Hyperlink"/>
            <w:color w:val="auto"/>
          </w:rPr>
          <w:t>http://dx.doi.org/10.1016/j.ajem.2017.08.050</w:t>
        </w:r>
      </w:hyperlink>
      <w:r w:rsidR="0053328F" w:rsidRPr="00393437">
        <w:t>.</w:t>
      </w:r>
    </w:p>
    <w:p w14:paraId="03E0E586" w14:textId="218C3C44" w:rsidR="003B398E" w:rsidRPr="00393437" w:rsidRDefault="003B398E" w:rsidP="00360CB8">
      <w:pPr>
        <w:pStyle w:val="NormalWeb"/>
        <w:spacing w:before="0" w:beforeAutospacing="0" w:after="173" w:afterAutospacing="0"/>
        <w:ind w:left="720" w:hanging="720"/>
        <w:jc w:val="both"/>
      </w:pPr>
      <w:r w:rsidRPr="00393437">
        <w:t xml:space="preserve">Garcia Lopez, M., Baron, J.A., </w:t>
      </w:r>
      <w:proofErr w:type="spellStart"/>
      <w:r w:rsidRPr="00393437">
        <w:t>Omsland</w:t>
      </w:r>
      <w:proofErr w:type="spellEnd"/>
      <w:r w:rsidRPr="00393437">
        <w:t xml:space="preserve">, T.K., </w:t>
      </w:r>
      <w:proofErr w:type="spellStart"/>
      <w:r w:rsidRPr="00393437">
        <w:t>Søgaard</w:t>
      </w:r>
      <w:proofErr w:type="spellEnd"/>
      <w:r w:rsidRPr="00393437">
        <w:t xml:space="preserve">, A.J. and Meyer, H.E., 2018. Homocysteine‐Lowering Treatment and the Risk of Fracture: Secondary Analysis of a Randomized Controlled Trial and an Updated Meta‐Analysis. </w:t>
      </w:r>
      <w:r w:rsidRPr="00393437">
        <w:rPr>
          <w:i/>
          <w:iCs/>
        </w:rPr>
        <w:t xml:space="preserve">JBMR Plus, </w:t>
      </w:r>
      <w:r w:rsidRPr="00393437">
        <w:t>[e-journal] 2 (5), pp.295-303. Available through: &lt;</w:t>
      </w:r>
      <w:hyperlink r:id="rId23" w:history="1">
        <w:r w:rsidRPr="00393437">
          <w:rPr>
            <w:rStyle w:val="Hyperlink"/>
            <w:color w:val="auto"/>
          </w:rPr>
          <w:t>https://libweb.anglia.ac.uk/</w:t>
        </w:r>
      </w:hyperlink>
      <w:r w:rsidRPr="00393437">
        <w:t>&gt; [Accessed 10 April 2019]</w:t>
      </w:r>
    </w:p>
    <w:p w14:paraId="163CF747" w14:textId="2440A53B" w:rsidR="007E5481" w:rsidRPr="00393437" w:rsidRDefault="007E5481" w:rsidP="00360CB8">
      <w:pPr>
        <w:spacing w:line="240" w:lineRule="auto"/>
        <w:ind w:left="720" w:hanging="720"/>
        <w:jc w:val="both"/>
        <w:rPr>
          <w:rFonts w:cs="Times New Roman"/>
          <w:szCs w:val="24"/>
        </w:rPr>
      </w:pPr>
      <w:r w:rsidRPr="00393437">
        <w:rPr>
          <w:rFonts w:cs="Times New Roman"/>
          <w:szCs w:val="24"/>
        </w:rPr>
        <w:t xml:space="preserve">General Medical Council, 2008. </w:t>
      </w:r>
      <w:r w:rsidRPr="00393437">
        <w:rPr>
          <w:rFonts w:cs="Times New Roman"/>
          <w:i/>
          <w:iCs/>
          <w:szCs w:val="24"/>
        </w:rPr>
        <w:t>Consent: patients and doctors making decisions together</w:t>
      </w:r>
      <w:r w:rsidRPr="00393437">
        <w:rPr>
          <w:rFonts w:cs="Times New Roman"/>
          <w:szCs w:val="24"/>
        </w:rPr>
        <w:t>. [</w:t>
      </w:r>
      <w:r w:rsidR="00F05F65" w:rsidRPr="00393437">
        <w:rPr>
          <w:rFonts w:cs="Times New Roman"/>
          <w:szCs w:val="24"/>
        </w:rPr>
        <w:t>online</w:t>
      </w:r>
      <w:r w:rsidRPr="00393437">
        <w:rPr>
          <w:rFonts w:cs="Times New Roman"/>
          <w:szCs w:val="24"/>
        </w:rPr>
        <w:t>] Available at: &lt;</w:t>
      </w:r>
      <w:hyperlink r:id="rId24" w:history="1">
        <w:r w:rsidRPr="00393437">
          <w:rPr>
            <w:rStyle w:val="Hyperlink"/>
            <w:rFonts w:cs="Times New Roman"/>
            <w:color w:val="auto"/>
            <w:szCs w:val="24"/>
          </w:rPr>
          <w:t>https://www.gmc-uk.org/ethical-guidance/ethical-guidance-for-doctors/consent</w:t>
        </w:r>
      </w:hyperlink>
      <w:r w:rsidRPr="00393437">
        <w:rPr>
          <w:rFonts w:cs="Times New Roman"/>
          <w:szCs w:val="24"/>
        </w:rPr>
        <w:t>&gt; [Accessed 17 February 2019]</w:t>
      </w:r>
    </w:p>
    <w:p w14:paraId="3D1BCDA6" w14:textId="34B8F1A2" w:rsidR="006C3008" w:rsidRPr="00393437" w:rsidRDefault="007E5481" w:rsidP="00360CB8">
      <w:pPr>
        <w:spacing w:line="240" w:lineRule="auto"/>
        <w:ind w:left="720" w:hanging="720"/>
        <w:jc w:val="both"/>
        <w:rPr>
          <w:rFonts w:cs="Times New Roman"/>
          <w:b/>
          <w:szCs w:val="24"/>
        </w:rPr>
      </w:pPr>
      <w:r w:rsidRPr="00393437">
        <w:rPr>
          <w:rFonts w:cs="Times New Roman"/>
          <w:szCs w:val="24"/>
        </w:rPr>
        <w:t>General Medical Council</w:t>
      </w:r>
      <w:r w:rsidR="00B02031" w:rsidRPr="00393437">
        <w:rPr>
          <w:rFonts w:cs="Times New Roman"/>
          <w:szCs w:val="24"/>
        </w:rPr>
        <w:t xml:space="preserve"> (GMC)</w:t>
      </w:r>
      <w:r w:rsidRPr="00393437">
        <w:rPr>
          <w:rFonts w:cs="Times New Roman"/>
          <w:szCs w:val="24"/>
        </w:rPr>
        <w:t xml:space="preserve">, 2013. </w:t>
      </w:r>
      <w:r w:rsidRPr="00393437">
        <w:rPr>
          <w:rFonts w:cs="Times New Roman"/>
          <w:i/>
          <w:szCs w:val="24"/>
        </w:rPr>
        <w:t>Good Medical Practice.</w:t>
      </w:r>
      <w:r w:rsidRPr="00393437">
        <w:rPr>
          <w:rFonts w:cs="Times New Roman"/>
          <w:szCs w:val="24"/>
        </w:rPr>
        <w:t xml:space="preserve"> [pdf] Available at: &lt;</w:t>
      </w:r>
      <w:hyperlink r:id="rId25" w:history="1">
        <w:r w:rsidR="00B02031" w:rsidRPr="00393437">
          <w:rPr>
            <w:rStyle w:val="Hyperlink"/>
            <w:rFonts w:cs="Times New Roman"/>
            <w:color w:val="auto"/>
            <w:szCs w:val="24"/>
          </w:rPr>
          <w:t>https://www.gmc-uk.org/ /media/documents/Good_medical_practice___English_1215.pdf_51527435.pdf</w:t>
        </w:r>
      </w:hyperlink>
      <w:r w:rsidRPr="00393437">
        <w:rPr>
          <w:rFonts w:cs="Times New Roman"/>
          <w:szCs w:val="24"/>
        </w:rPr>
        <w:t>&gt; [Accessed 17 February 2019]</w:t>
      </w:r>
    </w:p>
    <w:p w14:paraId="29F41B68" w14:textId="24BB3638" w:rsidR="007E5481" w:rsidRPr="00393437" w:rsidRDefault="007E5481" w:rsidP="00360CB8">
      <w:pPr>
        <w:spacing w:line="240" w:lineRule="auto"/>
        <w:ind w:left="720" w:hanging="720"/>
        <w:jc w:val="both"/>
        <w:rPr>
          <w:rFonts w:cs="Times New Roman"/>
          <w:szCs w:val="24"/>
        </w:rPr>
      </w:pPr>
      <w:r w:rsidRPr="00393437">
        <w:rPr>
          <w:rFonts w:cs="Times New Roman"/>
          <w:szCs w:val="24"/>
        </w:rPr>
        <w:lastRenderedPageBreak/>
        <w:t>General Medical Council</w:t>
      </w:r>
      <w:r w:rsidR="00B02031" w:rsidRPr="00393437">
        <w:rPr>
          <w:rFonts w:cs="Times New Roman"/>
          <w:szCs w:val="24"/>
        </w:rPr>
        <w:t xml:space="preserve"> (GMC)</w:t>
      </w:r>
      <w:r w:rsidRPr="00393437">
        <w:rPr>
          <w:rFonts w:cs="Times New Roman"/>
          <w:szCs w:val="24"/>
        </w:rPr>
        <w:t xml:space="preserve">, 2013. </w:t>
      </w:r>
      <w:r w:rsidRPr="00393437">
        <w:rPr>
          <w:rFonts w:cs="Times New Roman"/>
          <w:i/>
          <w:szCs w:val="24"/>
        </w:rPr>
        <w:t>Personal beliefs and medical practice</w:t>
      </w:r>
      <w:r w:rsidRPr="00393437">
        <w:rPr>
          <w:rFonts w:cs="Times New Roman"/>
          <w:szCs w:val="24"/>
        </w:rPr>
        <w:t>. [pdf</w:t>
      </w:r>
      <w:r w:rsidR="00B02031" w:rsidRPr="00393437">
        <w:rPr>
          <w:rFonts w:cs="Times New Roman"/>
          <w:szCs w:val="24"/>
        </w:rPr>
        <w:t>]</w:t>
      </w:r>
      <w:r w:rsidRPr="00393437">
        <w:rPr>
          <w:rFonts w:cs="Times New Roman"/>
          <w:szCs w:val="24"/>
        </w:rPr>
        <w:t xml:space="preserve"> Available at: &lt; </w:t>
      </w:r>
      <w:hyperlink r:id="rId26" w:history="1">
        <w:r w:rsidRPr="00393437">
          <w:rPr>
            <w:rStyle w:val="Hyperlink"/>
            <w:rFonts w:cs="Times New Roman"/>
            <w:color w:val="auto"/>
            <w:szCs w:val="24"/>
          </w:rPr>
          <w:t>https://www.gmc-uk.org/-/media/documents/Personal_beliefs_and_medical_practice.pdf_58833376.pdf</w:t>
        </w:r>
      </w:hyperlink>
      <w:r w:rsidRPr="00393437">
        <w:rPr>
          <w:rFonts w:cs="Times New Roman"/>
          <w:szCs w:val="24"/>
        </w:rPr>
        <w:t>&gt; [Accessed 17 February 2019]</w:t>
      </w:r>
    </w:p>
    <w:p w14:paraId="75DC815C" w14:textId="11A6508B" w:rsidR="007E5481" w:rsidRPr="00393437" w:rsidRDefault="007E5481" w:rsidP="00360CB8">
      <w:pPr>
        <w:spacing w:line="240" w:lineRule="auto"/>
        <w:ind w:left="720" w:hanging="720"/>
        <w:jc w:val="both"/>
        <w:rPr>
          <w:rFonts w:cs="Times New Roman"/>
          <w:szCs w:val="24"/>
        </w:rPr>
      </w:pPr>
      <w:r w:rsidRPr="00393437">
        <w:rPr>
          <w:rFonts w:cs="Times New Roman"/>
          <w:szCs w:val="24"/>
        </w:rPr>
        <w:t>General Medical Council</w:t>
      </w:r>
      <w:r w:rsidR="00630A35" w:rsidRPr="00393437">
        <w:rPr>
          <w:rFonts w:cs="Times New Roman"/>
          <w:szCs w:val="24"/>
        </w:rPr>
        <w:t xml:space="preserve"> (GMC)</w:t>
      </w:r>
      <w:r w:rsidRPr="00393437">
        <w:rPr>
          <w:rFonts w:cs="Times New Roman"/>
          <w:szCs w:val="24"/>
        </w:rPr>
        <w:t xml:space="preserve">, 2017. </w:t>
      </w:r>
      <w:r w:rsidRPr="00393437">
        <w:rPr>
          <w:rFonts w:cs="Times New Roman"/>
          <w:i/>
          <w:iCs/>
          <w:szCs w:val="24"/>
        </w:rPr>
        <w:t>Keeping records</w:t>
      </w:r>
      <w:r w:rsidRPr="00393437">
        <w:rPr>
          <w:rFonts w:cs="Times New Roman"/>
          <w:szCs w:val="24"/>
        </w:rPr>
        <w:t>. [</w:t>
      </w:r>
      <w:r w:rsidR="00630A35" w:rsidRPr="00393437">
        <w:rPr>
          <w:rFonts w:cs="Times New Roman"/>
          <w:szCs w:val="24"/>
        </w:rPr>
        <w:t>online</w:t>
      </w:r>
      <w:r w:rsidRPr="00393437">
        <w:rPr>
          <w:rFonts w:cs="Times New Roman"/>
          <w:szCs w:val="24"/>
        </w:rPr>
        <w:t>] Available at: &lt;</w:t>
      </w:r>
      <w:hyperlink r:id="rId27" w:history="1">
        <w:r w:rsidRPr="00393437">
          <w:rPr>
            <w:rStyle w:val="Hyperlink"/>
            <w:rFonts w:cs="Times New Roman"/>
            <w:color w:val="auto"/>
            <w:szCs w:val="24"/>
          </w:rPr>
          <w:t>https://www.gmc-uk.org/ethical-guidance/ethical-guidance-for-doctors/protecting-children-and-young-people/keeping-records</w:t>
        </w:r>
      </w:hyperlink>
      <w:r w:rsidRPr="00393437">
        <w:rPr>
          <w:rFonts w:cs="Times New Roman"/>
          <w:szCs w:val="24"/>
        </w:rPr>
        <w:t>&gt; [Accessed 17 February 2019]</w:t>
      </w:r>
    </w:p>
    <w:p w14:paraId="0EE58571" w14:textId="51926D0E" w:rsidR="007E5481" w:rsidRPr="00393437" w:rsidRDefault="007E5481" w:rsidP="00360CB8">
      <w:pPr>
        <w:pStyle w:val="NormalWeb"/>
        <w:spacing w:before="0" w:beforeAutospacing="0" w:after="173" w:afterAutospacing="0"/>
        <w:ind w:left="720" w:hanging="720"/>
        <w:jc w:val="both"/>
      </w:pPr>
      <w:r w:rsidRPr="00393437">
        <w:t xml:space="preserve">Government of England, 2005. </w:t>
      </w:r>
      <w:r w:rsidRPr="00393437">
        <w:rPr>
          <w:i/>
        </w:rPr>
        <w:t>Mental Capacity Act</w:t>
      </w:r>
      <w:r w:rsidRPr="00393437">
        <w:t>. [online] Available at: &lt;</w:t>
      </w:r>
      <w:hyperlink r:id="rId28" w:history="1">
        <w:r w:rsidRPr="00393437">
          <w:rPr>
            <w:rStyle w:val="Hyperlink"/>
            <w:color w:val="auto"/>
          </w:rPr>
          <w:t>www.legislation.gov.uk/ukpga/2005/9/contents</w:t>
        </w:r>
      </w:hyperlink>
      <w:r w:rsidRPr="00393437">
        <w:t>&gt; [Accessed 17 February 2019]</w:t>
      </w:r>
    </w:p>
    <w:p w14:paraId="7B57C520" w14:textId="77777777" w:rsidR="007E5481" w:rsidRPr="00393437" w:rsidRDefault="007E5481" w:rsidP="00360CB8">
      <w:pPr>
        <w:spacing w:line="240" w:lineRule="auto"/>
        <w:ind w:left="720" w:hanging="720"/>
        <w:jc w:val="both"/>
        <w:rPr>
          <w:rFonts w:cs="Times New Roman"/>
          <w:szCs w:val="24"/>
        </w:rPr>
      </w:pPr>
      <w:r w:rsidRPr="00393437">
        <w:rPr>
          <w:rFonts w:cs="Times New Roman"/>
          <w:szCs w:val="24"/>
        </w:rPr>
        <w:t xml:space="preserve">Hall, S., Quick, J. and Hall, A., 2016. The Perfect Surgical Assistant: Calm, Confident, Competent and Courageous. </w:t>
      </w:r>
      <w:r w:rsidRPr="00393437">
        <w:rPr>
          <w:rFonts w:cs="Times New Roman"/>
          <w:i/>
          <w:iCs/>
          <w:szCs w:val="24"/>
        </w:rPr>
        <w:t xml:space="preserve">Journal of Perioperative Practice, </w:t>
      </w:r>
      <w:r w:rsidRPr="00393437">
        <w:rPr>
          <w:rFonts w:cs="Times New Roman"/>
          <w:szCs w:val="24"/>
        </w:rPr>
        <w:t>[e-journal] 26 (9), pp.201-204. Available at: &lt;</w:t>
      </w:r>
      <w:hyperlink r:id="rId29" w:history="1">
        <w:r w:rsidRPr="00393437">
          <w:rPr>
            <w:rStyle w:val="Hyperlink"/>
            <w:rFonts w:cs="Times New Roman"/>
            <w:color w:val="auto"/>
            <w:szCs w:val="24"/>
          </w:rPr>
          <w:t>https://www.ncbi.nlm.nih.gov/pubmed/29328813</w:t>
        </w:r>
      </w:hyperlink>
      <w:r w:rsidRPr="00393437">
        <w:rPr>
          <w:rFonts w:cs="Times New Roman"/>
          <w:szCs w:val="24"/>
        </w:rPr>
        <w:t>&gt; [Accessed 21 March 2019].</w:t>
      </w:r>
    </w:p>
    <w:p w14:paraId="09A4EAB6" w14:textId="49078688" w:rsidR="00D12BB7" w:rsidRPr="00393437" w:rsidRDefault="00D12BB7" w:rsidP="00360CB8">
      <w:pPr>
        <w:pStyle w:val="NormalWeb"/>
        <w:spacing w:before="0" w:beforeAutospacing="0" w:after="173" w:afterAutospacing="0"/>
        <w:ind w:left="720" w:hanging="720"/>
        <w:jc w:val="both"/>
      </w:pPr>
      <w:r w:rsidRPr="00393437">
        <w:t xml:space="preserve">Herring, J., 2018. </w:t>
      </w:r>
      <w:r w:rsidRPr="00393437">
        <w:rPr>
          <w:i/>
          <w:iCs/>
        </w:rPr>
        <w:t>Medical law and ethics</w:t>
      </w:r>
      <w:r w:rsidR="00546E0F" w:rsidRPr="00393437">
        <w:rPr>
          <w:i/>
          <w:iCs/>
        </w:rPr>
        <w:t>.</w:t>
      </w:r>
      <w:r w:rsidRPr="00393437">
        <w:t xml:space="preserve"> </w:t>
      </w:r>
      <w:r w:rsidR="00546E0F" w:rsidRPr="00393437">
        <w:t>7</w:t>
      </w:r>
      <w:r w:rsidR="00546E0F" w:rsidRPr="00393437">
        <w:rPr>
          <w:vertAlign w:val="superscript"/>
        </w:rPr>
        <w:t>th</w:t>
      </w:r>
      <w:r w:rsidR="00546E0F" w:rsidRPr="00393437">
        <w:t xml:space="preserve"> ed. Oxford: Oxford University Press.</w:t>
      </w:r>
    </w:p>
    <w:p w14:paraId="3E764CAC" w14:textId="0D3D43D2" w:rsidR="0053328F" w:rsidRPr="00393437" w:rsidRDefault="0053328F" w:rsidP="00360CB8">
      <w:pPr>
        <w:pStyle w:val="NormalWeb"/>
        <w:spacing w:before="0" w:beforeAutospacing="0" w:after="173" w:afterAutospacing="0"/>
        <w:ind w:left="720" w:hanging="720"/>
        <w:jc w:val="both"/>
      </w:pPr>
      <w:r w:rsidRPr="00393437">
        <w:t xml:space="preserve">Hirt, B., </w:t>
      </w:r>
      <w:proofErr w:type="spellStart"/>
      <w:r w:rsidRPr="00393437">
        <w:t>Seyhan</w:t>
      </w:r>
      <w:proofErr w:type="spellEnd"/>
      <w:r w:rsidRPr="00393437">
        <w:t xml:space="preserve">, H., Wagner, M. and </w:t>
      </w:r>
      <w:proofErr w:type="spellStart"/>
      <w:r w:rsidRPr="00393437">
        <w:t>Zumhasch</w:t>
      </w:r>
      <w:proofErr w:type="spellEnd"/>
      <w:r w:rsidRPr="00393437">
        <w:t>, R., 201</w:t>
      </w:r>
      <w:r w:rsidR="0033752B" w:rsidRPr="00393437">
        <w:t>7</w:t>
      </w:r>
      <w:r w:rsidRPr="00393437">
        <w:t>.</w:t>
      </w:r>
      <w:r w:rsidRPr="00393437">
        <w:rPr>
          <w:i/>
          <w:iCs/>
        </w:rPr>
        <w:t xml:space="preserve"> Hand and Wrist Anatomy and Biomechanics: A Comprehensive Guide. </w:t>
      </w:r>
      <w:r w:rsidRPr="00393437">
        <w:t xml:space="preserve">[e-book] </w:t>
      </w:r>
      <w:proofErr w:type="spellStart"/>
      <w:r w:rsidR="00AF2ED4" w:rsidRPr="00393437">
        <w:t>Stuttgard</w:t>
      </w:r>
      <w:proofErr w:type="spellEnd"/>
      <w:r w:rsidR="00AF2ED4" w:rsidRPr="00393437">
        <w:t xml:space="preserve">, Germany: </w:t>
      </w:r>
      <w:proofErr w:type="spellStart"/>
      <w:r w:rsidR="00AF2ED4" w:rsidRPr="00393437">
        <w:t>Thieme</w:t>
      </w:r>
      <w:proofErr w:type="spellEnd"/>
      <w:r w:rsidR="00AF2ED4" w:rsidRPr="00393437">
        <w:t xml:space="preserve"> Medical Publishers</w:t>
      </w:r>
      <w:r w:rsidRPr="00393437">
        <w:t xml:space="preserve">. </w:t>
      </w:r>
      <w:r w:rsidR="00AF2ED4" w:rsidRPr="00393437">
        <w:t>Available through: &lt;</w:t>
      </w:r>
      <w:hyperlink r:id="rId30" w:history="1">
        <w:r w:rsidR="00AF2ED4" w:rsidRPr="00393437">
          <w:rPr>
            <w:rStyle w:val="Hyperlink"/>
            <w:color w:val="auto"/>
          </w:rPr>
          <w:t>https://libweb.anglia.ac.uk/</w:t>
        </w:r>
      </w:hyperlink>
      <w:r w:rsidR="00AF2ED4" w:rsidRPr="00393437">
        <w:t>&gt; [Accessed 3 March 2019]</w:t>
      </w:r>
    </w:p>
    <w:p w14:paraId="48077786" w14:textId="5EA99FDF" w:rsidR="0053328F" w:rsidRPr="00393437" w:rsidRDefault="0053328F" w:rsidP="00360CB8">
      <w:pPr>
        <w:pStyle w:val="NormalWeb"/>
        <w:spacing w:before="0" w:beforeAutospacing="0" w:after="173" w:afterAutospacing="0"/>
        <w:ind w:left="720" w:hanging="720"/>
        <w:jc w:val="both"/>
      </w:pPr>
      <w:r w:rsidRPr="00393437">
        <w:t>Innes, J.A., Dover, A.R. and Fairhurst, K., 2018.</w:t>
      </w:r>
      <w:r w:rsidRPr="00393437">
        <w:rPr>
          <w:i/>
          <w:iCs/>
        </w:rPr>
        <w:t xml:space="preserve"> Macleod</w:t>
      </w:r>
      <w:r w:rsidR="00D3296F" w:rsidRPr="00393437">
        <w:rPr>
          <w:i/>
          <w:iCs/>
        </w:rPr>
        <w:t>’</w:t>
      </w:r>
      <w:r w:rsidRPr="00393437">
        <w:rPr>
          <w:i/>
          <w:iCs/>
        </w:rPr>
        <w:t xml:space="preserve">s clinical examination. </w:t>
      </w:r>
      <w:r w:rsidR="00F810A6" w:rsidRPr="00393437">
        <w:t>14</w:t>
      </w:r>
      <w:r w:rsidR="00F810A6" w:rsidRPr="00393437">
        <w:rPr>
          <w:vertAlign w:val="superscript"/>
        </w:rPr>
        <w:t>th</w:t>
      </w:r>
      <w:r w:rsidRPr="00393437">
        <w:t xml:space="preserve"> ed. </w:t>
      </w:r>
      <w:proofErr w:type="gramStart"/>
      <w:r w:rsidRPr="00393437">
        <w:t>Amsterdam :</w:t>
      </w:r>
      <w:proofErr w:type="gramEnd"/>
      <w:r w:rsidRPr="00393437">
        <w:t xml:space="preserve"> Elsevier. </w:t>
      </w:r>
    </w:p>
    <w:p w14:paraId="1C89F0CE" w14:textId="61CE0FE6" w:rsidR="00A26485" w:rsidRPr="00393437" w:rsidRDefault="00A26485" w:rsidP="00360CB8">
      <w:pPr>
        <w:pStyle w:val="NormalWeb"/>
        <w:spacing w:before="0" w:beforeAutospacing="0" w:after="173" w:afterAutospacing="0"/>
        <w:ind w:left="720" w:hanging="720"/>
        <w:jc w:val="both"/>
      </w:pPr>
      <w:proofErr w:type="spellStart"/>
      <w:r w:rsidRPr="00393437">
        <w:t>Keser</w:t>
      </w:r>
      <w:proofErr w:type="spellEnd"/>
      <w:r w:rsidRPr="00393437">
        <w:t xml:space="preserve">, I., </w:t>
      </w:r>
      <w:proofErr w:type="spellStart"/>
      <w:r w:rsidRPr="00393437">
        <w:t>Ilich</w:t>
      </w:r>
      <w:proofErr w:type="spellEnd"/>
      <w:r w:rsidRPr="00393437">
        <w:t xml:space="preserve">, J.Z., </w:t>
      </w:r>
      <w:proofErr w:type="spellStart"/>
      <w:r w:rsidRPr="00393437">
        <w:t>Vrkić</w:t>
      </w:r>
      <w:proofErr w:type="spellEnd"/>
      <w:r w:rsidRPr="00393437">
        <w:t xml:space="preserve">, N., </w:t>
      </w:r>
      <w:proofErr w:type="spellStart"/>
      <w:r w:rsidRPr="00393437">
        <w:t>Giljević</w:t>
      </w:r>
      <w:proofErr w:type="spellEnd"/>
      <w:r w:rsidRPr="00393437">
        <w:t xml:space="preserve">, Z. and </w:t>
      </w:r>
      <w:proofErr w:type="spellStart"/>
      <w:r w:rsidRPr="00393437">
        <w:t>Colić</w:t>
      </w:r>
      <w:proofErr w:type="spellEnd"/>
      <w:r w:rsidRPr="00393437">
        <w:t xml:space="preserve"> </w:t>
      </w:r>
      <w:proofErr w:type="spellStart"/>
      <w:r w:rsidRPr="00393437">
        <w:t>Barić</w:t>
      </w:r>
      <w:proofErr w:type="spellEnd"/>
      <w:r w:rsidRPr="00393437">
        <w:t xml:space="preserve">, I., 2013. Folic acid and vitamin B12 supplementation </w:t>
      </w:r>
      <w:proofErr w:type="gramStart"/>
      <w:r w:rsidRPr="00393437">
        <w:t>lowers</w:t>
      </w:r>
      <w:proofErr w:type="gramEnd"/>
      <w:r w:rsidRPr="00393437">
        <w:t xml:space="preserve"> plasma homocysteine but has no effect on serum bone turnover markers in elderly women: a randomi</w:t>
      </w:r>
      <w:r w:rsidR="00511B6B" w:rsidRPr="00393437">
        <w:t>s</w:t>
      </w:r>
      <w:r w:rsidRPr="00393437">
        <w:t xml:space="preserve">ed, double-blind, placebo-controlled trial. </w:t>
      </w:r>
      <w:r w:rsidRPr="00393437">
        <w:rPr>
          <w:i/>
          <w:iCs/>
        </w:rPr>
        <w:t xml:space="preserve">Nutrition Research, </w:t>
      </w:r>
      <w:r w:rsidRPr="00393437">
        <w:t>[e-journal] 33 (3), pp.211-219. Available through: &lt;</w:t>
      </w:r>
      <w:hyperlink r:id="rId31" w:history="1">
        <w:r w:rsidRPr="00393437">
          <w:rPr>
            <w:rStyle w:val="Hyperlink"/>
            <w:color w:val="auto"/>
          </w:rPr>
          <w:t>https://libweb.anglia.ac.uk/</w:t>
        </w:r>
      </w:hyperlink>
      <w:r w:rsidRPr="00393437">
        <w:t>&gt; [Accessed 13 April 2019]</w:t>
      </w:r>
    </w:p>
    <w:p w14:paraId="360F10C5" w14:textId="56104040" w:rsidR="0053328F" w:rsidRPr="00393437" w:rsidRDefault="0053328F" w:rsidP="00360CB8">
      <w:pPr>
        <w:pStyle w:val="NormalWeb"/>
        <w:spacing w:before="0" w:beforeAutospacing="0" w:after="173" w:afterAutospacing="0"/>
        <w:ind w:left="720" w:hanging="720"/>
        <w:jc w:val="both"/>
      </w:pPr>
      <w:r w:rsidRPr="00393437">
        <w:t xml:space="preserve">Leventhal, H., Phillips, L. and Burns, E., 2016. The Common-Sense Model of Self-Regulation (CSM): a dynamic framework for understanding illness self-management. </w:t>
      </w:r>
      <w:r w:rsidRPr="00393437">
        <w:rPr>
          <w:i/>
          <w:iCs/>
        </w:rPr>
        <w:t xml:space="preserve">Journal of </w:t>
      </w:r>
      <w:proofErr w:type="spellStart"/>
      <w:r w:rsidRPr="00393437">
        <w:rPr>
          <w:i/>
          <w:iCs/>
        </w:rPr>
        <w:t>Behavioral</w:t>
      </w:r>
      <w:proofErr w:type="spellEnd"/>
      <w:r w:rsidRPr="00393437">
        <w:rPr>
          <w:i/>
          <w:iCs/>
        </w:rPr>
        <w:t xml:space="preserve"> Medicine, </w:t>
      </w:r>
      <w:r w:rsidRPr="00393437">
        <w:t xml:space="preserve">[e-journal] 39 (6), pp.935-946. </w:t>
      </w:r>
      <w:hyperlink r:id="rId32" w:history="1">
        <w:r w:rsidR="002C1119" w:rsidRPr="00393437">
          <w:rPr>
            <w:rStyle w:val="Hyperlink"/>
            <w:color w:val="auto"/>
          </w:rPr>
          <w:t>http://dx.doi.org/</w:t>
        </w:r>
        <w:r w:rsidRPr="00393437">
          <w:rPr>
            <w:rStyle w:val="Hyperlink"/>
            <w:color w:val="auto"/>
          </w:rPr>
          <w:t>10.1007/s10865-016-9782-2</w:t>
        </w:r>
      </w:hyperlink>
      <w:r w:rsidRPr="00393437">
        <w:t>.</w:t>
      </w:r>
    </w:p>
    <w:p w14:paraId="0E3F5D94" w14:textId="77777777" w:rsidR="00605C80" w:rsidRPr="00393437" w:rsidRDefault="0053328F" w:rsidP="00360CB8">
      <w:pPr>
        <w:pStyle w:val="NormalWeb"/>
        <w:spacing w:before="0" w:beforeAutospacing="0" w:after="173" w:afterAutospacing="0"/>
        <w:ind w:left="720" w:hanging="720"/>
        <w:jc w:val="both"/>
      </w:pPr>
      <w:r w:rsidRPr="00393437">
        <w:t xml:space="preserve">Macintyre, N.J. and Dewan, N., 2016. Epidemiology of distal radius fractures and factors predicting risk and prognosis. </w:t>
      </w:r>
      <w:r w:rsidRPr="00393437">
        <w:rPr>
          <w:i/>
          <w:iCs/>
        </w:rPr>
        <w:t xml:space="preserve">Journal of Hand Therapy, </w:t>
      </w:r>
      <w:r w:rsidRPr="00393437">
        <w:t xml:space="preserve">[e-journal] 29 (2), pp.136-145. </w:t>
      </w:r>
    </w:p>
    <w:p w14:paraId="298102AA" w14:textId="7E0DAE8F" w:rsidR="00521BA1" w:rsidRPr="00393437" w:rsidRDefault="00575C3F" w:rsidP="001426C5">
      <w:pPr>
        <w:pStyle w:val="NormalWeb"/>
        <w:spacing w:before="0" w:beforeAutospacing="0" w:after="173" w:afterAutospacing="0"/>
        <w:ind w:left="720"/>
        <w:jc w:val="both"/>
      </w:pPr>
      <w:hyperlink r:id="rId33" w:history="1">
        <w:r w:rsidR="00605C80" w:rsidRPr="00393437">
          <w:rPr>
            <w:rStyle w:val="Hyperlink"/>
            <w:color w:val="auto"/>
          </w:rPr>
          <w:t>http://dx.doi.org/10.1016/j.jht.2016.03.003</w:t>
        </w:r>
      </w:hyperlink>
      <w:r w:rsidR="0053328F" w:rsidRPr="00393437">
        <w:t>.</w:t>
      </w:r>
    </w:p>
    <w:p w14:paraId="75E3BE6A" w14:textId="04442FA1" w:rsidR="0053328F" w:rsidRPr="00393437" w:rsidRDefault="0053328F" w:rsidP="00360CB8">
      <w:pPr>
        <w:pStyle w:val="NormalWeb"/>
        <w:spacing w:before="0" w:beforeAutospacing="0" w:after="173" w:afterAutospacing="0"/>
        <w:ind w:left="720" w:hanging="720"/>
        <w:jc w:val="both"/>
      </w:pPr>
      <w:proofErr w:type="spellStart"/>
      <w:r w:rsidRPr="00393437">
        <w:t>Marcheix</w:t>
      </w:r>
      <w:proofErr w:type="spellEnd"/>
      <w:r w:rsidRPr="00393437">
        <w:t xml:space="preserve">, P., </w:t>
      </w:r>
      <w:proofErr w:type="spellStart"/>
      <w:r w:rsidRPr="00393437">
        <w:t>Delclaux</w:t>
      </w:r>
      <w:proofErr w:type="spellEnd"/>
      <w:r w:rsidRPr="00393437">
        <w:t xml:space="preserve">, S., </w:t>
      </w:r>
      <w:proofErr w:type="spellStart"/>
      <w:r w:rsidRPr="00393437">
        <w:t>Ehlinger</w:t>
      </w:r>
      <w:proofErr w:type="spellEnd"/>
      <w:r w:rsidRPr="00393437">
        <w:t xml:space="preserve">, M., </w:t>
      </w:r>
      <w:proofErr w:type="spellStart"/>
      <w:r w:rsidRPr="00393437">
        <w:t>Scheibling</w:t>
      </w:r>
      <w:proofErr w:type="spellEnd"/>
      <w:r w:rsidRPr="00393437">
        <w:t xml:space="preserve">, B., </w:t>
      </w:r>
      <w:proofErr w:type="spellStart"/>
      <w:r w:rsidRPr="00393437">
        <w:t>Dalmay</w:t>
      </w:r>
      <w:proofErr w:type="spellEnd"/>
      <w:r w:rsidRPr="00393437">
        <w:t xml:space="preserve">, F., Hardy, J., </w:t>
      </w:r>
      <w:proofErr w:type="spellStart"/>
      <w:r w:rsidRPr="00393437">
        <w:t>Lebaron</w:t>
      </w:r>
      <w:proofErr w:type="spellEnd"/>
      <w:r w:rsidRPr="00393437">
        <w:t xml:space="preserve">, M. and </w:t>
      </w:r>
      <w:proofErr w:type="spellStart"/>
      <w:r w:rsidRPr="00393437">
        <w:t>Bonnevialle</w:t>
      </w:r>
      <w:proofErr w:type="spellEnd"/>
      <w:r w:rsidRPr="00393437">
        <w:t xml:space="preserve">, P., 2016. Pre- and postoperative complications of adult forearm fractures treated with plate fixation. </w:t>
      </w:r>
      <w:r w:rsidRPr="00393437">
        <w:rPr>
          <w:i/>
          <w:iCs/>
        </w:rPr>
        <w:t xml:space="preserve">Orthopaedics &amp; Traumatology: Surgery &amp; Research, </w:t>
      </w:r>
      <w:r w:rsidRPr="00393437">
        <w:t xml:space="preserve">[e-journal] 102 (6), pp.781-784. </w:t>
      </w:r>
      <w:hyperlink r:id="rId34" w:history="1">
        <w:r w:rsidR="00605C80" w:rsidRPr="00393437">
          <w:rPr>
            <w:rStyle w:val="Hyperlink"/>
            <w:color w:val="auto"/>
          </w:rPr>
          <w:t>http://dx.doi.org/</w:t>
        </w:r>
        <w:r w:rsidRPr="00393437">
          <w:rPr>
            <w:rStyle w:val="Hyperlink"/>
            <w:color w:val="auto"/>
          </w:rPr>
          <w:t>10.1016/j.otsr.2016.04.014</w:t>
        </w:r>
      </w:hyperlink>
      <w:r w:rsidRPr="00393437">
        <w:t>.</w:t>
      </w:r>
    </w:p>
    <w:p w14:paraId="349BA788" w14:textId="4697009B" w:rsidR="0053328F" w:rsidRPr="00393437" w:rsidRDefault="0053328F" w:rsidP="00360CB8">
      <w:pPr>
        <w:pStyle w:val="NormalWeb"/>
        <w:spacing w:before="0" w:beforeAutospacing="0" w:after="173" w:afterAutospacing="0"/>
        <w:ind w:left="720" w:hanging="720"/>
        <w:jc w:val="both"/>
        <w:rPr>
          <w:lang w:val="de-DE"/>
        </w:rPr>
      </w:pPr>
      <w:r w:rsidRPr="00393437">
        <w:t xml:space="preserve">Meena, S., Sharma, P., </w:t>
      </w:r>
      <w:proofErr w:type="spellStart"/>
      <w:r w:rsidRPr="00393437">
        <w:t>Sambharia</w:t>
      </w:r>
      <w:proofErr w:type="spellEnd"/>
      <w:r w:rsidRPr="00393437">
        <w:t xml:space="preserve">, A. and </w:t>
      </w:r>
      <w:proofErr w:type="spellStart"/>
      <w:r w:rsidRPr="00393437">
        <w:t>Dawar</w:t>
      </w:r>
      <w:proofErr w:type="spellEnd"/>
      <w:r w:rsidRPr="00393437">
        <w:t>, A., 2014. Fractures of distal radius: An overview</w:t>
      </w:r>
      <w:r w:rsidR="002D7763" w:rsidRPr="00393437">
        <w:t>.</w:t>
      </w:r>
      <w:r w:rsidR="0064194D" w:rsidRPr="00393437">
        <w:t xml:space="preserve"> </w:t>
      </w:r>
      <w:r w:rsidR="0064194D" w:rsidRPr="00393437">
        <w:rPr>
          <w:i/>
          <w:iCs/>
        </w:rPr>
        <w:t>Journal of Family Medicine and Primary Care,</w:t>
      </w:r>
      <w:r w:rsidR="0064194D" w:rsidRPr="00393437">
        <w:t xml:space="preserve"> </w:t>
      </w:r>
      <w:r w:rsidRPr="00393437">
        <w:t>[e-</w:t>
      </w:r>
      <w:r w:rsidR="0064194D" w:rsidRPr="00393437">
        <w:t>journal</w:t>
      </w:r>
      <w:r w:rsidRPr="00393437">
        <w:t>]</w:t>
      </w:r>
      <w:r w:rsidR="0064194D" w:rsidRPr="00393437">
        <w:t xml:space="preserve"> </w:t>
      </w:r>
      <w:r w:rsidRPr="00393437">
        <w:t xml:space="preserve">3 (4) pp.325. </w:t>
      </w:r>
      <w:hyperlink r:id="rId35" w:history="1">
        <w:r w:rsidR="0064194D" w:rsidRPr="00393437">
          <w:rPr>
            <w:rStyle w:val="Hyperlink"/>
            <w:color w:val="auto"/>
            <w:lang w:val="de-DE"/>
          </w:rPr>
          <w:t>http://dx.doi.org/</w:t>
        </w:r>
        <w:r w:rsidRPr="00393437">
          <w:rPr>
            <w:rStyle w:val="Hyperlink"/>
            <w:color w:val="auto"/>
            <w:lang w:val="de-DE"/>
          </w:rPr>
          <w:t>10.4103/2249-4863.148101</w:t>
        </w:r>
      </w:hyperlink>
      <w:r w:rsidRPr="00393437">
        <w:rPr>
          <w:lang w:val="de-DE"/>
        </w:rPr>
        <w:t>.</w:t>
      </w:r>
    </w:p>
    <w:p w14:paraId="5276E92B" w14:textId="6944099E" w:rsidR="0053328F" w:rsidRPr="00393437" w:rsidRDefault="0053328F" w:rsidP="00360CB8">
      <w:pPr>
        <w:pStyle w:val="NormalWeb"/>
        <w:spacing w:before="0" w:beforeAutospacing="0" w:after="173" w:afterAutospacing="0"/>
        <w:ind w:left="720" w:hanging="720"/>
        <w:jc w:val="both"/>
      </w:pPr>
      <w:r w:rsidRPr="00393437">
        <w:rPr>
          <w:lang w:val="de-DE"/>
        </w:rPr>
        <w:lastRenderedPageBreak/>
        <w:t xml:space="preserve">Meyer, D., Leventhal, H. and Gutmann, M., 1985. </w:t>
      </w:r>
      <w:r w:rsidRPr="00393437">
        <w:t xml:space="preserve">Common-Sense Models of Illness: The Example of Hypertension. </w:t>
      </w:r>
      <w:r w:rsidRPr="00393437">
        <w:rPr>
          <w:i/>
          <w:iCs/>
        </w:rPr>
        <w:t xml:space="preserve">Health Psychology, </w:t>
      </w:r>
      <w:r w:rsidRPr="00393437">
        <w:t xml:space="preserve">[e-journal] 4 (2), pp.115-135. </w:t>
      </w:r>
      <w:r w:rsidR="002D7763" w:rsidRPr="00393437">
        <w:t>Available through: &lt;</w:t>
      </w:r>
      <w:hyperlink r:id="rId36" w:history="1">
        <w:r w:rsidR="002D7763" w:rsidRPr="00393437">
          <w:rPr>
            <w:rStyle w:val="Hyperlink"/>
            <w:color w:val="auto"/>
          </w:rPr>
          <w:t>https://libweb.anglia.ac.uk/</w:t>
        </w:r>
      </w:hyperlink>
      <w:r w:rsidR="002D7763" w:rsidRPr="00393437">
        <w:t>&gt; [Accessed 15 February 2019]</w:t>
      </w:r>
    </w:p>
    <w:p w14:paraId="43AF3186" w14:textId="0C7BF022" w:rsidR="00D173ED" w:rsidRPr="00393437" w:rsidRDefault="00B81EBA" w:rsidP="00360CB8">
      <w:pPr>
        <w:pStyle w:val="NormalWeb"/>
        <w:spacing w:before="0" w:beforeAutospacing="0" w:after="173" w:afterAutospacing="0"/>
        <w:ind w:left="720" w:hanging="720"/>
        <w:jc w:val="both"/>
      </w:pPr>
      <w:proofErr w:type="spellStart"/>
      <w:r w:rsidRPr="00393437">
        <w:t>Myint</w:t>
      </w:r>
      <w:proofErr w:type="spellEnd"/>
      <w:r w:rsidRPr="00393437">
        <w:t xml:space="preserve">, F. and Kirk, R. M., 2018. </w:t>
      </w:r>
      <w:r w:rsidRPr="00393437">
        <w:rPr>
          <w:i/>
          <w:iCs/>
        </w:rPr>
        <w:t>Kirk</w:t>
      </w:r>
      <w:r w:rsidR="00D3296F" w:rsidRPr="00393437">
        <w:rPr>
          <w:i/>
          <w:iCs/>
        </w:rPr>
        <w:t>’</w:t>
      </w:r>
      <w:r w:rsidRPr="00393437">
        <w:rPr>
          <w:i/>
          <w:iCs/>
        </w:rPr>
        <w:t>s basic surgical techniques.</w:t>
      </w:r>
      <w:r w:rsidRPr="00393437">
        <w:t xml:space="preserve"> 7</w:t>
      </w:r>
      <w:r w:rsidRPr="00393437">
        <w:rPr>
          <w:vertAlign w:val="superscript"/>
        </w:rPr>
        <w:t>th</w:t>
      </w:r>
      <w:r w:rsidRPr="00393437">
        <w:t xml:space="preserve"> </w:t>
      </w:r>
      <w:r w:rsidR="00FB6D66" w:rsidRPr="00393437">
        <w:t>e</w:t>
      </w:r>
      <w:r w:rsidRPr="00393437">
        <w:t xml:space="preserve">d. </w:t>
      </w:r>
      <w:proofErr w:type="gramStart"/>
      <w:r w:rsidRPr="00393437">
        <w:t>Amsterdam :</w:t>
      </w:r>
      <w:proofErr w:type="gramEnd"/>
      <w:r w:rsidRPr="00393437">
        <w:t xml:space="preserve"> Elsevier</w:t>
      </w:r>
      <w:r w:rsidRPr="00393437">
        <w:rPr>
          <w:rStyle w:val="media-delimiter"/>
        </w:rPr>
        <w:t xml:space="preserve"> </w:t>
      </w:r>
    </w:p>
    <w:p w14:paraId="171D5674" w14:textId="000EE875" w:rsidR="007E5481" w:rsidRPr="00393437" w:rsidRDefault="007E5481" w:rsidP="00360CB8">
      <w:pPr>
        <w:spacing w:line="240" w:lineRule="auto"/>
        <w:ind w:left="720" w:hanging="720"/>
        <w:jc w:val="both"/>
        <w:rPr>
          <w:rFonts w:cs="Times New Roman"/>
          <w:szCs w:val="24"/>
        </w:rPr>
      </w:pPr>
      <w:r w:rsidRPr="00393437">
        <w:rPr>
          <w:rFonts w:cs="Times New Roman"/>
          <w:szCs w:val="24"/>
        </w:rPr>
        <w:t>National Health Service</w:t>
      </w:r>
      <w:r w:rsidR="00E46CA1" w:rsidRPr="00393437">
        <w:rPr>
          <w:rFonts w:cs="Times New Roman"/>
          <w:szCs w:val="24"/>
        </w:rPr>
        <w:t xml:space="preserve"> of England</w:t>
      </w:r>
      <w:r w:rsidRPr="00393437">
        <w:rPr>
          <w:rFonts w:cs="Times New Roman"/>
          <w:szCs w:val="24"/>
        </w:rPr>
        <w:t xml:space="preserve">, 2018. </w:t>
      </w:r>
      <w:r w:rsidRPr="00393437">
        <w:rPr>
          <w:rFonts w:cs="Times New Roman"/>
          <w:i/>
          <w:szCs w:val="24"/>
        </w:rPr>
        <w:t>Examples: blood test</w:t>
      </w:r>
      <w:r w:rsidRPr="00393437">
        <w:rPr>
          <w:rFonts w:cs="Times New Roman"/>
          <w:szCs w:val="24"/>
        </w:rPr>
        <w:t>. [online] Available at: &lt;</w:t>
      </w:r>
      <w:hyperlink r:id="rId37" w:history="1">
        <w:r w:rsidRPr="00393437">
          <w:rPr>
            <w:rStyle w:val="Hyperlink"/>
            <w:rFonts w:cs="Times New Roman"/>
            <w:color w:val="auto"/>
            <w:szCs w:val="24"/>
          </w:rPr>
          <w:t>https://www.nhs.uk/conditions/blood-tests/types/</w:t>
        </w:r>
      </w:hyperlink>
      <w:r w:rsidRPr="00393437">
        <w:rPr>
          <w:rFonts w:cs="Times New Roman"/>
          <w:szCs w:val="24"/>
        </w:rPr>
        <w:t>&gt; [Accessed 20 February 2019]</w:t>
      </w:r>
    </w:p>
    <w:p w14:paraId="22574B67" w14:textId="6FAF1967" w:rsidR="009E0CDA" w:rsidRPr="00393437" w:rsidRDefault="007E5481" w:rsidP="00360CB8">
      <w:pPr>
        <w:spacing w:line="240" w:lineRule="auto"/>
        <w:ind w:left="720" w:hanging="720"/>
        <w:jc w:val="both"/>
        <w:rPr>
          <w:rFonts w:cs="Times New Roman"/>
          <w:szCs w:val="24"/>
        </w:rPr>
      </w:pPr>
      <w:r w:rsidRPr="00393437">
        <w:rPr>
          <w:rFonts w:cs="Times New Roman"/>
          <w:szCs w:val="24"/>
        </w:rPr>
        <w:t>National Health Service of England, 2018.</w:t>
      </w:r>
      <w:r w:rsidRPr="00393437">
        <w:rPr>
          <w:rFonts w:cs="Times New Roman"/>
          <w:i/>
          <w:iCs/>
          <w:szCs w:val="24"/>
        </w:rPr>
        <w:t xml:space="preserve"> Confidentiality policy. </w:t>
      </w:r>
      <w:r w:rsidRPr="00393437">
        <w:rPr>
          <w:rFonts w:cs="Times New Roman"/>
          <w:szCs w:val="24"/>
        </w:rPr>
        <w:t>[online] Available at: &lt;</w:t>
      </w:r>
      <w:hyperlink r:id="rId38" w:tgtFrame="_blank" w:history="1">
        <w:r w:rsidRPr="00393437">
          <w:rPr>
            <w:rStyle w:val="Hyperlink"/>
            <w:rFonts w:cs="Times New Roman"/>
            <w:color w:val="auto"/>
            <w:szCs w:val="24"/>
          </w:rPr>
          <w:t>https://www.england.nhs.uk/wp-content/uploads/2016/12/confidentiality-policy-v4.pdf</w:t>
        </w:r>
      </w:hyperlink>
      <w:r w:rsidRPr="00393437">
        <w:rPr>
          <w:rFonts w:cs="Times New Roman"/>
          <w:szCs w:val="24"/>
        </w:rPr>
        <w:t>&gt;</w:t>
      </w:r>
      <w:r w:rsidR="009E0CDA" w:rsidRPr="00393437">
        <w:rPr>
          <w:rFonts w:cs="Times New Roman"/>
          <w:szCs w:val="24"/>
        </w:rPr>
        <w:t xml:space="preserve"> [Accessed 26 February 2019]</w:t>
      </w:r>
    </w:p>
    <w:p w14:paraId="662F3520" w14:textId="3819AB23" w:rsidR="007E5481" w:rsidRPr="00393437" w:rsidRDefault="007E5481" w:rsidP="00360CB8">
      <w:pPr>
        <w:spacing w:line="240" w:lineRule="auto"/>
        <w:ind w:left="720" w:hanging="720"/>
        <w:jc w:val="both"/>
        <w:rPr>
          <w:rFonts w:cs="Times New Roman"/>
          <w:szCs w:val="24"/>
        </w:rPr>
      </w:pPr>
      <w:r w:rsidRPr="00393437">
        <w:rPr>
          <w:rFonts w:cs="Times New Roman"/>
          <w:szCs w:val="24"/>
        </w:rPr>
        <w:t>National Institute for Health and Care Excellence</w:t>
      </w:r>
      <w:r w:rsidR="00A24D97" w:rsidRPr="00393437">
        <w:rPr>
          <w:rFonts w:cs="Times New Roman"/>
          <w:szCs w:val="24"/>
        </w:rPr>
        <w:t xml:space="preserve"> (NICE)</w:t>
      </w:r>
      <w:r w:rsidRPr="00393437">
        <w:rPr>
          <w:rFonts w:cs="Times New Roman"/>
          <w:szCs w:val="24"/>
        </w:rPr>
        <w:t xml:space="preserve">, 2015. </w:t>
      </w:r>
      <w:r w:rsidRPr="00393437">
        <w:rPr>
          <w:rFonts w:cs="Times New Roman"/>
          <w:i/>
          <w:iCs/>
          <w:szCs w:val="24"/>
        </w:rPr>
        <w:t>Fractures (non-complex): assessment and management.</w:t>
      </w:r>
      <w:r w:rsidRPr="00393437">
        <w:rPr>
          <w:rFonts w:cs="Times New Roman"/>
          <w:szCs w:val="24"/>
        </w:rPr>
        <w:t xml:space="preserve"> [pdf] Available at: &lt;</w:t>
      </w:r>
      <w:hyperlink r:id="rId39" w:history="1">
        <w:r w:rsidRPr="00393437">
          <w:rPr>
            <w:rStyle w:val="Hyperlink"/>
            <w:rFonts w:cs="Times New Roman"/>
            <w:color w:val="auto"/>
            <w:szCs w:val="24"/>
          </w:rPr>
          <w:t>https://www.nice.org.uk/guidance/ng38</w:t>
        </w:r>
      </w:hyperlink>
      <w:r w:rsidRPr="00393437">
        <w:rPr>
          <w:rFonts w:cs="Times New Roman"/>
          <w:szCs w:val="24"/>
        </w:rPr>
        <w:t>&gt; [Accessed 18 February 2019]</w:t>
      </w:r>
    </w:p>
    <w:p w14:paraId="58904CDB" w14:textId="0BC9D433" w:rsidR="007D622E" w:rsidRPr="00393437" w:rsidRDefault="007D622E" w:rsidP="00360CB8">
      <w:pPr>
        <w:spacing w:line="240" w:lineRule="auto"/>
        <w:ind w:left="720" w:hanging="720"/>
        <w:jc w:val="both"/>
        <w:rPr>
          <w:rFonts w:cs="Times New Roman"/>
          <w:szCs w:val="24"/>
        </w:rPr>
      </w:pPr>
      <w:r w:rsidRPr="00393437">
        <w:rPr>
          <w:rFonts w:cs="Times New Roman"/>
          <w:szCs w:val="24"/>
        </w:rPr>
        <w:t xml:space="preserve">National Institute for Health and Care Excellence (NICE), 2018. </w:t>
      </w:r>
      <w:r w:rsidRPr="00393437">
        <w:rPr>
          <w:rFonts w:cs="Times New Roman"/>
          <w:i/>
          <w:szCs w:val="24"/>
        </w:rPr>
        <w:t>Preoperative test overview.</w:t>
      </w:r>
      <w:r w:rsidRPr="00393437">
        <w:rPr>
          <w:rFonts w:cs="Times New Roman"/>
          <w:szCs w:val="24"/>
        </w:rPr>
        <w:t xml:space="preserve"> [pdf] Available at: &lt;</w:t>
      </w:r>
      <w:hyperlink r:id="rId40" w:history="1">
        <w:r w:rsidRPr="00393437">
          <w:rPr>
            <w:rStyle w:val="Hyperlink"/>
            <w:rFonts w:cs="Times New Roman"/>
            <w:color w:val="auto"/>
            <w:szCs w:val="24"/>
          </w:rPr>
          <w:t>https://pathways.nice.org.uk/pathways/preoperative-tests</w:t>
        </w:r>
      </w:hyperlink>
      <w:r w:rsidRPr="00393437">
        <w:rPr>
          <w:rFonts w:cs="Times New Roman"/>
          <w:szCs w:val="24"/>
        </w:rPr>
        <w:t>&gt; [Accessed 18 February 2019]</w:t>
      </w:r>
    </w:p>
    <w:p w14:paraId="3C16099B" w14:textId="7A2EC913" w:rsidR="007E5481" w:rsidRPr="00393437" w:rsidRDefault="007E5481" w:rsidP="00360CB8">
      <w:pPr>
        <w:spacing w:line="240" w:lineRule="auto"/>
        <w:ind w:left="720" w:hanging="720"/>
        <w:jc w:val="both"/>
        <w:rPr>
          <w:rFonts w:cs="Times New Roman"/>
          <w:szCs w:val="24"/>
        </w:rPr>
      </w:pPr>
      <w:r w:rsidRPr="00393437">
        <w:rPr>
          <w:rFonts w:cs="Times New Roman"/>
          <w:szCs w:val="24"/>
        </w:rPr>
        <w:t>National Institute for Health and Care Excellence</w:t>
      </w:r>
      <w:r w:rsidR="00A24D97" w:rsidRPr="00393437">
        <w:rPr>
          <w:rFonts w:cs="Times New Roman"/>
          <w:szCs w:val="24"/>
        </w:rPr>
        <w:t xml:space="preserve"> (NICE)</w:t>
      </w:r>
      <w:r w:rsidRPr="00393437">
        <w:rPr>
          <w:rFonts w:cs="Times New Roman"/>
          <w:szCs w:val="24"/>
        </w:rPr>
        <w:t xml:space="preserve">, 2019. </w:t>
      </w:r>
      <w:r w:rsidRPr="00393437">
        <w:rPr>
          <w:rFonts w:cs="Times New Roman"/>
          <w:i/>
          <w:szCs w:val="24"/>
        </w:rPr>
        <w:t>Limb and joint fractures in hospital</w:t>
      </w:r>
      <w:r w:rsidRPr="00393437">
        <w:rPr>
          <w:rFonts w:cs="Times New Roman"/>
          <w:szCs w:val="24"/>
        </w:rPr>
        <w:t>. [pdf]</w:t>
      </w:r>
      <w:r w:rsidR="006F4FDD" w:rsidRPr="00393437">
        <w:rPr>
          <w:rFonts w:cs="Times New Roman"/>
          <w:szCs w:val="24"/>
        </w:rPr>
        <w:t xml:space="preserve"> </w:t>
      </w:r>
      <w:r w:rsidRPr="00393437">
        <w:rPr>
          <w:rFonts w:cs="Times New Roman"/>
          <w:szCs w:val="24"/>
        </w:rPr>
        <w:t>Available at: &lt;</w:t>
      </w:r>
      <w:hyperlink r:id="rId41" w:history="1">
        <w:r w:rsidRPr="00393437">
          <w:rPr>
            <w:rStyle w:val="Hyperlink"/>
            <w:rFonts w:cs="Times New Roman"/>
            <w:color w:val="auto"/>
            <w:szCs w:val="24"/>
          </w:rPr>
          <w:t>https://pathways.nice.org.uk/pathways/trauma#path=view%3A/pathways/trauma/limb-and-joint-fractures-in-hospital.xml&amp;content=view-index</w:t>
        </w:r>
      </w:hyperlink>
      <w:r w:rsidRPr="00393437">
        <w:rPr>
          <w:rStyle w:val="Hyperlink"/>
          <w:rFonts w:cs="Times New Roman"/>
          <w:color w:val="auto"/>
          <w:szCs w:val="24"/>
        </w:rPr>
        <w:t xml:space="preserve">&gt; </w:t>
      </w:r>
      <w:r w:rsidRPr="00393437">
        <w:rPr>
          <w:rFonts w:cs="Times New Roman"/>
          <w:szCs w:val="24"/>
        </w:rPr>
        <w:t>[Accessed 18 February 2019]</w:t>
      </w:r>
    </w:p>
    <w:p w14:paraId="1B16BC20" w14:textId="4C9A13FC" w:rsidR="007E5481" w:rsidRPr="00393437" w:rsidRDefault="007E5481" w:rsidP="00360CB8">
      <w:pPr>
        <w:spacing w:line="240" w:lineRule="auto"/>
        <w:ind w:left="720" w:hanging="720"/>
        <w:jc w:val="both"/>
        <w:rPr>
          <w:rFonts w:cs="Times New Roman"/>
          <w:szCs w:val="24"/>
        </w:rPr>
      </w:pPr>
      <w:r w:rsidRPr="00393437">
        <w:rPr>
          <w:rFonts w:cs="Times New Roman"/>
          <w:szCs w:val="24"/>
          <w:lang w:val="fr-FR"/>
        </w:rPr>
        <w:t>Nelson, D.L., 2018.</w:t>
      </w:r>
      <w:r w:rsidRPr="00393437">
        <w:rPr>
          <w:rFonts w:cs="Times New Roman"/>
          <w:i/>
          <w:iCs/>
          <w:szCs w:val="24"/>
          <w:lang w:val="fr-FR"/>
        </w:rPr>
        <w:t xml:space="preserve"> Distal radius fractures. </w:t>
      </w:r>
      <w:r w:rsidRPr="00393437">
        <w:rPr>
          <w:rFonts w:cs="Times New Roman"/>
          <w:szCs w:val="24"/>
        </w:rPr>
        <w:t>[online] Available at: &lt;</w:t>
      </w:r>
      <w:hyperlink r:id="rId42" w:anchor="a4" w:tgtFrame="_blank" w:history="1">
        <w:r w:rsidRPr="00393437">
          <w:rPr>
            <w:rStyle w:val="Hyperlink"/>
            <w:rFonts w:cs="Times New Roman"/>
            <w:color w:val="auto"/>
            <w:szCs w:val="24"/>
          </w:rPr>
          <w:t>https://emedicine.medscape.com/article/1245884-overview#a4</w:t>
        </w:r>
      </w:hyperlink>
      <w:r w:rsidRPr="00393437">
        <w:rPr>
          <w:rFonts w:cs="Times New Roman"/>
          <w:szCs w:val="24"/>
        </w:rPr>
        <w:t>&gt; [Accessed: 23/05/2019]</w:t>
      </w:r>
    </w:p>
    <w:p w14:paraId="36DBEB84" w14:textId="3EFCDD7A" w:rsidR="0053328F" w:rsidRPr="00393437" w:rsidRDefault="007E5481" w:rsidP="00360CB8">
      <w:pPr>
        <w:spacing w:line="240" w:lineRule="auto"/>
        <w:ind w:left="720" w:hanging="720"/>
        <w:jc w:val="both"/>
        <w:rPr>
          <w:rFonts w:cs="Times New Roman"/>
          <w:szCs w:val="24"/>
        </w:rPr>
      </w:pPr>
      <w:r w:rsidRPr="00393437">
        <w:rPr>
          <w:rFonts w:cs="Times New Roman"/>
          <w:szCs w:val="24"/>
        </w:rPr>
        <w:t xml:space="preserve">Nursing and Midwifery Council, 2015. </w:t>
      </w:r>
      <w:r w:rsidRPr="00393437">
        <w:rPr>
          <w:rFonts w:cs="Times New Roman"/>
          <w:i/>
          <w:iCs/>
          <w:szCs w:val="24"/>
        </w:rPr>
        <w:t>The Code: Professional standards of practice and behaviour for nurses and midwives</w:t>
      </w:r>
      <w:r w:rsidRPr="00393437">
        <w:rPr>
          <w:rFonts w:cs="Times New Roman"/>
          <w:szCs w:val="24"/>
        </w:rPr>
        <w:t>. [online] Available at: &lt;</w:t>
      </w:r>
      <w:hyperlink r:id="rId43" w:history="1">
        <w:r w:rsidRPr="00393437">
          <w:rPr>
            <w:rStyle w:val="Hyperlink"/>
            <w:rFonts w:cs="Times New Roman"/>
            <w:color w:val="auto"/>
            <w:szCs w:val="24"/>
          </w:rPr>
          <w:t>https://www.nmc.org.uk/standards/code/</w:t>
        </w:r>
      </w:hyperlink>
      <w:r w:rsidRPr="00393437">
        <w:rPr>
          <w:rFonts w:cs="Times New Roman"/>
          <w:szCs w:val="24"/>
        </w:rPr>
        <w:t>&gt; [Accessed 26 February 2019]</w:t>
      </w:r>
    </w:p>
    <w:p w14:paraId="6766FA6B" w14:textId="00A7F39E" w:rsidR="0053328F" w:rsidRPr="00393437" w:rsidRDefault="0053328F" w:rsidP="00360CB8">
      <w:pPr>
        <w:pStyle w:val="NormalWeb"/>
        <w:spacing w:before="0" w:beforeAutospacing="0" w:after="173" w:afterAutospacing="0"/>
        <w:ind w:left="720" w:hanging="720"/>
        <w:jc w:val="both"/>
      </w:pPr>
      <w:r w:rsidRPr="00393437">
        <w:t xml:space="preserve">Pathan, H. and Williams, J., 2012. Basic opioid pharmacology: an update. </w:t>
      </w:r>
      <w:r w:rsidRPr="00393437">
        <w:rPr>
          <w:i/>
          <w:iCs/>
        </w:rPr>
        <w:t xml:space="preserve">British Journal of Pain, </w:t>
      </w:r>
      <w:r w:rsidRPr="00393437">
        <w:t xml:space="preserve">[e-journal] 6 (1), pp.11-16. </w:t>
      </w:r>
      <w:hyperlink r:id="rId44" w:history="1">
        <w:r w:rsidR="00B24A60" w:rsidRPr="00393437">
          <w:rPr>
            <w:rStyle w:val="Hyperlink"/>
            <w:color w:val="auto"/>
          </w:rPr>
          <w:t>http://dx.doi.org/10.1177/2049463712438493</w:t>
        </w:r>
      </w:hyperlink>
      <w:r w:rsidRPr="00393437">
        <w:t>.</w:t>
      </w:r>
    </w:p>
    <w:p w14:paraId="0024BC2A" w14:textId="4C6332B8" w:rsidR="0053328F" w:rsidRPr="00393437" w:rsidRDefault="0053328F" w:rsidP="00360CB8">
      <w:pPr>
        <w:pStyle w:val="NormalWeb"/>
        <w:spacing w:before="0" w:beforeAutospacing="0" w:after="173" w:afterAutospacing="0"/>
        <w:ind w:left="720" w:hanging="720"/>
        <w:jc w:val="both"/>
      </w:pPr>
      <w:r w:rsidRPr="00393437">
        <w:t>Ramachandran, M. and Nunn, T., 2017.</w:t>
      </w:r>
      <w:r w:rsidRPr="00393437">
        <w:rPr>
          <w:i/>
          <w:iCs/>
        </w:rPr>
        <w:t xml:space="preserve"> Basic orthopaedic </w:t>
      </w:r>
      <w:proofErr w:type="gramStart"/>
      <w:r w:rsidRPr="00393437">
        <w:rPr>
          <w:i/>
          <w:iCs/>
        </w:rPr>
        <w:t>sciences :</w:t>
      </w:r>
      <w:proofErr w:type="gramEnd"/>
      <w:r w:rsidRPr="00393437">
        <w:rPr>
          <w:i/>
          <w:iCs/>
        </w:rPr>
        <w:t xml:space="preserve"> the Stanmore guide. </w:t>
      </w:r>
      <w:r w:rsidR="00A91886" w:rsidRPr="00393437">
        <w:t>2</w:t>
      </w:r>
      <w:r w:rsidR="00A91886" w:rsidRPr="00393437">
        <w:rPr>
          <w:vertAlign w:val="superscript"/>
        </w:rPr>
        <w:t>nd</w:t>
      </w:r>
      <w:r w:rsidRPr="00393437">
        <w:t xml:space="preserve"> edition ed. Boca </w:t>
      </w:r>
      <w:proofErr w:type="gramStart"/>
      <w:r w:rsidRPr="00393437">
        <w:t>Raton :</w:t>
      </w:r>
      <w:proofErr w:type="gramEnd"/>
      <w:r w:rsidRPr="00393437">
        <w:t xml:space="preserve"> CRC Press.</w:t>
      </w:r>
    </w:p>
    <w:p w14:paraId="1C535022" w14:textId="2DFBE044" w:rsidR="0053328F" w:rsidRPr="00393437" w:rsidRDefault="0053328F" w:rsidP="00360CB8">
      <w:pPr>
        <w:pStyle w:val="NormalWeb"/>
        <w:spacing w:before="0" w:beforeAutospacing="0" w:after="173" w:afterAutospacing="0"/>
        <w:ind w:left="720" w:hanging="720"/>
        <w:jc w:val="both"/>
      </w:pPr>
      <w:r w:rsidRPr="00393437">
        <w:t>Rothrock, J.C., McEwen, D.R. and Alexander, E.L., 2015.</w:t>
      </w:r>
      <w:r w:rsidRPr="00393437">
        <w:rPr>
          <w:i/>
          <w:iCs/>
        </w:rPr>
        <w:t xml:space="preserve"> Alexander</w:t>
      </w:r>
      <w:r w:rsidR="00D3296F" w:rsidRPr="00393437">
        <w:rPr>
          <w:i/>
          <w:iCs/>
        </w:rPr>
        <w:t>’</w:t>
      </w:r>
      <w:r w:rsidRPr="00393437">
        <w:rPr>
          <w:i/>
          <w:iCs/>
        </w:rPr>
        <w:t xml:space="preserve">s care of the patient in surgery. </w:t>
      </w:r>
      <w:r w:rsidR="0052791F" w:rsidRPr="00393437">
        <w:t>15</w:t>
      </w:r>
      <w:r w:rsidR="0052791F" w:rsidRPr="00393437">
        <w:rPr>
          <w:vertAlign w:val="superscript"/>
        </w:rPr>
        <w:t>th</w:t>
      </w:r>
      <w:r w:rsidR="0052791F" w:rsidRPr="00393437">
        <w:t xml:space="preserve"> ed. </w:t>
      </w:r>
      <w:r w:rsidRPr="00393437">
        <w:t xml:space="preserve">[e-book] St. Louis, </w:t>
      </w:r>
      <w:proofErr w:type="gramStart"/>
      <w:r w:rsidRPr="00393437">
        <w:t>Missouri :</w:t>
      </w:r>
      <w:proofErr w:type="gramEnd"/>
      <w:r w:rsidRPr="00393437">
        <w:t xml:space="preserve"> Elsevier. </w:t>
      </w:r>
      <w:r w:rsidR="00A91886" w:rsidRPr="00393437">
        <w:t>Available through: &lt;</w:t>
      </w:r>
      <w:hyperlink r:id="rId45" w:history="1">
        <w:r w:rsidR="00A91886" w:rsidRPr="00393437">
          <w:rPr>
            <w:rStyle w:val="Hyperlink"/>
            <w:color w:val="auto"/>
          </w:rPr>
          <w:t>https://libweb.anglia.ac.uk/</w:t>
        </w:r>
      </w:hyperlink>
      <w:r w:rsidR="00A91886" w:rsidRPr="00393437">
        <w:t>&gt; [Accessed 5 March 2019]</w:t>
      </w:r>
    </w:p>
    <w:p w14:paraId="32D76047" w14:textId="6B9AB130" w:rsidR="009D1B83" w:rsidRPr="00393437" w:rsidRDefault="009D1B83" w:rsidP="00360CB8">
      <w:pPr>
        <w:pStyle w:val="NormalWeb"/>
        <w:spacing w:before="0" w:beforeAutospacing="0" w:after="173" w:afterAutospacing="0"/>
        <w:ind w:left="720" w:hanging="720"/>
        <w:jc w:val="both"/>
      </w:pPr>
      <w:proofErr w:type="spellStart"/>
      <w:proofErr w:type="gramStart"/>
      <w:r w:rsidRPr="00393437">
        <w:t>Schep,</w:t>
      </w:r>
      <w:r w:rsidR="00907208" w:rsidRPr="00393437">
        <w:t>N</w:t>
      </w:r>
      <w:proofErr w:type="spellEnd"/>
      <w:r w:rsidR="00907208" w:rsidRPr="00393437">
        <w:t>.</w:t>
      </w:r>
      <w:proofErr w:type="gramEnd"/>
      <w:r w:rsidR="00907208" w:rsidRPr="00393437">
        <w:t xml:space="preserve"> W.L, 2020. Wrist fractures. BMJ Best Practice</w:t>
      </w:r>
      <w:r w:rsidR="008449DA" w:rsidRPr="00393437">
        <w:t xml:space="preserve">. [Online] Available from: </w:t>
      </w:r>
      <w:hyperlink r:id="rId46" w:history="1">
        <w:r w:rsidR="0085489D" w:rsidRPr="00393437">
          <w:rPr>
            <w:rStyle w:val="Hyperlink"/>
            <w:color w:val="auto"/>
          </w:rPr>
          <w:t>https://bestpractice.bmj.com/topics/en-us/392</w:t>
        </w:r>
      </w:hyperlink>
      <w:r w:rsidR="0085489D" w:rsidRPr="00393437">
        <w:t xml:space="preserve"> [Accessed 12 October 2020]</w:t>
      </w:r>
    </w:p>
    <w:p w14:paraId="0378DD00" w14:textId="501D522F" w:rsidR="0053328F" w:rsidRPr="00393437" w:rsidRDefault="0053328F" w:rsidP="00360CB8">
      <w:pPr>
        <w:pStyle w:val="NormalWeb"/>
        <w:spacing w:before="0" w:beforeAutospacing="0" w:after="173" w:afterAutospacing="0"/>
        <w:ind w:left="720" w:hanging="720"/>
        <w:jc w:val="both"/>
      </w:pPr>
      <w:r w:rsidRPr="00393437">
        <w:t>S</w:t>
      </w:r>
      <w:r w:rsidR="00AC45B1" w:rsidRPr="00393437">
        <w:t>hehab</w:t>
      </w:r>
      <w:r w:rsidRPr="00393437">
        <w:t xml:space="preserve">, R. and </w:t>
      </w:r>
      <w:proofErr w:type="spellStart"/>
      <w:r w:rsidRPr="00393437">
        <w:t>M</w:t>
      </w:r>
      <w:r w:rsidR="00AC45B1" w:rsidRPr="00393437">
        <w:t>irabelli</w:t>
      </w:r>
      <w:proofErr w:type="spellEnd"/>
      <w:r w:rsidRPr="00393437">
        <w:t xml:space="preserve">, M.H., 2013. Evaluation and Diagnosis of Wrist Pain: A Case-Based Approach. </w:t>
      </w:r>
      <w:r w:rsidRPr="00393437">
        <w:rPr>
          <w:i/>
          <w:iCs/>
        </w:rPr>
        <w:t xml:space="preserve">American Family Physician, </w:t>
      </w:r>
      <w:r w:rsidRPr="00393437">
        <w:t>[e-journal] 87 (8), pp.568-573. &lt;</w:t>
      </w:r>
      <w:hyperlink r:id="rId47" w:tgtFrame="_blank" w:history="1">
        <w:r w:rsidRPr="00393437">
          <w:rPr>
            <w:rStyle w:val="Hyperlink"/>
            <w:color w:val="auto"/>
          </w:rPr>
          <w:t>https://www.aafp.org/afp/2013/0415/p568.html</w:t>
        </w:r>
      </w:hyperlink>
      <w:r w:rsidRPr="00393437">
        <w:t>&gt;</w:t>
      </w:r>
      <w:r w:rsidR="00AC45B1" w:rsidRPr="00393437">
        <w:t xml:space="preserve"> [Accessed 28 February 2019]</w:t>
      </w:r>
    </w:p>
    <w:p w14:paraId="1D06A591" w14:textId="1A3ECA03" w:rsidR="00866ACC" w:rsidRPr="00393437" w:rsidRDefault="0053328F" w:rsidP="00360CB8">
      <w:pPr>
        <w:pStyle w:val="NormalWeb"/>
        <w:spacing w:before="0" w:beforeAutospacing="0" w:after="173" w:afterAutospacing="0"/>
        <w:ind w:left="720" w:hanging="720"/>
        <w:jc w:val="both"/>
      </w:pPr>
      <w:proofErr w:type="spellStart"/>
      <w:r w:rsidRPr="00393437">
        <w:lastRenderedPageBreak/>
        <w:t>Shehovych</w:t>
      </w:r>
      <w:proofErr w:type="spellEnd"/>
      <w:r w:rsidRPr="00393437">
        <w:t xml:space="preserve">, A., </w:t>
      </w:r>
      <w:proofErr w:type="spellStart"/>
      <w:r w:rsidRPr="00393437">
        <w:t>Salar</w:t>
      </w:r>
      <w:proofErr w:type="spellEnd"/>
      <w:r w:rsidRPr="00393437">
        <w:t xml:space="preserve">, O., Meyer, </w:t>
      </w:r>
      <w:proofErr w:type="gramStart"/>
      <w:r w:rsidRPr="00393437">
        <w:t>C.</w:t>
      </w:r>
      <w:proofErr w:type="gramEnd"/>
      <w:r w:rsidRPr="00393437">
        <w:t xml:space="preserve"> and Ford, D.J., 2016. Adult distal radius fractures classification systems: essential clinical knowledge or abstract memory testing?</w:t>
      </w:r>
      <w:r w:rsidR="00220FFF" w:rsidRPr="00393437">
        <w:t xml:space="preserve"> </w:t>
      </w:r>
      <w:r w:rsidR="002D3213" w:rsidRPr="00393437">
        <w:rPr>
          <w:i/>
          <w:iCs/>
        </w:rPr>
        <w:t>Annals of T</w:t>
      </w:r>
      <w:r w:rsidR="00220FFF" w:rsidRPr="00393437">
        <w:rPr>
          <w:i/>
          <w:iCs/>
        </w:rPr>
        <w:t>he Royal College of Surgeons of England</w:t>
      </w:r>
      <w:r w:rsidR="00220FFF" w:rsidRPr="00393437">
        <w:t>, [e-journal] 98(8), pp.525–531.</w:t>
      </w:r>
      <w:r w:rsidRPr="00393437">
        <w:t xml:space="preserve"> </w:t>
      </w:r>
    </w:p>
    <w:p w14:paraId="4EC3070A" w14:textId="28568950" w:rsidR="0053328F" w:rsidRPr="00393437" w:rsidRDefault="00575C3F" w:rsidP="00360CB8">
      <w:pPr>
        <w:pStyle w:val="NormalWeb"/>
        <w:spacing w:before="0" w:beforeAutospacing="0" w:after="173" w:afterAutospacing="0"/>
        <w:ind w:left="720"/>
        <w:jc w:val="both"/>
      </w:pPr>
      <w:hyperlink r:id="rId48" w:history="1">
        <w:r w:rsidR="00866ACC" w:rsidRPr="00393437">
          <w:rPr>
            <w:rStyle w:val="Hyperlink"/>
            <w:color w:val="auto"/>
          </w:rPr>
          <w:t>http://dx.doi.org/10.1308/rcsann.2016.0237</w:t>
        </w:r>
      </w:hyperlink>
      <w:r w:rsidR="0053328F" w:rsidRPr="00393437">
        <w:t>.</w:t>
      </w:r>
    </w:p>
    <w:p w14:paraId="1ADE989B" w14:textId="1D14EC81" w:rsidR="00B84481" w:rsidRPr="00393437" w:rsidRDefault="00B84481" w:rsidP="00B84481">
      <w:pPr>
        <w:pStyle w:val="NormalWeb"/>
        <w:spacing w:before="0" w:beforeAutospacing="0" w:after="173" w:afterAutospacing="0"/>
        <w:jc w:val="both"/>
      </w:pPr>
      <w:r w:rsidRPr="00393437">
        <w:t xml:space="preserve">Taylor, B. and </w:t>
      </w:r>
      <w:proofErr w:type="spellStart"/>
      <w:r w:rsidRPr="00393437">
        <w:t>Sharareh</w:t>
      </w:r>
      <w:proofErr w:type="spellEnd"/>
      <w:r w:rsidRPr="00393437">
        <w:t xml:space="preserve">, B., 2019. </w:t>
      </w:r>
      <w:r w:rsidRPr="00393437">
        <w:rPr>
          <w:i/>
          <w:iCs/>
        </w:rPr>
        <w:t>FCR approach to distal radius.</w:t>
      </w:r>
      <w:r w:rsidRPr="00393437">
        <w:t xml:space="preserve"> [online] Available at: &lt;</w:t>
      </w:r>
      <w:hyperlink r:id="rId49" w:history="1">
        <w:r w:rsidRPr="00393437">
          <w:rPr>
            <w:rStyle w:val="Hyperlink"/>
            <w:color w:val="auto"/>
          </w:rPr>
          <w:t>https://www.orthobullets.com/approaches/12071/fcr-approach-to-distal-radius</w:t>
        </w:r>
      </w:hyperlink>
      <w:r w:rsidRPr="00393437">
        <w:t>&gt; [Accessed 12</w:t>
      </w:r>
      <w:r w:rsidR="008F3DD4" w:rsidRPr="00393437">
        <w:t xml:space="preserve"> May 2020]</w:t>
      </w:r>
    </w:p>
    <w:p w14:paraId="7851B3DF" w14:textId="2C6C658A" w:rsidR="007E5481" w:rsidRPr="00393437" w:rsidRDefault="007E5481" w:rsidP="00360CB8">
      <w:pPr>
        <w:spacing w:line="240" w:lineRule="auto"/>
        <w:ind w:left="720" w:hanging="720"/>
        <w:jc w:val="both"/>
        <w:rPr>
          <w:rStyle w:val="Hyperlink"/>
          <w:rFonts w:cs="Times New Roman"/>
          <w:color w:val="auto"/>
          <w:szCs w:val="24"/>
        </w:rPr>
      </w:pPr>
      <w:r w:rsidRPr="00393437">
        <w:rPr>
          <w:rFonts w:cs="Times New Roman"/>
          <w:szCs w:val="24"/>
        </w:rPr>
        <w:t xml:space="preserve">The Royal College of Surgeons of England (RCS), 2014. </w:t>
      </w:r>
      <w:r w:rsidRPr="00393437">
        <w:rPr>
          <w:rFonts w:cs="Times New Roman"/>
          <w:i/>
          <w:iCs/>
          <w:szCs w:val="24"/>
        </w:rPr>
        <w:t>The good surgical practice.</w:t>
      </w:r>
      <w:r w:rsidRPr="00393437">
        <w:rPr>
          <w:rFonts w:cs="Times New Roman"/>
          <w:szCs w:val="24"/>
        </w:rPr>
        <w:t xml:space="preserve"> [pdf] Available at:</w:t>
      </w:r>
      <w:r w:rsidR="000F4AC3" w:rsidRPr="00393437">
        <w:rPr>
          <w:rFonts w:cs="Times New Roman"/>
          <w:szCs w:val="24"/>
        </w:rPr>
        <w:t xml:space="preserve"> &lt;</w:t>
      </w:r>
      <w:hyperlink r:id="rId50" w:history="1">
        <w:r w:rsidR="009374DA" w:rsidRPr="00393437">
          <w:rPr>
            <w:rStyle w:val="Hyperlink"/>
            <w:rFonts w:cs="Times New Roman"/>
            <w:color w:val="auto"/>
            <w:szCs w:val="24"/>
          </w:rPr>
          <w:t>https://www.rcseng.ac.uk/standards-and-research/gsp/</w:t>
        </w:r>
      </w:hyperlink>
      <w:r w:rsidR="009374DA" w:rsidRPr="00393437">
        <w:rPr>
          <w:rFonts w:cs="Times New Roman"/>
          <w:szCs w:val="24"/>
        </w:rPr>
        <w:t>&gt;</w:t>
      </w:r>
      <w:r w:rsidRPr="00393437">
        <w:rPr>
          <w:rFonts w:cs="Times New Roman"/>
          <w:szCs w:val="24"/>
        </w:rPr>
        <w:t xml:space="preserve"> </w:t>
      </w:r>
      <w:r w:rsidRPr="00393437">
        <w:rPr>
          <w:rFonts w:cs="Times New Roman"/>
          <w:szCs w:val="24"/>
        </w:rPr>
        <w:fldChar w:fldCharType="begin"/>
      </w:r>
      <w:r w:rsidR="00E66F5B" w:rsidRPr="00393437">
        <w:rPr>
          <w:rFonts w:cs="Times New Roman"/>
          <w:szCs w:val="24"/>
        </w:rPr>
        <w:instrText>HYPERLINK "C:\\Users\\DROJAS\\AppData\\Local\\Microsoft\\Windows\\Temporary Internet Files\\Content.IE5\\UNMSPC6Q\\&lt;https:\\www.rcseng.ac.uk\\-\\media\\files\\rcs\\...\\gsp-2014-web.pdf&gt;"</w:instrText>
      </w:r>
      <w:r w:rsidRPr="00393437">
        <w:rPr>
          <w:rFonts w:cs="Times New Roman"/>
          <w:szCs w:val="24"/>
        </w:rPr>
        <w:fldChar w:fldCharType="separate"/>
      </w:r>
      <w:r w:rsidRPr="00393437">
        <w:rPr>
          <w:rFonts w:cs="Times New Roman"/>
          <w:szCs w:val="24"/>
        </w:rPr>
        <w:t>[Accessed 26 February 2019]</w:t>
      </w:r>
    </w:p>
    <w:p w14:paraId="182E3CCA" w14:textId="40D77828" w:rsidR="008104D0" w:rsidRPr="00393437" w:rsidRDefault="007E5481" w:rsidP="00360CB8">
      <w:pPr>
        <w:pStyle w:val="NormalWeb"/>
        <w:spacing w:before="0" w:beforeAutospacing="0" w:after="173" w:afterAutospacing="0"/>
        <w:ind w:left="720" w:hanging="720"/>
        <w:jc w:val="both"/>
      </w:pPr>
      <w:r w:rsidRPr="00393437">
        <w:fldChar w:fldCharType="end"/>
      </w:r>
      <w:r w:rsidR="008104D0" w:rsidRPr="00393437">
        <w:t xml:space="preserve"> The Royal College of Surgeons of England (RCS), 2016. </w:t>
      </w:r>
      <w:r w:rsidR="008104D0" w:rsidRPr="00393437">
        <w:rPr>
          <w:i/>
          <w:iCs/>
        </w:rPr>
        <w:t>Consent: Supported decision making- a good practice guide.</w:t>
      </w:r>
      <w:r w:rsidR="008104D0" w:rsidRPr="00393437">
        <w:t xml:space="preserve"> [pdf] Available at: &lt;</w:t>
      </w:r>
      <w:hyperlink r:id="rId51" w:history="1">
        <w:r w:rsidR="008104D0" w:rsidRPr="00393437">
          <w:rPr>
            <w:rStyle w:val="Hyperlink"/>
            <w:color w:val="auto"/>
          </w:rPr>
          <w:t>https://www.rcseng.ac.uk/library-and-publications/rcs-publications/docs/consent-good-practice-guide/</w:t>
        </w:r>
      </w:hyperlink>
      <w:r w:rsidR="008104D0" w:rsidRPr="00393437">
        <w:t>&gt; [Accessed 10 April 2019]</w:t>
      </w:r>
    </w:p>
    <w:p w14:paraId="40DEC47C" w14:textId="77777777" w:rsidR="008104D0" w:rsidRPr="00393437" w:rsidRDefault="008104D0" w:rsidP="00360CB8">
      <w:pPr>
        <w:pStyle w:val="NormalWeb"/>
        <w:spacing w:before="0" w:beforeAutospacing="0" w:after="173" w:afterAutospacing="0"/>
        <w:ind w:left="720" w:hanging="720"/>
        <w:jc w:val="both"/>
      </w:pPr>
      <w:r w:rsidRPr="00393437">
        <w:t xml:space="preserve">The Royal College of Surgeons of England (RCS), 2018. </w:t>
      </w:r>
      <w:r w:rsidRPr="00393437">
        <w:rPr>
          <w:i/>
        </w:rPr>
        <w:t>Consent</w:t>
      </w:r>
      <w:r w:rsidRPr="00393437">
        <w:t>. [online] Available at: &lt;</w:t>
      </w:r>
      <w:hyperlink r:id="rId52" w:history="1">
        <w:r w:rsidRPr="00393437">
          <w:rPr>
            <w:rStyle w:val="Hyperlink"/>
            <w:color w:val="auto"/>
          </w:rPr>
          <w:t>https://www.rcseng.ac.uk/standards-and-research/gsp/domain-3/3-5-1-consent/</w:t>
        </w:r>
      </w:hyperlink>
      <w:r w:rsidRPr="00393437">
        <w:t>&gt; [Accessed 26 February 2019]</w:t>
      </w:r>
    </w:p>
    <w:p w14:paraId="45B299E9" w14:textId="7EE75B92" w:rsidR="007E5481" w:rsidRPr="00393437" w:rsidRDefault="008104D0" w:rsidP="00360CB8">
      <w:pPr>
        <w:pStyle w:val="NormalWeb"/>
        <w:spacing w:before="0" w:beforeAutospacing="0" w:after="173" w:afterAutospacing="0"/>
        <w:ind w:left="720" w:hanging="720"/>
        <w:jc w:val="both"/>
      </w:pPr>
      <w:r w:rsidRPr="00393437">
        <w:t xml:space="preserve">The Royal College of Surgeons of England (RCS), 2018. </w:t>
      </w:r>
      <w:r w:rsidRPr="00393437">
        <w:rPr>
          <w:i/>
          <w:iCs/>
        </w:rPr>
        <w:t>Surgical Care Team guidance framework.</w:t>
      </w:r>
      <w:r w:rsidRPr="00393437">
        <w:t xml:space="preserve"> [pdf] Available at: &lt;</w:t>
      </w:r>
      <w:hyperlink r:id="rId53" w:history="1">
        <w:r w:rsidRPr="00393437">
          <w:rPr>
            <w:rStyle w:val="Hyperlink"/>
            <w:color w:val="auto"/>
          </w:rPr>
          <w:t>https://www.rcseng.ac.uk/standards-and-research/standards-and-guidance/service-standards/surgical-care-team-guidance/</w:t>
        </w:r>
      </w:hyperlink>
      <w:r w:rsidRPr="00393437">
        <w:t>&gt; [Accessed 26 February 2019]</w:t>
      </w:r>
    </w:p>
    <w:p w14:paraId="0CB0E5FB" w14:textId="5EB80846" w:rsidR="004C6BD2" w:rsidRPr="00393437" w:rsidRDefault="004C6BD2" w:rsidP="004C6BD2">
      <w:pPr>
        <w:pStyle w:val="NormalWeb"/>
        <w:spacing w:before="0" w:beforeAutospacing="0" w:after="173" w:afterAutospacing="0"/>
        <w:ind w:left="720" w:hanging="720"/>
        <w:jc w:val="both"/>
      </w:pPr>
      <w:r w:rsidRPr="00393437">
        <w:t xml:space="preserve">The Royal College of Surgeons of England (RCS), 2020. </w:t>
      </w:r>
      <w:r w:rsidRPr="00393437">
        <w:rPr>
          <w:i/>
          <w:iCs/>
        </w:rPr>
        <w:t>Surgical Care Practitioner Programmes.</w:t>
      </w:r>
      <w:r w:rsidRPr="00393437">
        <w:t xml:space="preserve"> [online] Available at: &lt;</w:t>
      </w:r>
      <w:hyperlink r:id="rId54" w:history="1">
        <w:r w:rsidRPr="00393437">
          <w:rPr>
            <w:rStyle w:val="Hyperlink"/>
            <w:color w:val="auto"/>
          </w:rPr>
          <w:t>https://www.rcseng.ac.uk/education-and-exams/accreditation/surgical-care-practitioner</w:t>
        </w:r>
      </w:hyperlink>
      <w:r w:rsidRPr="00393437">
        <w:t>/&gt; [Accessed 25 May 2020]</w:t>
      </w:r>
    </w:p>
    <w:p w14:paraId="1C57A674" w14:textId="77777777" w:rsidR="00914168" w:rsidRPr="00393437" w:rsidRDefault="0053328F" w:rsidP="00360CB8">
      <w:pPr>
        <w:pStyle w:val="NormalWeb"/>
        <w:spacing w:before="0" w:beforeAutospacing="0" w:after="173" w:afterAutospacing="0"/>
        <w:ind w:left="720" w:hanging="720"/>
        <w:jc w:val="both"/>
      </w:pPr>
      <w:proofErr w:type="spellStart"/>
      <w:r w:rsidRPr="00393437">
        <w:t>Wæver</w:t>
      </w:r>
      <w:proofErr w:type="spellEnd"/>
      <w:r w:rsidRPr="00393437">
        <w:t xml:space="preserve">, D., Madsen, M.L., </w:t>
      </w:r>
      <w:proofErr w:type="spellStart"/>
      <w:r w:rsidRPr="00393437">
        <w:t>Rölfing</w:t>
      </w:r>
      <w:proofErr w:type="spellEnd"/>
      <w:r w:rsidRPr="00393437">
        <w:t xml:space="preserve">, </w:t>
      </w:r>
      <w:proofErr w:type="spellStart"/>
      <w:proofErr w:type="gramStart"/>
      <w:r w:rsidRPr="00393437">
        <w:t>J.,Hendrik</w:t>
      </w:r>
      <w:proofErr w:type="spellEnd"/>
      <w:proofErr w:type="gramEnd"/>
      <w:r w:rsidRPr="00393437">
        <w:t xml:space="preserve"> </w:t>
      </w:r>
      <w:proofErr w:type="spellStart"/>
      <w:r w:rsidRPr="00393437">
        <w:t>Duedal</w:t>
      </w:r>
      <w:proofErr w:type="spellEnd"/>
      <w:r w:rsidRPr="00393437">
        <w:t xml:space="preserve">, </w:t>
      </w:r>
      <w:proofErr w:type="spellStart"/>
      <w:r w:rsidRPr="00393437">
        <w:t>Borris</w:t>
      </w:r>
      <w:proofErr w:type="spellEnd"/>
      <w:r w:rsidRPr="00393437">
        <w:t xml:space="preserve">, L.C., Henriksen, M., Nagel, L.L. and </w:t>
      </w:r>
      <w:proofErr w:type="spellStart"/>
      <w:r w:rsidRPr="00393437">
        <w:t>Thorninger</w:t>
      </w:r>
      <w:proofErr w:type="spellEnd"/>
      <w:r w:rsidRPr="00393437">
        <w:t>, R., 2018. Distal radius fractures are difficult to classify.</w:t>
      </w:r>
      <w:r w:rsidR="00D06C20" w:rsidRPr="00393437">
        <w:rPr>
          <w:i/>
          <w:iCs/>
        </w:rPr>
        <w:t xml:space="preserve"> </w:t>
      </w:r>
      <w:r w:rsidRPr="00393437">
        <w:rPr>
          <w:i/>
          <w:iCs/>
        </w:rPr>
        <w:t xml:space="preserve">Injury, </w:t>
      </w:r>
      <w:r w:rsidRPr="00393437">
        <w:t xml:space="preserve">[e-journal] 49, </w:t>
      </w:r>
      <w:proofErr w:type="gramStart"/>
      <w:r w:rsidRPr="00393437">
        <w:t>pp.S</w:t>
      </w:r>
      <w:proofErr w:type="gramEnd"/>
      <w:r w:rsidRPr="00393437">
        <w:t xml:space="preserve">32. </w:t>
      </w:r>
    </w:p>
    <w:p w14:paraId="59C8EB59" w14:textId="17B83E92" w:rsidR="008B0C39" w:rsidRPr="00393437" w:rsidRDefault="00575C3F" w:rsidP="00575C3F">
      <w:pPr>
        <w:pStyle w:val="NormalWeb"/>
        <w:spacing w:before="0" w:beforeAutospacing="0" w:after="173" w:afterAutospacing="0"/>
        <w:ind w:left="720"/>
        <w:jc w:val="both"/>
      </w:pPr>
      <w:hyperlink r:id="rId55" w:history="1">
        <w:r w:rsidR="00DF7F35" w:rsidRPr="00393437">
          <w:rPr>
            <w:rStyle w:val="Hyperlink"/>
            <w:color w:val="auto"/>
          </w:rPr>
          <w:t>http://dx.doi.org/10.1016/S0020-1383(18)30299-7</w:t>
        </w:r>
      </w:hyperlink>
      <w:r w:rsidR="0053328F" w:rsidRPr="00393437">
        <w:t>.</w:t>
      </w:r>
    </w:p>
    <w:sectPr w:rsidR="008B0C39" w:rsidRPr="00393437" w:rsidSect="004E23BA">
      <w:footerReference w:type="default" r:id="rId56"/>
      <w:pgSz w:w="11906" w:h="16838"/>
      <w:pgMar w:top="1417" w:right="1701" w:bottom="1417" w:left="1701" w:header="708" w:footer="708" w:gutter="0"/>
      <w:pgNumType w:fmt="numberInDash" w:start="1"/>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D6A0FD" w14:textId="77777777" w:rsidR="00501C8E" w:rsidRDefault="00501C8E" w:rsidP="0037435E">
      <w:pPr>
        <w:spacing w:after="0" w:line="240" w:lineRule="auto"/>
      </w:pPr>
      <w:r>
        <w:separator/>
      </w:r>
    </w:p>
  </w:endnote>
  <w:endnote w:type="continuationSeparator" w:id="0">
    <w:p w14:paraId="7562F2B1" w14:textId="77777777" w:rsidR="00501C8E" w:rsidRDefault="00501C8E" w:rsidP="003743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4683D" w14:textId="77777777" w:rsidR="00163B83" w:rsidRDefault="00163B83">
    <w:pPr>
      <w:pStyle w:val="Footer"/>
      <w:jc w:val="center"/>
      <w:rPr>
        <w:caps/>
        <w:noProof/>
        <w:color w:val="4472C4" w:themeColor="accent1"/>
      </w:rPr>
    </w:pPr>
    <w:r>
      <w:rPr>
        <w:caps/>
        <w:color w:val="4472C4" w:themeColor="accent1"/>
      </w:rPr>
      <w:fldChar w:fldCharType="begin"/>
    </w:r>
    <w:r>
      <w:rPr>
        <w:caps/>
        <w:color w:val="4472C4" w:themeColor="accent1"/>
      </w:rPr>
      <w:instrText xml:space="preserve"> PAGE   \* MERGEFORMAT </w:instrText>
    </w:r>
    <w:r>
      <w:rPr>
        <w:caps/>
        <w:color w:val="4472C4" w:themeColor="accent1"/>
      </w:rPr>
      <w:fldChar w:fldCharType="separate"/>
    </w:r>
    <w:r w:rsidR="001226AC">
      <w:rPr>
        <w:caps/>
        <w:noProof/>
        <w:color w:val="4472C4" w:themeColor="accent1"/>
      </w:rPr>
      <w:t>- 1 -</w:t>
    </w:r>
    <w:r>
      <w:rPr>
        <w:caps/>
        <w:noProof/>
        <w:color w:val="4472C4" w:themeColor="accent1"/>
      </w:rPr>
      <w:fldChar w:fldCharType="end"/>
    </w:r>
  </w:p>
  <w:p w14:paraId="66FF5C3B" w14:textId="77777777" w:rsidR="00163B83" w:rsidRDefault="00163B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215CEC" w14:textId="77777777" w:rsidR="00501C8E" w:rsidRDefault="00501C8E" w:rsidP="0037435E">
      <w:pPr>
        <w:spacing w:after="0" w:line="240" w:lineRule="auto"/>
      </w:pPr>
      <w:r>
        <w:separator/>
      </w:r>
    </w:p>
  </w:footnote>
  <w:footnote w:type="continuationSeparator" w:id="0">
    <w:p w14:paraId="42CBBD23" w14:textId="77777777" w:rsidR="00501C8E" w:rsidRDefault="00501C8E" w:rsidP="0037435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9DE0A68"/>
    <w:multiLevelType w:val="hybridMultilevel"/>
    <w:tmpl w:val="06FD8E1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A51878"/>
    <w:multiLevelType w:val="hybridMultilevel"/>
    <w:tmpl w:val="D128688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1A450096"/>
    <w:multiLevelType w:val="hybridMultilevel"/>
    <w:tmpl w:val="3BCC620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DE226A4"/>
    <w:multiLevelType w:val="multilevel"/>
    <w:tmpl w:val="15CA61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11012B7"/>
    <w:multiLevelType w:val="hybridMultilevel"/>
    <w:tmpl w:val="31A84C7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EA6605D"/>
    <w:multiLevelType w:val="hybridMultilevel"/>
    <w:tmpl w:val="3FDC4A26"/>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B3C2565"/>
    <w:multiLevelType w:val="hybridMultilevel"/>
    <w:tmpl w:val="B596F2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FD8076E"/>
    <w:multiLevelType w:val="hybridMultilevel"/>
    <w:tmpl w:val="7BAE61DA"/>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0B775FA"/>
    <w:multiLevelType w:val="hybridMultilevel"/>
    <w:tmpl w:val="A8FC716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5A87855"/>
    <w:multiLevelType w:val="hybridMultilevel"/>
    <w:tmpl w:val="5B1240A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8"/>
  </w:num>
  <w:num w:numId="2">
    <w:abstractNumId w:val="0"/>
  </w:num>
  <w:num w:numId="3">
    <w:abstractNumId w:val="1"/>
  </w:num>
  <w:num w:numId="4">
    <w:abstractNumId w:val="6"/>
  </w:num>
  <w:num w:numId="5">
    <w:abstractNumId w:val="4"/>
  </w:num>
  <w:num w:numId="6">
    <w:abstractNumId w:val="9"/>
  </w:num>
  <w:num w:numId="7">
    <w:abstractNumId w:val="5"/>
  </w:num>
  <w:num w:numId="8">
    <w:abstractNumId w:val="2"/>
  </w:num>
  <w:num w:numId="9">
    <w:abstractNumId w:val="3"/>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rQ0trA0trSwBNLmZko6SsGpxcWZ+XkgBWa1ACW61IYsAAAA"/>
  </w:docVars>
  <w:rsids>
    <w:rsidRoot w:val="001B6DC2"/>
    <w:rsid w:val="0000087D"/>
    <w:rsid w:val="00001A38"/>
    <w:rsid w:val="00002672"/>
    <w:rsid w:val="00002BAD"/>
    <w:rsid w:val="0000391E"/>
    <w:rsid w:val="0000450D"/>
    <w:rsid w:val="0000536E"/>
    <w:rsid w:val="000073B9"/>
    <w:rsid w:val="00007F7B"/>
    <w:rsid w:val="000201D2"/>
    <w:rsid w:val="000224F7"/>
    <w:rsid w:val="0002328D"/>
    <w:rsid w:val="00023B4A"/>
    <w:rsid w:val="00023D1F"/>
    <w:rsid w:val="00025626"/>
    <w:rsid w:val="000259B3"/>
    <w:rsid w:val="000275B4"/>
    <w:rsid w:val="00030869"/>
    <w:rsid w:val="00031168"/>
    <w:rsid w:val="00031D8D"/>
    <w:rsid w:val="000322FD"/>
    <w:rsid w:val="00033DBD"/>
    <w:rsid w:val="00035182"/>
    <w:rsid w:val="00035BC9"/>
    <w:rsid w:val="0004089A"/>
    <w:rsid w:val="0004332B"/>
    <w:rsid w:val="00043F29"/>
    <w:rsid w:val="00044EA4"/>
    <w:rsid w:val="0004621E"/>
    <w:rsid w:val="000543C4"/>
    <w:rsid w:val="000547F7"/>
    <w:rsid w:val="00054A5D"/>
    <w:rsid w:val="000565A2"/>
    <w:rsid w:val="000577AF"/>
    <w:rsid w:val="0006179B"/>
    <w:rsid w:val="00062FE4"/>
    <w:rsid w:val="000659C0"/>
    <w:rsid w:val="00067967"/>
    <w:rsid w:val="00070095"/>
    <w:rsid w:val="00070210"/>
    <w:rsid w:val="000703C5"/>
    <w:rsid w:val="00070E63"/>
    <w:rsid w:val="000713B9"/>
    <w:rsid w:val="00071611"/>
    <w:rsid w:val="000716E6"/>
    <w:rsid w:val="000768D3"/>
    <w:rsid w:val="000834BD"/>
    <w:rsid w:val="00085575"/>
    <w:rsid w:val="00085EB1"/>
    <w:rsid w:val="00085EEF"/>
    <w:rsid w:val="00091B37"/>
    <w:rsid w:val="00092154"/>
    <w:rsid w:val="00093A70"/>
    <w:rsid w:val="00094017"/>
    <w:rsid w:val="00096BDE"/>
    <w:rsid w:val="00097FC0"/>
    <w:rsid w:val="000A5078"/>
    <w:rsid w:val="000A6E3E"/>
    <w:rsid w:val="000A7D71"/>
    <w:rsid w:val="000B0795"/>
    <w:rsid w:val="000B07D4"/>
    <w:rsid w:val="000B1F95"/>
    <w:rsid w:val="000B2616"/>
    <w:rsid w:val="000B26E1"/>
    <w:rsid w:val="000B5FE1"/>
    <w:rsid w:val="000B7205"/>
    <w:rsid w:val="000C1362"/>
    <w:rsid w:val="000C2378"/>
    <w:rsid w:val="000C24F4"/>
    <w:rsid w:val="000C308B"/>
    <w:rsid w:val="000C3A63"/>
    <w:rsid w:val="000C51CA"/>
    <w:rsid w:val="000C6983"/>
    <w:rsid w:val="000C7873"/>
    <w:rsid w:val="000C7FF9"/>
    <w:rsid w:val="000D106A"/>
    <w:rsid w:val="000D4261"/>
    <w:rsid w:val="000D56BB"/>
    <w:rsid w:val="000D62A9"/>
    <w:rsid w:val="000E01C8"/>
    <w:rsid w:val="000E16C1"/>
    <w:rsid w:val="000E16DF"/>
    <w:rsid w:val="000E4867"/>
    <w:rsid w:val="000F10CA"/>
    <w:rsid w:val="000F45A4"/>
    <w:rsid w:val="000F4AC3"/>
    <w:rsid w:val="000F5348"/>
    <w:rsid w:val="000F5FB6"/>
    <w:rsid w:val="000F62AB"/>
    <w:rsid w:val="000F6EE2"/>
    <w:rsid w:val="000F79AE"/>
    <w:rsid w:val="000F7C64"/>
    <w:rsid w:val="00100523"/>
    <w:rsid w:val="001025C7"/>
    <w:rsid w:val="001028E1"/>
    <w:rsid w:val="00102D93"/>
    <w:rsid w:val="00103E3F"/>
    <w:rsid w:val="001047C2"/>
    <w:rsid w:val="001048DB"/>
    <w:rsid w:val="00104A89"/>
    <w:rsid w:val="001057DF"/>
    <w:rsid w:val="00113AF7"/>
    <w:rsid w:val="0011477C"/>
    <w:rsid w:val="001149E6"/>
    <w:rsid w:val="0011562E"/>
    <w:rsid w:val="00115AC9"/>
    <w:rsid w:val="00116442"/>
    <w:rsid w:val="00116483"/>
    <w:rsid w:val="001164FF"/>
    <w:rsid w:val="001174F1"/>
    <w:rsid w:val="00117ECB"/>
    <w:rsid w:val="00122230"/>
    <w:rsid w:val="001226AC"/>
    <w:rsid w:val="0012594A"/>
    <w:rsid w:val="00125968"/>
    <w:rsid w:val="00125E3D"/>
    <w:rsid w:val="0012662B"/>
    <w:rsid w:val="00126E68"/>
    <w:rsid w:val="00127A62"/>
    <w:rsid w:val="00127C12"/>
    <w:rsid w:val="001305DA"/>
    <w:rsid w:val="00132767"/>
    <w:rsid w:val="00132E48"/>
    <w:rsid w:val="001356AC"/>
    <w:rsid w:val="001408AA"/>
    <w:rsid w:val="001426C5"/>
    <w:rsid w:val="00147F16"/>
    <w:rsid w:val="00150A5C"/>
    <w:rsid w:val="00152172"/>
    <w:rsid w:val="00155978"/>
    <w:rsid w:val="0015598D"/>
    <w:rsid w:val="00156AEB"/>
    <w:rsid w:val="00161DDC"/>
    <w:rsid w:val="001635B4"/>
    <w:rsid w:val="00163B83"/>
    <w:rsid w:val="00165312"/>
    <w:rsid w:val="00173FDB"/>
    <w:rsid w:val="001742C0"/>
    <w:rsid w:val="00176658"/>
    <w:rsid w:val="00181217"/>
    <w:rsid w:val="00183B83"/>
    <w:rsid w:val="0019059B"/>
    <w:rsid w:val="00190CBF"/>
    <w:rsid w:val="00191E1D"/>
    <w:rsid w:val="001936A7"/>
    <w:rsid w:val="0019528D"/>
    <w:rsid w:val="001A0C21"/>
    <w:rsid w:val="001A129A"/>
    <w:rsid w:val="001A5861"/>
    <w:rsid w:val="001A6909"/>
    <w:rsid w:val="001A7D66"/>
    <w:rsid w:val="001B3597"/>
    <w:rsid w:val="001B4740"/>
    <w:rsid w:val="001B6DC2"/>
    <w:rsid w:val="001B7795"/>
    <w:rsid w:val="001C127D"/>
    <w:rsid w:val="001C1D73"/>
    <w:rsid w:val="001C4AC6"/>
    <w:rsid w:val="001C6163"/>
    <w:rsid w:val="001D4891"/>
    <w:rsid w:val="001E512B"/>
    <w:rsid w:val="001E63C6"/>
    <w:rsid w:val="001F0E73"/>
    <w:rsid w:val="001F2303"/>
    <w:rsid w:val="001F3DBE"/>
    <w:rsid w:val="001F5A50"/>
    <w:rsid w:val="00200B1F"/>
    <w:rsid w:val="00200B9E"/>
    <w:rsid w:val="00201B6C"/>
    <w:rsid w:val="00202252"/>
    <w:rsid w:val="00203989"/>
    <w:rsid w:val="002058BA"/>
    <w:rsid w:val="0021098B"/>
    <w:rsid w:val="00212046"/>
    <w:rsid w:val="00220C9A"/>
    <w:rsid w:val="00220FFF"/>
    <w:rsid w:val="002213C5"/>
    <w:rsid w:val="00222935"/>
    <w:rsid w:val="00222F2D"/>
    <w:rsid w:val="00224210"/>
    <w:rsid w:val="00225025"/>
    <w:rsid w:val="00231A34"/>
    <w:rsid w:val="00231D1A"/>
    <w:rsid w:val="00236740"/>
    <w:rsid w:val="00242379"/>
    <w:rsid w:val="002447D7"/>
    <w:rsid w:val="00244DAB"/>
    <w:rsid w:val="002466E5"/>
    <w:rsid w:val="002479C6"/>
    <w:rsid w:val="00250018"/>
    <w:rsid w:val="002509CC"/>
    <w:rsid w:val="00251B9A"/>
    <w:rsid w:val="00251FF2"/>
    <w:rsid w:val="00254056"/>
    <w:rsid w:val="00254E03"/>
    <w:rsid w:val="002552FC"/>
    <w:rsid w:val="00256B4B"/>
    <w:rsid w:val="00257273"/>
    <w:rsid w:val="002574B2"/>
    <w:rsid w:val="00260605"/>
    <w:rsid w:val="0026113F"/>
    <w:rsid w:val="002674FC"/>
    <w:rsid w:val="00274FB4"/>
    <w:rsid w:val="00275DA5"/>
    <w:rsid w:val="002761C9"/>
    <w:rsid w:val="0027696D"/>
    <w:rsid w:val="002775B4"/>
    <w:rsid w:val="0027762C"/>
    <w:rsid w:val="00277656"/>
    <w:rsid w:val="002804E0"/>
    <w:rsid w:val="00280BF5"/>
    <w:rsid w:val="00281B8A"/>
    <w:rsid w:val="00282F71"/>
    <w:rsid w:val="00283A6E"/>
    <w:rsid w:val="00286846"/>
    <w:rsid w:val="00290E8F"/>
    <w:rsid w:val="00294BCA"/>
    <w:rsid w:val="002966C7"/>
    <w:rsid w:val="0029732E"/>
    <w:rsid w:val="002A039C"/>
    <w:rsid w:val="002A08C6"/>
    <w:rsid w:val="002A12CA"/>
    <w:rsid w:val="002A3486"/>
    <w:rsid w:val="002A36D3"/>
    <w:rsid w:val="002A491A"/>
    <w:rsid w:val="002A4E6D"/>
    <w:rsid w:val="002A7F89"/>
    <w:rsid w:val="002B0017"/>
    <w:rsid w:val="002B0138"/>
    <w:rsid w:val="002B08B5"/>
    <w:rsid w:val="002B1423"/>
    <w:rsid w:val="002B2424"/>
    <w:rsid w:val="002B6398"/>
    <w:rsid w:val="002B6841"/>
    <w:rsid w:val="002B6FE4"/>
    <w:rsid w:val="002C10AD"/>
    <w:rsid w:val="002C1119"/>
    <w:rsid w:val="002C437B"/>
    <w:rsid w:val="002C66CD"/>
    <w:rsid w:val="002D0F13"/>
    <w:rsid w:val="002D2CAD"/>
    <w:rsid w:val="002D3213"/>
    <w:rsid w:val="002D5856"/>
    <w:rsid w:val="002D7763"/>
    <w:rsid w:val="002F31D4"/>
    <w:rsid w:val="002F47FB"/>
    <w:rsid w:val="002F73C9"/>
    <w:rsid w:val="0030004A"/>
    <w:rsid w:val="00301E06"/>
    <w:rsid w:val="00301FE9"/>
    <w:rsid w:val="00306AE4"/>
    <w:rsid w:val="00310CAD"/>
    <w:rsid w:val="00311264"/>
    <w:rsid w:val="0031246F"/>
    <w:rsid w:val="00312589"/>
    <w:rsid w:val="00317ECD"/>
    <w:rsid w:val="00320601"/>
    <w:rsid w:val="003241DA"/>
    <w:rsid w:val="00324206"/>
    <w:rsid w:val="00324F08"/>
    <w:rsid w:val="00324FFD"/>
    <w:rsid w:val="0033082A"/>
    <w:rsid w:val="0033139B"/>
    <w:rsid w:val="00331DDA"/>
    <w:rsid w:val="00332D86"/>
    <w:rsid w:val="00334CF8"/>
    <w:rsid w:val="003357E9"/>
    <w:rsid w:val="0033629A"/>
    <w:rsid w:val="0033752B"/>
    <w:rsid w:val="00337CCC"/>
    <w:rsid w:val="00341CC6"/>
    <w:rsid w:val="00342292"/>
    <w:rsid w:val="00342432"/>
    <w:rsid w:val="003441C6"/>
    <w:rsid w:val="00345DB1"/>
    <w:rsid w:val="003502AE"/>
    <w:rsid w:val="00350491"/>
    <w:rsid w:val="0035099B"/>
    <w:rsid w:val="00353DB4"/>
    <w:rsid w:val="003546E5"/>
    <w:rsid w:val="00355A1D"/>
    <w:rsid w:val="0035683B"/>
    <w:rsid w:val="003602C3"/>
    <w:rsid w:val="00360358"/>
    <w:rsid w:val="00360CB8"/>
    <w:rsid w:val="0036528A"/>
    <w:rsid w:val="0036765A"/>
    <w:rsid w:val="00370244"/>
    <w:rsid w:val="0037103C"/>
    <w:rsid w:val="003731CC"/>
    <w:rsid w:val="00373B05"/>
    <w:rsid w:val="0037435E"/>
    <w:rsid w:val="00375E5E"/>
    <w:rsid w:val="003762B7"/>
    <w:rsid w:val="0038173F"/>
    <w:rsid w:val="003823C0"/>
    <w:rsid w:val="00385362"/>
    <w:rsid w:val="003873C3"/>
    <w:rsid w:val="0039019B"/>
    <w:rsid w:val="003906AA"/>
    <w:rsid w:val="00393437"/>
    <w:rsid w:val="00393450"/>
    <w:rsid w:val="00397414"/>
    <w:rsid w:val="003A1B88"/>
    <w:rsid w:val="003A3124"/>
    <w:rsid w:val="003A3AC9"/>
    <w:rsid w:val="003A6472"/>
    <w:rsid w:val="003B06A8"/>
    <w:rsid w:val="003B0A1F"/>
    <w:rsid w:val="003B3728"/>
    <w:rsid w:val="003B398E"/>
    <w:rsid w:val="003B798E"/>
    <w:rsid w:val="003C0353"/>
    <w:rsid w:val="003C20F0"/>
    <w:rsid w:val="003C4388"/>
    <w:rsid w:val="003C4A4D"/>
    <w:rsid w:val="003D002C"/>
    <w:rsid w:val="003D1159"/>
    <w:rsid w:val="003D78D3"/>
    <w:rsid w:val="003D7BBD"/>
    <w:rsid w:val="003E0074"/>
    <w:rsid w:val="003E0A07"/>
    <w:rsid w:val="003E11FE"/>
    <w:rsid w:val="003E1899"/>
    <w:rsid w:val="003E2EE8"/>
    <w:rsid w:val="003E7838"/>
    <w:rsid w:val="003F41CC"/>
    <w:rsid w:val="003F46AA"/>
    <w:rsid w:val="003F5A95"/>
    <w:rsid w:val="003F6E33"/>
    <w:rsid w:val="00402F2A"/>
    <w:rsid w:val="00404CF0"/>
    <w:rsid w:val="00412A0D"/>
    <w:rsid w:val="00413B91"/>
    <w:rsid w:val="00413C3C"/>
    <w:rsid w:val="00415DA6"/>
    <w:rsid w:val="00420132"/>
    <w:rsid w:val="0042049A"/>
    <w:rsid w:val="00420669"/>
    <w:rsid w:val="00421CDD"/>
    <w:rsid w:val="004228A4"/>
    <w:rsid w:val="00423C0A"/>
    <w:rsid w:val="004241D2"/>
    <w:rsid w:val="004244E4"/>
    <w:rsid w:val="00426BB4"/>
    <w:rsid w:val="0042771C"/>
    <w:rsid w:val="00431E58"/>
    <w:rsid w:val="004333A6"/>
    <w:rsid w:val="00434C4C"/>
    <w:rsid w:val="00437A5B"/>
    <w:rsid w:val="00444ED0"/>
    <w:rsid w:val="004455FC"/>
    <w:rsid w:val="00446256"/>
    <w:rsid w:val="00447164"/>
    <w:rsid w:val="00452BE4"/>
    <w:rsid w:val="00455E1D"/>
    <w:rsid w:val="00460234"/>
    <w:rsid w:val="00462B58"/>
    <w:rsid w:val="004649D6"/>
    <w:rsid w:val="00466A46"/>
    <w:rsid w:val="004673B0"/>
    <w:rsid w:val="00471949"/>
    <w:rsid w:val="00471F07"/>
    <w:rsid w:val="00472E27"/>
    <w:rsid w:val="0047486B"/>
    <w:rsid w:val="00480B1C"/>
    <w:rsid w:val="00480FC0"/>
    <w:rsid w:val="00481374"/>
    <w:rsid w:val="00481BC2"/>
    <w:rsid w:val="004829A3"/>
    <w:rsid w:val="00482EAB"/>
    <w:rsid w:val="004845EF"/>
    <w:rsid w:val="00485877"/>
    <w:rsid w:val="00487976"/>
    <w:rsid w:val="004900CE"/>
    <w:rsid w:val="00490CB5"/>
    <w:rsid w:val="00491397"/>
    <w:rsid w:val="00492BAB"/>
    <w:rsid w:val="00494E3B"/>
    <w:rsid w:val="00496AF3"/>
    <w:rsid w:val="00497776"/>
    <w:rsid w:val="00497F04"/>
    <w:rsid w:val="004A0374"/>
    <w:rsid w:val="004A19CB"/>
    <w:rsid w:val="004A4DAA"/>
    <w:rsid w:val="004A555F"/>
    <w:rsid w:val="004A5778"/>
    <w:rsid w:val="004A6D7E"/>
    <w:rsid w:val="004A7B4A"/>
    <w:rsid w:val="004B18D2"/>
    <w:rsid w:val="004B40E6"/>
    <w:rsid w:val="004B4260"/>
    <w:rsid w:val="004B5241"/>
    <w:rsid w:val="004B6CED"/>
    <w:rsid w:val="004B7249"/>
    <w:rsid w:val="004C071E"/>
    <w:rsid w:val="004C0CC1"/>
    <w:rsid w:val="004C4F0C"/>
    <w:rsid w:val="004C58FD"/>
    <w:rsid w:val="004C5C57"/>
    <w:rsid w:val="004C5C76"/>
    <w:rsid w:val="004C6BD2"/>
    <w:rsid w:val="004D05C0"/>
    <w:rsid w:val="004D4B93"/>
    <w:rsid w:val="004D6930"/>
    <w:rsid w:val="004E0C2F"/>
    <w:rsid w:val="004E23BA"/>
    <w:rsid w:val="004E2628"/>
    <w:rsid w:val="004E4DB0"/>
    <w:rsid w:val="004E6745"/>
    <w:rsid w:val="004E6CAD"/>
    <w:rsid w:val="004E78D8"/>
    <w:rsid w:val="004E7A1A"/>
    <w:rsid w:val="004F0488"/>
    <w:rsid w:val="004F196F"/>
    <w:rsid w:val="004F2486"/>
    <w:rsid w:val="004F39C3"/>
    <w:rsid w:val="004F42F1"/>
    <w:rsid w:val="00500B1B"/>
    <w:rsid w:val="00501C8E"/>
    <w:rsid w:val="00502292"/>
    <w:rsid w:val="00502386"/>
    <w:rsid w:val="005034DA"/>
    <w:rsid w:val="00505BF9"/>
    <w:rsid w:val="00511053"/>
    <w:rsid w:val="005117C1"/>
    <w:rsid w:val="00511B6B"/>
    <w:rsid w:val="005143F1"/>
    <w:rsid w:val="00515054"/>
    <w:rsid w:val="00515524"/>
    <w:rsid w:val="005164B5"/>
    <w:rsid w:val="00516FB7"/>
    <w:rsid w:val="00521BA1"/>
    <w:rsid w:val="005226E3"/>
    <w:rsid w:val="005227B3"/>
    <w:rsid w:val="00523114"/>
    <w:rsid w:val="00524556"/>
    <w:rsid w:val="00524BE2"/>
    <w:rsid w:val="00526392"/>
    <w:rsid w:val="0052791F"/>
    <w:rsid w:val="00530887"/>
    <w:rsid w:val="00532862"/>
    <w:rsid w:val="0053328F"/>
    <w:rsid w:val="00534F9F"/>
    <w:rsid w:val="00536FC9"/>
    <w:rsid w:val="005409B5"/>
    <w:rsid w:val="00546E0F"/>
    <w:rsid w:val="00553032"/>
    <w:rsid w:val="005559DD"/>
    <w:rsid w:val="005609FF"/>
    <w:rsid w:val="00561C59"/>
    <w:rsid w:val="00562A45"/>
    <w:rsid w:val="00564234"/>
    <w:rsid w:val="00565819"/>
    <w:rsid w:val="00566F0A"/>
    <w:rsid w:val="00567D81"/>
    <w:rsid w:val="00571447"/>
    <w:rsid w:val="00572E44"/>
    <w:rsid w:val="005730ED"/>
    <w:rsid w:val="0057345E"/>
    <w:rsid w:val="00574993"/>
    <w:rsid w:val="00574CF4"/>
    <w:rsid w:val="00575C3F"/>
    <w:rsid w:val="00575EC4"/>
    <w:rsid w:val="00575FD8"/>
    <w:rsid w:val="00577374"/>
    <w:rsid w:val="005779DC"/>
    <w:rsid w:val="00580287"/>
    <w:rsid w:val="00580763"/>
    <w:rsid w:val="00582869"/>
    <w:rsid w:val="005839F3"/>
    <w:rsid w:val="00590AF2"/>
    <w:rsid w:val="00592BB2"/>
    <w:rsid w:val="00596866"/>
    <w:rsid w:val="00596D8B"/>
    <w:rsid w:val="005976F5"/>
    <w:rsid w:val="005A72FF"/>
    <w:rsid w:val="005B2761"/>
    <w:rsid w:val="005B2B39"/>
    <w:rsid w:val="005C20FA"/>
    <w:rsid w:val="005C468A"/>
    <w:rsid w:val="005C4B1F"/>
    <w:rsid w:val="005C4D21"/>
    <w:rsid w:val="005C53B2"/>
    <w:rsid w:val="005C57A5"/>
    <w:rsid w:val="005D2067"/>
    <w:rsid w:val="005D3F8B"/>
    <w:rsid w:val="005D4157"/>
    <w:rsid w:val="005D4898"/>
    <w:rsid w:val="005D49C4"/>
    <w:rsid w:val="005D7D6B"/>
    <w:rsid w:val="005E0272"/>
    <w:rsid w:val="005E1005"/>
    <w:rsid w:val="005E1DBF"/>
    <w:rsid w:val="005E2D47"/>
    <w:rsid w:val="005E585F"/>
    <w:rsid w:val="005F0372"/>
    <w:rsid w:val="005F23EC"/>
    <w:rsid w:val="005F3F19"/>
    <w:rsid w:val="005F3FA0"/>
    <w:rsid w:val="005F4231"/>
    <w:rsid w:val="005F605F"/>
    <w:rsid w:val="005F64BE"/>
    <w:rsid w:val="00600A3D"/>
    <w:rsid w:val="00601C69"/>
    <w:rsid w:val="00603E5D"/>
    <w:rsid w:val="0060559A"/>
    <w:rsid w:val="00605C80"/>
    <w:rsid w:val="00612094"/>
    <w:rsid w:val="00612F51"/>
    <w:rsid w:val="006134A7"/>
    <w:rsid w:val="006135F2"/>
    <w:rsid w:val="00614A00"/>
    <w:rsid w:val="0061542E"/>
    <w:rsid w:val="00615444"/>
    <w:rsid w:val="006168F7"/>
    <w:rsid w:val="0062005B"/>
    <w:rsid w:val="00621E6F"/>
    <w:rsid w:val="00622BB1"/>
    <w:rsid w:val="0062363A"/>
    <w:rsid w:val="00626476"/>
    <w:rsid w:val="00627559"/>
    <w:rsid w:val="00627613"/>
    <w:rsid w:val="00630A35"/>
    <w:rsid w:val="00632E66"/>
    <w:rsid w:val="00634479"/>
    <w:rsid w:val="00634F91"/>
    <w:rsid w:val="0063688D"/>
    <w:rsid w:val="00637319"/>
    <w:rsid w:val="00640E62"/>
    <w:rsid w:val="0064194D"/>
    <w:rsid w:val="00641CAB"/>
    <w:rsid w:val="006439F3"/>
    <w:rsid w:val="0064630F"/>
    <w:rsid w:val="006524AB"/>
    <w:rsid w:val="00652951"/>
    <w:rsid w:val="00656AA0"/>
    <w:rsid w:val="006612CC"/>
    <w:rsid w:val="0066272B"/>
    <w:rsid w:val="00675C5B"/>
    <w:rsid w:val="00677854"/>
    <w:rsid w:val="00680EC5"/>
    <w:rsid w:val="00681C4E"/>
    <w:rsid w:val="0068235D"/>
    <w:rsid w:val="0068348D"/>
    <w:rsid w:val="00690F97"/>
    <w:rsid w:val="00691013"/>
    <w:rsid w:val="00692804"/>
    <w:rsid w:val="00693197"/>
    <w:rsid w:val="00693F55"/>
    <w:rsid w:val="006944BD"/>
    <w:rsid w:val="00694A13"/>
    <w:rsid w:val="00694EEC"/>
    <w:rsid w:val="00695852"/>
    <w:rsid w:val="00695BC8"/>
    <w:rsid w:val="00696245"/>
    <w:rsid w:val="00696D42"/>
    <w:rsid w:val="00697C82"/>
    <w:rsid w:val="006A0B1E"/>
    <w:rsid w:val="006A3064"/>
    <w:rsid w:val="006A65D1"/>
    <w:rsid w:val="006A6EC5"/>
    <w:rsid w:val="006B41B3"/>
    <w:rsid w:val="006C1EA9"/>
    <w:rsid w:val="006C3008"/>
    <w:rsid w:val="006C3C13"/>
    <w:rsid w:val="006C5E67"/>
    <w:rsid w:val="006C7C8A"/>
    <w:rsid w:val="006D1A3E"/>
    <w:rsid w:val="006D3044"/>
    <w:rsid w:val="006D39FA"/>
    <w:rsid w:val="006D57C9"/>
    <w:rsid w:val="006D5893"/>
    <w:rsid w:val="006D780F"/>
    <w:rsid w:val="006E0A14"/>
    <w:rsid w:val="006E3384"/>
    <w:rsid w:val="006E4235"/>
    <w:rsid w:val="006E513C"/>
    <w:rsid w:val="006E610C"/>
    <w:rsid w:val="006E7FDA"/>
    <w:rsid w:val="006F0CC4"/>
    <w:rsid w:val="006F2FB5"/>
    <w:rsid w:val="006F3695"/>
    <w:rsid w:val="006F4521"/>
    <w:rsid w:val="006F460C"/>
    <w:rsid w:val="006F4FDD"/>
    <w:rsid w:val="006F6448"/>
    <w:rsid w:val="006F6F23"/>
    <w:rsid w:val="006F7EAC"/>
    <w:rsid w:val="00706A1E"/>
    <w:rsid w:val="007075C3"/>
    <w:rsid w:val="0071026F"/>
    <w:rsid w:val="007124F6"/>
    <w:rsid w:val="0071296A"/>
    <w:rsid w:val="00714365"/>
    <w:rsid w:val="0071672A"/>
    <w:rsid w:val="00716BB4"/>
    <w:rsid w:val="00722272"/>
    <w:rsid w:val="00722A85"/>
    <w:rsid w:val="00722B2D"/>
    <w:rsid w:val="00722DDD"/>
    <w:rsid w:val="00723483"/>
    <w:rsid w:val="007235E1"/>
    <w:rsid w:val="007274D7"/>
    <w:rsid w:val="00730780"/>
    <w:rsid w:val="00732E24"/>
    <w:rsid w:val="00734507"/>
    <w:rsid w:val="0073600C"/>
    <w:rsid w:val="00736C6A"/>
    <w:rsid w:val="00737639"/>
    <w:rsid w:val="00743DC3"/>
    <w:rsid w:val="00744D9C"/>
    <w:rsid w:val="00750887"/>
    <w:rsid w:val="00752FB6"/>
    <w:rsid w:val="00754610"/>
    <w:rsid w:val="0075631E"/>
    <w:rsid w:val="007572C0"/>
    <w:rsid w:val="007630DA"/>
    <w:rsid w:val="007642AB"/>
    <w:rsid w:val="00766A86"/>
    <w:rsid w:val="007672C2"/>
    <w:rsid w:val="00767688"/>
    <w:rsid w:val="00770739"/>
    <w:rsid w:val="007828CD"/>
    <w:rsid w:val="00792558"/>
    <w:rsid w:val="007945D5"/>
    <w:rsid w:val="00797083"/>
    <w:rsid w:val="0079790A"/>
    <w:rsid w:val="007A3EE6"/>
    <w:rsid w:val="007A54A3"/>
    <w:rsid w:val="007A58FD"/>
    <w:rsid w:val="007A6662"/>
    <w:rsid w:val="007B3340"/>
    <w:rsid w:val="007B3C0D"/>
    <w:rsid w:val="007B5437"/>
    <w:rsid w:val="007B57B4"/>
    <w:rsid w:val="007B6107"/>
    <w:rsid w:val="007B669D"/>
    <w:rsid w:val="007B6A1E"/>
    <w:rsid w:val="007B7724"/>
    <w:rsid w:val="007C0003"/>
    <w:rsid w:val="007C3A78"/>
    <w:rsid w:val="007C661F"/>
    <w:rsid w:val="007D11AF"/>
    <w:rsid w:val="007D2B20"/>
    <w:rsid w:val="007D4678"/>
    <w:rsid w:val="007D4E46"/>
    <w:rsid w:val="007D6034"/>
    <w:rsid w:val="007D622E"/>
    <w:rsid w:val="007D71AE"/>
    <w:rsid w:val="007D7277"/>
    <w:rsid w:val="007E425A"/>
    <w:rsid w:val="007E45E9"/>
    <w:rsid w:val="007E5481"/>
    <w:rsid w:val="007E70B7"/>
    <w:rsid w:val="007E7FF2"/>
    <w:rsid w:val="007F08CC"/>
    <w:rsid w:val="007F2C23"/>
    <w:rsid w:val="008006C6"/>
    <w:rsid w:val="008104D0"/>
    <w:rsid w:val="00812A8C"/>
    <w:rsid w:val="00816EFF"/>
    <w:rsid w:val="008177DE"/>
    <w:rsid w:val="00823C8F"/>
    <w:rsid w:val="008249AB"/>
    <w:rsid w:val="00825BA9"/>
    <w:rsid w:val="00826320"/>
    <w:rsid w:val="00826CCD"/>
    <w:rsid w:val="00830C12"/>
    <w:rsid w:val="00832C8D"/>
    <w:rsid w:val="00832CFF"/>
    <w:rsid w:val="00834A7A"/>
    <w:rsid w:val="00837666"/>
    <w:rsid w:val="0084206E"/>
    <w:rsid w:val="00842A2F"/>
    <w:rsid w:val="00842CCF"/>
    <w:rsid w:val="00842D79"/>
    <w:rsid w:val="008449DA"/>
    <w:rsid w:val="00845719"/>
    <w:rsid w:val="00845B22"/>
    <w:rsid w:val="008517C5"/>
    <w:rsid w:val="00852281"/>
    <w:rsid w:val="0085489D"/>
    <w:rsid w:val="00855FC2"/>
    <w:rsid w:val="00861CB5"/>
    <w:rsid w:val="00863D25"/>
    <w:rsid w:val="00866ACC"/>
    <w:rsid w:val="0087402B"/>
    <w:rsid w:val="00874AF0"/>
    <w:rsid w:val="00874D53"/>
    <w:rsid w:val="00874FB2"/>
    <w:rsid w:val="00876A44"/>
    <w:rsid w:val="00884383"/>
    <w:rsid w:val="00885D76"/>
    <w:rsid w:val="008868C7"/>
    <w:rsid w:val="008879AE"/>
    <w:rsid w:val="00892D3E"/>
    <w:rsid w:val="00893918"/>
    <w:rsid w:val="00895575"/>
    <w:rsid w:val="008965CA"/>
    <w:rsid w:val="0089688D"/>
    <w:rsid w:val="008977C8"/>
    <w:rsid w:val="008A111B"/>
    <w:rsid w:val="008A44AA"/>
    <w:rsid w:val="008A5985"/>
    <w:rsid w:val="008A6FE6"/>
    <w:rsid w:val="008A7A78"/>
    <w:rsid w:val="008B0C39"/>
    <w:rsid w:val="008B16CD"/>
    <w:rsid w:val="008B1BCA"/>
    <w:rsid w:val="008B25CC"/>
    <w:rsid w:val="008B3ADC"/>
    <w:rsid w:val="008B3DE4"/>
    <w:rsid w:val="008B4336"/>
    <w:rsid w:val="008C508B"/>
    <w:rsid w:val="008C5506"/>
    <w:rsid w:val="008D01B5"/>
    <w:rsid w:val="008D0B28"/>
    <w:rsid w:val="008D54C8"/>
    <w:rsid w:val="008E29EC"/>
    <w:rsid w:val="008E54ED"/>
    <w:rsid w:val="008E5753"/>
    <w:rsid w:val="008E6E16"/>
    <w:rsid w:val="008F1C0F"/>
    <w:rsid w:val="008F2975"/>
    <w:rsid w:val="008F3DD4"/>
    <w:rsid w:val="008F46F2"/>
    <w:rsid w:val="00900974"/>
    <w:rsid w:val="009017AF"/>
    <w:rsid w:val="00901D0C"/>
    <w:rsid w:val="00902395"/>
    <w:rsid w:val="00902437"/>
    <w:rsid w:val="00906F1E"/>
    <w:rsid w:val="00907208"/>
    <w:rsid w:val="00912ABD"/>
    <w:rsid w:val="00914168"/>
    <w:rsid w:val="00915EC9"/>
    <w:rsid w:val="00916B47"/>
    <w:rsid w:val="009176C6"/>
    <w:rsid w:val="00917C42"/>
    <w:rsid w:val="00921261"/>
    <w:rsid w:val="00922109"/>
    <w:rsid w:val="009245CA"/>
    <w:rsid w:val="00924DBD"/>
    <w:rsid w:val="00927176"/>
    <w:rsid w:val="00927CE0"/>
    <w:rsid w:val="009314AC"/>
    <w:rsid w:val="0093245D"/>
    <w:rsid w:val="00933027"/>
    <w:rsid w:val="00934F3F"/>
    <w:rsid w:val="009358FD"/>
    <w:rsid w:val="009374DA"/>
    <w:rsid w:val="00943D17"/>
    <w:rsid w:val="00945ED1"/>
    <w:rsid w:val="00947CDC"/>
    <w:rsid w:val="0095429F"/>
    <w:rsid w:val="00954551"/>
    <w:rsid w:val="009546D4"/>
    <w:rsid w:val="009619DD"/>
    <w:rsid w:val="00966D70"/>
    <w:rsid w:val="00970262"/>
    <w:rsid w:val="00971972"/>
    <w:rsid w:val="00972C60"/>
    <w:rsid w:val="0097567D"/>
    <w:rsid w:val="009822A4"/>
    <w:rsid w:val="00984A1C"/>
    <w:rsid w:val="009857F8"/>
    <w:rsid w:val="009976EC"/>
    <w:rsid w:val="00997758"/>
    <w:rsid w:val="00997AD8"/>
    <w:rsid w:val="00997DDC"/>
    <w:rsid w:val="009A1B82"/>
    <w:rsid w:val="009A27FB"/>
    <w:rsid w:val="009A3D6E"/>
    <w:rsid w:val="009A5453"/>
    <w:rsid w:val="009A7D4F"/>
    <w:rsid w:val="009B02BE"/>
    <w:rsid w:val="009B16FB"/>
    <w:rsid w:val="009B1F99"/>
    <w:rsid w:val="009B2F63"/>
    <w:rsid w:val="009B4111"/>
    <w:rsid w:val="009B4665"/>
    <w:rsid w:val="009B482E"/>
    <w:rsid w:val="009B78F4"/>
    <w:rsid w:val="009C007C"/>
    <w:rsid w:val="009C0E44"/>
    <w:rsid w:val="009C3E21"/>
    <w:rsid w:val="009C5098"/>
    <w:rsid w:val="009D1B83"/>
    <w:rsid w:val="009D2DFA"/>
    <w:rsid w:val="009D59AB"/>
    <w:rsid w:val="009D6DFF"/>
    <w:rsid w:val="009E0CDA"/>
    <w:rsid w:val="009E1886"/>
    <w:rsid w:val="009E4330"/>
    <w:rsid w:val="009E55EB"/>
    <w:rsid w:val="009E62B6"/>
    <w:rsid w:val="009F419F"/>
    <w:rsid w:val="009F4505"/>
    <w:rsid w:val="009F553B"/>
    <w:rsid w:val="009F5BDE"/>
    <w:rsid w:val="00A03D07"/>
    <w:rsid w:val="00A03DA5"/>
    <w:rsid w:val="00A047A7"/>
    <w:rsid w:val="00A04A9E"/>
    <w:rsid w:val="00A0500B"/>
    <w:rsid w:val="00A054B3"/>
    <w:rsid w:val="00A0557C"/>
    <w:rsid w:val="00A05580"/>
    <w:rsid w:val="00A077FD"/>
    <w:rsid w:val="00A108AE"/>
    <w:rsid w:val="00A11051"/>
    <w:rsid w:val="00A11922"/>
    <w:rsid w:val="00A11C46"/>
    <w:rsid w:val="00A1240D"/>
    <w:rsid w:val="00A13663"/>
    <w:rsid w:val="00A16131"/>
    <w:rsid w:val="00A245EA"/>
    <w:rsid w:val="00A24D97"/>
    <w:rsid w:val="00A26485"/>
    <w:rsid w:val="00A40152"/>
    <w:rsid w:val="00A44742"/>
    <w:rsid w:val="00A47622"/>
    <w:rsid w:val="00A47F5C"/>
    <w:rsid w:val="00A50621"/>
    <w:rsid w:val="00A51D57"/>
    <w:rsid w:val="00A555BA"/>
    <w:rsid w:val="00A612F4"/>
    <w:rsid w:val="00A62720"/>
    <w:rsid w:val="00A645F2"/>
    <w:rsid w:val="00A66678"/>
    <w:rsid w:val="00A70591"/>
    <w:rsid w:val="00A717F2"/>
    <w:rsid w:val="00A7268E"/>
    <w:rsid w:val="00A72C95"/>
    <w:rsid w:val="00A73F7B"/>
    <w:rsid w:val="00A74C3E"/>
    <w:rsid w:val="00A74E57"/>
    <w:rsid w:val="00A761FB"/>
    <w:rsid w:val="00A8146C"/>
    <w:rsid w:val="00A85339"/>
    <w:rsid w:val="00A87F79"/>
    <w:rsid w:val="00A90F0A"/>
    <w:rsid w:val="00A91886"/>
    <w:rsid w:val="00A92E13"/>
    <w:rsid w:val="00A9733E"/>
    <w:rsid w:val="00A9796C"/>
    <w:rsid w:val="00A97D70"/>
    <w:rsid w:val="00AA1458"/>
    <w:rsid w:val="00AA3F85"/>
    <w:rsid w:val="00AA568A"/>
    <w:rsid w:val="00AB5B1A"/>
    <w:rsid w:val="00AB605D"/>
    <w:rsid w:val="00AC0690"/>
    <w:rsid w:val="00AC092B"/>
    <w:rsid w:val="00AC2A7F"/>
    <w:rsid w:val="00AC45B1"/>
    <w:rsid w:val="00AC48EA"/>
    <w:rsid w:val="00AC65E7"/>
    <w:rsid w:val="00AD0570"/>
    <w:rsid w:val="00AD15B4"/>
    <w:rsid w:val="00AD1CB6"/>
    <w:rsid w:val="00AD1D85"/>
    <w:rsid w:val="00AD444C"/>
    <w:rsid w:val="00AD4ADC"/>
    <w:rsid w:val="00AD5563"/>
    <w:rsid w:val="00AE0D3B"/>
    <w:rsid w:val="00AE1918"/>
    <w:rsid w:val="00AE5809"/>
    <w:rsid w:val="00AE692A"/>
    <w:rsid w:val="00AE76B0"/>
    <w:rsid w:val="00AF0C50"/>
    <w:rsid w:val="00AF112B"/>
    <w:rsid w:val="00AF11B8"/>
    <w:rsid w:val="00AF22D6"/>
    <w:rsid w:val="00AF2991"/>
    <w:rsid w:val="00AF2ED4"/>
    <w:rsid w:val="00AF3BF0"/>
    <w:rsid w:val="00B02031"/>
    <w:rsid w:val="00B0382E"/>
    <w:rsid w:val="00B045D3"/>
    <w:rsid w:val="00B05643"/>
    <w:rsid w:val="00B0689A"/>
    <w:rsid w:val="00B10434"/>
    <w:rsid w:val="00B1045A"/>
    <w:rsid w:val="00B1359A"/>
    <w:rsid w:val="00B1452A"/>
    <w:rsid w:val="00B20AF9"/>
    <w:rsid w:val="00B22632"/>
    <w:rsid w:val="00B246FB"/>
    <w:rsid w:val="00B24A60"/>
    <w:rsid w:val="00B304DA"/>
    <w:rsid w:val="00B32916"/>
    <w:rsid w:val="00B36C18"/>
    <w:rsid w:val="00B37093"/>
    <w:rsid w:val="00B37D5B"/>
    <w:rsid w:val="00B40DFA"/>
    <w:rsid w:val="00B444E9"/>
    <w:rsid w:val="00B45D40"/>
    <w:rsid w:val="00B478C0"/>
    <w:rsid w:val="00B538CB"/>
    <w:rsid w:val="00B551DA"/>
    <w:rsid w:val="00B6118D"/>
    <w:rsid w:val="00B62745"/>
    <w:rsid w:val="00B62AAD"/>
    <w:rsid w:val="00B6419D"/>
    <w:rsid w:val="00B64AC3"/>
    <w:rsid w:val="00B64AC4"/>
    <w:rsid w:val="00B64BBE"/>
    <w:rsid w:val="00B6613E"/>
    <w:rsid w:val="00B66509"/>
    <w:rsid w:val="00B67455"/>
    <w:rsid w:val="00B71448"/>
    <w:rsid w:val="00B732ED"/>
    <w:rsid w:val="00B744E1"/>
    <w:rsid w:val="00B776D3"/>
    <w:rsid w:val="00B77CC5"/>
    <w:rsid w:val="00B77DCF"/>
    <w:rsid w:val="00B802E0"/>
    <w:rsid w:val="00B80B23"/>
    <w:rsid w:val="00B8159D"/>
    <w:rsid w:val="00B81EBA"/>
    <w:rsid w:val="00B84481"/>
    <w:rsid w:val="00B84B35"/>
    <w:rsid w:val="00B85207"/>
    <w:rsid w:val="00B876DC"/>
    <w:rsid w:val="00B909CE"/>
    <w:rsid w:val="00B91310"/>
    <w:rsid w:val="00B915B3"/>
    <w:rsid w:val="00B91C1E"/>
    <w:rsid w:val="00B92EC1"/>
    <w:rsid w:val="00B954A0"/>
    <w:rsid w:val="00B9640D"/>
    <w:rsid w:val="00B96B95"/>
    <w:rsid w:val="00B977BC"/>
    <w:rsid w:val="00BA30C4"/>
    <w:rsid w:val="00BA4267"/>
    <w:rsid w:val="00BA5120"/>
    <w:rsid w:val="00BA70DE"/>
    <w:rsid w:val="00BB0E5B"/>
    <w:rsid w:val="00BB17EA"/>
    <w:rsid w:val="00BB4A99"/>
    <w:rsid w:val="00BB7002"/>
    <w:rsid w:val="00BC0629"/>
    <w:rsid w:val="00BC4E66"/>
    <w:rsid w:val="00BC50BF"/>
    <w:rsid w:val="00BC67F0"/>
    <w:rsid w:val="00BD0F5C"/>
    <w:rsid w:val="00BD1088"/>
    <w:rsid w:val="00BD16CC"/>
    <w:rsid w:val="00BD2224"/>
    <w:rsid w:val="00BD2510"/>
    <w:rsid w:val="00BD3390"/>
    <w:rsid w:val="00BD4459"/>
    <w:rsid w:val="00BD733A"/>
    <w:rsid w:val="00BE03F2"/>
    <w:rsid w:val="00BE1F13"/>
    <w:rsid w:val="00BE4AA5"/>
    <w:rsid w:val="00BE4AD3"/>
    <w:rsid w:val="00BE5142"/>
    <w:rsid w:val="00BE7558"/>
    <w:rsid w:val="00BE7F08"/>
    <w:rsid w:val="00BF56E9"/>
    <w:rsid w:val="00BF6B9A"/>
    <w:rsid w:val="00C01505"/>
    <w:rsid w:val="00C03825"/>
    <w:rsid w:val="00C064D8"/>
    <w:rsid w:val="00C10555"/>
    <w:rsid w:val="00C11EC1"/>
    <w:rsid w:val="00C13E36"/>
    <w:rsid w:val="00C1439B"/>
    <w:rsid w:val="00C15F4E"/>
    <w:rsid w:val="00C235C7"/>
    <w:rsid w:val="00C23729"/>
    <w:rsid w:val="00C23BEA"/>
    <w:rsid w:val="00C24231"/>
    <w:rsid w:val="00C326BD"/>
    <w:rsid w:val="00C339DD"/>
    <w:rsid w:val="00C34E8D"/>
    <w:rsid w:val="00C352EB"/>
    <w:rsid w:val="00C3645F"/>
    <w:rsid w:val="00C42C8E"/>
    <w:rsid w:val="00C45BB3"/>
    <w:rsid w:val="00C463AA"/>
    <w:rsid w:val="00C531CB"/>
    <w:rsid w:val="00C53F37"/>
    <w:rsid w:val="00C54A88"/>
    <w:rsid w:val="00C57BAB"/>
    <w:rsid w:val="00C57D1B"/>
    <w:rsid w:val="00C61E07"/>
    <w:rsid w:val="00C63676"/>
    <w:rsid w:val="00C64292"/>
    <w:rsid w:val="00C662BE"/>
    <w:rsid w:val="00C67507"/>
    <w:rsid w:val="00C67CD8"/>
    <w:rsid w:val="00C708B3"/>
    <w:rsid w:val="00C71393"/>
    <w:rsid w:val="00C72C44"/>
    <w:rsid w:val="00C739CF"/>
    <w:rsid w:val="00C80951"/>
    <w:rsid w:val="00C84D51"/>
    <w:rsid w:val="00C85566"/>
    <w:rsid w:val="00C86A23"/>
    <w:rsid w:val="00C86E72"/>
    <w:rsid w:val="00C9042A"/>
    <w:rsid w:val="00C91B02"/>
    <w:rsid w:val="00C9227B"/>
    <w:rsid w:val="00C934B6"/>
    <w:rsid w:val="00C9445C"/>
    <w:rsid w:val="00C957C4"/>
    <w:rsid w:val="00C96CFE"/>
    <w:rsid w:val="00C97E3D"/>
    <w:rsid w:val="00CA01D2"/>
    <w:rsid w:val="00CA4FC0"/>
    <w:rsid w:val="00CA5EB5"/>
    <w:rsid w:val="00CB1020"/>
    <w:rsid w:val="00CB18A4"/>
    <w:rsid w:val="00CB272B"/>
    <w:rsid w:val="00CB3A93"/>
    <w:rsid w:val="00CB7790"/>
    <w:rsid w:val="00CC62D2"/>
    <w:rsid w:val="00CC72F0"/>
    <w:rsid w:val="00CC7554"/>
    <w:rsid w:val="00CD0EA0"/>
    <w:rsid w:val="00CD13BF"/>
    <w:rsid w:val="00CD2278"/>
    <w:rsid w:val="00CD27A1"/>
    <w:rsid w:val="00CD39B5"/>
    <w:rsid w:val="00CD4B72"/>
    <w:rsid w:val="00CD5DE5"/>
    <w:rsid w:val="00CE1B72"/>
    <w:rsid w:val="00CE2B79"/>
    <w:rsid w:val="00CE2F78"/>
    <w:rsid w:val="00CE4B42"/>
    <w:rsid w:val="00CE7523"/>
    <w:rsid w:val="00CE75E2"/>
    <w:rsid w:val="00CE7F2F"/>
    <w:rsid w:val="00CF00DD"/>
    <w:rsid w:val="00CF3BC8"/>
    <w:rsid w:val="00CF42C6"/>
    <w:rsid w:val="00CF63E5"/>
    <w:rsid w:val="00CF6DA1"/>
    <w:rsid w:val="00D01071"/>
    <w:rsid w:val="00D016B8"/>
    <w:rsid w:val="00D02CFA"/>
    <w:rsid w:val="00D03E6E"/>
    <w:rsid w:val="00D04588"/>
    <w:rsid w:val="00D06C20"/>
    <w:rsid w:val="00D07E1E"/>
    <w:rsid w:val="00D12BB7"/>
    <w:rsid w:val="00D173ED"/>
    <w:rsid w:val="00D17C04"/>
    <w:rsid w:val="00D226E5"/>
    <w:rsid w:val="00D23A57"/>
    <w:rsid w:val="00D25C57"/>
    <w:rsid w:val="00D262ED"/>
    <w:rsid w:val="00D304A9"/>
    <w:rsid w:val="00D322A1"/>
    <w:rsid w:val="00D3296F"/>
    <w:rsid w:val="00D346E8"/>
    <w:rsid w:val="00D40E19"/>
    <w:rsid w:val="00D414BD"/>
    <w:rsid w:val="00D43C9A"/>
    <w:rsid w:val="00D44E8E"/>
    <w:rsid w:val="00D50A41"/>
    <w:rsid w:val="00D533AA"/>
    <w:rsid w:val="00D54AC1"/>
    <w:rsid w:val="00D55C68"/>
    <w:rsid w:val="00D57E07"/>
    <w:rsid w:val="00D60B11"/>
    <w:rsid w:val="00D63E0D"/>
    <w:rsid w:val="00D65C5D"/>
    <w:rsid w:val="00D67D3A"/>
    <w:rsid w:val="00D70915"/>
    <w:rsid w:val="00D75A3F"/>
    <w:rsid w:val="00D8185A"/>
    <w:rsid w:val="00D90046"/>
    <w:rsid w:val="00D93522"/>
    <w:rsid w:val="00D93800"/>
    <w:rsid w:val="00D94B56"/>
    <w:rsid w:val="00DA28B1"/>
    <w:rsid w:val="00DA2F03"/>
    <w:rsid w:val="00DA3C4B"/>
    <w:rsid w:val="00DA4686"/>
    <w:rsid w:val="00DB34F5"/>
    <w:rsid w:val="00DB3884"/>
    <w:rsid w:val="00DB5082"/>
    <w:rsid w:val="00DB5A65"/>
    <w:rsid w:val="00DC0F9C"/>
    <w:rsid w:val="00DC1508"/>
    <w:rsid w:val="00DC3562"/>
    <w:rsid w:val="00DC3ED7"/>
    <w:rsid w:val="00DD0386"/>
    <w:rsid w:val="00DD1C74"/>
    <w:rsid w:val="00DD78A5"/>
    <w:rsid w:val="00DE2C1F"/>
    <w:rsid w:val="00DF54D9"/>
    <w:rsid w:val="00DF622A"/>
    <w:rsid w:val="00DF7F35"/>
    <w:rsid w:val="00E0137E"/>
    <w:rsid w:val="00E01729"/>
    <w:rsid w:val="00E03E01"/>
    <w:rsid w:val="00E055FD"/>
    <w:rsid w:val="00E07F47"/>
    <w:rsid w:val="00E10174"/>
    <w:rsid w:val="00E10579"/>
    <w:rsid w:val="00E13AFD"/>
    <w:rsid w:val="00E148A4"/>
    <w:rsid w:val="00E16743"/>
    <w:rsid w:val="00E2173E"/>
    <w:rsid w:val="00E21EAF"/>
    <w:rsid w:val="00E226CD"/>
    <w:rsid w:val="00E23FDB"/>
    <w:rsid w:val="00E275FB"/>
    <w:rsid w:val="00E331C3"/>
    <w:rsid w:val="00E3392E"/>
    <w:rsid w:val="00E374DA"/>
    <w:rsid w:val="00E4291D"/>
    <w:rsid w:val="00E44046"/>
    <w:rsid w:val="00E443F8"/>
    <w:rsid w:val="00E44614"/>
    <w:rsid w:val="00E45D2C"/>
    <w:rsid w:val="00E46CA1"/>
    <w:rsid w:val="00E527F1"/>
    <w:rsid w:val="00E53FF7"/>
    <w:rsid w:val="00E546A7"/>
    <w:rsid w:val="00E601A7"/>
    <w:rsid w:val="00E63FE3"/>
    <w:rsid w:val="00E6643F"/>
    <w:rsid w:val="00E66F5B"/>
    <w:rsid w:val="00E676DC"/>
    <w:rsid w:val="00E7332E"/>
    <w:rsid w:val="00E74A5F"/>
    <w:rsid w:val="00E74DBB"/>
    <w:rsid w:val="00E77217"/>
    <w:rsid w:val="00E80DFC"/>
    <w:rsid w:val="00E8284C"/>
    <w:rsid w:val="00E8319B"/>
    <w:rsid w:val="00E85120"/>
    <w:rsid w:val="00E86B35"/>
    <w:rsid w:val="00E9085B"/>
    <w:rsid w:val="00E914BD"/>
    <w:rsid w:val="00E92287"/>
    <w:rsid w:val="00EA1F26"/>
    <w:rsid w:val="00EA228B"/>
    <w:rsid w:val="00EA796D"/>
    <w:rsid w:val="00EB2F57"/>
    <w:rsid w:val="00EB4DB4"/>
    <w:rsid w:val="00EB6072"/>
    <w:rsid w:val="00EC1F4D"/>
    <w:rsid w:val="00EC2533"/>
    <w:rsid w:val="00EC2B22"/>
    <w:rsid w:val="00EC369E"/>
    <w:rsid w:val="00EC4106"/>
    <w:rsid w:val="00EC594B"/>
    <w:rsid w:val="00EC5B43"/>
    <w:rsid w:val="00ED05FF"/>
    <w:rsid w:val="00ED0DB1"/>
    <w:rsid w:val="00ED3A1A"/>
    <w:rsid w:val="00ED5952"/>
    <w:rsid w:val="00ED63D0"/>
    <w:rsid w:val="00ED673A"/>
    <w:rsid w:val="00ED6AE0"/>
    <w:rsid w:val="00EE5A2D"/>
    <w:rsid w:val="00EE734B"/>
    <w:rsid w:val="00EF1722"/>
    <w:rsid w:val="00EF293B"/>
    <w:rsid w:val="00EF3675"/>
    <w:rsid w:val="00F01692"/>
    <w:rsid w:val="00F05B7E"/>
    <w:rsid w:val="00F05F65"/>
    <w:rsid w:val="00F067D8"/>
    <w:rsid w:val="00F070A8"/>
    <w:rsid w:val="00F07953"/>
    <w:rsid w:val="00F127A7"/>
    <w:rsid w:val="00F12EA3"/>
    <w:rsid w:val="00F139D2"/>
    <w:rsid w:val="00F1546D"/>
    <w:rsid w:val="00F20CAF"/>
    <w:rsid w:val="00F2115D"/>
    <w:rsid w:val="00F2136E"/>
    <w:rsid w:val="00F21E4B"/>
    <w:rsid w:val="00F21EE6"/>
    <w:rsid w:val="00F21FA8"/>
    <w:rsid w:val="00F2251F"/>
    <w:rsid w:val="00F2330A"/>
    <w:rsid w:val="00F249E9"/>
    <w:rsid w:val="00F24DB6"/>
    <w:rsid w:val="00F30C1F"/>
    <w:rsid w:val="00F30DB2"/>
    <w:rsid w:val="00F3182A"/>
    <w:rsid w:val="00F32129"/>
    <w:rsid w:val="00F3360A"/>
    <w:rsid w:val="00F35932"/>
    <w:rsid w:val="00F36D99"/>
    <w:rsid w:val="00F446B1"/>
    <w:rsid w:val="00F45D24"/>
    <w:rsid w:val="00F473C3"/>
    <w:rsid w:val="00F50073"/>
    <w:rsid w:val="00F55D98"/>
    <w:rsid w:val="00F57EEB"/>
    <w:rsid w:val="00F616D9"/>
    <w:rsid w:val="00F61B04"/>
    <w:rsid w:val="00F63E48"/>
    <w:rsid w:val="00F65715"/>
    <w:rsid w:val="00F65A83"/>
    <w:rsid w:val="00F66C09"/>
    <w:rsid w:val="00F709D7"/>
    <w:rsid w:val="00F73539"/>
    <w:rsid w:val="00F73626"/>
    <w:rsid w:val="00F73C2A"/>
    <w:rsid w:val="00F75892"/>
    <w:rsid w:val="00F77FF6"/>
    <w:rsid w:val="00F810A6"/>
    <w:rsid w:val="00F81BF2"/>
    <w:rsid w:val="00F82028"/>
    <w:rsid w:val="00F8269C"/>
    <w:rsid w:val="00F826FA"/>
    <w:rsid w:val="00F82E77"/>
    <w:rsid w:val="00F8449C"/>
    <w:rsid w:val="00F85EAE"/>
    <w:rsid w:val="00F87085"/>
    <w:rsid w:val="00F930F3"/>
    <w:rsid w:val="00F93692"/>
    <w:rsid w:val="00F97C46"/>
    <w:rsid w:val="00FA1BAC"/>
    <w:rsid w:val="00FA249A"/>
    <w:rsid w:val="00FA251D"/>
    <w:rsid w:val="00FA4374"/>
    <w:rsid w:val="00FA5B3E"/>
    <w:rsid w:val="00FA66F1"/>
    <w:rsid w:val="00FB238B"/>
    <w:rsid w:val="00FB39D1"/>
    <w:rsid w:val="00FB5A97"/>
    <w:rsid w:val="00FB68EE"/>
    <w:rsid w:val="00FB6D66"/>
    <w:rsid w:val="00FB7010"/>
    <w:rsid w:val="00FC04F3"/>
    <w:rsid w:val="00FC051D"/>
    <w:rsid w:val="00FC3C04"/>
    <w:rsid w:val="00FC6045"/>
    <w:rsid w:val="00FD24C9"/>
    <w:rsid w:val="00FD36C1"/>
    <w:rsid w:val="00FD4C87"/>
    <w:rsid w:val="00FE1102"/>
    <w:rsid w:val="00FE1A20"/>
    <w:rsid w:val="00FE3108"/>
    <w:rsid w:val="00FE6666"/>
    <w:rsid w:val="00FE7B39"/>
    <w:rsid w:val="00FF37A7"/>
    <w:rsid w:val="00FF3FA7"/>
    <w:rsid w:val="00FF45A7"/>
    <w:rsid w:val="00FF629E"/>
    <w:rsid w:val="00FF7E67"/>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E00AA2A"/>
  <w15:docId w15:val="{FE37259B-84AB-42E8-908E-DE80B7ABB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GB" w:eastAsia="zh-CN"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2F63"/>
    <w:pPr>
      <w:spacing w:line="480" w:lineRule="auto"/>
    </w:pPr>
    <w:rPr>
      <w:rFonts w:ascii="Times New Roman" w:hAnsi="Times New Roman"/>
      <w:sz w:val="24"/>
    </w:rPr>
  </w:style>
  <w:style w:type="paragraph" w:styleId="Heading1">
    <w:name w:val="heading 1"/>
    <w:basedOn w:val="Normal"/>
    <w:next w:val="Normal"/>
    <w:link w:val="Heading1Char"/>
    <w:uiPriority w:val="9"/>
    <w:qFormat/>
    <w:rsid w:val="009B2F63"/>
    <w:pPr>
      <w:keepNext/>
      <w:keepLines/>
      <w:spacing w:before="320" w:after="0"/>
      <w:outlineLvl w:val="0"/>
    </w:pPr>
    <w:rPr>
      <w:rFonts w:eastAsiaTheme="majorEastAsia" w:cstheme="majorBidi"/>
      <w:b/>
      <w:szCs w:val="32"/>
    </w:rPr>
  </w:style>
  <w:style w:type="paragraph" w:styleId="Heading2">
    <w:name w:val="heading 2"/>
    <w:basedOn w:val="Normal"/>
    <w:next w:val="Normal"/>
    <w:link w:val="Heading2Char"/>
    <w:uiPriority w:val="9"/>
    <w:semiHidden/>
    <w:unhideWhenUsed/>
    <w:qFormat/>
    <w:rsid w:val="006F3695"/>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semiHidden/>
    <w:unhideWhenUsed/>
    <w:qFormat/>
    <w:rsid w:val="006F3695"/>
    <w:pPr>
      <w:keepNext/>
      <w:keepLines/>
      <w:spacing w:before="40" w:after="0" w:line="240" w:lineRule="auto"/>
      <w:outlineLvl w:val="2"/>
    </w:pPr>
    <w:rPr>
      <w:rFonts w:asciiTheme="majorHAnsi" w:eastAsiaTheme="majorEastAsia" w:hAnsiTheme="majorHAnsi" w:cstheme="majorBidi"/>
      <w:color w:val="44546A" w:themeColor="text2"/>
      <w:szCs w:val="24"/>
    </w:rPr>
  </w:style>
  <w:style w:type="paragraph" w:styleId="Heading4">
    <w:name w:val="heading 4"/>
    <w:basedOn w:val="Normal"/>
    <w:next w:val="Normal"/>
    <w:link w:val="Heading4Char"/>
    <w:uiPriority w:val="9"/>
    <w:semiHidden/>
    <w:unhideWhenUsed/>
    <w:qFormat/>
    <w:rsid w:val="006F3695"/>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semiHidden/>
    <w:unhideWhenUsed/>
    <w:qFormat/>
    <w:rsid w:val="006F3695"/>
    <w:pPr>
      <w:keepNext/>
      <w:keepLines/>
      <w:spacing w:before="40" w:after="0"/>
      <w:outlineLvl w:val="4"/>
    </w:pPr>
    <w:rPr>
      <w:rFonts w:asciiTheme="majorHAnsi" w:eastAsiaTheme="majorEastAsia" w:hAnsiTheme="majorHAnsi" w:cstheme="majorBidi"/>
      <w:color w:val="44546A" w:themeColor="text2"/>
      <w:sz w:val="22"/>
      <w:szCs w:val="22"/>
    </w:rPr>
  </w:style>
  <w:style w:type="paragraph" w:styleId="Heading6">
    <w:name w:val="heading 6"/>
    <w:basedOn w:val="Normal"/>
    <w:next w:val="Normal"/>
    <w:link w:val="Heading6Char"/>
    <w:uiPriority w:val="9"/>
    <w:semiHidden/>
    <w:unhideWhenUsed/>
    <w:qFormat/>
    <w:rsid w:val="006F3695"/>
    <w:pPr>
      <w:keepNext/>
      <w:keepLines/>
      <w:spacing w:before="40" w:after="0"/>
      <w:outlineLvl w:val="5"/>
    </w:pPr>
    <w:rPr>
      <w:rFonts w:asciiTheme="majorHAnsi" w:eastAsiaTheme="majorEastAsia" w:hAnsiTheme="majorHAnsi" w:cstheme="majorBidi"/>
      <w:i/>
      <w:iCs/>
      <w:color w:val="44546A" w:themeColor="text2"/>
      <w:sz w:val="21"/>
      <w:szCs w:val="21"/>
    </w:rPr>
  </w:style>
  <w:style w:type="paragraph" w:styleId="Heading7">
    <w:name w:val="heading 7"/>
    <w:basedOn w:val="Normal"/>
    <w:next w:val="Normal"/>
    <w:link w:val="Heading7Char"/>
    <w:uiPriority w:val="9"/>
    <w:semiHidden/>
    <w:unhideWhenUsed/>
    <w:qFormat/>
    <w:rsid w:val="006F3695"/>
    <w:pPr>
      <w:keepNext/>
      <w:keepLines/>
      <w:spacing w:before="40" w:after="0"/>
      <w:outlineLvl w:val="6"/>
    </w:pPr>
    <w:rPr>
      <w:rFonts w:asciiTheme="majorHAnsi" w:eastAsiaTheme="majorEastAsia" w:hAnsiTheme="majorHAnsi" w:cstheme="majorBidi"/>
      <w:i/>
      <w:iCs/>
      <w:color w:val="1F3864" w:themeColor="accent1" w:themeShade="80"/>
      <w:sz w:val="21"/>
      <w:szCs w:val="21"/>
    </w:rPr>
  </w:style>
  <w:style w:type="paragraph" w:styleId="Heading8">
    <w:name w:val="heading 8"/>
    <w:basedOn w:val="Normal"/>
    <w:next w:val="Normal"/>
    <w:link w:val="Heading8Char"/>
    <w:uiPriority w:val="9"/>
    <w:semiHidden/>
    <w:unhideWhenUsed/>
    <w:qFormat/>
    <w:rsid w:val="006F3695"/>
    <w:pPr>
      <w:keepNext/>
      <w:keepLines/>
      <w:spacing w:before="40" w:after="0"/>
      <w:outlineLvl w:val="7"/>
    </w:pPr>
    <w:rPr>
      <w:rFonts w:asciiTheme="majorHAnsi" w:eastAsiaTheme="majorEastAsia" w:hAnsiTheme="majorHAnsi" w:cstheme="majorBidi"/>
      <w:b/>
      <w:bCs/>
      <w:color w:val="44546A" w:themeColor="text2"/>
    </w:rPr>
  </w:style>
  <w:style w:type="paragraph" w:styleId="Heading9">
    <w:name w:val="heading 9"/>
    <w:basedOn w:val="Normal"/>
    <w:next w:val="Normal"/>
    <w:link w:val="Heading9Char"/>
    <w:uiPriority w:val="9"/>
    <w:semiHidden/>
    <w:unhideWhenUsed/>
    <w:qFormat/>
    <w:rsid w:val="006F3695"/>
    <w:pPr>
      <w:keepNext/>
      <w:keepLines/>
      <w:spacing w:before="40" w:after="0"/>
      <w:outlineLvl w:val="8"/>
    </w:pPr>
    <w:rPr>
      <w:rFonts w:asciiTheme="majorHAnsi" w:eastAsiaTheme="majorEastAsia" w:hAnsiTheme="majorHAnsi" w:cstheme="majorBidi"/>
      <w:b/>
      <w:bCs/>
      <w:i/>
      <w:iCs/>
      <w:color w:val="44546A"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B6DC2"/>
    <w:pPr>
      <w:spacing w:before="100" w:beforeAutospacing="1" w:after="100" w:afterAutospacing="1" w:line="240" w:lineRule="auto"/>
    </w:pPr>
    <w:rPr>
      <w:rFonts w:eastAsia="Times New Roman" w:cs="Times New Roman"/>
      <w:szCs w:val="24"/>
    </w:rPr>
  </w:style>
  <w:style w:type="paragraph" w:styleId="Header">
    <w:name w:val="header"/>
    <w:basedOn w:val="Normal"/>
    <w:link w:val="HeaderChar"/>
    <w:uiPriority w:val="99"/>
    <w:unhideWhenUsed/>
    <w:rsid w:val="0037435E"/>
    <w:pPr>
      <w:tabs>
        <w:tab w:val="center" w:pos="4252"/>
        <w:tab w:val="right" w:pos="8504"/>
      </w:tabs>
      <w:spacing w:after="0" w:line="240" w:lineRule="auto"/>
    </w:pPr>
  </w:style>
  <w:style w:type="character" w:customStyle="1" w:styleId="HeaderChar">
    <w:name w:val="Header Char"/>
    <w:basedOn w:val="DefaultParagraphFont"/>
    <w:link w:val="Header"/>
    <w:uiPriority w:val="99"/>
    <w:rsid w:val="0037435E"/>
  </w:style>
  <w:style w:type="paragraph" w:styleId="Footer">
    <w:name w:val="footer"/>
    <w:basedOn w:val="Normal"/>
    <w:link w:val="FooterChar"/>
    <w:uiPriority w:val="99"/>
    <w:unhideWhenUsed/>
    <w:rsid w:val="0037435E"/>
    <w:pPr>
      <w:tabs>
        <w:tab w:val="center" w:pos="4252"/>
        <w:tab w:val="right" w:pos="8504"/>
      </w:tabs>
      <w:spacing w:after="0" w:line="240" w:lineRule="auto"/>
    </w:pPr>
  </w:style>
  <w:style w:type="character" w:customStyle="1" w:styleId="FooterChar">
    <w:name w:val="Footer Char"/>
    <w:basedOn w:val="DefaultParagraphFont"/>
    <w:link w:val="Footer"/>
    <w:uiPriority w:val="99"/>
    <w:rsid w:val="0037435E"/>
  </w:style>
  <w:style w:type="character" w:styleId="Hyperlink">
    <w:name w:val="Hyperlink"/>
    <w:basedOn w:val="DefaultParagraphFont"/>
    <w:uiPriority w:val="99"/>
    <w:unhideWhenUsed/>
    <w:rsid w:val="00B45D40"/>
    <w:rPr>
      <w:color w:val="0000FF"/>
      <w:u w:val="single"/>
    </w:rPr>
  </w:style>
  <w:style w:type="character" w:customStyle="1" w:styleId="Heading1Char">
    <w:name w:val="Heading 1 Char"/>
    <w:basedOn w:val="DefaultParagraphFont"/>
    <w:link w:val="Heading1"/>
    <w:uiPriority w:val="9"/>
    <w:rsid w:val="009B2F63"/>
    <w:rPr>
      <w:rFonts w:ascii="Times New Roman" w:eastAsiaTheme="majorEastAsia" w:hAnsi="Times New Roman" w:cstheme="majorBidi"/>
      <w:b/>
      <w:sz w:val="24"/>
      <w:szCs w:val="32"/>
    </w:rPr>
  </w:style>
  <w:style w:type="character" w:customStyle="1" w:styleId="Heading2Char">
    <w:name w:val="Heading 2 Char"/>
    <w:basedOn w:val="DefaultParagraphFont"/>
    <w:link w:val="Heading2"/>
    <w:uiPriority w:val="9"/>
    <w:semiHidden/>
    <w:rsid w:val="006F3695"/>
    <w:rPr>
      <w:rFonts w:asciiTheme="majorHAnsi" w:eastAsiaTheme="majorEastAsia" w:hAnsiTheme="majorHAnsi" w:cstheme="majorBidi"/>
      <w:color w:val="404040" w:themeColor="text1" w:themeTint="BF"/>
      <w:sz w:val="28"/>
      <w:szCs w:val="28"/>
    </w:rPr>
  </w:style>
  <w:style w:type="character" w:customStyle="1" w:styleId="Heading3Char">
    <w:name w:val="Heading 3 Char"/>
    <w:basedOn w:val="DefaultParagraphFont"/>
    <w:link w:val="Heading3"/>
    <w:uiPriority w:val="9"/>
    <w:semiHidden/>
    <w:rsid w:val="006F3695"/>
    <w:rPr>
      <w:rFonts w:asciiTheme="majorHAnsi" w:eastAsiaTheme="majorEastAsia" w:hAnsiTheme="majorHAnsi" w:cstheme="majorBidi"/>
      <w:color w:val="44546A" w:themeColor="text2"/>
      <w:sz w:val="24"/>
      <w:szCs w:val="24"/>
    </w:rPr>
  </w:style>
  <w:style w:type="character" w:customStyle="1" w:styleId="Heading4Char">
    <w:name w:val="Heading 4 Char"/>
    <w:basedOn w:val="DefaultParagraphFont"/>
    <w:link w:val="Heading4"/>
    <w:uiPriority w:val="9"/>
    <w:semiHidden/>
    <w:rsid w:val="006F3695"/>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semiHidden/>
    <w:rsid w:val="006F3695"/>
    <w:rPr>
      <w:rFonts w:asciiTheme="majorHAnsi" w:eastAsiaTheme="majorEastAsia" w:hAnsiTheme="majorHAnsi" w:cstheme="majorBidi"/>
      <w:color w:val="44546A" w:themeColor="text2"/>
      <w:sz w:val="22"/>
      <w:szCs w:val="22"/>
    </w:rPr>
  </w:style>
  <w:style w:type="character" w:customStyle="1" w:styleId="Heading6Char">
    <w:name w:val="Heading 6 Char"/>
    <w:basedOn w:val="DefaultParagraphFont"/>
    <w:link w:val="Heading6"/>
    <w:uiPriority w:val="9"/>
    <w:semiHidden/>
    <w:rsid w:val="006F3695"/>
    <w:rPr>
      <w:rFonts w:asciiTheme="majorHAnsi" w:eastAsiaTheme="majorEastAsia" w:hAnsiTheme="majorHAnsi" w:cstheme="majorBidi"/>
      <w:i/>
      <w:iCs/>
      <w:color w:val="44546A" w:themeColor="text2"/>
      <w:sz w:val="21"/>
      <w:szCs w:val="21"/>
    </w:rPr>
  </w:style>
  <w:style w:type="character" w:customStyle="1" w:styleId="Heading7Char">
    <w:name w:val="Heading 7 Char"/>
    <w:basedOn w:val="DefaultParagraphFont"/>
    <w:link w:val="Heading7"/>
    <w:uiPriority w:val="9"/>
    <w:semiHidden/>
    <w:rsid w:val="006F3695"/>
    <w:rPr>
      <w:rFonts w:asciiTheme="majorHAnsi" w:eastAsiaTheme="majorEastAsia" w:hAnsiTheme="majorHAnsi" w:cstheme="majorBidi"/>
      <w:i/>
      <w:iCs/>
      <w:color w:val="1F3864" w:themeColor="accent1" w:themeShade="80"/>
      <w:sz w:val="21"/>
      <w:szCs w:val="21"/>
    </w:rPr>
  </w:style>
  <w:style w:type="character" w:customStyle="1" w:styleId="Heading8Char">
    <w:name w:val="Heading 8 Char"/>
    <w:basedOn w:val="DefaultParagraphFont"/>
    <w:link w:val="Heading8"/>
    <w:uiPriority w:val="9"/>
    <w:semiHidden/>
    <w:rsid w:val="006F3695"/>
    <w:rPr>
      <w:rFonts w:asciiTheme="majorHAnsi" w:eastAsiaTheme="majorEastAsia" w:hAnsiTheme="majorHAnsi" w:cstheme="majorBidi"/>
      <w:b/>
      <w:bCs/>
      <w:color w:val="44546A" w:themeColor="text2"/>
    </w:rPr>
  </w:style>
  <w:style w:type="character" w:customStyle="1" w:styleId="Heading9Char">
    <w:name w:val="Heading 9 Char"/>
    <w:basedOn w:val="DefaultParagraphFont"/>
    <w:link w:val="Heading9"/>
    <w:uiPriority w:val="9"/>
    <w:semiHidden/>
    <w:rsid w:val="006F3695"/>
    <w:rPr>
      <w:rFonts w:asciiTheme="majorHAnsi" w:eastAsiaTheme="majorEastAsia" w:hAnsiTheme="majorHAnsi" w:cstheme="majorBidi"/>
      <w:b/>
      <w:bCs/>
      <w:i/>
      <w:iCs/>
      <w:color w:val="44546A" w:themeColor="text2"/>
    </w:rPr>
  </w:style>
  <w:style w:type="paragraph" w:styleId="Caption">
    <w:name w:val="caption"/>
    <w:basedOn w:val="Normal"/>
    <w:next w:val="Normal"/>
    <w:uiPriority w:val="35"/>
    <w:semiHidden/>
    <w:unhideWhenUsed/>
    <w:qFormat/>
    <w:rsid w:val="006F3695"/>
    <w:pPr>
      <w:spacing w:line="240" w:lineRule="auto"/>
    </w:pPr>
    <w:rPr>
      <w:b/>
      <w:bCs/>
      <w:smallCaps/>
      <w:color w:val="595959" w:themeColor="text1" w:themeTint="A6"/>
      <w:spacing w:val="6"/>
    </w:rPr>
  </w:style>
  <w:style w:type="paragraph" w:styleId="Title">
    <w:name w:val="Title"/>
    <w:basedOn w:val="Normal"/>
    <w:next w:val="Normal"/>
    <w:link w:val="TitleChar"/>
    <w:uiPriority w:val="10"/>
    <w:qFormat/>
    <w:rsid w:val="009B2F63"/>
    <w:pPr>
      <w:spacing w:after="0"/>
      <w:contextualSpacing/>
    </w:pPr>
    <w:rPr>
      <w:rFonts w:eastAsiaTheme="majorEastAsia" w:cstheme="majorBidi"/>
      <w:b/>
      <w:spacing w:val="-10"/>
      <w:szCs w:val="56"/>
    </w:rPr>
  </w:style>
  <w:style w:type="character" w:customStyle="1" w:styleId="TitleChar">
    <w:name w:val="Title Char"/>
    <w:basedOn w:val="DefaultParagraphFont"/>
    <w:link w:val="Title"/>
    <w:uiPriority w:val="10"/>
    <w:rsid w:val="009B2F63"/>
    <w:rPr>
      <w:rFonts w:ascii="Times New Roman" w:eastAsiaTheme="majorEastAsia" w:hAnsi="Times New Roman" w:cstheme="majorBidi"/>
      <w:b/>
      <w:spacing w:val="-10"/>
      <w:sz w:val="24"/>
      <w:szCs w:val="56"/>
    </w:rPr>
  </w:style>
  <w:style w:type="paragraph" w:styleId="Subtitle">
    <w:name w:val="Subtitle"/>
    <w:basedOn w:val="Normal"/>
    <w:next w:val="Normal"/>
    <w:link w:val="SubtitleChar"/>
    <w:uiPriority w:val="11"/>
    <w:qFormat/>
    <w:rsid w:val="006F3695"/>
    <w:pPr>
      <w:numPr>
        <w:ilvl w:val="1"/>
      </w:numPr>
      <w:spacing w:line="240" w:lineRule="auto"/>
    </w:pPr>
    <w:rPr>
      <w:rFonts w:asciiTheme="majorHAnsi" w:eastAsiaTheme="majorEastAsia" w:hAnsiTheme="majorHAnsi" w:cstheme="majorBidi"/>
      <w:szCs w:val="24"/>
    </w:rPr>
  </w:style>
  <w:style w:type="character" w:customStyle="1" w:styleId="SubtitleChar">
    <w:name w:val="Subtitle Char"/>
    <w:basedOn w:val="DefaultParagraphFont"/>
    <w:link w:val="Subtitle"/>
    <w:uiPriority w:val="11"/>
    <w:rsid w:val="006F3695"/>
    <w:rPr>
      <w:rFonts w:asciiTheme="majorHAnsi" w:eastAsiaTheme="majorEastAsia" w:hAnsiTheme="majorHAnsi" w:cstheme="majorBidi"/>
      <w:sz w:val="24"/>
      <w:szCs w:val="24"/>
    </w:rPr>
  </w:style>
  <w:style w:type="character" w:styleId="Strong">
    <w:name w:val="Strong"/>
    <w:basedOn w:val="DefaultParagraphFont"/>
    <w:uiPriority w:val="22"/>
    <w:qFormat/>
    <w:rsid w:val="006F3695"/>
    <w:rPr>
      <w:b/>
      <w:bCs/>
    </w:rPr>
  </w:style>
  <w:style w:type="character" w:styleId="Emphasis">
    <w:name w:val="Emphasis"/>
    <w:basedOn w:val="DefaultParagraphFont"/>
    <w:uiPriority w:val="20"/>
    <w:qFormat/>
    <w:rsid w:val="006F3695"/>
    <w:rPr>
      <w:i/>
      <w:iCs/>
    </w:rPr>
  </w:style>
  <w:style w:type="paragraph" w:styleId="NoSpacing">
    <w:name w:val="No Spacing"/>
    <w:uiPriority w:val="1"/>
    <w:qFormat/>
    <w:rsid w:val="006F3695"/>
    <w:pPr>
      <w:spacing w:after="0" w:line="240" w:lineRule="auto"/>
    </w:pPr>
  </w:style>
  <w:style w:type="paragraph" w:styleId="Quote">
    <w:name w:val="Quote"/>
    <w:basedOn w:val="Normal"/>
    <w:next w:val="Normal"/>
    <w:link w:val="QuoteChar"/>
    <w:uiPriority w:val="29"/>
    <w:qFormat/>
    <w:rsid w:val="006F3695"/>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6F3695"/>
    <w:rPr>
      <w:i/>
      <w:iCs/>
      <w:color w:val="404040" w:themeColor="text1" w:themeTint="BF"/>
    </w:rPr>
  </w:style>
  <w:style w:type="paragraph" w:styleId="IntenseQuote">
    <w:name w:val="Intense Quote"/>
    <w:basedOn w:val="Normal"/>
    <w:next w:val="Normal"/>
    <w:link w:val="IntenseQuoteChar"/>
    <w:uiPriority w:val="30"/>
    <w:qFormat/>
    <w:rsid w:val="006F3695"/>
    <w:pPr>
      <w:pBdr>
        <w:left w:val="single" w:sz="18" w:space="12" w:color="4472C4" w:themeColor="accent1"/>
      </w:pBdr>
      <w:spacing w:before="100" w:beforeAutospacing="1" w:line="300" w:lineRule="auto"/>
      <w:ind w:left="1224" w:right="1224"/>
    </w:pPr>
    <w:rPr>
      <w:rFonts w:asciiTheme="majorHAnsi" w:eastAsiaTheme="majorEastAsia" w:hAnsiTheme="majorHAnsi" w:cstheme="majorBidi"/>
      <w:color w:val="4472C4" w:themeColor="accent1"/>
      <w:sz w:val="28"/>
      <w:szCs w:val="28"/>
    </w:rPr>
  </w:style>
  <w:style w:type="character" w:customStyle="1" w:styleId="IntenseQuoteChar">
    <w:name w:val="Intense Quote Char"/>
    <w:basedOn w:val="DefaultParagraphFont"/>
    <w:link w:val="IntenseQuote"/>
    <w:uiPriority w:val="30"/>
    <w:rsid w:val="006F3695"/>
    <w:rPr>
      <w:rFonts w:asciiTheme="majorHAnsi" w:eastAsiaTheme="majorEastAsia" w:hAnsiTheme="majorHAnsi" w:cstheme="majorBidi"/>
      <w:color w:val="4472C4" w:themeColor="accent1"/>
      <w:sz w:val="28"/>
      <w:szCs w:val="28"/>
    </w:rPr>
  </w:style>
  <w:style w:type="character" w:styleId="SubtleEmphasis">
    <w:name w:val="Subtle Emphasis"/>
    <w:basedOn w:val="DefaultParagraphFont"/>
    <w:uiPriority w:val="19"/>
    <w:qFormat/>
    <w:rsid w:val="006F3695"/>
    <w:rPr>
      <w:i/>
      <w:iCs/>
      <w:color w:val="404040" w:themeColor="text1" w:themeTint="BF"/>
    </w:rPr>
  </w:style>
  <w:style w:type="character" w:styleId="IntenseEmphasis">
    <w:name w:val="Intense Emphasis"/>
    <w:basedOn w:val="DefaultParagraphFont"/>
    <w:uiPriority w:val="21"/>
    <w:qFormat/>
    <w:rsid w:val="006F3695"/>
    <w:rPr>
      <w:b/>
      <w:bCs/>
      <w:i/>
      <w:iCs/>
    </w:rPr>
  </w:style>
  <w:style w:type="character" w:styleId="SubtleReference">
    <w:name w:val="Subtle Reference"/>
    <w:basedOn w:val="DefaultParagraphFont"/>
    <w:uiPriority w:val="31"/>
    <w:qFormat/>
    <w:rsid w:val="006F3695"/>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6F3695"/>
    <w:rPr>
      <w:b/>
      <w:bCs/>
      <w:smallCaps/>
      <w:spacing w:val="5"/>
      <w:u w:val="single"/>
    </w:rPr>
  </w:style>
  <w:style w:type="character" w:styleId="BookTitle">
    <w:name w:val="Book Title"/>
    <w:basedOn w:val="DefaultParagraphFont"/>
    <w:uiPriority w:val="33"/>
    <w:qFormat/>
    <w:rsid w:val="006F3695"/>
    <w:rPr>
      <w:b/>
      <w:bCs/>
      <w:smallCaps/>
    </w:rPr>
  </w:style>
  <w:style w:type="paragraph" w:styleId="TOCHeading">
    <w:name w:val="TOC Heading"/>
    <w:basedOn w:val="Heading1"/>
    <w:next w:val="Normal"/>
    <w:uiPriority w:val="39"/>
    <w:semiHidden/>
    <w:unhideWhenUsed/>
    <w:qFormat/>
    <w:rsid w:val="006F3695"/>
    <w:pPr>
      <w:outlineLvl w:val="9"/>
    </w:pPr>
  </w:style>
  <w:style w:type="paragraph" w:customStyle="1" w:styleId="Default">
    <w:name w:val="Default"/>
    <w:rsid w:val="00AC2A7F"/>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39"/>
    <w:rsid w:val="00AC2A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61DDC"/>
    <w:pPr>
      <w:spacing w:after="200" w:line="276" w:lineRule="auto"/>
      <w:ind w:left="720"/>
      <w:contextualSpacing/>
    </w:pPr>
    <w:rPr>
      <w:rFonts w:ascii="Calibri" w:eastAsia="Calibri" w:hAnsi="Calibri" w:cs="Times New Roman"/>
      <w:sz w:val="22"/>
      <w:szCs w:val="22"/>
      <w:lang w:eastAsia="en-US"/>
    </w:rPr>
  </w:style>
  <w:style w:type="character" w:customStyle="1" w:styleId="UnresolvedMention1">
    <w:name w:val="Unresolved Mention1"/>
    <w:basedOn w:val="DefaultParagraphFont"/>
    <w:uiPriority w:val="99"/>
    <w:semiHidden/>
    <w:unhideWhenUsed/>
    <w:rsid w:val="008B1BCA"/>
    <w:rPr>
      <w:color w:val="605E5C"/>
      <w:shd w:val="clear" w:color="auto" w:fill="E1DFDD"/>
    </w:rPr>
  </w:style>
  <w:style w:type="character" w:customStyle="1" w:styleId="Subtitle1">
    <w:name w:val="Subtitle1"/>
    <w:basedOn w:val="DefaultParagraphFont"/>
    <w:rsid w:val="00281B8A"/>
  </w:style>
  <w:style w:type="character" w:customStyle="1" w:styleId="colon-for-citation-subtitle">
    <w:name w:val="colon-for-citation-subtitle"/>
    <w:basedOn w:val="DefaultParagraphFont"/>
    <w:rsid w:val="00281B8A"/>
  </w:style>
  <w:style w:type="character" w:styleId="FollowedHyperlink">
    <w:name w:val="FollowedHyperlink"/>
    <w:basedOn w:val="DefaultParagraphFont"/>
    <w:uiPriority w:val="99"/>
    <w:semiHidden/>
    <w:unhideWhenUsed/>
    <w:rsid w:val="00224210"/>
    <w:rPr>
      <w:color w:val="954F72" w:themeColor="followedHyperlink"/>
      <w:u w:val="single"/>
    </w:rPr>
  </w:style>
  <w:style w:type="paragraph" w:styleId="BalloonText">
    <w:name w:val="Balloon Text"/>
    <w:basedOn w:val="Normal"/>
    <w:link w:val="BalloonTextChar"/>
    <w:uiPriority w:val="99"/>
    <w:semiHidden/>
    <w:unhideWhenUsed/>
    <w:rsid w:val="00331D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1DDA"/>
    <w:rPr>
      <w:rFonts w:ascii="Tahoma" w:hAnsi="Tahoma" w:cs="Tahoma"/>
      <w:sz w:val="16"/>
      <w:szCs w:val="16"/>
    </w:rPr>
  </w:style>
  <w:style w:type="character" w:customStyle="1" w:styleId="UnresolvedMention2">
    <w:name w:val="Unresolved Mention2"/>
    <w:basedOn w:val="DefaultParagraphFont"/>
    <w:uiPriority w:val="99"/>
    <w:semiHidden/>
    <w:unhideWhenUsed/>
    <w:rsid w:val="00A92E13"/>
    <w:rPr>
      <w:color w:val="605E5C"/>
      <w:shd w:val="clear" w:color="auto" w:fill="E1DFDD"/>
    </w:rPr>
  </w:style>
  <w:style w:type="character" w:styleId="HTMLCite">
    <w:name w:val="HTML Cite"/>
    <w:basedOn w:val="DefaultParagraphFont"/>
    <w:uiPriority w:val="99"/>
    <w:semiHidden/>
    <w:unhideWhenUsed/>
    <w:rsid w:val="00E10174"/>
    <w:rPr>
      <w:i/>
      <w:iCs/>
    </w:rPr>
  </w:style>
  <w:style w:type="paragraph" w:customStyle="1" w:styleId="action-menu-item">
    <w:name w:val="action-menu-item"/>
    <w:basedOn w:val="Normal"/>
    <w:rsid w:val="00E10174"/>
    <w:pPr>
      <w:spacing w:before="100" w:beforeAutospacing="1" w:after="100" w:afterAutospacing="1" w:line="240" w:lineRule="auto"/>
    </w:pPr>
    <w:rPr>
      <w:rFonts w:eastAsia="Times New Roman" w:cs="Times New Roman"/>
      <w:szCs w:val="24"/>
    </w:rPr>
  </w:style>
  <w:style w:type="character" w:customStyle="1" w:styleId="st">
    <w:name w:val="st"/>
    <w:basedOn w:val="DefaultParagraphFont"/>
    <w:rsid w:val="00E10174"/>
  </w:style>
  <w:style w:type="character" w:customStyle="1" w:styleId="media-delimiter">
    <w:name w:val="media-delimiter"/>
    <w:basedOn w:val="DefaultParagraphFont"/>
    <w:rsid w:val="00B81EBA"/>
  </w:style>
  <w:style w:type="character" w:customStyle="1" w:styleId="UnresolvedMention3">
    <w:name w:val="Unresolved Mention3"/>
    <w:basedOn w:val="DefaultParagraphFont"/>
    <w:uiPriority w:val="99"/>
    <w:semiHidden/>
    <w:unhideWhenUsed/>
    <w:rsid w:val="00B37093"/>
    <w:rPr>
      <w:color w:val="605E5C"/>
      <w:shd w:val="clear" w:color="auto" w:fill="E1DFDD"/>
    </w:rPr>
  </w:style>
  <w:style w:type="character" w:customStyle="1" w:styleId="UnresolvedMention4">
    <w:name w:val="Unresolved Mention4"/>
    <w:basedOn w:val="DefaultParagraphFont"/>
    <w:uiPriority w:val="99"/>
    <w:semiHidden/>
    <w:unhideWhenUsed/>
    <w:rsid w:val="00866ACC"/>
    <w:rPr>
      <w:color w:val="605E5C"/>
      <w:shd w:val="clear" w:color="auto" w:fill="E1DFDD"/>
    </w:rPr>
  </w:style>
  <w:style w:type="table" w:styleId="LightShading-Accent1">
    <w:name w:val="Light Shading Accent 1"/>
    <w:basedOn w:val="TableNormal"/>
    <w:uiPriority w:val="60"/>
    <w:rsid w:val="007E70B7"/>
    <w:pPr>
      <w:spacing w:after="0" w:line="240" w:lineRule="auto"/>
    </w:pPr>
    <w:rPr>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character" w:styleId="UnresolvedMention">
    <w:name w:val="Unresolved Mention"/>
    <w:basedOn w:val="DefaultParagraphFont"/>
    <w:uiPriority w:val="99"/>
    <w:semiHidden/>
    <w:unhideWhenUsed/>
    <w:rsid w:val="00B84481"/>
    <w:rPr>
      <w:color w:val="605E5C"/>
      <w:shd w:val="clear" w:color="auto" w:fill="E1DFDD"/>
    </w:rPr>
  </w:style>
  <w:style w:type="character" w:styleId="CommentReference">
    <w:name w:val="annotation reference"/>
    <w:basedOn w:val="DefaultParagraphFont"/>
    <w:uiPriority w:val="99"/>
    <w:semiHidden/>
    <w:unhideWhenUsed/>
    <w:rsid w:val="009D6DFF"/>
    <w:rPr>
      <w:sz w:val="16"/>
      <w:szCs w:val="16"/>
    </w:rPr>
  </w:style>
  <w:style w:type="paragraph" w:styleId="CommentText">
    <w:name w:val="annotation text"/>
    <w:basedOn w:val="Normal"/>
    <w:link w:val="CommentTextChar"/>
    <w:uiPriority w:val="99"/>
    <w:unhideWhenUsed/>
    <w:rsid w:val="009D6DFF"/>
    <w:pPr>
      <w:spacing w:line="240" w:lineRule="auto"/>
    </w:pPr>
  </w:style>
  <w:style w:type="character" w:customStyle="1" w:styleId="CommentTextChar">
    <w:name w:val="Comment Text Char"/>
    <w:basedOn w:val="DefaultParagraphFont"/>
    <w:link w:val="CommentText"/>
    <w:uiPriority w:val="99"/>
    <w:rsid w:val="009D6DFF"/>
  </w:style>
  <w:style w:type="paragraph" w:styleId="CommentSubject">
    <w:name w:val="annotation subject"/>
    <w:basedOn w:val="CommentText"/>
    <w:next w:val="CommentText"/>
    <w:link w:val="CommentSubjectChar"/>
    <w:uiPriority w:val="99"/>
    <w:semiHidden/>
    <w:unhideWhenUsed/>
    <w:rsid w:val="009D6DFF"/>
    <w:rPr>
      <w:b/>
      <w:bCs/>
    </w:rPr>
  </w:style>
  <w:style w:type="character" w:customStyle="1" w:styleId="CommentSubjectChar">
    <w:name w:val="Comment Subject Char"/>
    <w:basedOn w:val="CommentTextChar"/>
    <w:link w:val="CommentSubject"/>
    <w:uiPriority w:val="99"/>
    <w:semiHidden/>
    <w:rsid w:val="009D6DF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657364">
      <w:bodyDiv w:val="1"/>
      <w:marLeft w:val="0"/>
      <w:marRight w:val="0"/>
      <w:marTop w:val="0"/>
      <w:marBottom w:val="0"/>
      <w:divBdr>
        <w:top w:val="none" w:sz="0" w:space="0" w:color="auto"/>
        <w:left w:val="none" w:sz="0" w:space="0" w:color="auto"/>
        <w:bottom w:val="none" w:sz="0" w:space="0" w:color="auto"/>
        <w:right w:val="none" w:sz="0" w:space="0" w:color="auto"/>
      </w:divBdr>
    </w:div>
    <w:div w:id="92560172">
      <w:bodyDiv w:val="1"/>
      <w:marLeft w:val="0"/>
      <w:marRight w:val="0"/>
      <w:marTop w:val="0"/>
      <w:marBottom w:val="0"/>
      <w:divBdr>
        <w:top w:val="none" w:sz="0" w:space="0" w:color="auto"/>
        <w:left w:val="none" w:sz="0" w:space="0" w:color="auto"/>
        <w:bottom w:val="none" w:sz="0" w:space="0" w:color="auto"/>
        <w:right w:val="none" w:sz="0" w:space="0" w:color="auto"/>
      </w:divBdr>
    </w:div>
    <w:div w:id="157890052">
      <w:bodyDiv w:val="1"/>
      <w:marLeft w:val="0"/>
      <w:marRight w:val="0"/>
      <w:marTop w:val="0"/>
      <w:marBottom w:val="0"/>
      <w:divBdr>
        <w:top w:val="none" w:sz="0" w:space="0" w:color="auto"/>
        <w:left w:val="none" w:sz="0" w:space="0" w:color="auto"/>
        <w:bottom w:val="none" w:sz="0" w:space="0" w:color="auto"/>
        <w:right w:val="none" w:sz="0" w:space="0" w:color="auto"/>
      </w:divBdr>
      <w:divsChild>
        <w:div w:id="1425614167">
          <w:marLeft w:val="0"/>
          <w:marRight w:val="0"/>
          <w:marTop w:val="0"/>
          <w:marBottom w:val="0"/>
          <w:divBdr>
            <w:top w:val="none" w:sz="0" w:space="0" w:color="auto"/>
            <w:left w:val="none" w:sz="0" w:space="0" w:color="auto"/>
            <w:bottom w:val="none" w:sz="0" w:space="0" w:color="auto"/>
            <w:right w:val="none" w:sz="0" w:space="0" w:color="auto"/>
          </w:divBdr>
        </w:div>
        <w:div w:id="1039359392">
          <w:marLeft w:val="45"/>
          <w:marRight w:val="45"/>
          <w:marTop w:val="15"/>
          <w:marBottom w:val="0"/>
          <w:divBdr>
            <w:top w:val="none" w:sz="0" w:space="0" w:color="auto"/>
            <w:left w:val="none" w:sz="0" w:space="0" w:color="auto"/>
            <w:bottom w:val="none" w:sz="0" w:space="0" w:color="auto"/>
            <w:right w:val="none" w:sz="0" w:space="0" w:color="auto"/>
          </w:divBdr>
          <w:divsChild>
            <w:div w:id="355544926">
              <w:marLeft w:val="0"/>
              <w:marRight w:val="0"/>
              <w:marTop w:val="0"/>
              <w:marBottom w:val="0"/>
              <w:divBdr>
                <w:top w:val="single" w:sz="6" w:space="0" w:color="auto"/>
                <w:left w:val="single" w:sz="6" w:space="0" w:color="auto"/>
                <w:bottom w:val="single" w:sz="6" w:space="0" w:color="auto"/>
                <w:right w:val="single" w:sz="6" w:space="0" w:color="auto"/>
              </w:divBdr>
            </w:div>
          </w:divsChild>
        </w:div>
        <w:div w:id="1549340910">
          <w:marLeft w:val="0"/>
          <w:marRight w:val="0"/>
          <w:marTop w:val="0"/>
          <w:marBottom w:val="0"/>
          <w:divBdr>
            <w:top w:val="none" w:sz="0" w:space="0" w:color="auto"/>
            <w:left w:val="none" w:sz="0" w:space="0" w:color="auto"/>
            <w:bottom w:val="none" w:sz="0" w:space="0" w:color="auto"/>
            <w:right w:val="none" w:sz="0" w:space="0" w:color="auto"/>
          </w:divBdr>
        </w:div>
      </w:divsChild>
    </w:div>
    <w:div w:id="437337349">
      <w:bodyDiv w:val="1"/>
      <w:marLeft w:val="0"/>
      <w:marRight w:val="0"/>
      <w:marTop w:val="0"/>
      <w:marBottom w:val="0"/>
      <w:divBdr>
        <w:top w:val="none" w:sz="0" w:space="0" w:color="auto"/>
        <w:left w:val="none" w:sz="0" w:space="0" w:color="auto"/>
        <w:bottom w:val="none" w:sz="0" w:space="0" w:color="auto"/>
        <w:right w:val="none" w:sz="0" w:space="0" w:color="auto"/>
      </w:divBdr>
    </w:div>
    <w:div w:id="727648656">
      <w:bodyDiv w:val="1"/>
      <w:marLeft w:val="0"/>
      <w:marRight w:val="0"/>
      <w:marTop w:val="0"/>
      <w:marBottom w:val="0"/>
      <w:divBdr>
        <w:top w:val="none" w:sz="0" w:space="0" w:color="auto"/>
        <w:left w:val="none" w:sz="0" w:space="0" w:color="auto"/>
        <w:bottom w:val="none" w:sz="0" w:space="0" w:color="auto"/>
        <w:right w:val="none" w:sz="0" w:space="0" w:color="auto"/>
      </w:divBdr>
    </w:div>
    <w:div w:id="795298944">
      <w:bodyDiv w:val="1"/>
      <w:marLeft w:val="0"/>
      <w:marRight w:val="0"/>
      <w:marTop w:val="0"/>
      <w:marBottom w:val="0"/>
      <w:divBdr>
        <w:top w:val="none" w:sz="0" w:space="0" w:color="auto"/>
        <w:left w:val="none" w:sz="0" w:space="0" w:color="auto"/>
        <w:bottom w:val="none" w:sz="0" w:space="0" w:color="auto"/>
        <w:right w:val="none" w:sz="0" w:space="0" w:color="auto"/>
      </w:divBdr>
    </w:div>
    <w:div w:id="1011755769">
      <w:bodyDiv w:val="1"/>
      <w:marLeft w:val="0"/>
      <w:marRight w:val="0"/>
      <w:marTop w:val="0"/>
      <w:marBottom w:val="0"/>
      <w:divBdr>
        <w:top w:val="none" w:sz="0" w:space="0" w:color="auto"/>
        <w:left w:val="none" w:sz="0" w:space="0" w:color="auto"/>
        <w:bottom w:val="none" w:sz="0" w:space="0" w:color="auto"/>
        <w:right w:val="none" w:sz="0" w:space="0" w:color="auto"/>
      </w:divBdr>
    </w:div>
    <w:div w:id="1016886933">
      <w:bodyDiv w:val="1"/>
      <w:marLeft w:val="0"/>
      <w:marRight w:val="0"/>
      <w:marTop w:val="0"/>
      <w:marBottom w:val="0"/>
      <w:divBdr>
        <w:top w:val="none" w:sz="0" w:space="0" w:color="auto"/>
        <w:left w:val="none" w:sz="0" w:space="0" w:color="auto"/>
        <w:bottom w:val="none" w:sz="0" w:space="0" w:color="auto"/>
        <w:right w:val="none" w:sz="0" w:space="0" w:color="auto"/>
      </w:divBdr>
      <w:divsChild>
        <w:div w:id="1305698135">
          <w:marLeft w:val="0"/>
          <w:marRight w:val="0"/>
          <w:marTop w:val="0"/>
          <w:marBottom w:val="0"/>
          <w:divBdr>
            <w:top w:val="none" w:sz="0" w:space="0" w:color="auto"/>
            <w:left w:val="none" w:sz="0" w:space="0" w:color="auto"/>
            <w:bottom w:val="none" w:sz="0" w:space="0" w:color="auto"/>
            <w:right w:val="none" w:sz="0" w:space="0" w:color="auto"/>
          </w:divBdr>
        </w:div>
      </w:divsChild>
    </w:div>
    <w:div w:id="1044063629">
      <w:bodyDiv w:val="1"/>
      <w:marLeft w:val="0"/>
      <w:marRight w:val="0"/>
      <w:marTop w:val="0"/>
      <w:marBottom w:val="0"/>
      <w:divBdr>
        <w:top w:val="none" w:sz="0" w:space="0" w:color="auto"/>
        <w:left w:val="none" w:sz="0" w:space="0" w:color="auto"/>
        <w:bottom w:val="none" w:sz="0" w:space="0" w:color="auto"/>
        <w:right w:val="none" w:sz="0" w:space="0" w:color="auto"/>
      </w:divBdr>
      <w:divsChild>
        <w:div w:id="113057369">
          <w:marLeft w:val="0"/>
          <w:marRight w:val="0"/>
          <w:marTop w:val="0"/>
          <w:marBottom w:val="0"/>
          <w:divBdr>
            <w:top w:val="none" w:sz="0" w:space="0" w:color="auto"/>
            <w:left w:val="none" w:sz="0" w:space="0" w:color="auto"/>
            <w:bottom w:val="none" w:sz="0" w:space="0" w:color="auto"/>
            <w:right w:val="none" w:sz="0" w:space="0" w:color="auto"/>
          </w:divBdr>
        </w:div>
        <w:div w:id="827940099">
          <w:marLeft w:val="45"/>
          <w:marRight w:val="45"/>
          <w:marTop w:val="15"/>
          <w:marBottom w:val="0"/>
          <w:divBdr>
            <w:top w:val="none" w:sz="0" w:space="0" w:color="auto"/>
            <w:left w:val="none" w:sz="0" w:space="0" w:color="auto"/>
            <w:bottom w:val="none" w:sz="0" w:space="0" w:color="auto"/>
            <w:right w:val="none" w:sz="0" w:space="0" w:color="auto"/>
          </w:divBdr>
          <w:divsChild>
            <w:div w:id="1788230708">
              <w:marLeft w:val="0"/>
              <w:marRight w:val="0"/>
              <w:marTop w:val="0"/>
              <w:marBottom w:val="0"/>
              <w:divBdr>
                <w:top w:val="single" w:sz="6" w:space="0" w:color="auto"/>
                <w:left w:val="single" w:sz="6" w:space="0" w:color="auto"/>
                <w:bottom w:val="single" w:sz="6" w:space="0" w:color="auto"/>
                <w:right w:val="single" w:sz="6" w:space="0" w:color="auto"/>
              </w:divBdr>
            </w:div>
          </w:divsChild>
        </w:div>
        <w:div w:id="1678263209">
          <w:marLeft w:val="0"/>
          <w:marRight w:val="0"/>
          <w:marTop w:val="0"/>
          <w:marBottom w:val="0"/>
          <w:divBdr>
            <w:top w:val="none" w:sz="0" w:space="0" w:color="auto"/>
            <w:left w:val="none" w:sz="0" w:space="0" w:color="auto"/>
            <w:bottom w:val="none" w:sz="0" w:space="0" w:color="auto"/>
            <w:right w:val="none" w:sz="0" w:space="0" w:color="auto"/>
          </w:divBdr>
        </w:div>
      </w:divsChild>
    </w:div>
    <w:div w:id="1084688454">
      <w:bodyDiv w:val="1"/>
      <w:marLeft w:val="0"/>
      <w:marRight w:val="0"/>
      <w:marTop w:val="0"/>
      <w:marBottom w:val="0"/>
      <w:divBdr>
        <w:top w:val="none" w:sz="0" w:space="0" w:color="auto"/>
        <w:left w:val="none" w:sz="0" w:space="0" w:color="auto"/>
        <w:bottom w:val="none" w:sz="0" w:space="0" w:color="auto"/>
        <w:right w:val="none" w:sz="0" w:space="0" w:color="auto"/>
      </w:divBdr>
    </w:div>
    <w:div w:id="1132482895">
      <w:bodyDiv w:val="1"/>
      <w:marLeft w:val="0"/>
      <w:marRight w:val="0"/>
      <w:marTop w:val="0"/>
      <w:marBottom w:val="0"/>
      <w:divBdr>
        <w:top w:val="none" w:sz="0" w:space="0" w:color="auto"/>
        <w:left w:val="none" w:sz="0" w:space="0" w:color="auto"/>
        <w:bottom w:val="none" w:sz="0" w:space="0" w:color="auto"/>
        <w:right w:val="none" w:sz="0" w:space="0" w:color="auto"/>
      </w:divBdr>
    </w:div>
    <w:div w:id="1420256171">
      <w:bodyDiv w:val="1"/>
      <w:marLeft w:val="0"/>
      <w:marRight w:val="0"/>
      <w:marTop w:val="0"/>
      <w:marBottom w:val="0"/>
      <w:divBdr>
        <w:top w:val="none" w:sz="0" w:space="0" w:color="auto"/>
        <w:left w:val="none" w:sz="0" w:space="0" w:color="auto"/>
        <w:bottom w:val="none" w:sz="0" w:space="0" w:color="auto"/>
        <w:right w:val="none" w:sz="0" w:space="0" w:color="auto"/>
      </w:divBdr>
    </w:div>
    <w:div w:id="1581794081">
      <w:bodyDiv w:val="1"/>
      <w:marLeft w:val="0"/>
      <w:marRight w:val="0"/>
      <w:marTop w:val="0"/>
      <w:marBottom w:val="0"/>
      <w:divBdr>
        <w:top w:val="none" w:sz="0" w:space="0" w:color="auto"/>
        <w:left w:val="none" w:sz="0" w:space="0" w:color="auto"/>
        <w:bottom w:val="none" w:sz="0" w:space="0" w:color="auto"/>
        <w:right w:val="none" w:sz="0" w:space="0" w:color="auto"/>
      </w:divBdr>
    </w:div>
    <w:div w:id="1617639396">
      <w:bodyDiv w:val="1"/>
      <w:marLeft w:val="0"/>
      <w:marRight w:val="0"/>
      <w:marTop w:val="0"/>
      <w:marBottom w:val="0"/>
      <w:divBdr>
        <w:top w:val="none" w:sz="0" w:space="0" w:color="auto"/>
        <w:left w:val="none" w:sz="0" w:space="0" w:color="auto"/>
        <w:bottom w:val="none" w:sz="0" w:space="0" w:color="auto"/>
        <w:right w:val="none" w:sz="0" w:space="0" w:color="auto"/>
      </w:divBdr>
    </w:div>
    <w:div w:id="2124185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13" Type="http://schemas.openxmlformats.org/officeDocument/2006/relationships/hyperlink" Target="https://www.ncbi.nlm.nih.gov/pubmed/?term=Shehovych%20A%5BAuthor%5D&amp;cauthor=true&amp;cauthor_uid=27513789" TargetMode="External"/><Relationship Id="rId18" Type="http://schemas.openxmlformats.org/officeDocument/2006/relationships/hyperlink" Target="https://libweb.anglia.ac.uk/" TargetMode="External"/><Relationship Id="rId26" Type="http://schemas.openxmlformats.org/officeDocument/2006/relationships/hyperlink" Target="https://www.gmc-uk.org/-/media/documents/Personal_beliefs_and_medical_practice.pdf_58833376.pdf" TargetMode="External"/><Relationship Id="rId39" Type="http://schemas.openxmlformats.org/officeDocument/2006/relationships/hyperlink" Target="https://www.nice.org.uk/guidance/ng38" TargetMode="External"/><Relationship Id="rId21" Type="http://schemas.openxmlformats.org/officeDocument/2006/relationships/hyperlink" Target="http://dx.doi.org/10.1007/s11606-010-1292-2" TargetMode="External"/><Relationship Id="rId34" Type="http://schemas.openxmlformats.org/officeDocument/2006/relationships/hyperlink" Target="http://dx.doi.org/10.1016/j.otsr.2016.04.014" TargetMode="External"/><Relationship Id="rId42" Type="http://schemas.openxmlformats.org/officeDocument/2006/relationships/hyperlink" Target="https://emedicine.medscape.com/article/1245884-overview" TargetMode="External"/><Relationship Id="rId47" Type="http://schemas.openxmlformats.org/officeDocument/2006/relationships/hyperlink" Target="https://www.aafp.org/afp/2013/0415/p568.html" TargetMode="External"/><Relationship Id="rId50" Type="http://schemas.openxmlformats.org/officeDocument/2006/relationships/hyperlink" Target="https://www.rcseng.ac.uk/standards-and-research/gsp/" TargetMode="External"/><Relationship Id="rId55" Type="http://schemas.openxmlformats.org/officeDocument/2006/relationships/hyperlink" Target="http://dx.doi.org/10.1016/S0020-1383(18)30299-7" TargetMode="External"/><Relationship Id="rId7" Type="http://schemas.openxmlformats.org/officeDocument/2006/relationships/footnotes" Target="footnotes.xml"/><Relationship Id="rId2" Type="http://schemas.openxmlformats.org/officeDocument/2006/relationships/customXml" Target="../customXml/item1.xml"/><Relationship Id="rId16" Type="http://schemas.openxmlformats.org/officeDocument/2006/relationships/hyperlink" Target="https://libweb.anglia.ac.uk/" TargetMode="External"/><Relationship Id="rId29" Type="http://schemas.openxmlformats.org/officeDocument/2006/relationships/hyperlink" Target="https://www.ncbi.nlm.nih.gov/pubmed/29328813" TargetMode="External"/><Relationship Id="rId11" Type="http://schemas.openxmlformats.org/officeDocument/2006/relationships/image" Target="media/image3.jpeg"/><Relationship Id="rId24" Type="http://schemas.openxmlformats.org/officeDocument/2006/relationships/hyperlink" Target="https://www.gmc-uk.org/ethical-guidance/ethical-guidance-for-doctors/consent" TargetMode="External"/><Relationship Id="rId32" Type="http://schemas.openxmlformats.org/officeDocument/2006/relationships/hyperlink" Target="http://dx.doi.org/10.1007/s10865-016-9782-2" TargetMode="External"/><Relationship Id="rId37" Type="http://schemas.openxmlformats.org/officeDocument/2006/relationships/hyperlink" Target="https://www.nhs.uk/conditions/blood-tests/types/" TargetMode="External"/><Relationship Id="rId40" Type="http://schemas.openxmlformats.org/officeDocument/2006/relationships/hyperlink" Target="https://pathways.nice.org.uk/pathways/preoperative-tests" TargetMode="External"/><Relationship Id="rId45" Type="http://schemas.openxmlformats.org/officeDocument/2006/relationships/hyperlink" Target="https://libweb.anglia.ac.uk/" TargetMode="External"/><Relationship Id="rId53" Type="http://schemas.openxmlformats.org/officeDocument/2006/relationships/hyperlink" Target="https://www.rcseng.ac.uk/standards-and-research/standards-and-guidance/service-standards/surgical-care-team-guidance/" TargetMode="External"/><Relationship Id="rId58" Type="http://schemas.openxmlformats.org/officeDocument/2006/relationships/theme" Target="theme/theme1.xml"/><Relationship Id="rId5" Type="http://schemas.openxmlformats.org/officeDocument/2006/relationships/settings" Target="settings.xml"/><Relationship Id="rId19" Type="http://schemas.openxmlformats.org/officeDocument/2006/relationships/hyperlink" Target="https://libweb.anglia.ac.uk/"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5.jpeg"/><Relationship Id="rId22" Type="http://schemas.openxmlformats.org/officeDocument/2006/relationships/hyperlink" Target="http://dx.doi.org/10.1016/j.ajem.2017.08.050" TargetMode="External"/><Relationship Id="rId27" Type="http://schemas.openxmlformats.org/officeDocument/2006/relationships/hyperlink" Target="https://www.gmc-uk.org/ethical-guidance/ethical-guidance-for-doctors/protecting-children-and-young-people/keeping-records" TargetMode="External"/><Relationship Id="rId30" Type="http://schemas.openxmlformats.org/officeDocument/2006/relationships/hyperlink" Target="https://libweb.anglia.ac.uk/" TargetMode="External"/><Relationship Id="rId35" Type="http://schemas.openxmlformats.org/officeDocument/2006/relationships/hyperlink" Target="http://dx.doi.org/10.4103/2249-4863.148101" TargetMode="External"/><Relationship Id="rId43" Type="http://schemas.openxmlformats.org/officeDocument/2006/relationships/hyperlink" Target="https://www.nmc.org.uk/standards/code/" TargetMode="External"/><Relationship Id="rId48" Type="http://schemas.openxmlformats.org/officeDocument/2006/relationships/hyperlink" Target="http://dx.doi.org/10.1308/rcsann.2016.0237" TargetMode="External"/><Relationship Id="rId56" Type="http://schemas.openxmlformats.org/officeDocument/2006/relationships/footer" Target="footer1.xml"/><Relationship Id="rId8" Type="http://schemas.openxmlformats.org/officeDocument/2006/relationships/endnotes" Target="endnotes.xml"/><Relationship Id="rId51" Type="http://schemas.openxmlformats.org/officeDocument/2006/relationships/hyperlink" Target="https://www.rcseng.ac.uk/library-and-publications/rcs-publications/docs/consent-good-practice-guide/" TargetMode="External"/><Relationship Id="rId3" Type="http://schemas.openxmlformats.org/officeDocument/2006/relationships/numbering" Target="numbering.xml"/><Relationship Id="rId12" Type="http://schemas.openxmlformats.org/officeDocument/2006/relationships/image" Target="media/image4.jpeg"/><Relationship Id="rId17" Type="http://schemas.openxmlformats.org/officeDocument/2006/relationships/hyperlink" Target="https://online.epocrates.com/diseases/39235/Wrist-fractures/Differential-Diagnosis" TargetMode="External"/><Relationship Id="rId25" Type="http://schemas.openxmlformats.org/officeDocument/2006/relationships/hyperlink" Target="https://www.gmc-uk.org/%20/media/documents/Good_medical_practice___English_1215.pdf_51527435.pdf" TargetMode="External"/><Relationship Id="rId33" Type="http://schemas.openxmlformats.org/officeDocument/2006/relationships/hyperlink" Target="http://dx.doi.org/10.1016/j.jht.2016.03.003" TargetMode="External"/><Relationship Id="rId38" Type="http://schemas.openxmlformats.org/officeDocument/2006/relationships/hyperlink" Target="https://www.england.nhs.uk/wp-content/uploads/2016/12/confidentiality-policy-v4.pdf" TargetMode="External"/><Relationship Id="rId46" Type="http://schemas.openxmlformats.org/officeDocument/2006/relationships/hyperlink" Target="https://bestpractice.bmj.com/topics/en-us/392" TargetMode="External"/><Relationship Id="rId20" Type="http://schemas.openxmlformats.org/officeDocument/2006/relationships/hyperlink" Target="https://libweb.anglia.ac.uk/" TargetMode="External"/><Relationship Id="rId41" Type="http://schemas.openxmlformats.org/officeDocument/2006/relationships/hyperlink" Target="https://pathways.nice.org.uk/pathways/trauma%23path=view%3A/pathways/trauma/limb-and-joint-fractures-in-hospital.xml&amp;content=view-index" TargetMode="External"/><Relationship Id="rId54" Type="http://schemas.openxmlformats.org/officeDocument/2006/relationships/hyperlink" Target="https://www.rcseng.ac.uk/education-and-exams/accreditation/surgical-care-practitioner/" TargetMode="External"/><Relationship Id="rId1" Type="http://schemas.microsoft.com/office/2006/relationships/keyMapCustomizations" Target="customizations.xml"/><Relationship Id="rId6" Type="http://schemas.openxmlformats.org/officeDocument/2006/relationships/webSettings" Target="webSettings.xml"/><Relationship Id="rId15" Type="http://schemas.openxmlformats.org/officeDocument/2006/relationships/hyperlink" Target="https://www2.aofoundation.org/wps/portal/surgery?showPage=diagnosis&amp;bone=Radius&amp;segment=Distal" TargetMode="External"/><Relationship Id="rId23" Type="http://schemas.openxmlformats.org/officeDocument/2006/relationships/hyperlink" Target="https://libweb.anglia.ac.uk/" TargetMode="External"/><Relationship Id="rId28" Type="http://schemas.openxmlformats.org/officeDocument/2006/relationships/hyperlink" Target="http://www.legislation.gov.uk/ukpga/2005/9/contents" TargetMode="External"/><Relationship Id="rId36" Type="http://schemas.openxmlformats.org/officeDocument/2006/relationships/hyperlink" Target="https://libweb.anglia.ac.uk/" TargetMode="External"/><Relationship Id="rId49" Type="http://schemas.openxmlformats.org/officeDocument/2006/relationships/hyperlink" Target="https://www.orthobullets.com/approaches/12071/fcr-approach-to-distal-radius" TargetMode="External"/><Relationship Id="rId57" Type="http://schemas.openxmlformats.org/officeDocument/2006/relationships/fontTable" Target="fontTable.xml"/><Relationship Id="rId10" Type="http://schemas.openxmlformats.org/officeDocument/2006/relationships/image" Target="media/image2.jpeg"/><Relationship Id="rId31" Type="http://schemas.openxmlformats.org/officeDocument/2006/relationships/hyperlink" Target="https://libweb.anglia.ac.uk/" TargetMode="External"/><Relationship Id="rId44" Type="http://schemas.openxmlformats.org/officeDocument/2006/relationships/hyperlink" Target="http://dx.doi.org/10.1177/2049463712438493" TargetMode="External"/><Relationship Id="rId52" Type="http://schemas.openxmlformats.org/officeDocument/2006/relationships/hyperlink" Target="https://www.rcseng.ac.uk/standards-and-research/gsp/domain-3/3-5-1-cons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0F136B-EFF6-4803-8F9E-328C336940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14</Pages>
  <Words>5126</Words>
  <Characters>29220</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Company>Colchester Hospital University NHS Foundation Trust</Company>
  <LinksUpToDate>false</LinksUpToDate>
  <CharactersWithSpaces>34278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Rojas, Desiree</dc:creator>
  <cp:lastModifiedBy>Blanshard, Lisa</cp:lastModifiedBy>
  <cp:revision>259</cp:revision>
  <cp:lastPrinted>2020-04-20T09:39:00Z</cp:lastPrinted>
  <dcterms:created xsi:type="dcterms:W3CDTF">2019-04-16T09:59:00Z</dcterms:created>
  <dcterms:modified xsi:type="dcterms:W3CDTF">2021-06-11T14:57:00Z</dcterms:modified>
</cp:coreProperties>
</file>