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4E148" w14:textId="0FA892BE" w:rsidR="00C67E8E" w:rsidRDefault="007358F5" w:rsidP="00211B87">
      <w:pPr>
        <w:spacing w:line="360" w:lineRule="auto"/>
        <w:jc w:val="center"/>
        <w:rPr>
          <w:b/>
          <w:sz w:val="24"/>
          <w:szCs w:val="24"/>
        </w:rPr>
      </w:pPr>
      <w:r w:rsidRPr="0085544F">
        <w:rPr>
          <w:b/>
          <w:sz w:val="24"/>
          <w:szCs w:val="24"/>
        </w:rPr>
        <w:t>Delphi with feedback of rationales</w:t>
      </w:r>
      <w:r w:rsidRPr="00B04EF7">
        <w:rPr>
          <w:b/>
        </w:rPr>
        <w:t xml:space="preserve">: </w:t>
      </w:r>
      <w:r w:rsidR="00353139">
        <w:rPr>
          <w:b/>
          <w:sz w:val="24"/>
          <w:szCs w:val="24"/>
        </w:rPr>
        <w:t>H</w:t>
      </w:r>
      <w:r w:rsidRPr="0085544F">
        <w:rPr>
          <w:b/>
          <w:sz w:val="24"/>
          <w:szCs w:val="24"/>
        </w:rPr>
        <w:t>ow large can a Delphi group be such that participants are not overloaded, de-motivated, or disengaged?</w:t>
      </w:r>
    </w:p>
    <w:p w14:paraId="718B842F" w14:textId="6ABDAB1B" w:rsidR="005A70A4" w:rsidRPr="00AF63E9" w:rsidRDefault="005A70A4" w:rsidP="005A70A4">
      <w:pPr>
        <w:spacing w:line="360" w:lineRule="auto"/>
        <w:jc w:val="center"/>
        <w:rPr>
          <w:sz w:val="24"/>
          <w:szCs w:val="24"/>
          <w:vertAlign w:val="superscript"/>
        </w:rPr>
      </w:pPr>
      <w:r w:rsidRPr="005A70A4">
        <w:rPr>
          <w:sz w:val="24"/>
          <w:szCs w:val="24"/>
        </w:rPr>
        <w:t>Ian Belton</w:t>
      </w:r>
      <w:r w:rsidR="009D1D5B">
        <w:rPr>
          <w:sz w:val="24"/>
          <w:szCs w:val="24"/>
          <w:vertAlign w:val="superscript"/>
        </w:rPr>
        <w:t>a</w:t>
      </w:r>
      <w:r w:rsidR="00AF63E9">
        <w:rPr>
          <w:sz w:val="24"/>
          <w:szCs w:val="24"/>
          <w:vertAlign w:val="superscript"/>
        </w:rPr>
        <w:t>1</w:t>
      </w:r>
      <w:r w:rsidRPr="005A70A4">
        <w:rPr>
          <w:sz w:val="24"/>
          <w:szCs w:val="24"/>
        </w:rPr>
        <w:t xml:space="preserve">, </w:t>
      </w:r>
      <w:r w:rsidR="009D1D5B" w:rsidRPr="005A70A4">
        <w:rPr>
          <w:sz w:val="24"/>
          <w:szCs w:val="24"/>
        </w:rPr>
        <w:t>George Wright</w:t>
      </w:r>
      <w:r w:rsidR="00AF63E9">
        <w:rPr>
          <w:sz w:val="24"/>
          <w:szCs w:val="24"/>
          <w:vertAlign w:val="superscript"/>
        </w:rPr>
        <w:t>1</w:t>
      </w:r>
      <w:r w:rsidR="009D1D5B">
        <w:rPr>
          <w:sz w:val="24"/>
          <w:szCs w:val="24"/>
        </w:rPr>
        <w:t xml:space="preserve">, </w:t>
      </w:r>
      <w:r w:rsidR="009D1D5B" w:rsidRPr="005A70A4">
        <w:rPr>
          <w:sz w:val="24"/>
          <w:szCs w:val="24"/>
        </w:rPr>
        <w:t>Aileen Sissons</w:t>
      </w:r>
      <w:r w:rsidR="00AF63E9">
        <w:rPr>
          <w:sz w:val="24"/>
          <w:szCs w:val="24"/>
          <w:vertAlign w:val="superscript"/>
        </w:rPr>
        <w:t>1</w:t>
      </w:r>
      <w:r w:rsidR="009D1D5B">
        <w:rPr>
          <w:sz w:val="24"/>
          <w:szCs w:val="24"/>
        </w:rPr>
        <w:t>,</w:t>
      </w:r>
      <w:r w:rsidR="009D1D5B" w:rsidRPr="005A70A4">
        <w:rPr>
          <w:sz w:val="24"/>
          <w:szCs w:val="24"/>
        </w:rPr>
        <w:t xml:space="preserve"> </w:t>
      </w:r>
      <w:r w:rsidR="00D91FED">
        <w:rPr>
          <w:sz w:val="24"/>
          <w:szCs w:val="24"/>
        </w:rPr>
        <w:t>Fergus Bolger</w:t>
      </w:r>
      <w:r w:rsidR="00AF63E9">
        <w:rPr>
          <w:sz w:val="24"/>
          <w:szCs w:val="24"/>
          <w:vertAlign w:val="superscript"/>
        </w:rPr>
        <w:t>1</w:t>
      </w:r>
      <w:r w:rsidR="00D91FED">
        <w:rPr>
          <w:sz w:val="24"/>
          <w:szCs w:val="24"/>
        </w:rPr>
        <w:t xml:space="preserve">, </w:t>
      </w:r>
      <w:r w:rsidRPr="005A70A4">
        <w:rPr>
          <w:sz w:val="24"/>
          <w:szCs w:val="24"/>
        </w:rPr>
        <w:t xml:space="preserve">Megan </w:t>
      </w:r>
      <w:r w:rsidR="00EA3203">
        <w:rPr>
          <w:sz w:val="24"/>
          <w:szCs w:val="24"/>
        </w:rPr>
        <w:t xml:space="preserve">M. </w:t>
      </w:r>
      <w:r w:rsidRPr="005A70A4">
        <w:rPr>
          <w:sz w:val="24"/>
          <w:szCs w:val="24"/>
        </w:rPr>
        <w:t>Crawford</w:t>
      </w:r>
      <w:r w:rsidR="00AF63E9">
        <w:rPr>
          <w:sz w:val="24"/>
          <w:szCs w:val="24"/>
          <w:vertAlign w:val="superscript"/>
        </w:rPr>
        <w:t>2</w:t>
      </w:r>
      <w:r w:rsidRPr="005A70A4">
        <w:rPr>
          <w:sz w:val="24"/>
          <w:szCs w:val="24"/>
        </w:rPr>
        <w:t>, Iain Hamlin</w:t>
      </w:r>
      <w:r w:rsidR="00AF63E9">
        <w:rPr>
          <w:sz w:val="24"/>
          <w:szCs w:val="24"/>
          <w:vertAlign w:val="superscript"/>
        </w:rPr>
        <w:t>1</w:t>
      </w:r>
      <w:r w:rsidRPr="005A70A4">
        <w:rPr>
          <w:sz w:val="24"/>
          <w:szCs w:val="24"/>
        </w:rPr>
        <w:t>, Courtney Taylor Browne Lū</w:t>
      </w:r>
      <w:r w:rsidR="00BE3718">
        <w:rPr>
          <w:sz w:val="24"/>
          <w:szCs w:val="24"/>
        </w:rPr>
        <w:t>k</w:t>
      </w:r>
      <w:r w:rsidRPr="005A70A4">
        <w:rPr>
          <w:sz w:val="24"/>
          <w:szCs w:val="24"/>
        </w:rPr>
        <w:t>a</w:t>
      </w:r>
      <w:r w:rsidR="00AF63E9">
        <w:rPr>
          <w:sz w:val="24"/>
          <w:szCs w:val="24"/>
          <w:vertAlign w:val="superscript"/>
        </w:rPr>
        <w:t>3</w:t>
      </w:r>
      <w:r w:rsidRPr="005A70A4">
        <w:rPr>
          <w:sz w:val="24"/>
          <w:szCs w:val="24"/>
        </w:rPr>
        <w:t>, Alexandrina Vasilichi</w:t>
      </w:r>
      <w:r w:rsidR="00AF63E9">
        <w:rPr>
          <w:sz w:val="24"/>
          <w:szCs w:val="24"/>
          <w:vertAlign w:val="superscript"/>
        </w:rPr>
        <w:t>4</w:t>
      </w:r>
    </w:p>
    <w:p w14:paraId="105AF7B6" w14:textId="77777777" w:rsidR="005A70A4" w:rsidRPr="005A70A4" w:rsidRDefault="005A70A4" w:rsidP="005A70A4">
      <w:pPr>
        <w:spacing w:line="360" w:lineRule="auto"/>
        <w:jc w:val="center"/>
        <w:rPr>
          <w:b/>
          <w:sz w:val="24"/>
          <w:szCs w:val="24"/>
        </w:rPr>
      </w:pPr>
    </w:p>
    <w:p w14:paraId="0CDDC5AE" w14:textId="3FC344FB" w:rsidR="005A70A4" w:rsidRDefault="005A70A4" w:rsidP="00AF63E9">
      <w:pPr>
        <w:pStyle w:val="ListParagraph"/>
        <w:numPr>
          <w:ilvl w:val="0"/>
          <w:numId w:val="18"/>
        </w:numPr>
        <w:spacing w:line="360" w:lineRule="auto"/>
        <w:rPr>
          <w:sz w:val="24"/>
          <w:szCs w:val="24"/>
        </w:rPr>
      </w:pPr>
      <w:r w:rsidRPr="00AF63E9">
        <w:rPr>
          <w:sz w:val="24"/>
          <w:szCs w:val="24"/>
        </w:rPr>
        <w:t xml:space="preserve">Department of </w:t>
      </w:r>
      <w:r w:rsidR="0026062B" w:rsidRPr="00AF63E9">
        <w:rPr>
          <w:sz w:val="24"/>
          <w:szCs w:val="24"/>
        </w:rPr>
        <w:t>Management Science</w:t>
      </w:r>
      <w:r w:rsidRPr="00AF63E9">
        <w:rPr>
          <w:sz w:val="24"/>
          <w:szCs w:val="24"/>
        </w:rPr>
        <w:t>, Strathclyde Business School, University of Strathclyde, 199 Cathedral Street, Glasgow G4 0QU</w:t>
      </w:r>
    </w:p>
    <w:p w14:paraId="6309DF28" w14:textId="789766A9" w:rsidR="00AF63E9" w:rsidRDefault="00C04B05" w:rsidP="00AF63E9">
      <w:pPr>
        <w:pStyle w:val="ListParagraph"/>
        <w:numPr>
          <w:ilvl w:val="0"/>
          <w:numId w:val="18"/>
        </w:numPr>
        <w:spacing w:line="360" w:lineRule="auto"/>
        <w:rPr>
          <w:sz w:val="24"/>
          <w:szCs w:val="24"/>
        </w:rPr>
      </w:pPr>
      <w:r>
        <w:rPr>
          <w:sz w:val="24"/>
          <w:szCs w:val="24"/>
        </w:rPr>
        <w:t xml:space="preserve">The </w:t>
      </w:r>
      <w:r w:rsidR="00AF63E9">
        <w:rPr>
          <w:sz w:val="24"/>
          <w:szCs w:val="24"/>
        </w:rPr>
        <w:t>Business School, Edinburgh Napier University, U</w:t>
      </w:r>
      <w:r w:rsidR="00AF63E9" w:rsidRPr="00AF63E9">
        <w:rPr>
          <w:sz w:val="24"/>
          <w:szCs w:val="24"/>
        </w:rPr>
        <w:t>nit 4, 10 Bankhead Terrace, Edinburgh EH11 4DY</w:t>
      </w:r>
    </w:p>
    <w:p w14:paraId="4763FC08" w14:textId="3835BE74" w:rsidR="00AF63E9" w:rsidRDefault="00E97BB2" w:rsidP="00AF63E9">
      <w:pPr>
        <w:pStyle w:val="ListParagraph"/>
        <w:numPr>
          <w:ilvl w:val="0"/>
          <w:numId w:val="18"/>
        </w:numPr>
        <w:spacing w:line="360" w:lineRule="auto"/>
        <w:rPr>
          <w:sz w:val="24"/>
          <w:szCs w:val="24"/>
        </w:rPr>
      </w:pPr>
      <w:r>
        <w:rPr>
          <w:sz w:val="24"/>
          <w:szCs w:val="24"/>
        </w:rPr>
        <w:t xml:space="preserve">Department of Psychology, </w:t>
      </w:r>
      <w:r w:rsidR="00AF63E9">
        <w:rPr>
          <w:sz w:val="24"/>
          <w:szCs w:val="24"/>
        </w:rPr>
        <w:t xml:space="preserve">University of Glasgow, </w:t>
      </w:r>
      <w:r w:rsidR="00AF63E9" w:rsidRPr="00AF63E9">
        <w:rPr>
          <w:sz w:val="24"/>
          <w:szCs w:val="24"/>
        </w:rPr>
        <w:t>Glasgow G12 8QQ</w:t>
      </w:r>
    </w:p>
    <w:p w14:paraId="49D184FE" w14:textId="34F4B874" w:rsidR="00AF63E9" w:rsidRPr="00AF63E9" w:rsidRDefault="0044390C" w:rsidP="00AF63E9">
      <w:pPr>
        <w:pStyle w:val="ListParagraph"/>
        <w:numPr>
          <w:ilvl w:val="0"/>
          <w:numId w:val="18"/>
        </w:numPr>
        <w:spacing w:line="360" w:lineRule="auto"/>
      </w:pPr>
      <w:r w:rsidRPr="0044390C">
        <w:rPr>
          <w:sz w:val="24"/>
          <w:szCs w:val="24"/>
        </w:rPr>
        <w:t>Department of Psychiatry, University of Cambridge, Cambridge, CB2 8AH</w:t>
      </w:r>
      <w:r w:rsidR="00AF63E9" w:rsidRPr="00AF63E9">
        <w:rPr>
          <w:sz w:val="24"/>
          <w:szCs w:val="24"/>
        </w:rPr>
        <w:br/>
      </w:r>
    </w:p>
    <w:p w14:paraId="455A6BFC" w14:textId="120FFE7B" w:rsidR="007358F5" w:rsidRPr="0085544F" w:rsidRDefault="00FB2A1B" w:rsidP="00D84571">
      <w:pPr>
        <w:spacing w:line="360" w:lineRule="auto"/>
        <w:rPr>
          <w:b/>
          <w:sz w:val="24"/>
          <w:szCs w:val="24"/>
        </w:rPr>
      </w:pPr>
      <w:r>
        <w:rPr>
          <w:sz w:val="24"/>
          <w:szCs w:val="24"/>
          <w:vertAlign w:val="superscript"/>
        </w:rPr>
        <w:t>a</w:t>
      </w:r>
      <w:r>
        <w:rPr>
          <w:sz w:val="24"/>
          <w:szCs w:val="24"/>
        </w:rPr>
        <w:t xml:space="preserve"> Corresponding author: ian.belton@strath.ac.uk</w:t>
      </w:r>
    </w:p>
    <w:p w14:paraId="083364AC" w14:textId="77777777" w:rsidR="009C4BD1" w:rsidRDefault="009C4BD1" w:rsidP="007358F5">
      <w:pPr>
        <w:spacing w:line="360" w:lineRule="auto"/>
        <w:rPr>
          <w:b/>
          <w:sz w:val="24"/>
          <w:szCs w:val="24"/>
        </w:rPr>
      </w:pPr>
    </w:p>
    <w:p w14:paraId="0700D3B7" w14:textId="657658A3" w:rsidR="007358F5" w:rsidRPr="0085544F" w:rsidRDefault="007358F5" w:rsidP="007358F5">
      <w:pPr>
        <w:spacing w:line="360" w:lineRule="auto"/>
        <w:rPr>
          <w:b/>
          <w:sz w:val="24"/>
          <w:szCs w:val="24"/>
        </w:rPr>
      </w:pPr>
      <w:r w:rsidRPr="0085544F">
        <w:rPr>
          <w:b/>
          <w:sz w:val="24"/>
          <w:szCs w:val="24"/>
        </w:rPr>
        <w:t>Abstract</w:t>
      </w:r>
    </w:p>
    <w:p w14:paraId="30191FEF" w14:textId="7BE73FBA" w:rsidR="00712DBC" w:rsidRDefault="007358F5" w:rsidP="001E33D3">
      <w:pPr>
        <w:spacing w:line="360" w:lineRule="auto"/>
        <w:rPr>
          <w:bCs/>
          <w:sz w:val="24"/>
          <w:szCs w:val="24"/>
        </w:rPr>
      </w:pPr>
      <w:r w:rsidRPr="00301C3C">
        <w:rPr>
          <w:bCs/>
          <w:sz w:val="24"/>
          <w:szCs w:val="24"/>
        </w:rPr>
        <w:t>In this paper, we investigate the effect of Delphi group size and opinion diversity on group members’ information load as well as on their overall experience of the Delphi process - in terms of task involvement (enjoyment and interest) and in terms of</w:t>
      </w:r>
      <w:r w:rsidR="00861EB4" w:rsidRPr="00301C3C">
        <w:rPr>
          <w:bCs/>
          <w:sz w:val="24"/>
          <w:szCs w:val="24"/>
        </w:rPr>
        <w:t xml:space="preserve"> </w:t>
      </w:r>
      <w:r w:rsidRPr="00301C3C">
        <w:rPr>
          <w:bCs/>
          <w:sz w:val="24"/>
          <w:szCs w:val="24"/>
        </w:rPr>
        <w:t xml:space="preserve">group sway (the influence and helpfulness of others’ rationales). </w:t>
      </w:r>
      <w:r w:rsidR="008B228B" w:rsidRPr="00301C3C">
        <w:rPr>
          <w:bCs/>
          <w:sz w:val="24"/>
          <w:szCs w:val="24"/>
        </w:rPr>
        <w:t xml:space="preserve">For </w:t>
      </w:r>
      <w:r w:rsidRPr="00301C3C">
        <w:rPr>
          <w:bCs/>
          <w:sz w:val="24"/>
          <w:szCs w:val="24"/>
        </w:rPr>
        <w:t xml:space="preserve">Delphi applications involving the exchange of rationales between participants, </w:t>
      </w:r>
      <w:r w:rsidR="008B228B" w:rsidRPr="00301C3C">
        <w:rPr>
          <w:bCs/>
          <w:sz w:val="24"/>
          <w:szCs w:val="24"/>
        </w:rPr>
        <w:t xml:space="preserve">we found no evidence that </w:t>
      </w:r>
      <w:r w:rsidRPr="00301C3C">
        <w:rPr>
          <w:bCs/>
          <w:sz w:val="24"/>
          <w:szCs w:val="24"/>
        </w:rPr>
        <w:t xml:space="preserve">group sizes of up to 19 participants </w:t>
      </w:r>
      <w:r w:rsidR="008B228B" w:rsidRPr="00301C3C">
        <w:rPr>
          <w:bCs/>
          <w:sz w:val="24"/>
          <w:szCs w:val="24"/>
        </w:rPr>
        <w:t>cause</w:t>
      </w:r>
      <w:r w:rsidRPr="00301C3C">
        <w:rPr>
          <w:bCs/>
          <w:sz w:val="24"/>
          <w:szCs w:val="24"/>
        </w:rPr>
        <w:t xml:space="preserve"> information overload</w:t>
      </w:r>
      <w:r w:rsidR="00C10239" w:rsidRPr="00301C3C">
        <w:rPr>
          <w:bCs/>
          <w:sz w:val="24"/>
          <w:szCs w:val="24"/>
        </w:rPr>
        <w:t xml:space="preserve"> or</w:t>
      </w:r>
      <w:r w:rsidRPr="00301C3C">
        <w:rPr>
          <w:bCs/>
          <w:sz w:val="24"/>
          <w:szCs w:val="24"/>
        </w:rPr>
        <w:t xml:space="preserve"> de-motivation</w:t>
      </w:r>
      <w:r w:rsidR="00C10239" w:rsidRPr="00301C3C">
        <w:rPr>
          <w:bCs/>
          <w:sz w:val="24"/>
          <w:szCs w:val="24"/>
        </w:rPr>
        <w:t xml:space="preserve"> and disengagement </w:t>
      </w:r>
      <w:r w:rsidRPr="00301C3C">
        <w:rPr>
          <w:bCs/>
          <w:sz w:val="24"/>
          <w:szCs w:val="24"/>
        </w:rPr>
        <w:t>of participant</w:t>
      </w:r>
      <w:r w:rsidR="00C10239" w:rsidRPr="00301C3C">
        <w:rPr>
          <w:bCs/>
          <w:sz w:val="24"/>
          <w:szCs w:val="24"/>
        </w:rPr>
        <w:t>s.</w:t>
      </w:r>
    </w:p>
    <w:p w14:paraId="20650524" w14:textId="77777777" w:rsidR="00FB2A1B" w:rsidRDefault="00FB2A1B" w:rsidP="001E33D3">
      <w:pPr>
        <w:spacing w:line="360" w:lineRule="auto"/>
        <w:rPr>
          <w:bCs/>
          <w:sz w:val="24"/>
          <w:szCs w:val="24"/>
        </w:rPr>
      </w:pPr>
    </w:p>
    <w:p w14:paraId="0310D7F7" w14:textId="5E82FAF0" w:rsidR="001E33D3" w:rsidRDefault="001E33D3" w:rsidP="001E33D3">
      <w:pPr>
        <w:spacing w:line="360" w:lineRule="auto"/>
        <w:rPr>
          <w:bCs/>
          <w:sz w:val="24"/>
          <w:szCs w:val="24"/>
        </w:rPr>
      </w:pPr>
      <w:r>
        <w:rPr>
          <w:b/>
          <w:bCs/>
          <w:sz w:val="24"/>
          <w:szCs w:val="24"/>
        </w:rPr>
        <w:t xml:space="preserve">Keywords: </w:t>
      </w:r>
      <w:r>
        <w:rPr>
          <w:bCs/>
          <w:sz w:val="24"/>
          <w:szCs w:val="24"/>
        </w:rPr>
        <w:t xml:space="preserve">Delphi, group processes, information </w:t>
      </w:r>
      <w:r w:rsidR="00AC7E37">
        <w:rPr>
          <w:bCs/>
          <w:sz w:val="24"/>
          <w:szCs w:val="24"/>
        </w:rPr>
        <w:t xml:space="preserve">load, information </w:t>
      </w:r>
      <w:r>
        <w:rPr>
          <w:bCs/>
          <w:sz w:val="24"/>
          <w:szCs w:val="24"/>
        </w:rPr>
        <w:t>overload</w:t>
      </w:r>
    </w:p>
    <w:p w14:paraId="61E1A041" w14:textId="77777777" w:rsidR="00FB2A1B" w:rsidRDefault="00FB2A1B" w:rsidP="001E33D3">
      <w:pPr>
        <w:spacing w:line="360" w:lineRule="auto"/>
        <w:rPr>
          <w:bCs/>
          <w:sz w:val="24"/>
          <w:szCs w:val="24"/>
        </w:rPr>
      </w:pPr>
    </w:p>
    <w:p w14:paraId="3839DF05" w14:textId="17737569" w:rsidR="001E33D3" w:rsidRDefault="001E33D3" w:rsidP="001E33D3">
      <w:pPr>
        <w:spacing w:line="360" w:lineRule="auto"/>
        <w:rPr>
          <w:sz w:val="23"/>
          <w:szCs w:val="23"/>
        </w:rPr>
      </w:pPr>
      <w:r>
        <w:rPr>
          <w:b/>
          <w:bCs/>
          <w:sz w:val="23"/>
          <w:szCs w:val="23"/>
        </w:rPr>
        <w:t>Acknowledgement</w:t>
      </w:r>
      <w:r>
        <w:rPr>
          <w:sz w:val="23"/>
          <w:szCs w:val="23"/>
        </w:rPr>
        <w:t xml:space="preserve">: This research is based on work supported in part by the Office of the Director of National Intelligence (ODNI), Intelligence Advanced Research Projects Activity (IARPA), under Contract [2017-16122000003]. The views and conclusions contained herein are </w:t>
      </w:r>
      <w:r>
        <w:rPr>
          <w:sz w:val="23"/>
          <w:szCs w:val="23"/>
        </w:rPr>
        <w:lastRenderedPageBreak/>
        <w:t>those of the authors and should not be interpreted as necessarily representing the official policies, either expressed or implied, of ODNI, IARPA, or the U.S. Government. The U.S. Government is authorized to reproduce and distribute reprints for governmental purposes notwithstanding any copyright annotation therein.</w:t>
      </w:r>
    </w:p>
    <w:p w14:paraId="00DE2050" w14:textId="77777777" w:rsidR="001E33D3" w:rsidRPr="001E33D3" w:rsidRDefault="001E33D3" w:rsidP="00861EB4">
      <w:pPr>
        <w:spacing w:line="360" w:lineRule="auto"/>
        <w:rPr>
          <w:bCs/>
          <w:sz w:val="24"/>
          <w:szCs w:val="24"/>
        </w:rPr>
      </w:pPr>
    </w:p>
    <w:p w14:paraId="231353BC" w14:textId="77777777" w:rsidR="00796547" w:rsidRPr="0085544F" w:rsidRDefault="00796547" w:rsidP="00861EB4">
      <w:pPr>
        <w:spacing w:line="360" w:lineRule="auto"/>
        <w:rPr>
          <w:b/>
          <w:sz w:val="24"/>
          <w:szCs w:val="24"/>
        </w:rPr>
      </w:pPr>
      <w:r w:rsidRPr="0085544F">
        <w:rPr>
          <w:b/>
          <w:sz w:val="24"/>
          <w:szCs w:val="24"/>
        </w:rPr>
        <w:t>Introduction</w:t>
      </w:r>
    </w:p>
    <w:p w14:paraId="0A45C5A9" w14:textId="4C4DCE9A" w:rsidR="009A3B25" w:rsidRPr="0085544F" w:rsidRDefault="009A3B25" w:rsidP="00211B87">
      <w:pPr>
        <w:spacing w:line="360" w:lineRule="auto"/>
        <w:rPr>
          <w:sz w:val="24"/>
          <w:szCs w:val="24"/>
        </w:rPr>
      </w:pPr>
      <w:r w:rsidRPr="0085544F">
        <w:rPr>
          <w:sz w:val="24"/>
          <w:szCs w:val="24"/>
        </w:rPr>
        <w:t xml:space="preserve">Relative to individuals, groups potentially bring a variety of perspectives, experience and knowledge that should help to improve </w:t>
      </w:r>
      <w:r w:rsidR="00861EB4" w:rsidRPr="0085544F">
        <w:rPr>
          <w:sz w:val="24"/>
          <w:szCs w:val="24"/>
        </w:rPr>
        <w:t xml:space="preserve">the </w:t>
      </w:r>
      <w:r w:rsidRPr="0085544F">
        <w:rPr>
          <w:sz w:val="24"/>
          <w:szCs w:val="24"/>
        </w:rPr>
        <w:t xml:space="preserve">accuracy of judgmental forecasting but this advantage may be reduced by several cognitive and social biases – such as anchoring (Tversky &amp; Kahneman, 1974) and groupthink (Janis, 1972), respectively – that are manifest in (and amplified by) freely interacting groups. </w:t>
      </w:r>
      <w:r w:rsidR="00235C7E" w:rsidRPr="0085544F">
        <w:rPr>
          <w:sz w:val="24"/>
          <w:szCs w:val="24"/>
        </w:rPr>
        <w:t xml:space="preserve">The Delphi technique was developed in the 1950s by the RAND organization as a </w:t>
      </w:r>
      <w:r w:rsidR="00C10239" w:rsidRPr="0085544F">
        <w:rPr>
          <w:sz w:val="24"/>
          <w:szCs w:val="24"/>
        </w:rPr>
        <w:t xml:space="preserve">structured group-based </w:t>
      </w:r>
      <w:r w:rsidR="00235C7E" w:rsidRPr="0085544F">
        <w:rPr>
          <w:sz w:val="24"/>
          <w:szCs w:val="24"/>
        </w:rPr>
        <w:t xml:space="preserve">judgmental forecasting method for the defence </w:t>
      </w:r>
      <w:r w:rsidR="00235C7E" w:rsidRPr="00585476">
        <w:rPr>
          <w:sz w:val="24"/>
          <w:szCs w:val="24"/>
        </w:rPr>
        <w:t>sector</w:t>
      </w:r>
      <w:r w:rsidR="00670CDF" w:rsidRPr="00585476">
        <w:rPr>
          <w:sz w:val="24"/>
          <w:szCs w:val="24"/>
        </w:rPr>
        <w:t xml:space="preserve"> (Dalkey &amp; Helmer, </w:t>
      </w:r>
      <w:r w:rsidR="003A246C" w:rsidRPr="00585476">
        <w:rPr>
          <w:sz w:val="24"/>
          <w:szCs w:val="24"/>
        </w:rPr>
        <w:t>1963</w:t>
      </w:r>
      <w:r w:rsidR="00670CDF" w:rsidRPr="00585476">
        <w:rPr>
          <w:sz w:val="24"/>
          <w:szCs w:val="24"/>
        </w:rPr>
        <w:t>)</w:t>
      </w:r>
      <w:r w:rsidR="00235C7E" w:rsidRPr="0085544F">
        <w:rPr>
          <w:sz w:val="24"/>
          <w:szCs w:val="24"/>
        </w:rPr>
        <w:t xml:space="preserve"> but since then has been applied in a wide variety of contexts with the aim of improving the outcomes of group judgment (e.g. Linstone &amp; Turoff, 1975; Rowe &amp; Wright, 2011).</w:t>
      </w:r>
    </w:p>
    <w:p w14:paraId="0231F675" w14:textId="48CCEFC3" w:rsidR="005D7F93" w:rsidRPr="0085544F" w:rsidRDefault="009A3B25" w:rsidP="00211B87">
      <w:pPr>
        <w:spacing w:line="360" w:lineRule="auto"/>
        <w:rPr>
          <w:sz w:val="24"/>
          <w:szCs w:val="24"/>
          <w:highlight w:val="yellow"/>
        </w:rPr>
      </w:pPr>
      <w:r w:rsidRPr="0085544F">
        <w:rPr>
          <w:sz w:val="24"/>
          <w:szCs w:val="24"/>
        </w:rPr>
        <w:t xml:space="preserve">Delphi achieves its advantages over individual judgment and interacting groups by first surveying the </w:t>
      </w:r>
      <w:r w:rsidRPr="0085544F">
        <w:rPr>
          <w:i/>
          <w:iCs/>
          <w:sz w:val="24"/>
          <w:szCs w:val="24"/>
        </w:rPr>
        <w:t>anonymous</w:t>
      </w:r>
      <w:r w:rsidRPr="0085544F">
        <w:rPr>
          <w:sz w:val="24"/>
          <w:szCs w:val="24"/>
        </w:rPr>
        <w:t xml:space="preserve"> opinions of several individual experts</w:t>
      </w:r>
      <w:r w:rsidR="00211B87" w:rsidRPr="0085544F">
        <w:rPr>
          <w:sz w:val="24"/>
          <w:szCs w:val="24"/>
        </w:rPr>
        <w:t>, who are thus</w:t>
      </w:r>
      <w:r w:rsidRPr="0085544F">
        <w:rPr>
          <w:sz w:val="24"/>
          <w:szCs w:val="24"/>
        </w:rPr>
        <w:t xml:space="preserve"> able to make judgments free of any anchors provided by other group members or fear of group censure. Group members then receive feedback – usually edited and summarised by a facilitator – regarding the opinions of other experts in their nominal group. </w:t>
      </w:r>
      <w:r w:rsidR="0049033E" w:rsidRPr="0085544F">
        <w:rPr>
          <w:sz w:val="24"/>
          <w:szCs w:val="24"/>
        </w:rPr>
        <w:t>Next, e</w:t>
      </w:r>
      <w:r w:rsidRPr="0085544F">
        <w:rPr>
          <w:sz w:val="24"/>
          <w:szCs w:val="24"/>
        </w:rPr>
        <w:t>ach individual expert is invited to revise his or her opinion</w:t>
      </w:r>
      <w:r w:rsidR="00235C7E" w:rsidRPr="0085544F">
        <w:rPr>
          <w:sz w:val="24"/>
          <w:szCs w:val="24"/>
        </w:rPr>
        <w:t xml:space="preserve"> and </w:t>
      </w:r>
      <w:r w:rsidRPr="0085544F">
        <w:rPr>
          <w:sz w:val="24"/>
          <w:szCs w:val="24"/>
        </w:rPr>
        <w:t xml:space="preserve">then these revised opinions are again collated by the facilitator to be fed back in subsequent rounds of revision </w:t>
      </w:r>
      <w:r w:rsidR="00235C7E" w:rsidRPr="0085544F">
        <w:rPr>
          <w:sz w:val="24"/>
          <w:szCs w:val="24"/>
        </w:rPr>
        <w:t xml:space="preserve">- </w:t>
      </w:r>
      <w:r w:rsidRPr="0085544F">
        <w:rPr>
          <w:sz w:val="24"/>
          <w:szCs w:val="24"/>
        </w:rPr>
        <w:t xml:space="preserve">or released as the final outcome if a sufficient degree of consensus </w:t>
      </w:r>
      <w:r w:rsidR="00861EB4" w:rsidRPr="0085544F">
        <w:rPr>
          <w:sz w:val="24"/>
          <w:szCs w:val="24"/>
        </w:rPr>
        <w:t xml:space="preserve">(or a stable dissensus) </w:t>
      </w:r>
      <w:r w:rsidRPr="0085544F">
        <w:rPr>
          <w:sz w:val="24"/>
          <w:szCs w:val="24"/>
        </w:rPr>
        <w:t xml:space="preserve">has been reached. </w:t>
      </w:r>
      <w:r w:rsidR="0049033E" w:rsidRPr="0085544F">
        <w:rPr>
          <w:sz w:val="24"/>
          <w:szCs w:val="24"/>
        </w:rPr>
        <w:t>Between-round f</w:t>
      </w:r>
      <w:r w:rsidRPr="0085544F">
        <w:rPr>
          <w:sz w:val="24"/>
          <w:szCs w:val="24"/>
        </w:rPr>
        <w:t>eedback typically includes summary statistics describing the group’s responses and participants</w:t>
      </w:r>
      <w:r w:rsidR="0049033E" w:rsidRPr="0085544F">
        <w:rPr>
          <w:sz w:val="24"/>
          <w:szCs w:val="24"/>
        </w:rPr>
        <w:t xml:space="preserve"> can also be asked</w:t>
      </w:r>
      <w:r w:rsidRPr="0085544F">
        <w:rPr>
          <w:sz w:val="24"/>
          <w:szCs w:val="24"/>
        </w:rPr>
        <w:t xml:space="preserve"> to provide written rationales in support of their judgments (Bolger &amp; Wright, 2011</w:t>
      </w:r>
      <w:r w:rsidR="00D93611" w:rsidRPr="0085544F">
        <w:rPr>
          <w:sz w:val="24"/>
          <w:szCs w:val="24"/>
        </w:rPr>
        <w:t>; Meijering &amp; Tobi, 2016</w:t>
      </w:r>
      <w:r w:rsidRPr="0085544F">
        <w:rPr>
          <w:sz w:val="24"/>
          <w:szCs w:val="24"/>
        </w:rPr>
        <w:t>)</w:t>
      </w:r>
      <w:r w:rsidR="00D93611" w:rsidRPr="0085544F">
        <w:rPr>
          <w:sz w:val="24"/>
          <w:szCs w:val="24"/>
        </w:rPr>
        <w:t>.</w:t>
      </w:r>
      <w:r w:rsidRPr="0085544F">
        <w:rPr>
          <w:sz w:val="24"/>
          <w:szCs w:val="24"/>
        </w:rPr>
        <w:t xml:space="preserve"> </w:t>
      </w:r>
      <w:r w:rsidR="00235C7E" w:rsidRPr="0085544F">
        <w:rPr>
          <w:sz w:val="24"/>
          <w:szCs w:val="24"/>
        </w:rPr>
        <w:t>U</w:t>
      </w:r>
      <w:r w:rsidR="00861EB4" w:rsidRPr="0085544F">
        <w:rPr>
          <w:sz w:val="24"/>
          <w:szCs w:val="24"/>
        </w:rPr>
        <w:t>se</w:t>
      </w:r>
      <w:r w:rsidR="00235C7E" w:rsidRPr="0085544F">
        <w:rPr>
          <w:sz w:val="24"/>
          <w:szCs w:val="24"/>
        </w:rPr>
        <w:t xml:space="preserve"> of written rationales as feedback is now much more common that in earlier decades (Belton et al, 2019)</w:t>
      </w:r>
      <w:r w:rsidR="00861EB4" w:rsidRPr="0085544F">
        <w:rPr>
          <w:sz w:val="24"/>
          <w:szCs w:val="24"/>
        </w:rPr>
        <w:t>, thanks</w:t>
      </w:r>
      <w:r w:rsidR="00A2501C">
        <w:rPr>
          <w:sz w:val="24"/>
          <w:szCs w:val="24"/>
        </w:rPr>
        <w:t xml:space="preserve"> in part</w:t>
      </w:r>
      <w:r w:rsidR="00861EB4" w:rsidRPr="0085544F">
        <w:rPr>
          <w:sz w:val="24"/>
          <w:szCs w:val="24"/>
        </w:rPr>
        <w:t xml:space="preserve"> to the </w:t>
      </w:r>
      <w:r w:rsidR="00A2501C">
        <w:rPr>
          <w:sz w:val="24"/>
          <w:szCs w:val="24"/>
        </w:rPr>
        <w:t xml:space="preserve">availability </w:t>
      </w:r>
      <w:r w:rsidR="00861EB4" w:rsidRPr="0085544F">
        <w:rPr>
          <w:sz w:val="24"/>
          <w:szCs w:val="24"/>
        </w:rPr>
        <w:t>of online tools which allow the collation and feedback of multiple rationales to be managed more easily</w:t>
      </w:r>
      <w:r w:rsidR="00D82BE9" w:rsidRPr="00D82BE9">
        <w:rPr>
          <w:sz w:val="24"/>
          <w:szCs w:val="24"/>
        </w:rPr>
        <w:t xml:space="preserve"> </w:t>
      </w:r>
      <w:r w:rsidR="00D82BE9">
        <w:rPr>
          <w:sz w:val="24"/>
          <w:szCs w:val="24"/>
        </w:rPr>
        <w:t xml:space="preserve">(see </w:t>
      </w:r>
      <w:r w:rsidR="00D82BE9" w:rsidRPr="00585476">
        <w:rPr>
          <w:sz w:val="24"/>
          <w:szCs w:val="24"/>
        </w:rPr>
        <w:t>Ae</w:t>
      </w:r>
      <w:r w:rsidR="00670CDF" w:rsidRPr="00585476">
        <w:rPr>
          <w:sz w:val="24"/>
          <w:szCs w:val="24"/>
        </w:rPr>
        <w:t>n</w:t>
      </w:r>
      <w:r w:rsidR="00D82BE9" w:rsidRPr="00585476">
        <w:rPr>
          <w:sz w:val="24"/>
          <w:szCs w:val="24"/>
        </w:rPr>
        <w:t>genheyster et al., 2017</w:t>
      </w:r>
      <w:r w:rsidR="00D82BE9">
        <w:rPr>
          <w:sz w:val="24"/>
          <w:szCs w:val="24"/>
        </w:rPr>
        <w:t xml:space="preserve"> for a review)</w:t>
      </w:r>
      <w:r w:rsidR="00861EB4" w:rsidRPr="0085544F">
        <w:rPr>
          <w:sz w:val="24"/>
          <w:szCs w:val="24"/>
        </w:rPr>
        <w:t>.</w:t>
      </w:r>
    </w:p>
    <w:p w14:paraId="5537E644" w14:textId="425F8B16" w:rsidR="009A3B25" w:rsidRDefault="005D7F93" w:rsidP="00211B87">
      <w:pPr>
        <w:spacing w:line="360" w:lineRule="auto"/>
        <w:rPr>
          <w:sz w:val="24"/>
          <w:szCs w:val="24"/>
        </w:rPr>
      </w:pPr>
      <w:r w:rsidRPr="0085544F">
        <w:rPr>
          <w:sz w:val="24"/>
          <w:szCs w:val="24"/>
        </w:rPr>
        <w:lastRenderedPageBreak/>
        <w:t xml:space="preserve">Participation in a Delphi study requires a significant time </w:t>
      </w:r>
      <w:r w:rsidR="00023664" w:rsidRPr="0085544F">
        <w:rPr>
          <w:sz w:val="24"/>
          <w:szCs w:val="24"/>
        </w:rPr>
        <w:t>commitment since</w:t>
      </w:r>
      <w:r w:rsidRPr="0085544F">
        <w:rPr>
          <w:sz w:val="24"/>
          <w:szCs w:val="24"/>
        </w:rPr>
        <w:t xml:space="preserve"> panel members </w:t>
      </w:r>
      <w:r w:rsidR="0064299F" w:rsidRPr="0085544F">
        <w:rPr>
          <w:sz w:val="24"/>
          <w:szCs w:val="24"/>
        </w:rPr>
        <w:t>need to provide input on</w:t>
      </w:r>
      <w:r w:rsidR="00211B87" w:rsidRPr="0085544F">
        <w:rPr>
          <w:sz w:val="24"/>
          <w:szCs w:val="24"/>
        </w:rPr>
        <w:t xml:space="preserve"> two or more occasions</w:t>
      </w:r>
      <w:r w:rsidR="0049033E" w:rsidRPr="0085544F">
        <w:rPr>
          <w:sz w:val="24"/>
          <w:szCs w:val="24"/>
        </w:rPr>
        <w:t xml:space="preserve"> - sometimes separated by several weeks of elapsed time</w:t>
      </w:r>
      <w:r w:rsidR="000717DB" w:rsidRPr="0085544F">
        <w:rPr>
          <w:sz w:val="24"/>
          <w:szCs w:val="24"/>
        </w:rPr>
        <w:t xml:space="preserve"> (Boulkedid et al., 2011; Rowe &amp; Wright, 2011)</w:t>
      </w:r>
      <w:r w:rsidR="00E67093" w:rsidRPr="0085544F">
        <w:rPr>
          <w:sz w:val="24"/>
          <w:szCs w:val="24"/>
        </w:rPr>
        <w:t xml:space="preserve">. </w:t>
      </w:r>
      <w:r w:rsidR="0064299F" w:rsidRPr="0085544F">
        <w:rPr>
          <w:sz w:val="24"/>
          <w:szCs w:val="24"/>
        </w:rPr>
        <w:t>As a result, k</w:t>
      </w:r>
      <w:r w:rsidR="00D93611" w:rsidRPr="0085544F">
        <w:rPr>
          <w:sz w:val="24"/>
          <w:szCs w:val="24"/>
        </w:rPr>
        <w:t>eeping</w:t>
      </w:r>
      <w:r w:rsidRPr="0085544F">
        <w:rPr>
          <w:sz w:val="24"/>
          <w:szCs w:val="24"/>
        </w:rPr>
        <w:t xml:space="preserve"> participants</w:t>
      </w:r>
      <w:r w:rsidR="00D93611" w:rsidRPr="0085544F">
        <w:rPr>
          <w:sz w:val="24"/>
          <w:szCs w:val="24"/>
        </w:rPr>
        <w:t xml:space="preserve"> engaged</w:t>
      </w:r>
      <w:r w:rsidRPr="0085544F">
        <w:rPr>
          <w:sz w:val="24"/>
          <w:szCs w:val="24"/>
        </w:rPr>
        <w:t xml:space="preserve"> can</w:t>
      </w:r>
      <w:r w:rsidR="00E67093" w:rsidRPr="0085544F">
        <w:rPr>
          <w:sz w:val="24"/>
          <w:szCs w:val="24"/>
        </w:rPr>
        <w:t xml:space="preserve"> </w:t>
      </w:r>
      <w:r w:rsidRPr="0085544F">
        <w:rPr>
          <w:sz w:val="24"/>
          <w:szCs w:val="24"/>
        </w:rPr>
        <w:t>be difficult</w:t>
      </w:r>
      <w:r w:rsidR="0064299F" w:rsidRPr="0085544F">
        <w:rPr>
          <w:sz w:val="24"/>
          <w:szCs w:val="24"/>
        </w:rPr>
        <w:t xml:space="preserve"> and m</w:t>
      </w:r>
      <w:r w:rsidRPr="0085544F">
        <w:rPr>
          <w:sz w:val="24"/>
          <w:szCs w:val="24"/>
        </w:rPr>
        <w:t>inimising drop-out rates is an important consideration</w:t>
      </w:r>
      <w:r w:rsidR="0064299F" w:rsidRPr="0085544F">
        <w:rPr>
          <w:sz w:val="24"/>
          <w:szCs w:val="24"/>
        </w:rPr>
        <w:t xml:space="preserve"> (</w:t>
      </w:r>
      <w:r w:rsidR="0031288E" w:rsidRPr="0085544F">
        <w:rPr>
          <w:sz w:val="24"/>
          <w:szCs w:val="24"/>
        </w:rPr>
        <w:t>Toma &amp; Picioreanu, 2016; Turnbull et al., 2018</w:t>
      </w:r>
      <w:r w:rsidR="0064299F" w:rsidRPr="0085544F">
        <w:rPr>
          <w:sz w:val="24"/>
          <w:szCs w:val="24"/>
        </w:rPr>
        <w:t>). The</w:t>
      </w:r>
      <w:r w:rsidR="00E67093" w:rsidRPr="0085544F">
        <w:rPr>
          <w:sz w:val="24"/>
          <w:szCs w:val="24"/>
        </w:rPr>
        <w:t xml:space="preserve"> </w:t>
      </w:r>
      <w:r w:rsidR="00C67E8E" w:rsidRPr="0085544F">
        <w:rPr>
          <w:sz w:val="24"/>
          <w:szCs w:val="24"/>
        </w:rPr>
        <w:t>quality</w:t>
      </w:r>
      <w:r w:rsidR="00E67093" w:rsidRPr="0085544F">
        <w:rPr>
          <w:sz w:val="24"/>
          <w:szCs w:val="24"/>
        </w:rPr>
        <w:t xml:space="preserve"> of a Delphi study’s findings depend</w:t>
      </w:r>
      <w:r w:rsidR="0064299F" w:rsidRPr="0085544F">
        <w:rPr>
          <w:sz w:val="24"/>
          <w:szCs w:val="24"/>
        </w:rPr>
        <w:t>s</w:t>
      </w:r>
      <w:r w:rsidR="00E67093" w:rsidRPr="0085544F">
        <w:rPr>
          <w:sz w:val="24"/>
          <w:szCs w:val="24"/>
        </w:rPr>
        <w:t xml:space="preserve"> on as high a proportion of the </w:t>
      </w:r>
      <w:r w:rsidR="00C10239" w:rsidRPr="0085544F">
        <w:rPr>
          <w:sz w:val="24"/>
          <w:szCs w:val="24"/>
        </w:rPr>
        <w:t xml:space="preserve">initial </w:t>
      </w:r>
      <w:r w:rsidR="00E67093" w:rsidRPr="0085544F">
        <w:rPr>
          <w:sz w:val="24"/>
          <w:szCs w:val="24"/>
        </w:rPr>
        <w:t>panel as possible completing the second and any subsequent rounds and contributing fully throughout</w:t>
      </w:r>
      <w:r w:rsidR="00C67E8E" w:rsidRPr="0085544F">
        <w:rPr>
          <w:sz w:val="24"/>
          <w:szCs w:val="24"/>
        </w:rPr>
        <w:t xml:space="preserve"> (</w:t>
      </w:r>
      <w:r w:rsidR="0064299F" w:rsidRPr="0085544F">
        <w:rPr>
          <w:sz w:val="24"/>
          <w:szCs w:val="24"/>
        </w:rPr>
        <w:t>Hasson et al., 2000; Goluchowicz &amp; Blind, 2011</w:t>
      </w:r>
      <w:r w:rsidR="00C67E8E" w:rsidRPr="0085544F">
        <w:rPr>
          <w:sz w:val="24"/>
          <w:szCs w:val="24"/>
        </w:rPr>
        <w:t>)</w:t>
      </w:r>
      <w:r w:rsidR="00E67093" w:rsidRPr="0085544F">
        <w:rPr>
          <w:sz w:val="24"/>
          <w:szCs w:val="24"/>
        </w:rPr>
        <w:t>.</w:t>
      </w:r>
      <w:r w:rsidRPr="0085544F">
        <w:rPr>
          <w:sz w:val="24"/>
          <w:szCs w:val="24"/>
        </w:rPr>
        <w:t xml:space="preserve"> </w:t>
      </w:r>
      <w:r w:rsidR="005837B6" w:rsidRPr="0085544F">
        <w:rPr>
          <w:sz w:val="24"/>
          <w:szCs w:val="24"/>
        </w:rPr>
        <w:t xml:space="preserve">Where </w:t>
      </w:r>
      <w:r w:rsidR="0064299F" w:rsidRPr="0085544F">
        <w:rPr>
          <w:sz w:val="24"/>
          <w:szCs w:val="24"/>
        </w:rPr>
        <w:t xml:space="preserve">the attrition rate is high, those with dissenting views are more likely to drop-out (Humphrey-Murto &amp; de Wit, 2019) and </w:t>
      </w:r>
      <w:r w:rsidR="0049033E" w:rsidRPr="0085544F">
        <w:rPr>
          <w:sz w:val="24"/>
          <w:szCs w:val="24"/>
        </w:rPr>
        <w:t xml:space="preserve">the subsequent Delphi yield – now produced by a smaller and perhaps insufficiently diverse panel </w:t>
      </w:r>
      <w:r w:rsidR="0064299F" w:rsidRPr="0085544F">
        <w:rPr>
          <w:sz w:val="24"/>
          <w:szCs w:val="24"/>
        </w:rPr>
        <w:t xml:space="preserve">may </w:t>
      </w:r>
      <w:r w:rsidR="00235C7E" w:rsidRPr="0085544F">
        <w:rPr>
          <w:sz w:val="24"/>
          <w:szCs w:val="24"/>
        </w:rPr>
        <w:t xml:space="preserve">be viewed as less credible by </w:t>
      </w:r>
      <w:r w:rsidR="0049033E" w:rsidRPr="0085544F">
        <w:rPr>
          <w:sz w:val="24"/>
          <w:szCs w:val="24"/>
        </w:rPr>
        <w:t xml:space="preserve">external </w:t>
      </w:r>
      <w:r w:rsidR="0009766B" w:rsidRPr="0085544F">
        <w:rPr>
          <w:sz w:val="24"/>
          <w:szCs w:val="24"/>
        </w:rPr>
        <w:t>stakeholders in the process or th</w:t>
      </w:r>
      <w:r w:rsidR="00235C7E" w:rsidRPr="0085544F">
        <w:rPr>
          <w:sz w:val="24"/>
          <w:szCs w:val="24"/>
        </w:rPr>
        <w:t xml:space="preserve">ose in </w:t>
      </w:r>
      <w:r w:rsidR="0049033E" w:rsidRPr="0085544F">
        <w:rPr>
          <w:sz w:val="24"/>
          <w:szCs w:val="24"/>
        </w:rPr>
        <w:t xml:space="preserve">the </w:t>
      </w:r>
      <w:r w:rsidR="0009766B" w:rsidRPr="0085544F">
        <w:rPr>
          <w:sz w:val="24"/>
          <w:szCs w:val="24"/>
        </w:rPr>
        <w:t>wider community (</w:t>
      </w:r>
      <w:r w:rsidR="00023664" w:rsidRPr="0085544F">
        <w:rPr>
          <w:sz w:val="24"/>
          <w:szCs w:val="24"/>
        </w:rPr>
        <w:t xml:space="preserve">Cairns, Wright, Fairbrother &amp; Phillips, 2017; </w:t>
      </w:r>
      <w:r w:rsidR="0009766B" w:rsidRPr="0085544F">
        <w:rPr>
          <w:sz w:val="24"/>
          <w:szCs w:val="24"/>
        </w:rPr>
        <w:t xml:space="preserve">Landeta, 2006). </w:t>
      </w:r>
      <w:r w:rsidRPr="0085544F">
        <w:rPr>
          <w:sz w:val="24"/>
          <w:szCs w:val="24"/>
        </w:rPr>
        <w:t xml:space="preserve">In addition, </w:t>
      </w:r>
      <w:r w:rsidR="00E67093" w:rsidRPr="0085544F">
        <w:rPr>
          <w:sz w:val="24"/>
          <w:szCs w:val="24"/>
        </w:rPr>
        <w:t xml:space="preserve">if an individual has a </w:t>
      </w:r>
      <w:r w:rsidRPr="0085544F">
        <w:rPr>
          <w:sz w:val="24"/>
          <w:szCs w:val="24"/>
        </w:rPr>
        <w:t>negative experience as part of a Delphi process</w:t>
      </w:r>
      <w:r w:rsidR="00E67093" w:rsidRPr="0085544F">
        <w:rPr>
          <w:sz w:val="24"/>
          <w:szCs w:val="24"/>
        </w:rPr>
        <w:t xml:space="preserve">, </w:t>
      </w:r>
      <w:r w:rsidR="00235C7E" w:rsidRPr="0085544F">
        <w:rPr>
          <w:sz w:val="24"/>
          <w:szCs w:val="24"/>
        </w:rPr>
        <w:t>he/she</w:t>
      </w:r>
      <w:r w:rsidR="00E67093" w:rsidRPr="0085544F">
        <w:rPr>
          <w:sz w:val="24"/>
          <w:szCs w:val="24"/>
        </w:rPr>
        <w:t xml:space="preserve"> may be </w:t>
      </w:r>
      <w:r w:rsidR="009A3B25" w:rsidRPr="0085544F">
        <w:rPr>
          <w:sz w:val="24"/>
          <w:szCs w:val="24"/>
        </w:rPr>
        <w:t>reluctant to</w:t>
      </w:r>
      <w:r w:rsidR="00E67093" w:rsidRPr="0085544F">
        <w:rPr>
          <w:sz w:val="24"/>
          <w:szCs w:val="24"/>
        </w:rPr>
        <w:t xml:space="preserve"> </w:t>
      </w:r>
      <w:r w:rsidRPr="0085544F">
        <w:rPr>
          <w:sz w:val="24"/>
          <w:szCs w:val="24"/>
        </w:rPr>
        <w:t>tak</w:t>
      </w:r>
      <w:r w:rsidR="00E67093" w:rsidRPr="0085544F">
        <w:rPr>
          <w:sz w:val="24"/>
          <w:szCs w:val="24"/>
        </w:rPr>
        <w:t>e</w:t>
      </w:r>
      <w:r w:rsidRPr="0085544F">
        <w:rPr>
          <w:sz w:val="24"/>
          <w:szCs w:val="24"/>
        </w:rPr>
        <w:t xml:space="preserve"> part in </w:t>
      </w:r>
      <w:r w:rsidR="00762700" w:rsidRPr="0085544F">
        <w:rPr>
          <w:sz w:val="24"/>
          <w:szCs w:val="24"/>
        </w:rPr>
        <w:t>subsequent</w:t>
      </w:r>
      <w:r w:rsidRPr="0085544F">
        <w:rPr>
          <w:sz w:val="24"/>
          <w:szCs w:val="24"/>
        </w:rPr>
        <w:t xml:space="preserve"> studies. </w:t>
      </w:r>
      <w:r w:rsidR="00023664" w:rsidRPr="0085544F">
        <w:rPr>
          <w:sz w:val="24"/>
          <w:szCs w:val="24"/>
        </w:rPr>
        <w:t>R</w:t>
      </w:r>
      <w:r w:rsidR="009A3B25" w:rsidRPr="0085544F">
        <w:rPr>
          <w:sz w:val="24"/>
          <w:szCs w:val="24"/>
        </w:rPr>
        <w:t xml:space="preserve">etaining </w:t>
      </w:r>
      <w:r w:rsidR="0009766B" w:rsidRPr="0085544F">
        <w:rPr>
          <w:sz w:val="24"/>
          <w:szCs w:val="24"/>
        </w:rPr>
        <w:t>a</w:t>
      </w:r>
      <w:r w:rsidR="009A3B25" w:rsidRPr="0085544F">
        <w:rPr>
          <w:sz w:val="24"/>
          <w:szCs w:val="24"/>
        </w:rPr>
        <w:t xml:space="preserve"> pool</w:t>
      </w:r>
      <w:r w:rsidR="00762700" w:rsidRPr="0085544F">
        <w:rPr>
          <w:sz w:val="24"/>
          <w:szCs w:val="24"/>
        </w:rPr>
        <w:t xml:space="preserve"> of experts</w:t>
      </w:r>
      <w:r w:rsidRPr="0085544F">
        <w:rPr>
          <w:sz w:val="24"/>
          <w:szCs w:val="24"/>
        </w:rPr>
        <w:t xml:space="preserve"> </w:t>
      </w:r>
      <w:r w:rsidR="009A3B25" w:rsidRPr="0085544F">
        <w:rPr>
          <w:sz w:val="24"/>
          <w:szCs w:val="24"/>
        </w:rPr>
        <w:t xml:space="preserve">for future </w:t>
      </w:r>
      <w:r w:rsidR="001D38E6" w:rsidRPr="0085544F">
        <w:rPr>
          <w:sz w:val="24"/>
          <w:szCs w:val="24"/>
        </w:rPr>
        <w:t>projects</w:t>
      </w:r>
      <w:r w:rsidR="0009766B" w:rsidRPr="0085544F">
        <w:rPr>
          <w:sz w:val="24"/>
          <w:szCs w:val="24"/>
        </w:rPr>
        <w:t xml:space="preserve"> </w:t>
      </w:r>
      <w:r w:rsidR="00023664" w:rsidRPr="0085544F">
        <w:rPr>
          <w:sz w:val="24"/>
          <w:szCs w:val="24"/>
        </w:rPr>
        <w:t xml:space="preserve">can be </w:t>
      </w:r>
      <w:r w:rsidR="0009766B" w:rsidRPr="0085544F">
        <w:rPr>
          <w:sz w:val="24"/>
          <w:szCs w:val="24"/>
        </w:rPr>
        <w:t xml:space="preserve">an </w:t>
      </w:r>
      <w:r w:rsidR="009A3B25" w:rsidRPr="0085544F">
        <w:rPr>
          <w:sz w:val="24"/>
          <w:szCs w:val="24"/>
        </w:rPr>
        <w:t>important consideration</w:t>
      </w:r>
      <w:r w:rsidR="00023664" w:rsidRPr="0085544F">
        <w:rPr>
          <w:sz w:val="24"/>
          <w:szCs w:val="24"/>
        </w:rPr>
        <w:t>, for example</w:t>
      </w:r>
      <w:r w:rsidR="0009766B" w:rsidRPr="0085544F">
        <w:rPr>
          <w:sz w:val="24"/>
          <w:szCs w:val="24"/>
        </w:rPr>
        <w:t xml:space="preserve"> where surveys are repeated over several years</w:t>
      </w:r>
      <w:r w:rsidR="00023664" w:rsidRPr="0085544F">
        <w:rPr>
          <w:sz w:val="24"/>
          <w:szCs w:val="24"/>
        </w:rPr>
        <w:t xml:space="preserve"> (e.g. </w:t>
      </w:r>
      <w:r w:rsidR="0009766B" w:rsidRPr="0085544F">
        <w:rPr>
          <w:sz w:val="24"/>
          <w:szCs w:val="24"/>
        </w:rPr>
        <w:t xml:space="preserve">Airaksinen, Halinen &amp; Linturi, 2017; </w:t>
      </w:r>
      <w:r w:rsidR="00DC36A5">
        <w:rPr>
          <w:sz w:val="24"/>
          <w:szCs w:val="24"/>
        </w:rPr>
        <w:t xml:space="preserve">KISTEP, 2005, </w:t>
      </w:r>
      <w:r w:rsidR="00AC05D8" w:rsidRPr="00585476">
        <w:rPr>
          <w:sz w:val="24"/>
          <w:szCs w:val="24"/>
        </w:rPr>
        <w:t xml:space="preserve">2017; </w:t>
      </w:r>
      <w:r w:rsidR="0009766B" w:rsidRPr="00585476">
        <w:rPr>
          <w:sz w:val="24"/>
          <w:szCs w:val="24"/>
        </w:rPr>
        <w:t>NISTEP, 2009</w:t>
      </w:r>
      <w:r w:rsidR="00385609" w:rsidRPr="00585476">
        <w:rPr>
          <w:sz w:val="24"/>
          <w:szCs w:val="24"/>
        </w:rPr>
        <w:t xml:space="preserve">, </w:t>
      </w:r>
      <w:r w:rsidR="00AC05D8" w:rsidRPr="00585476">
        <w:rPr>
          <w:sz w:val="24"/>
          <w:szCs w:val="24"/>
        </w:rPr>
        <w:t>2015, 2019</w:t>
      </w:r>
      <w:r w:rsidR="00023664" w:rsidRPr="00585476">
        <w:rPr>
          <w:sz w:val="24"/>
          <w:szCs w:val="24"/>
        </w:rPr>
        <w:t>)</w:t>
      </w:r>
      <w:r w:rsidR="001D38E6" w:rsidRPr="00585476">
        <w:rPr>
          <w:sz w:val="24"/>
          <w:szCs w:val="24"/>
        </w:rPr>
        <w:t xml:space="preserve"> –</w:t>
      </w:r>
      <w:r w:rsidR="001D38E6" w:rsidRPr="0085544F">
        <w:rPr>
          <w:sz w:val="24"/>
          <w:szCs w:val="24"/>
        </w:rPr>
        <w:t xml:space="preserve"> especially since identifying and recruiting high-quality experts</w:t>
      </w:r>
      <w:r w:rsidR="005837B6" w:rsidRPr="0085544F">
        <w:rPr>
          <w:sz w:val="24"/>
          <w:szCs w:val="24"/>
        </w:rPr>
        <w:t xml:space="preserve"> in the first place</w:t>
      </w:r>
      <w:r w:rsidR="001D38E6" w:rsidRPr="0085544F">
        <w:rPr>
          <w:sz w:val="24"/>
          <w:szCs w:val="24"/>
        </w:rPr>
        <w:t xml:space="preserve"> can be a time-consuming and challenging process (Bolger, 2018). </w:t>
      </w:r>
      <w:r w:rsidR="00675FD4" w:rsidRPr="0085544F">
        <w:rPr>
          <w:sz w:val="24"/>
          <w:szCs w:val="24"/>
        </w:rPr>
        <w:t xml:space="preserve">Consequently, it is clearly important to understand the factors that may help determine whether a </w:t>
      </w:r>
      <w:r w:rsidR="00235C7E" w:rsidRPr="0085544F">
        <w:rPr>
          <w:sz w:val="24"/>
          <w:szCs w:val="24"/>
        </w:rPr>
        <w:t xml:space="preserve">particular </w:t>
      </w:r>
      <w:r w:rsidR="00675FD4" w:rsidRPr="0085544F">
        <w:rPr>
          <w:sz w:val="24"/>
          <w:szCs w:val="24"/>
        </w:rPr>
        <w:t>Delphi survey is likely to be well-received by its target</w:t>
      </w:r>
      <w:r w:rsidR="004F0436" w:rsidRPr="0085544F">
        <w:rPr>
          <w:sz w:val="24"/>
          <w:szCs w:val="24"/>
        </w:rPr>
        <w:t>ed participants</w:t>
      </w:r>
      <w:r w:rsidR="00675FD4" w:rsidRPr="0085544F">
        <w:rPr>
          <w:sz w:val="24"/>
          <w:szCs w:val="24"/>
        </w:rPr>
        <w:t>, or not.</w:t>
      </w:r>
    </w:p>
    <w:p w14:paraId="5E085E28" w14:textId="15A8037D" w:rsidR="00AF5C86" w:rsidRDefault="00AF5C86" w:rsidP="00AF5C86">
      <w:pPr>
        <w:spacing w:line="360" w:lineRule="auto"/>
        <w:rPr>
          <w:sz w:val="24"/>
          <w:szCs w:val="24"/>
        </w:rPr>
      </w:pPr>
      <w:r w:rsidRPr="009431E4">
        <w:rPr>
          <w:sz w:val="24"/>
          <w:szCs w:val="24"/>
        </w:rPr>
        <w:t>In terms of the number of expert panellists that are required</w:t>
      </w:r>
      <w:r>
        <w:rPr>
          <w:sz w:val="24"/>
          <w:szCs w:val="24"/>
        </w:rPr>
        <w:t xml:space="preserve"> for an effective Delphi exercise</w:t>
      </w:r>
      <w:r w:rsidRPr="009431E4">
        <w:rPr>
          <w:sz w:val="24"/>
          <w:szCs w:val="24"/>
        </w:rPr>
        <w:t>, many ranges have been suggested: 5-20 (</w:t>
      </w:r>
      <w:r w:rsidRPr="0012543B">
        <w:rPr>
          <w:sz w:val="24"/>
          <w:szCs w:val="24"/>
        </w:rPr>
        <w:t>Rowe &amp; Wright, 2001), 15-60 (Hasson et al., 2000),</w:t>
      </w:r>
      <w:r w:rsidRPr="009431E4">
        <w:rPr>
          <w:sz w:val="24"/>
          <w:szCs w:val="24"/>
        </w:rPr>
        <w:t xml:space="preserve"> no more than 50 </w:t>
      </w:r>
      <w:r w:rsidRPr="0012543B">
        <w:rPr>
          <w:sz w:val="24"/>
          <w:szCs w:val="24"/>
        </w:rPr>
        <w:t xml:space="preserve">(Toma &amp; Picioreanu, 2016; </w:t>
      </w:r>
      <w:bookmarkStart w:id="0" w:name="_Hlk71635286"/>
      <w:r w:rsidRPr="0012543B">
        <w:rPr>
          <w:sz w:val="24"/>
          <w:szCs w:val="24"/>
        </w:rPr>
        <w:t>Witkin &amp; Altschuld, 1995),</w:t>
      </w:r>
      <w:r w:rsidRPr="009431E4">
        <w:rPr>
          <w:sz w:val="24"/>
          <w:szCs w:val="24"/>
        </w:rPr>
        <w:t xml:space="preserve"> or 15-30 for homogenous Delphi panels </w:t>
      </w:r>
      <w:r w:rsidRPr="0012543B">
        <w:rPr>
          <w:sz w:val="24"/>
          <w:szCs w:val="24"/>
        </w:rPr>
        <w:t>(Clayton, 1997)</w:t>
      </w:r>
      <w:r w:rsidRPr="009431E4">
        <w:rPr>
          <w:sz w:val="24"/>
          <w:szCs w:val="24"/>
        </w:rPr>
        <w:t xml:space="preserve"> and 5-10 for heterogeneous panels (</w:t>
      </w:r>
      <w:r w:rsidRPr="0012543B">
        <w:rPr>
          <w:sz w:val="24"/>
          <w:szCs w:val="24"/>
        </w:rPr>
        <w:t>Delbecq, Van de Ven, &amp; Gustafson, 1975</w:t>
      </w:r>
      <w:r w:rsidRPr="009431E4">
        <w:rPr>
          <w:sz w:val="24"/>
          <w:szCs w:val="24"/>
        </w:rPr>
        <w:t xml:space="preserve">). In a recent review of 63 Delphi studies, </w:t>
      </w:r>
      <w:r w:rsidRPr="0012543B">
        <w:rPr>
          <w:sz w:val="24"/>
          <w:szCs w:val="24"/>
        </w:rPr>
        <w:t>de Loë et al. (2016)</w:t>
      </w:r>
      <w:r w:rsidRPr="009431E4">
        <w:rPr>
          <w:sz w:val="24"/>
          <w:szCs w:val="24"/>
        </w:rPr>
        <w:t xml:space="preserve"> reported a huge range of panel sizes, from fewer than 10 up to more than 1000. In the field of technology foresight, national-level surveys can involve many thousands of expert panellists, for example in Japan (</w:t>
      </w:r>
      <w:r w:rsidR="008D0A9A">
        <w:rPr>
          <w:sz w:val="24"/>
          <w:szCs w:val="24"/>
        </w:rPr>
        <w:t>4309</w:t>
      </w:r>
      <w:r w:rsidRPr="009431E4">
        <w:rPr>
          <w:sz w:val="24"/>
          <w:szCs w:val="24"/>
        </w:rPr>
        <w:t xml:space="preserve"> participants – NISTEP, </w:t>
      </w:r>
      <w:r>
        <w:rPr>
          <w:sz w:val="24"/>
          <w:szCs w:val="24"/>
        </w:rPr>
        <w:t>2015</w:t>
      </w:r>
      <w:r w:rsidRPr="009431E4">
        <w:rPr>
          <w:sz w:val="24"/>
          <w:szCs w:val="24"/>
        </w:rPr>
        <w:t xml:space="preserve">), The Republic of Korea (5450 participants – Choi &amp; </w:t>
      </w:r>
      <w:r w:rsidRPr="0012543B">
        <w:rPr>
          <w:sz w:val="24"/>
          <w:szCs w:val="24"/>
        </w:rPr>
        <w:t>Choi, 2017</w:t>
      </w:r>
      <w:r w:rsidRPr="009431E4">
        <w:rPr>
          <w:sz w:val="24"/>
          <w:szCs w:val="24"/>
        </w:rPr>
        <w:t xml:space="preserve">) and China (nearly 3000 – </w:t>
      </w:r>
      <w:r w:rsidRPr="0012543B">
        <w:rPr>
          <w:sz w:val="24"/>
          <w:szCs w:val="24"/>
        </w:rPr>
        <w:t>Li et al., 2017</w:t>
      </w:r>
      <w:r w:rsidRPr="009431E4">
        <w:rPr>
          <w:sz w:val="24"/>
          <w:szCs w:val="24"/>
        </w:rPr>
        <w:t>)</w:t>
      </w:r>
      <w:r>
        <w:rPr>
          <w:sz w:val="24"/>
          <w:szCs w:val="24"/>
        </w:rPr>
        <w:t>.</w:t>
      </w:r>
      <w:bookmarkEnd w:id="0"/>
    </w:p>
    <w:p w14:paraId="72145D3E" w14:textId="1249FB4D" w:rsidR="009431E4" w:rsidRDefault="009431E4" w:rsidP="00211B87">
      <w:pPr>
        <w:spacing w:line="360" w:lineRule="auto"/>
        <w:rPr>
          <w:sz w:val="24"/>
          <w:szCs w:val="24"/>
        </w:rPr>
      </w:pPr>
    </w:p>
    <w:p w14:paraId="3B3A827A" w14:textId="77777777" w:rsidR="009431E4" w:rsidRDefault="009431E4" w:rsidP="00211B87">
      <w:pPr>
        <w:spacing w:line="360" w:lineRule="auto"/>
        <w:rPr>
          <w:sz w:val="24"/>
          <w:szCs w:val="24"/>
        </w:rPr>
      </w:pPr>
    </w:p>
    <w:p w14:paraId="622EB99E" w14:textId="231C4033" w:rsidR="004F0436" w:rsidRPr="0085544F" w:rsidRDefault="004F0436" w:rsidP="00211B87">
      <w:pPr>
        <w:spacing w:line="360" w:lineRule="auto"/>
        <w:rPr>
          <w:sz w:val="24"/>
          <w:szCs w:val="24"/>
        </w:rPr>
      </w:pPr>
      <w:r w:rsidRPr="0085544F">
        <w:rPr>
          <w:sz w:val="24"/>
          <w:szCs w:val="24"/>
        </w:rPr>
        <w:lastRenderedPageBreak/>
        <w:t>In this study, we focus on both the size of a Delphi panel of participants and on the diversity of viewpoints within i</w:t>
      </w:r>
      <w:r w:rsidR="00AA7C2A" w:rsidRPr="0085544F">
        <w:rPr>
          <w:sz w:val="24"/>
          <w:szCs w:val="24"/>
        </w:rPr>
        <w:t>t</w:t>
      </w:r>
      <w:r w:rsidRPr="0085544F">
        <w:rPr>
          <w:sz w:val="24"/>
          <w:szCs w:val="24"/>
        </w:rPr>
        <w:t>. Current advice on these issues (Belton et al</w:t>
      </w:r>
      <w:r w:rsidR="00BE624B">
        <w:rPr>
          <w:sz w:val="24"/>
          <w:szCs w:val="24"/>
        </w:rPr>
        <w:t>.</w:t>
      </w:r>
      <w:r w:rsidRPr="0085544F">
        <w:rPr>
          <w:sz w:val="24"/>
          <w:szCs w:val="24"/>
        </w:rPr>
        <w:t xml:space="preserve">, 2019) is </w:t>
      </w:r>
      <w:r w:rsidR="00B2698B" w:rsidRPr="0085544F">
        <w:rPr>
          <w:sz w:val="24"/>
          <w:szCs w:val="24"/>
        </w:rPr>
        <w:t xml:space="preserve">varied – perhaps because panel membership size is not crucial when qualitative feedback between rounds is not utilised and </w:t>
      </w:r>
      <w:r w:rsidR="00C10239" w:rsidRPr="0085544F">
        <w:rPr>
          <w:sz w:val="24"/>
          <w:szCs w:val="24"/>
        </w:rPr>
        <w:t xml:space="preserve">the feedback of </w:t>
      </w:r>
      <w:r w:rsidR="00B2698B" w:rsidRPr="0085544F">
        <w:rPr>
          <w:sz w:val="24"/>
          <w:szCs w:val="24"/>
        </w:rPr>
        <w:t xml:space="preserve">panellists’ viewpoints </w:t>
      </w:r>
      <w:r w:rsidR="00C10239" w:rsidRPr="0085544F">
        <w:rPr>
          <w:sz w:val="24"/>
          <w:szCs w:val="24"/>
        </w:rPr>
        <w:t>is</w:t>
      </w:r>
      <w:r w:rsidR="00B2698B" w:rsidRPr="0085544F">
        <w:rPr>
          <w:sz w:val="24"/>
          <w:szCs w:val="24"/>
        </w:rPr>
        <w:t xml:space="preserve"> simply numerical summaries of opinions</w:t>
      </w:r>
      <w:r w:rsidR="00235C7E" w:rsidRPr="0085544F">
        <w:rPr>
          <w:sz w:val="24"/>
          <w:szCs w:val="24"/>
        </w:rPr>
        <w:t xml:space="preserve">. Nevertheless, </w:t>
      </w:r>
      <w:r w:rsidR="00B2698B" w:rsidRPr="0085544F">
        <w:rPr>
          <w:sz w:val="24"/>
          <w:szCs w:val="24"/>
        </w:rPr>
        <w:t xml:space="preserve">a commonality in all advice is the imperative to utilise heterogeneous </w:t>
      </w:r>
      <w:r w:rsidR="00235C7E" w:rsidRPr="0085544F">
        <w:rPr>
          <w:sz w:val="24"/>
          <w:szCs w:val="24"/>
        </w:rPr>
        <w:t xml:space="preserve">membership of Delphi </w:t>
      </w:r>
      <w:r w:rsidR="00B2698B" w:rsidRPr="0085544F">
        <w:rPr>
          <w:sz w:val="24"/>
          <w:szCs w:val="24"/>
        </w:rPr>
        <w:t>panels</w:t>
      </w:r>
      <w:r w:rsidR="00235C7E" w:rsidRPr="0085544F">
        <w:rPr>
          <w:sz w:val="24"/>
          <w:szCs w:val="24"/>
        </w:rPr>
        <w:t>, so that varied viewpoints are received and evaluated by Delphi panellists</w:t>
      </w:r>
      <w:r w:rsidR="00B2698B" w:rsidRPr="0085544F">
        <w:rPr>
          <w:sz w:val="24"/>
          <w:szCs w:val="24"/>
        </w:rPr>
        <w:t>. Clearly, between-round feedback that involves the exchange and reading of rationales for numerical responses will lengthen panellists’ time commitment for each Delphi item considered, whereas exchange of feedback between rounds in terms of medians and ranges of numerical responses will not.</w:t>
      </w:r>
    </w:p>
    <w:p w14:paraId="3B4A5A5F" w14:textId="7A4250D2" w:rsidR="00BE49D0" w:rsidRPr="0085544F" w:rsidRDefault="00BD3DBE" w:rsidP="00211B87">
      <w:pPr>
        <w:spacing w:line="360" w:lineRule="auto"/>
        <w:rPr>
          <w:sz w:val="24"/>
          <w:szCs w:val="24"/>
        </w:rPr>
      </w:pPr>
      <w:r w:rsidRPr="0085544F">
        <w:rPr>
          <w:sz w:val="24"/>
          <w:szCs w:val="24"/>
        </w:rPr>
        <w:t>Research</w:t>
      </w:r>
      <w:r w:rsidR="00DA0D4F" w:rsidRPr="0085544F">
        <w:rPr>
          <w:sz w:val="24"/>
          <w:szCs w:val="24"/>
        </w:rPr>
        <w:t xml:space="preserve"> on both Cognitive Load Theory (CLT; see e.g. Paas, Tuovinen, Tabbers &amp; Van Gerven, 2003; Sweller, van Merrienboer &amp; Paas, 1998) and information overload (for reviews, see Eppler &amp; Mengis, 2004; Hwang &amp; Lin, 1999) has found that an individual’s performance in terms of decision accuracy and/or reasoning quality correlates positively with </w:t>
      </w:r>
      <w:r w:rsidR="00B171EF" w:rsidRPr="0085544F">
        <w:rPr>
          <w:sz w:val="24"/>
          <w:szCs w:val="24"/>
        </w:rPr>
        <w:t xml:space="preserve">both the volume and complexity </w:t>
      </w:r>
      <w:r w:rsidR="00DA0D4F" w:rsidRPr="0085544F">
        <w:rPr>
          <w:sz w:val="24"/>
          <w:szCs w:val="24"/>
        </w:rPr>
        <w:t xml:space="preserve">of information </w:t>
      </w:r>
      <w:r w:rsidR="00235C7E" w:rsidRPr="0085544F">
        <w:rPr>
          <w:sz w:val="24"/>
          <w:szCs w:val="24"/>
        </w:rPr>
        <w:t xml:space="preserve">he/she </w:t>
      </w:r>
      <w:r w:rsidR="00DA0D4F" w:rsidRPr="0085544F">
        <w:rPr>
          <w:sz w:val="24"/>
          <w:szCs w:val="24"/>
        </w:rPr>
        <w:t>receive</w:t>
      </w:r>
      <w:r w:rsidR="00235C7E" w:rsidRPr="0085544F">
        <w:rPr>
          <w:sz w:val="24"/>
          <w:szCs w:val="24"/>
        </w:rPr>
        <w:t xml:space="preserve">s </w:t>
      </w:r>
      <w:r w:rsidR="00B2698B" w:rsidRPr="0085544F">
        <w:rPr>
          <w:sz w:val="24"/>
          <w:szCs w:val="24"/>
        </w:rPr>
        <w:t xml:space="preserve">before making </w:t>
      </w:r>
      <w:r w:rsidR="00ED4983" w:rsidRPr="0085544F">
        <w:rPr>
          <w:sz w:val="24"/>
          <w:szCs w:val="24"/>
        </w:rPr>
        <w:t xml:space="preserve">a judgment or decision </w:t>
      </w:r>
      <w:r w:rsidR="00DA0D4F" w:rsidRPr="0085544F">
        <w:rPr>
          <w:sz w:val="24"/>
          <w:szCs w:val="24"/>
        </w:rPr>
        <w:t>– up to a certain point. If further information is received beyond th</w:t>
      </w:r>
      <w:r w:rsidR="00B171EF" w:rsidRPr="0085544F">
        <w:rPr>
          <w:sz w:val="24"/>
          <w:szCs w:val="24"/>
        </w:rPr>
        <w:t>at</w:t>
      </w:r>
      <w:r w:rsidR="00DA0D4F" w:rsidRPr="0085544F">
        <w:rPr>
          <w:sz w:val="24"/>
          <w:szCs w:val="24"/>
        </w:rPr>
        <w:t xml:space="preserve"> point, the individual’s performance will decline rapidly</w:t>
      </w:r>
      <w:r w:rsidR="00235C7E" w:rsidRPr="0085544F">
        <w:rPr>
          <w:sz w:val="24"/>
          <w:szCs w:val="24"/>
        </w:rPr>
        <w:t>, due to cognitive overload</w:t>
      </w:r>
      <w:r w:rsidR="00C903BC">
        <w:rPr>
          <w:sz w:val="24"/>
          <w:szCs w:val="24"/>
        </w:rPr>
        <w:t xml:space="preserve"> (see Figure 1)</w:t>
      </w:r>
      <w:r w:rsidR="00235C7E" w:rsidRPr="0085544F">
        <w:rPr>
          <w:sz w:val="24"/>
          <w:szCs w:val="24"/>
        </w:rPr>
        <w:t>.</w:t>
      </w:r>
      <w:r w:rsidR="00B171EF" w:rsidRPr="0085544F">
        <w:rPr>
          <w:sz w:val="24"/>
          <w:szCs w:val="24"/>
        </w:rPr>
        <w:t xml:space="preserve"> </w:t>
      </w:r>
      <w:r w:rsidR="00BE49D0" w:rsidRPr="0085544F">
        <w:rPr>
          <w:sz w:val="24"/>
          <w:szCs w:val="24"/>
        </w:rPr>
        <w:t xml:space="preserve">Studies of online consumer choice tasks suggest that having more information of greater complexity to review </w:t>
      </w:r>
      <w:r w:rsidR="00B171EF" w:rsidRPr="0085544F">
        <w:rPr>
          <w:sz w:val="24"/>
          <w:szCs w:val="24"/>
        </w:rPr>
        <w:t xml:space="preserve">also </w:t>
      </w:r>
      <w:r w:rsidR="00BE49D0" w:rsidRPr="0085544F">
        <w:rPr>
          <w:sz w:val="24"/>
          <w:szCs w:val="24"/>
        </w:rPr>
        <w:t xml:space="preserve">makes individuals more likely to report negative perceptions of the </w:t>
      </w:r>
      <w:r w:rsidR="00ED4983" w:rsidRPr="0085544F">
        <w:rPr>
          <w:sz w:val="24"/>
          <w:szCs w:val="24"/>
        </w:rPr>
        <w:t>decision process</w:t>
      </w:r>
      <w:r w:rsidR="00BE49D0" w:rsidRPr="0085544F">
        <w:rPr>
          <w:sz w:val="24"/>
          <w:szCs w:val="24"/>
        </w:rPr>
        <w:t xml:space="preserve"> (Griefeneder, Scheibehenne &amp; Kleber, 2010; Park &amp; Jang, 2012)</w:t>
      </w:r>
      <w:r w:rsidR="006815B0">
        <w:rPr>
          <w:sz w:val="24"/>
          <w:szCs w:val="24"/>
        </w:rPr>
        <w:t>, which may in turn lead to future task avoidance (Sthapit,</w:t>
      </w:r>
      <w:r w:rsidR="006815B0" w:rsidRPr="006815B0">
        <w:rPr>
          <w:sz w:val="24"/>
          <w:szCs w:val="24"/>
        </w:rPr>
        <w:t xml:space="preserve"> Del Chiappa, Coudounaris &amp; Bjork, 2019</w:t>
      </w:r>
      <w:r w:rsidR="006815B0">
        <w:rPr>
          <w:sz w:val="24"/>
          <w:szCs w:val="24"/>
        </w:rPr>
        <w:t>)</w:t>
      </w:r>
      <w:r w:rsidR="00BE49D0" w:rsidRPr="0085544F">
        <w:rPr>
          <w:sz w:val="24"/>
          <w:szCs w:val="24"/>
        </w:rPr>
        <w:t xml:space="preserve">. </w:t>
      </w:r>
      <w:r w:rsidR="000F09C3" w:rsidRPr="0085544F">
        <w:rPr>
          <w:sz w:val="24"/>
          <w:szCs w:val="24"/>
        </w:rPr>
        <w:t xml:space="preserve">Additionally, </w:t>
      </w:r>
      <w:r w:rsidRPr="0085544F">
        <w:rPr>
          <w:sz w:val="24"/>
          <w:szCs w:val="24"/>
        </w:rPr>
        <w:t>research suggest</w:t>
      </w:r>
      <w:r w:rsidR="000F09C3" w:rsidRPr="0085544F">
        <w:rPr>
          <w:sz w:val="24"/>
          <w:szCs w:val="24"/>
        </w:rPr>
        <w:t xml:space="preserve"> that individuals </w:t>
      </w:r>
      <w:r w:rsidRPr="0085544F">
        <w:rPr>
          <w:sz w:val="24"/>
          <w:szCs w:val="24"/>
        </w:rPr>
        <w:t xml:space="preserve">may </w:t>
      </w:r>
      <w:r w:rsidR="000F09C3" w:rsidRPr="0085544F">
        <w:rPr>
          <w:sz w:val="24"/>
          <w:szCs w:val="24"/>
        </w:rPr>
        <w:t xml:space="preserve">change their </w:t>
      </w:r>
      <w:r w:rsidR="006815B0">
        <w:rPr>
          <w:sz w:val="24"/>
          <w:szCs w:val="24"/>
        </w:rPr>
        <w:t>judgment</w:t>
      </w:r>
      <w:r w:rsidR="000F09C3" w:rsidRPr="0085544F">
        <w:rPr>
          <w:sz w:val="24"/>
          <w:szCs w:val="24"/>
        </w:rPr>
        <w:t xml:space="preserve"> strategies when faced with information overload, </w:t>
      </w:r>
      <w:r w:rsidR="006815B0">
        <w:rPr>
          <w:sz w:val="24"/>
          <w:szCs w:val="24"/>
        </w:rPr>
        <w:t xml:space="preserve">for example by </w:t>
      </w:r>
      <w:r w:rsidR="006815B0" w:rsidRPr="00585476">
        <w:rPr>
          <w:sz w:val="24"/>
          <w:szCs w:val="24"/>
        </w:rPr>
        <w:t xml:space="preserve">searching for less information (Cook, 1993; Swain &amp; Haka, 2000) or using a simple decision heuristic </w:t>
      </w:r>
      <w:r w:rsidR="000F09C3" w:rsidRPr="0085544F">
        <w:rPr>
          <w:sz w:val="24"/>
          <w:szCs w:val="24"/>
        </w:rPr>
        <w:t>to relieve the excess load</w:t>
      </w:r>
      <w:r w:rsidR="002413DE">
        <w:rPr>
          <w:sz w:val="24"/>
          <w:szCs w:val="24"/>
        </w:rPr>
        <w:t xml:space="preserve"> </w:t>
      </w:r>
      <w:r w:rsidR="002413DE" w:rsidRPr="00585476">
        <w:rPr>
          <w:sz w:val="24"/>
          <w:szCs w:val="24"/>
        </w:rPr>
        <w:t>(Agnew &amp; Szykman, 2005; Biggs, Bedard, Gaber &amp; Linsmeier, 1985)</w:t>
      </w:r>
      <w:r w:rsidR="000F09C3" w:rsidRPr="0085544F">
        <w:rPr>
          <w:sz w:val="24"/>
          <w:szCs w:val="24"/>
        </w:rPr>
        <w:t xml:space="preserve">. </w:t>
      </w:r>
    </w:p>
    <w:p w14:paraId="05175717" w14:textId="3D37EBF1" w:rsidR="00BD3DBE" w:rsidRPr="009231BE" w:rsidRDefault="00BD3DBE" w:rsidP="00211B87">
      <w:pPr>
        <w:spacing w:line="360" w:lineRule="auto"/>
        <w:rPr>
          <w:sz w:val="24"/>
          <w:szCs w:val="24"/>
        </w:rPr>
      </w:pPr>
      <w:r w:rsidRPr="009231BE">
        <w:rPr>
          <w:noProof/>
          <w:sz w:val="24"/>
          <w:szCs w:val="24"/>
        </w:rPr>
        <w:lastRenderedPageBreak/>
        <w:drawing>
          <wp:inline distT="0" distB="0" distL="0" distR="0" wp14:anchorId="02E9E9D3" wp14:editId="1C0C5C95">
            <wp:extent cx="4305300" cy="2277561"/>
            <wp:effectExtent l="0" t="0" r="0" b="8890"/>
            <wp:docPr id="9" name="Picture 9" descr="Figure shows the effect of information overload on decision accu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shows the effect of information overload on decision accurac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106" cy="2284335"/>
                    </a:xfrm>
                    <a:prstGeom prst="rect">
                      <a:avLst/>
                    </a:prstGeom>
                    <a:noFill/>
                  </pic:spPr>
                </pic:pic>
              </a:graphicData>
            </a:graphic>
          </wp:inline>
        </w:drawing>
      </w:r>
    </w:p>
    <w:p w14:paraId="78645370" w14:textId="7F9643FE" w:rsidR="00BD3DBE" w:rsidRPr="009231BE" w:rsidRDefault="00BD3DBE" w:rsidP="00211B87">
      <w:pPr>
        <w:spacing w:line="360" w:lineRule="auto"/>
        <w:rPr>
          <w:i/>
          <w:sz w:val="24"/>
          <w:szCs w:val="24"/>
        </w:rPr>
      </w:pPr>
      <w:r w:rsidRPr="009231BE">
        <w:rPr>
          <w:i/>
          <w:sz w:val="24"/>
          <w:szCs w:val="24"/>
        </w:rPr>
        <w:t xml:space="preserve">Figure 1. </w:t>
      </w:r>
      <w:r w:rsidRPr="009231BE">
        <w:rPr>
          <w:sz w:val="24"/>
          <w:szCs w:val="24"/>
        </w:rPr>
        <w:t>Effect of information overload on decision accuracy. Taken from Eppler and Mengis (2004).</w:t>
      </w:r>
    </w:p>
    <w:p w14:paraId="517CDC16" w14:textId="47F9645A" w:rsidR="00385609" w:rsidRDefault="00B171EF" w:rsidP="00211B87">
      <w:pPr>
        <w:spacing w:line="360" w:lineRule="auto"/>
        <w:rPr>
          <w:sz w:val="24"/>
          <w:szCs w:val="24"/>
        </w:rPr>
      </w:pPr>
      <w:r w:rsidRPr="009231BE">
        <w:rPr>
          <w:sz w:val="24"/>
          <w:szCs w:val="24"/>
        </w:rPr>
        <w:t>A key question is</w:t>
      </w:r>
      <w:r w:rsidR="00ED4983" w:rsidRPr="009231BE">
        <w:rPr>
          <w:sz w:val="24"/>
          <w:szCs w:val="24"/>
        </w:rPr>
        <w:t>:</w:t>
      </w:r>
      <w:r w:rsidRPr="009231BE">
        <w:rPr>
          <w:sz w:val="24"/>
          <w:szCs w:val="24"/>
        </w:rPr>
        <w:t xml:space="preserve"> how much information is too much</w:t>
      </w:r>
      <w:r w:rsidR="00ED4983" w:rsidRPr="009231BE">
        <w:rPr>
          <w:sz w:val="24"/>
          <w:szCs w:val="24"/>
        </w:rPr>
        <w:t>?</w:t>
      </w:r>
      <w:r w:rsidRPr="009231BE">
        <w:rPr>
          <w:sz w:val="24"/>
          <w:szCs w:val="24"/>
        </w:rPr>
        <w:t xml:space="preserve"> </w:t>
      </w:r>
      <w:r w:rsidR="00BD3DBE" w:rsidRPr="009231BE">
        <w:rPr>
          <w:sz w:val="24"/>
          <w:szCs w:val="24"/>
        </w:rPr>
        <w:t xml:space="preserve">CLT emphasises working memory constraints as determinants of cognitive capacity (Sweller, van Merrienboer </w:t>
      </w:r>
      <w:r w:rsidR="005A14D7">
        <w:rPr>
          <w:sz w:val="24"/>
          <w:szCs w:val="24"/>
        </w:rPr>
        <w:t>&amp;</w:t>
      </w:r>
      <w:r w:rsidR="00BD3DBE" w:rsidRPr="009231BE">
        <w:rPr>
          <w:sz w:val="24"/>
          <w:szCs w:val="24"/>
        </w:rPr>
        <w:t xml:space="preserve"> Paas, 1998). Miller (1956) famously estimated that working memory capacity was 7 ± 2 items</w:t>
      </w:r>
      <w:r w:rsidR="00235C7E" w:rsidRPr="009231BE">
        <w:rPr>
          <w:sz w:val="24"/>
          <w:szCs w:val="24"/>
        </w:rPr>
        <w:t xml:space="preserve"> (c</w:t>
      </w:r>
      <w:r w:rsidR="00AA7C2A" w:rsidRPr="009231BE">
        <w:rPr>
          <w:sz w:val="24"/>
          <w:szCs w:val="24"/>
        </w:rPr>
        <w:t>.</w:t>
      </w:r>
      <w:r w:rsidR="00235C7E" w:rsidRPr="009231BE">
        <w:rPr>
          <w:sz w:val="24"/>
          <w:szCs w:val="24"/>
        </w:rPr>
        <w:t>f</w:t>
      </w:r>
      <w:r w:rsidR="00AA7C2A" w:rsidRPr="009231BE">
        <w:rPr>
          <w:sz w:val="24"/>
          <w:szCs w:val="24"/>
        </w:rPr>
        <w:t>.</w:t>
      </w:r>
      <w:r w:rsidR="00235C7E" w:rsidRPr="009231BE">
        <w:rPr>
          <w:sz w:val="24"/>
          <w:szCs w:val="24"/>
        </w:rPr>
        <w:t xml:space="preserve"> </w:t>
      </w:r>
      <w:r w:rsidR="00BD3DBE" w:rsidRPr="009231BE">
        <w:rPr>
          <w:sz w:val="24"/>
          <w:szCs w:val="24"/>
        </w:rPr>
        <w:t>Cowan’s</w:t>
      </w:r>
      <w:r w:rsidR="00C10239" w:rsidRPr="009231BE">
        <w:rPr>
          <w:sz w:val="24"/>
          <w:szCs w:val="24"/>
        </w:rPr>
        <w:t xml:space="preserve"> </w:t>
      </w:r>
      <w:r w:rsidR="00BD3DBE" w:rsidRPr="009231BE">
        <w:rPr>
          <w:sz w:val="24"/>
          <w:szCs w:val="24"/>
        </w:rPr>
        <w:t>2001 review</w:t>
      </w:r>
      <w:r w:rsidR="00235C7E" w:rsidRPr="009231BE">
        <w:rPr>
          <w:sz w:val="24"/>
          <w:szCs w:val="24"/>
        </w:rPr>
        <w:t>)</w:t>
      </w:r>
      <w:r w:rsidR="00BD3DBE" w:rsidRPr="009231BE">
        <w:rPr>
          <w:sz w:val="24"/>
          <w:szCs w:val="24"/>
        </w:rPr>
        <w:t xml:space="preserve">. But how does this figure translate to real-world information processing tasks? Park </w:t>
      </w:r>
      <w:r w:rsidR="005A14D7">
        <w:rPr>
          <w:sz w:val="24"/>
          <w:szCs w:val="24"/>
        </w:rPr>
        <w:t xml:space="preserve">and </w:t>
      </w:r>
      <w:r w:rsidR="00BD3DBE" w:rsidRPr="009231BE">
        <w:rPr>
          <w:sz w:val="24"/>
          <w:szCs w:val="24"/>
        </w:rPr>
        <w:t xml:space="preserve">Jang’s (2012) tourism choice study compared participants’ behaviour across choice sets with 1, 3, 10, 20 and 30 items. Consistent with CLT, participants were increasingly more likely to make a </w:t>
      </w:r>
      <w:r w:rsidR="00235C7E" w:rsidRPr="009231BE">
        <w:rPr>
          <w:sz w:val="24"/>
          <w:szCs w:val="24"/>
        </w:rPr>
        <w:t xml:space="preserve">definitive </w:t>
      </w:r>
      <w:r w:rsidR="00BD3DBE" w:rsidRPr="009231BE">
        <w:rPr>
          <w:sz w:val="24"/>
          <w:szCs w:val="24"/>
        </w:rPr>
        <w:t xml:space="preserve">choice </w:t>
      </w:r>
      <w:r w:rsidR="00ED4983" w:rsidRPr="009231BE">
        <w:rPr>
          <w:sz w:val="24"/>
          <w:szCs w:val="24"/>
        </w:rPr>
        <w:t>between up to 20 alternatives</w:t>
      </w:r>
      <w:r w:rsidR="00BD3DBE" w:rsidRPr="009231BE">
        <w:rPr>
          <w:sz w:val="24"/>
          <w:szCs w:val="24"/>
        </w:rPr>
        <w:t>, after which choice likelihood decreased – perhaps because of choice overload</w:t>
      </w:r>
      <w:r w:rsidR="00ED4983" w:rsidRPr="009231BE">
        <w:rPr>
          <w:sz w:val="24"/>
          <w:szCs w:val="24"/>
        </w:rPr>
        <w:t xml:space="preserve">. </w:t>
      </w:r>
      <w:r w:rsidR="00BD3DBE" w:rsidRPr="009231BE">
        <w:rPr>
          <w:sz w:val="24"/>
          <w:szCs w:val="24"/>
        </w:rPr>
        <w:t>Griefeneder et al. (2010) compared participant satisfaction across sets of consumer choices that differed in number (6, 15 or 30 items) and complexity (1 or 6 attributes</w:t>
      </w:r>
      <w:r w:rsidR="00ED4983" w:rsidRPr="009231BE">
        <w:rPr>
          <w:sz w:val="24"/>
          <w:szCs w:val="24"/>
        </w:rPr>
        <w:t xml:space="preserve"> of value attached to each choice item – such as size, colour, price, etc</w:t>
      </w:r>
      <w:r w:rsidR="00BD3DBE" w:rsidRPr="009231BE">
        <w:rPr>
          <w:sz w:val="24"/>
          <w:szCs w:val="24"/>
        </w:rPr>
        <w:t xml:space="preserve">). When </w:t>
      </w:r>
      <w:r w:rsidR="00ED4983" w:rsidRPr="009231BE">
        <w:rPr>
          <w:sz w:val="24"/>
          <w:szCs w:val="24"/>
        </w:rPr>
        <w:t xml:space="preserve">choice </w:t>
      </w:r>
      <w:r w:rsidR="00BD3DBE" w:rsidRPr="009231BE">
        <w:rPr>
          <w:sz w:val="24"/>
          <w:szCs w:val="24"/>
        </w:rPr>
        <w:t xml:space="preserve">options were simple, </w:t>
      </w:r>
      <w:r w:rsidR="00ED4983" w:rsidRPr="009231BE">
        <w:rPr>
          <w:sz w:val="24"/>
          <w:szCs w:val="24"/>
        </w:rPr>
        <w:t xml:space="preserve">i.e., contained few value attributes, </w:t>
      </w:r>
      <w:r w:rsidR="00BD3DBE" w:rsidRPr="009231BE">
        <w:rPr>
          <w:sz w:val="24"/>
          <w:szCs w:val="24"/>
        </w:rPr>
        <w:t xml:space="preserve">there </w:t>
      </w:r>
      <w:r w:rsidR="00675FD4" w:rsidRPr="009231BE">
        <w:rPr>
          <w:sz w:val="24"/>
          <w:szCs w:val="24"/>
        </w:rPr>
        <w:t xml:space="preserve">was </w:t>
      </w:r>
      <w:r w:rsidR="00BD3DBE" w:rsidRPr="009231BE">
        <w:rPr>
          <w:sz w:val="24"/>
          <w:szCs w:val="24"/>
        </w:rPr>
        <w:t xml:space="preserve">no difference in satisfaction across choice sets with 6, 15 or 30 </w:t>
      </w:r>
      <w:r w:rsidR="00ED4983" w:rsidRPr="009231BE">
        <w:rPr>
          <w:sz w:val="24"/>
          <w:szCs w:val="24"/>
        </w:rPr>
        <w:t xml:space="preserve">alternative </w:t>
      </w:r>
      <w:r w:rsidR="00BD3DBE" w:rsidRPr="009231BE">
        <w:rPr>
          <w:sz w:val="24"/>
          <w:szCs w:val="24"/>
        </w:rPr>
        <w:t xml:space="preserve">items. When options were more complex, satisfaction </w:t>
      </w:r>
      <w:r w:rsidR="00ED4983" w:rsidRPr="009231BE">
        <w:rPr>
          <w:sz w:val="24"/>
          <w:szCs w:val="24"/>
        </w:rPr>
        <w:t xml:space="preserve">with the decision reached </w:t>
      </w:r>
      <w:r w:rsidR="00BD3DBE" w:rsidRPr="009231BE">
        <w:rPr>
          <w:sz w:val="24"/>
          <w:szCs w:val="24"/>
        </w:rPr>
        <w:t xml:space="preserve">reduced </w:t>
      </w:r>
      <w:r w:rsidR="00675FD4" w:rsidRPr="009231BE">
        <w:rPr>
          <w:sz w:val="24"/>
          <w:szCs w:val="24"/>
        </w:rPr>
        <w:t xml:space="preserve">in a linear fashion </w:t>
      </w:r>
      <w:r w:rsidR="00BD3DBE" w:rsidRPr="009231BE">
        <w:rPr>
          <w:sz w:val="24"/>
          <w:szCs w:val="24"/>
        </w:rPr>
        <w:t xml:space="preserve">as the number of items increased. </w:t>
      </w:r>
      <w:r w:rsidR="00160067" w:rsidRPr="009231BE">
        <w:rPr>
          <w:sz w:val="24"/>
          <w:szCs w:val="24"/>
        </w:rPr>
        <w:t xml:space="preserve">In practice, the threshold for information overload is likely to be very task-specific. </w:t>
      </w:r>
    </w:p>
    <w:p w14:paraId="52584405" w14:textId="39728653" w:rsidR="00B171EF" w:rsidRPr="009231BE" w:rsidRDefault="00ED4983" w:rsidP="00211B87">
      <w:pPr>
        <w:spacing w:line="360" w:lineRule="auto"/>
        <w:rPr>
          <w:sz w:val="24"/>
          <w:szCs w:val="24"/>
        </w:rPr>
      </w:pPr>
      <w:r w:rsidRPr="009231BE">
        <w:rPr>
          <w:sz w:val="24"/>
          <w:szCs w:val="24"/>
        </w:rPr>
        <w:t xml:space="preserve">In a Delphi setting with </w:t>
      </w:r>
      <w:r w:rsidR="00AA7C2A" w:rsidRPr="009231BE">
        <w:rPr>
          <w:sz w:val="24"/>
          <w:szCs w:val="24"/>
        </w:rPr>
        <w:t xml:space="preserve">feedback of </w:t>
      </w:r>
      <w:r w:rsidRPr="009231BE">
        <w:rPr>
          <w:sz w:val="24"/>
          <w:szCs w:val="24"/>
        </w:rPr>
        <w:t>qualitative rational</w:t>
      </w:r>
      <w:r w:rsidR="0020002C" w:rsidRPr="009231BE">
        <w:rPr>
          <w:sz w:val="24"/>
          <w:szCs w:val="24"/>
        </w:rPr>
        <w:t>e</w:t>
      </w:r>
      <w:r w:rsidR="00AA7C2A" w:rsidRPr="009231BE">
        <w:rPr>
          <w:sz w:val="24"/>
          <w:szCs w:val="24"/>
        </w:rPr>
        <w:t>s</w:t>
      </w:r>
      <w:r w:rsidR="0020002C" w:rsidRPr="009231BE">
        <w:rPr>
          <w:sz w:val="24"/>
          <w:szCs w:val="24"/>
        </w:rPr>
        <w:t>, the issue of w</w:t>
      </w:r>
      <w:r w:rsidR="00160067" w:rsidRPr="009231BE">
        <w:rPr>
          <w:sz w:val="24"/>
          <w:szCs w:val="24"/>
        </w:rPr>
        <w:t>hethe</w:t>
      </w:r>
      <w:r w:rsidR="0020002C" w:rsidRPr="009231BE">
        <w:rPr>
          <w:sz w:val="24"/>
          <w:szCs w:val="24"/>
        </w:rPr>
        <w:t xml:space="preserve">r </w:t>
      </w:r>
      <w:r w:rsidR="00160067" w:rsidRPr="009231BE">
        <w:rPr>
          <w:sz w:val="24"/>
          <w:szCs w:val="24"/>
        </w:rPr>
        <w:t>information</w:t>
      </w:r>
      <w:r w:rsidR="0020002C" w:rsidRPr="009231BE">
        <w:rPr>
          <w:sz w:val="24"/>
          <w:szCs w:val="24"/>
        </w:rPr>
        <w:t xml:space="preserve"> provided prior to a judgment or choice</w:t>
      </w:r>
      <w:r w:rsidR="00160067" w:rsidRPr="009231BE">
        <w:rPr>
          <w:sz w:val="24"/>
          <w:szCs w:val="24"/>
        </w:rPr>
        <w:t xml:space="preserve"> is likely to cause </w:t>
      </w:r>
      <w:r w:rsidR="0020002C" w:rsidRPr="009231BE">
        <w:rPr>
          <w:sz w:val="24"/>
          <w:szCs w:val="24"/>
        </w:rPr>
        <w:t xml:space="preserve">a </w:t>
      </w:r>
      <w:r w:rsidR="00160067" w:rsidRPr="009231BE">
        <w:rPr>
          <w:sz w:val="24"/>
          <w:szCs w:val="24"/>
        </w:rPr>
        <w:t xml:space="preserve">cognitive challenge will depend on a complex interaction between many factors including information volume (number </w:t>
      </w:r>
      <w:r w:rsidR="005A14D7">
        <w:rPr>
          <w:sz w:val="24"/>
          <w:szCs w:val="24"/>
        </w:rPr>
        <w:t xml:space="preserve">and length </w:t>
      </w:r>
      <w:r w:rsidR="00160067" w:rsidRPr="009231BE">
        <w:rPr>
          <w:sz w:val="24"/>
          <w:szCs w:val="24"/>
        </w:rPr>
        <w:t xml:space="preserve">of </w:t>
      </w:r>
      <w:r w:rsidR="0020002C" w:rsidRPr="009231BE">
        <w:rPr>
          <w:sz w:val="24"/>
          <w:szCs w:val="24"/>
        </w:rPr>
        <w:t xml:space="preserve">rationales </w:t>
      </w:r>
      <w:r w:rsidR="00160067" w:rsidRPr="009231BE">
        <w:rPr>
          <w:sz w:val="24"/>
          <w:szCs w:val="24"/>
        </w:rPr>
        <w:t xml:space="preserve">and </w:t>
      </w:r>
      <w:r w:rsidR="0034692E">
        <w:rPr>
          <w:sz w:val="24"/>
          <w:szCs w:val="24"/>
        </w:rPr>
        <w:t xml:space="preserve">overall </w:t>
      </w:r>
      <w:r w:rsidR="00160067" w:rsidRPr="009231BE">
        <w:rPr>
          <w:sz w:val="24"/>
          <w:szCs w:val="24"/>
        </w:rPr>
        <w:t>word count)</w:t>
      </w:r>
      <w:r w:rsidR="00C10239" w:rsidRPr="009231BE">
        <w:rPr>
          <w:sz w:val="24"/>
          <w:szCs w:val="24"/>
        </w:rPr>
        <w:t xml:space="preserve">, </w:t>
      </w:r>
      <w:r w:rsidR="00160067" w:rsidRPr="009231BE">
        <w:rPr>
          <w:sz w:val="24"/>
          <w:szCs w:val="24"/>
        </w:rPr>
        <w:t xml:space="preserve">complexity (diversity of views, type of </w:t>
      </w:r>
      <w:r w:rsidR="00160067" w:rsidRPr="009231BE">
        <w:rPr>
          <w:sz w:val="24"/>
          <w:szCs w:val="24"/>
        </w:rPr>
        <w:lastRenderedPageBreak/>
        <w:t>arguments used</w:t>
      </w:r>
      <w:r w:rsidR="0020002C" w:rsidRPr="009231BE">
        <w:rPr>
          <w:sz w:val="24"/>
          <w:szCs w:val="24"/>
        </w:rPr>
        <w:t xml:space="preserve"> within the proffered rationales</w:t>
      </w:r>
      <w:r w:rsidR="00160067" w:rsidRPr="009231BE">
        <w:rPr>
          <w:sz w:val="24"/>
          <w:szCs w:val="24"/>
        </w:rPr>
        <w:t>)</w:t>
      </w:r>
      <w:r w:rsidR="00C10239" w:rsidRPr="009231BE">
        <w:rPr>
          <w:sz w:val="24"/>
          <w:szCs w:val="24"/>
        </w:rPr>
        <w:t>,</w:t>
      </w:r>
      <w:r w:rsidR="00160067" w:rsidRPr="009231BE">
        <w:rPr>
          <w:sz w:val="24"/>
          <w:szCs w:val="24"/>
        </w:rPr>
        <w:t xml:space="preserve"> and the expertise of the participant in relation to the given task.</w:t>
      </w:r>
    </w:p>
    <w:p w14:paraId="6FC316B5" w14:textId="4DBE17B6" w:rsidR="00BD3DBE" w:rsidRPr="00951584" w:rsidRDefault="00BD3DBE" w:rsidP="00AF4DA9">
      <w:pPr>
        <w:spacing w:line="360" w:lineRule="auto"/>
        <w:rPr>
          <w:sz w:val="24"/>
          <w:szCs w:val="24"/>
        </w:rPr>
      </w:pPr>
      <w:r w:rsidRPr="009231BE">
        <w:rPr>
          <w:sz w:val="24"/>
          <w:szCs w:val="24"/>
        </w:rPr>
        <w:t xml:space="preserve">Delphi panellists </w:t>
      </w:r>
      <w:r w:rsidR="0020002C" w:rsidRPr="009231BE">
        <w:rPr>
          <w:sz w:val="24"/>
          <w:szCs w:val="24"/>
        </w:rPr>
        <w:t xml:space="preserve">are </w:t>
      </w:r>
      <w:r w:rsidR="007130EE">
        <w:rPr>
          <w:sz w:val="24"/>
          <w:szCs w:val="24"/>
        </w:rPr>
        <w:t xml:space="preserve">often </w:t>
      </w:r>
      <w:r w:rsidR="0020002C" w:rsidRPr="009231BE">
        <w:rPr>
          <w:sz w:val="24"/>
          <w:szCs w:val="24"/>
        </w:rPr>
        <w:t>required</w:t>
      </w:r>
      <w:r w:rsidRPr="009231BE">
        <w:rPr>
          <w:sz w:val="24"/>
          <w:szCs w:val="24"/>
        </w:rPr>
        <w:t xml:space="preserve"> to read through other panellists’ written answers and rationales before revising their own</w:t>
      </w:r>
      <w:r w:rsidR="0020002C" w:rsidRPr="009231BE">
        <w:rPr>
          <w:sz w:val="24"/>
          <w:szCs w:val="24"/>
        </w:rPr>
        <w:t xml:space="preserve"> judgments and t</w:t>
      </w:r>
      <w:r w:rsidRPr="009231BE">
        <w:rPr>
          <w:sz w:val="24"/>
          <w:szCs w:val="24"/>
        </w:rPr>
        <w:t>his can be a cognitively demanding task, especially when completing long, multi-part Delphi surveys</w:t>
      </w:r>
      <w:r w:rsidR="0020002C" w:rsidRPr="009231BE">
        <w:rPr>
          <w:sz w:val="24"/>
          <w:szCs w:val="24"/>
        </w:rPr>
        <w:t xml:space="preserve">. </w:t>
      </w:r>
      <w:r w:rsidR="00814D74" w:rsidRPr="009231BE">
        <w:rPr>
          <w:sz w:val="24"/>
          <w:szCs w:val="24"/>
        </w:rPr>
        <w:t xml:space="preserve"> </w:t>
      </w:r>
      <w:r w:rsidR="001201F1">
        <w:rPr>
          <w:sz w:val="24"/>
          <w:szCs w:val="24"/>
        </w:rPr>
        <w:t xml:space="preserve">In studies where rationales are provided, an </w:t>
      </w:r>
      <w:r w:rsidR="00814D74" w:rsidRPr="009231BE">
        <w:rPr>
          <w:sz w:val="24"/>
          <w:szCs w:val="24"/>
        </w:rPr>
        <w:t>increase in D</w:t>
      </w:r>
      <w:r w:rsidRPr="009231BE">
        <w:rPr>
          <w:sz w:val="24"/>
          <w:szCs w:val="24"/>
        </w:rPr>
        <w:t>elphi group</w:t>
      </w:r>
      <w:r w:rsidR="0020002C" w:rsidRPr="009231BE">
        <w:rPr>
          <w:sz w:val="24"/>
          <w:szCs w:val="24"/>
        </w:rPr>
        <w:t xml:space="preserve"> size </w:t>
      </w:r>
      <w:r w:rsidR="00431659">
        <w:rPr>
          <w:sz w:val="24"/>
          <w:szCs w:val="24"/>
        </w:rPr>
        <w:t xml:space="preserve">will </w:t>
      </w:r>
      <w:r w:rsidR="001201F1">
        <w:rPr>
          <w:sz w:val="24"/>
          <w:szCs w:val="24"/>
        </w:rPr>
        <w:t>typically</w:t>
      </w:r>
      <w:r w:rsidR="00431659">
        <w:rPr>
          <w:sz w:val="24"/>
          <w:szCs w:val="24"/>
        </w:rPr>
        <w:t xml:space="preserve"> </w:t>
      </w:r>
      <w:r w:rsidRPr="009231BE">
        <w:rPr>
          <w:sz w:val="24"/>
          <w:szCs w:val="24"/>
        </w:rPr>
        <w:t xml:space="preserve">mean more information </w:t>
      </w:r>
      <w:r w:rsidR="0020002C" w:rsidRPr="009231BE">
        <w:rPr>
          <w:sz w:val="24"/>
          <w:szCs w:val="24"/>
        </w:rPr>
        <w:t xml:space="preserve">for individual panellists </w:t>
      </w:r>
      <w:r w:rsidRPr="009231BE">
        <w:rPr>
          <w:sz w:val="24"/>
          <w:szCs w:val="24"/>
        </w:rPr>
        <w:t>to review</w:t>
      </w:r>
      <w:r w:rsidR="0020002C" w:rsidRPr="009231BE">
        <w:rPr>
          <w:sz w:val="24"/>
          <w:szCs w:val="24"/>
        </w:rPr>
        <w:t xml:space="preserve"> and so</w:t>
      </w:r>
      <w:r w:rsidRPr="009231BE">
        <w:rPr>
          <w:sz w:val="24"/>
          <w:szCs w:val="24"/>
        </w:rPr>
        <w:t xml:space="preserve"> there is likely to be a point at which the </w:t>
      </w:r>
      <w:r w:rsidR="00235C7E" w:rsidRPr="009231BE">
        <w:rPr>
          <w:sz w:val="24"/>
          <w:szCs w:val="24"/>
        </w:rPr>
        <w:t>participants</w:t>
      </w:r>
      <w:r w:rsidR="00814D74" w:rsidRPr="009231BE">
        <w:rPr>
          <w:sz w:val="24"/>
          <w:szCs w:val="24"/>
        </w:rPr>
        <w:t>’</w:t>
      </w:r>
      <w:r w:rsidR="00235C7E" w:rsidRPr="009231BE">
        <w:rPr>
          <w:sz w:val="24"/>
          <w:szCs w:val="24"/>
        </w:rPr>
        <w:t xml:space="preserve"> </w:t>
      </w:r>
      <w:r w:rsidRPr="009231BE">
        <w:rPr>
          <w:sz w:val="24"/>
          <w:szCs w:val="24"/>
        </w:rPr>
        <w:t>task of reading and evaluating other group members’ answers and rationales become</w:t>
      </w:r>
      <w:r w:rsidR="00235C7E" w:rsidRPr="009231BE">
        <w:rPr>
          <w:sz w:val="24"/>
          <w:szCs w:val="24"/>
        </w:rPr>
        <w:t>s</w:t>
      </w:r>
      <w:r w:rsidRPr="009231BE">
        <w:rPr>
          <w:sz w:val="24"/>
          <w:szCs w:val="24"/>
        </w:rPr>
        <w:t xml:space="preserve"> unmanageable </w:t>
      </w:r>
      <w:r w:rsidR="00235C7E" w:rsidRPr="009231BE">
        <w:rPr>
          <w:sz w:val="24"/>
          <w:szCs w:val="24"/>
        </w:rPr>
        <w:t xml:space="preserve">through </w:t>
      </w:r>
      <w:r w:rsidRPr="009231BE">
        <w:rPr>
          <w:sz w:val="24"/>
          <w:szCs w:val="24"/>
        </w:rPr>
        <w:t xml:space="preserve">information overload. In addition, groups that generate a wide range of diverse rationales – while obviously desirable for producing quality Delphi results – will also add to the cognitive burden on their members, </w:t>
      </w:r>
      <w:r w:rsidR="00814D74" w:rsidRPr="009231BE">
        <w:rPr>
          <w:sz w:val="24"/>
          <w:szCs w:val="24"/>
        </w:rPr>
        <w:t>since</w:t>
      </w:r>
      <w:r w:rsidRPr="009231BE">
        <w:rPr>
          <w:sz w:val="24"/>
          <w:szCs w:val="24"/>
        </w:rPr>
        <w:t xml:space="preserve"> contrasting arguments and perspectives </w:t>
      </w:r>
      <w:r w:rsidR="0020002C" w:rsidRPr="009231BE">
        <w:rPr>
          <w:sz w:val="24"/>
          <w:szCs w:val="24"/>
        </w:rPr>
        <w:t>should, ideally,</w:t>
      </w:r>
      <w:r w:rsidRPr="009231BE">
        <w:rPr>
          <w:sz w:val="24"/>
          <w:szCs w:val="24"/>
        </w:rPr>
        <w:t xml:space="preserve"> be carefully analysed and evaluated</w:t>
      </w:r>
      <w:r w:rsidR="0020002C" w:rsidRPr="009231BE">
        <w:rPr>
          <w:sz w:val="24"/>
          <w:szCs w:val="24"/>
        </w:rPr>
        <w:t xml:space="preserve"> by participating panellists.</w:t>
      </w:r>
      <w:r w:rsidR="008B3B34">
        <w:rPr>
          <w:sz w:val="24"/>
          <w:szCs w:val="24"/>
        </w:rPr>
        <w:t xml:space="preserve"> But, note that a Delphi panellist with a strong interest in a question topic may (i) feel less overloaded than a panellist with a lesser interest, when both are presented with detailed rationales of other panellists, and also (ii)  be prepared to spend more time evaluating such rationales.</w:t>
      </w:r>
      <w:r w:rsidR="00E12791" w:rsidRPr="009231BE">
        <w:rPr>
          <w:sz w:val="24"/>
          <w:szCs w:val="24"/>
        </w:rPr>
        <w:t xml:space="preserve"> Recent automated methods for filtering or organising rationales such as Dynamic Argumentative Delphi (DAD</w:t>
      </w:r>
      <w:r w:rsidR="00814D74" w:rsidRPr="009231BE">
        <w:rPr>
          <w:sz w:val="24"/>
          <w:szCs w:val="24"/>
        </w:rPr>
        <w:t xml:space="preserve"> - Gheorghiu et al., 2017)</w:t>
      </w:r>
      <w:r w:rsidR="00E12791" w:rsidRPr="009231BE">
        <w:rPr>
          <w:sz w:val="24"/>
          <w:szCs w:val="24"/>
        </w:rPr>
        <w:t xml:space="preserve"> are subject to similar</w:t>
      </w:r>
      <w:r w:rsidR="008B3B34">
        <w:rPr>
          <w:sz w:val="24"/>
          <w:szCs w:val="24"/>
        </w:rPr>
        <w:t>,</w:t>
      </w:r>
      <w:r w:rsidR="00E12791" w:rsidRPr="009231BE">
        <w:rPr>
          <w:sz w:val="24"/>
          <w:szCs w:val="24"/>
        </w:rPr>
        <w:t xml:space="preserve"> potential</w:t>
      </w:r>
      <w:r w:rsidR="008B3B34">
        <w:rPr>
          <w:sz w:val="24"/>
          <w:szCs w:val="24"/>
        </w:rPr>
        <w:t xml:space="preserve">, </w:t>
      </w:r>
      <w:r w:rsidR="00E12791" w:rsidRPr="009231BE">
        <w:rPr>
          <w:sz w:val="24"/>
          <w:szCs w:val="24"/>
        </w:rPr>
        <w:t>cognitive overload issues</w:t>
      </w:r>
      <w:r w:rsidR="00AF4DA9">
        <w:rPr>
          <w:sz w:val="24"/>
          <w:szCs w:val="24"/>
        </w:rPr>
        <w:t xml:space="preserve">, since although these methods substantially reduce the number of rationales </w:t>
      </w:r>
      <w:r w:rsidR="008B3B34">
        <w:rPr>
          <w:sz w:val="24"/>
          <w:szCs w:val="24"/>
        </w:rPr>
        <w:t>for panellists to</w:t>
      </w:r>
      <w:r w:rsidR="00AF4DA9">
        <w:rPr>
          <w:sz w:val="24"/>
          <w:szCs w:val="24"/>
        </w:rPr>
        <w:t xml:space="preserve"> review, the</w:t>
      </w:r>
      <w:r w:rsidR="005A67FC">
        <w:rPr>
          <w:sz w:val="24"/>
          <w:szCs w:val="24"/>
        </w:rPr>
        <w:t>re</w:t>
      </w:r>
      <w:r w:rsidR="00AF4DA9">
        <w:rPr>
          <w:sz w:val="24"/>
          <w:szCs w:val="24"/>
        </w:rPr>
        <w:t xml:space="preserve"> could still be too many for participants to </w:t>
      </w:r>
      <w:r w:rsidR="008B3B34">
        <w:rPr>
          <w:sz w:val="24"/>
          <w:szCs w:val="24"/>
        </w:rPr>
        <w:t xml:space="preserve">carefully </w:t>
      </w:r>
      <w:r w:rsidR="00AF4DA9">
        <w:rPr>
          <w:sz w:val="24"/>
          <w:szCs w:val="24"/>
        </w:rPr>
        <w:t>read and understand.</w:t>
      </w:r>
      <w:r w:rsidR="00AF4DA9" w:rsidRPr="00951584">
        <w:rPr>
          <w:sz w:val="24"/>
          <w:szCs w:val="24"/>
        </w:rPr>
        <w:t xml:space="preserve"> </w:t>
      </w:r>
    </w:p>
    <w:p w14:paraId="0A8A1E8F" w14:textId="169E0FD2" w:rsidR="00BD3DBE" w:rsidRPr="00951584" w:rsidRDefault="00814D74" w:rsidP="00211B87">
      <w:pPr>
        <w:spacing w:line="360" w:lineRule="auto"/>
        <w:rPr>
          <w:sz w:val="24"/>
          <w:szCs w:val="24"/>
        </w:rPr>
      </w:pPr>
      <w:r w:rsidRPr="00951584">
        <w:rPr>
          <w:sz w:val="24"/>
          <w:szCs w:val="24"/>
        </w:rPr>
        <w:t>An</w:t>
      </w:r>
      <w:r w:rsidR="00BD3DBE" w:rsidRPr="00951584">
        <w:rPr>
          <w:sz w:val="24"/>
          <w:szCs w:val="24"/>
        </w:rPr>
        <w:t xml:space="preserve"> ‘overloaded’ Delphi panellist could come away with a relatively negative perception of the experience</w:t>
      </w:r>
      <w:r w:rsidR="009F08D0" w:rsidRPr="00951584">
        <w:rPr>
          <w:sz w:val="24"/>
          <w:szCs w:val="24"/>
        </w:rPr>
        <w:t xml:space="preserve">, </w:t>
      </w:r>
      <w:r w:rsidR="00BD3DBE" w:rsidRPr="00951584">
        <w:rPr>
          <w:sz w:val="24"/>
          <w:szCs w:val="24"/>
        </w:rPr>
        <w:t xml:space="preserve">be less likely to participate in any further </w:t>
      </w:r>
      <w:r w:rsidR="0020002C" w:rsidRPr="00951584">
        <w:rPr>
          <w:sz w:val="24"/>
          <w:szCs w:val="24"/>
        </w:rPr>
        <w:t xml:space="preserve">Delphi </w:t>
      </w:r>
      <w:r w:rsidR="00BD3DBE" w:rsidRPr="00951584">
        <w:rPr>
          <w:sz w:val="24"/>
          <w:szCs w:val="24"/>
        </w:rPr>
        <w:t>rounds and</w:t>
      </w:r>
      <w:r w:rsidR="009F08D0" w:rsidRPr="00951584">
        <w:rPr>
          <w:sz w:val="24"/>
          <w:szCs w:val="24"/>
        </w:rPr>
        <w:t xml:space="preserve"> be</w:t>
      </w:r>
      <w:r w:rsidR="00BD3DBE" w:rsidRPr="00951584">
        <w:rPr>
          <w:sz w:val="24"/>
          <w:szCs w:val="24"/>
        </w:rPr>
        <w:t xml:space="preserve"> less motivated to engage in any future Delphi studies. </w:t>
      </w:r>
      <w:r w:rsidR="00235C7E" w:rsidRPr="00951584">
        <w:rPr>
          <w:sz w:val="24"/>
          <w:szCs w:val="24"/>
        </w:rPr>
        <w:t>Also</w:t>
      </w:r>
      <w:r w:rsidR="00BD3DBE" w:rsidRPr="00951584">
        <w:rPr>
          <w:sz w:val="24"/>
          <w:szCs w:val="24"/>
        </w:rPr>
        <w:t xml:space="preserve">, the </w:t>
      </w:r>
      <w:r w:rsidR="009F08D0" w:rsidRPr="00951584">
        <w:rPr>
          <w:sz w:val="24"/>
          <w:szCs w:val="24"/>
        </w:rPr>
        <w:t xml:space="preserve">overloaded </w:t>
      </w:r>
      <w:r w:rsidR="00BD3DBE" w:rsidRPr="00951584">
        <w:rPr>
          <w:sz w:val="24"/>
          <w:szCs w:val="24"/>
        </w:rPr>
        <w:t xml:space="preserve">panellist </w:t>
      </w:r>
      <w:r w:rsidR="009F08D0" w:rsidRPr="00951584">
        <w:rPr>
          <w:sz w:val="24"/>
          <w:szCs w:val="24"/>
        </w:rPr>
        <w:t>might</w:t>
      </w:r>
      <w:r w:rsidR="00BD3DBE" w:rsidRPr="00951584">
        <w:rPr>
          <w:sz w:val="24"/>
          <w:szCs w:val="24"/>
        </w:rPr>
        <w:t xml:space="preserve"> change </w:t>
      </w:r>
      <w:r w:rsidR="00235C7E" w:rsidRPr="00951584">
        <w:rPr>
          <w:sz w:val="24"/>
          <w:szCs w:val="24"/>
        </w:rPr>
        <w:t>his/her</w:t>
      </w:r>
      <w:r w:rsidR="00BD3DBE" w:rsidRPr="00951584">
        <w:rPr>
          <w:sz w:val="24"/>
          <w:szCs w:val="24"/>
        </w:rPr>
        <w:t xml:space="preserve"> cognitive strategy (consciously or otherwise) to make the task more manageable, for example by only reading some of the answers or rationales, skim-reading the text, or engaging with the material on a more superficial level. Such a change in strategy </w:t>
      </w:r>
      <w:r w:rsidR="0020002C" w:rsidRPr="00951584">
        <w:rPr>
          <w:sz w:val="24"/>
          <w:szCs w:val="24"/>
        </w:rPr>
        <w:t>c</w:t>
      </w:r>
      <w:r w:rsidR="00BD3DBE" w:rsidRPr="00951584">
        <w:rPr>
          <w:sz w:val="24"/>
          <w:szCs w:val="24"/>
        </w:rPr>
        <w:t>ould diminish the quality of the overall Delphi output</w:t>
      </w:r>
      <w:r w:rsidR="009F08D0" w:rsidRPr="00951584">
        <w:rPr>
          <w:sz w:val="24"/>
          <w:szCs w:val="24"/>
        </w:rPr>
        <w:t xml:space="preserve"> – particularly if the effect was widespread across the group</w:t>
      </w:r>
      <w:r w:rsidR="00BD3DBE" w:rsidRPr="00951584">
        <w:rPr>
          <w:sz w:val="24"/>
          <w:szCs w:val="24"/>
        </w:rPr>
        <w:t>.</w:t>
      </w:r>
      <w:r w:rsidR="0020002C" w:rsidRPr="00951584">
        <w:rPr>
          <w:sz w:val="24"/>
          <w:szCs w:val="24"/>
        </w:rPr>
        <w:t xml:space="preserve"> Neither problematic issue would be immediately obvious, if </w:t>
      </w:r>
      <w:r w:rsidR="00E12791" w:rsidRPr="00951584">
        <w:rPr>
          <w:sz w:val="24"/>
          <w:szCs w:val="24"/>
        </w:rPr>
        <w:t>at all</w:t>
      </w:r>
      <w:r w:rsidR="0020002C" w:rsidRPr="00951584">
        <w:rPr>
          <w:sz w:val="24"/>
          <w:szCs w:val="24"/>
        </w:rPr>
        <w:t>, to the Delphi administrator.</w:t>
      </w:r>
    </w:p>
    <w:p w14:paraId="27CA4ACE" w14:textId="06505778" w:rsidR="00762700" w:rsidRPr="00951584" w:rsidRDefault="00BD3DBE" w:rsidP="00211B87">
      <w:pPr>
        <w:spacing w:line="360" w:lineRule="auto"/>
        <w:rPr>
          <w:sz w:val="24"/>
          <w:szCs w:val="24"/>
          <w:highlight w:val="yellow"/>
        </w:rPr>
      </w:pPr>
      <w:r w:rsidRPr="00951584">
        <w:rPr>
          <w:sz w:val="24"/>
          <w:szCs w:val="24"/>
        </w:rPr>
        <w:t xml:space="preserve">There is very little empirical evidence for the effect of group size on members’ experiences. </w:t>
      </w:r>
      <w:r w:rsidR="00E60257" w:rsidRPr="00951584">
        <w:rPr>
          <w:sz w:val="24"/>
          <w:szCs w:val="24"/>
        </w:rPr>
        <w:t xml:space="preserve">Hackman and Vidmar (1970) </w:t>
      </w:r>
      <w:r w:rsidR="00DD6C7B" w:rsidRPr="00951584">
        <w:rPr>
          <w:sz w:val="24"/>
          <w:szCs w:val="24"/>
        </w:rPr>
        <w:t>explored the effect of</w:t>
      </w:r>
      <w:r w:rsidR="000A6A8B" w:rsidRPr="00951584">
        <w:rPr>
          <w:sz w:val="24"/>
          <w:szCs w:val="24"/>
        </w:rPr>
        <w:t xml:space="preserve"> </w:t>
      </w:r>
      <w:r w:rsidR="00DD6C7B" w:rsidRPr="00951584">
        <w:rPr>
          <w:sz w:val="24"/>
          <w:szCs w:val="24"/>
        </w:rPr>
        <w:t xml:space="preserve">group size (from two to seven) on </w:t>
      </w:r>
      <w:r w:rsidR="00DD6C7B" w:rsidRPr="00951584">
        <w:rPr>
          <w:sz w:val="24"/>
          <w:szCs w:val="24"/>
        </w:rPr>
        <w:lastRenderedPageBreak/>
        <w:t xml:space="preserve">members’ experience of various </w:t>
      </w:r>
      <w:r w:rsidR="008D77D3" w:rsidRPr="00951584">
        <w:rPr>
          <w:sz w:val="24"/>
          <w:szCs w:val="24"/>
        </w:rPr>
        <w:t xml:space="preserve">academic </w:t>
      </w:r>
      <w:r w:rsidR="00DD6C7B" w:rsidRPr="00951584">
        <w:rPr>
          <w:sz w:val="24"/>
          <w:szCs w:val="24"/>
        </w:rPr>
        <w:t>tasks.</w:t>
      </w:r>
      <w:r w:rsidR="000A6A8B" w:rsidRPr="00951584">
        <w:rPr>
          <w:sz w:val="24"/>
          <w:szCs w:val="24"/>
        </w:rPr>
        <w:t xml:space="preserve"> </w:t>
      </w:r>
      <w:r w:rsidR="00DD6C7B" w:rsidRPr="00951584">
        <w:rPr>
          <w:sz w:val="24"/>
          <w:szCs w:val="24"/>
        </w:rPr>
        <w:t>The study f</w:t>
      </w:r>
      <w:r w:rsidR="00C62F6A" w:rsidRPr="00951584">
        <w:rPr>
          <w:sz w:val="24"/>
          <w:szCs w:val="24"/>
        </w:rPr>
        <w:t xml:space="preserve">ound that group size had a strong effect on </w:t>
      </w:r>
      <w:r w:rsidR="00DD6C7B" w:rsidRPr="00951584">
        <w:rPr>
          <w:sz w:val="24"/>
          <w:szCs w:val="24"/>
        </w:rPr>
        <w:t xml:space="preserve">member’s reactions, with dissatisfaction increasing along with size. However, </w:t>
      </w:r>
      <w:r w:rsidR="008D77D3" w:rsidRPr="00951584">
        <w:rPr>
          <w:sz w:val="24"/>
          <w:szCs w:val="24"/>
        </w:rPr>
        <w:t xml:space="preserve">Hackman and Vidmar’s study related to interacting groups, which are different </w:t>
      </w:r>
      <w:r w:rsidR="009F08D0" w:rsidRPr="00951584">
        <w:rPr>
          <w:sz w:val="24"/>
          <w:szCs w:val="24"/>
        </w:rPr>
        <w:t>in many respects from</w:t>
      </w:r>
      <w:r w:rsidR="008D77D3" w:rsidRPr="00951584">
        <w:rPr>
          <w:sz w:val="24"/>
          <w:szCs w:val="24"/>
        </w:rPr>
        <w:t xml:space="preserve"> a Delphi</w:t>
      </w:r>
      <w:r w:rsidR="009F08D0" w:rsidRPr="00951584">
        <w:rPr>
          <w:sz w:val="24"/>
          <w:szCs w:val="24"/>
        </w:rPr>
        <w:t xml:space="preserve"> survey</w:t>
      </w:r>
      <w:r w:rsidR="008D77D3" w:rsidRPr="00951584">
        <w:rPr>
          <w:sz w:val="24"/>
          <w:szCs w:val="24"/>
        </w:rPr>
        <w:t xml:space="preserve">. </w:t>
      </w:r>
      <w:r w:rsidR="004E0B6E" w:rsidRPr="00951584">
        <w:rPr>
          <w:sz w:val="24"/>
          <w:szCs w:val="24"/>
        </w:rPr>
        <w:t>Boje and Murnighan (1982), t</w:t>
      </w:r>
      <w:r w:rsidR="00DD6C7B" w:rsidRPr="00951584">
        <w:rPr>
          <w:sz w:val="24"/>
          <w:szCs w:val="24"/>
        </w:rPr>
        <w:t xml:space="preserve">he only </w:t>
      </w:r>
      <w:r w:rsidR="004E0B6E" w:rsidRPr="00951584">
        <w:rPr>
          <w:sz w:val="24"/>
          <w:szCs w:val="24"/>
        </w:rPr>
        <w:t>researchers</w:t>
      </w:r>
      <w:r w:rsidR="00B171EF" w:rsidRPr="00951584">
        <w:rPr>
          <w:sz w:val="24"/>
          <w:szCs w:val="24"/>
        </w:rPr>
        <w:t xml:space="preserve"> to date</w:t>
      </w:r>
      <w:r w:rsidR="004E0B6E" w:rsidRPr="00951584">
        <w:rPr>
          <w:sz w:val="24"/>
          <w:szCs w:val="24"/>
        </w:rPr>
        <w:t xml:space="preserve"> </w:t>
      </w:r>
      <w:r w:rsidR="00DD6C7B" w:rsidRPr="00951584">
        <w:rPr>
          <w:sz w:val="24"/>
          <w:szCs w:val="24"/>
        </w:rPr>
        <w:t>to have explored the relationship between Delphi group size</w:t>
      </w:r>
      <w:r w:rsidR="008D77D3" w:rsidRPr="00951584">
        <w:rPr>
          <w:sz w:val="24"/>
          <w:szCs w:val="24"/>
        </w:rPr>
        <w:t xml:space="preserve"> and member experience</w:t>
      </w:r>
      <w:r w:rsidR="004E0B6E" w:rsidRPr="00951584">
        <w:rPr>
          <w:sz w:val="24"/>
          <w:szCs w:val="24"/>
        </w:rPr>
        <w:t>,</w:t>
      </w:r>
      <w:r w:rsidR="008D77D3" w:rsidRPr="00951584">
        <w:rPr>
          <w:sz w:val="24"/>
          <w:szCs w:val="24"/>
        </w:rPr>
        <w:t xml:space="preserve"> </w:t>
      </w:r>
      <w:r w:rsidR="00DD6C7B" w:rsidRPr="00951584">
        <w:rPr>
          <w:sz w:val="24"/>
          <w:szCs w:val="24"/>
        </w:rPr>
        <w:t xml:space="preserve">tested groups of </w:t>
      </w:r>
      <w:r w:rsidR="008D77D3" w:rsidRPr="00951584">
        <w:rPr>
          <w:sz w:val="24"/>
          <w:szCs w:val="24"/>
        </w:rPr>
        <w:t>three, seven and</w:t>
      </w:r>
      <w:r w:rsidR="00235C7E" w:rsidRPr="00951584">
        <w:rPr>
          <w:sz w:val="24"/>
          <w:szCs w:val="24"/>
        </w:rPr>
        <w:t xml:space="preserve"> eleven</w:t>
      </w:r>
      <w:r w:rsidR="008D77D3" w:rsidRPr="00951584">
        <w:rPr>
          <w:sz w:val="24"/>
          <w:szCs w:val="24"/>
        </w:rPr>
        <w:t xml:space="preserve"> </w:t>
      </w:r>
      <w:r w:rsidR="004E0B6E" w:rsidRPr="00951584">
        <w:rPr>
          <w:sz w:val="24"/>
          <w:szCs w:val="24"/>
        </w:rPr>
        <w:t>on two almanac and two statistical questions.</w:t>
      </w:r>
      <w:r w:rsidR="00173C97" w:rsidRPr="00951584">
        <w:rPr>
          <w:sz w:val="24"/>
          <w:szCs w:val="24"/>
        </w:rPr>
        <w:t xml:space="preserve"> For each question, participants gave an answer and one supporting fact or reason.</w:t>
      </w:r>
      <w:r w:rsidR="008D77D3" w:rsidRPr="00951584">
        <w:rPr>
          <w:sz w:val="24"/>
          <w:szCs w:val="24"/>
        </w:rPr>
        <w:t xml:space="preserve"> </w:t>
      </w:r>
      <w:r w:rsidR="004E0B6E" w:rsidRPr="00951584">
        <w:rPr>
          <w:sz w:val="24"/>
          <w:szCs w:val="24"/>
        </w:rPr>
        <w:t>A</w:t>
      </w:r>
      <w:r w:rsidR="008D77D3" w:rsidRPr="00951584">
        <w:rPr>
          <w:sz w:val="24"/>
          <w:szCs w:val="24"/>
        </w:rPr>
        <w:t xml:space="preserve"> </w:t>
      </w:r>
      <w:r w:rsidR="004E0B6E" w:rsidRPr="00951584">
        <w:rPr>
          <w:sz w:val="24"/>
          <w:szCs w:val="24"/>
        </w:rPr>
        <w:t xml:space="preserve">follow-up questionnaire </w:t>
      </w:r>
      <w:r w:rsidR="008D77D3" w:rsidRPr="00951584">
        <w:rPr>
          <w:sz w:val="24"/>
          <w:szCs w:val="24"/>
        </w:rPr>
        <w:t>revealed that those in groups of three felt a larger group would have been more accurate, while those in groups of</w:t>
      </w:r>
      <w:r w:rsidR="00235C7E" w:rsidRPr="00951584">
        <w:rPr>
          <w:sz w:val="24"/>
          <w:szCs w:val="24"/>
        </w:rPr>
        <w:t xml:space="preserve"> eleven</w:t>
      </w:r>
      <w:r w:rsidR="008D77D3" w:rsidRPr="00951584">
        <w:rPr>
          <w:sz w:val="24"/>
          <w:szCs w:val="24"/>
        </w:rPr>
        <w:t xml:space="preserve"> felt they were less free to communicate their ideas.</w:t>
      </w:r>
      <w:r w:rsidR="000A6A8B" w:rsidRPr="00951584">
        <w:rPr>
          <w:sz w:val="24"/>
          <w:szCs w:val="24"/>
        </w:rPr>
        <w:t xml:space="preserve"> </w:t>
      </w:r>
      <w:r w:rsidR="004E0B6E" w:rsidRPr="00951584">
        <w:rPr>
          <w:sz w:val="24"/>
          <w:szCs w:val="24"/>
        </w:rPr>
        <w:t>Group members’</w:t>
      </w:r>
      <w:r w:rsidR="008D77D3" w:rsidRPr="00951584">
        <w:rPr>
          <w:sz w:val="24"/>
          <w:szCs w:val="24"/>
        </w:rPr>
        <w:t xml:space="preserve"> </w:t>
      </w:r>
      <w:r w:rsidR="004E0B6E" w:rsidRPr="00951584">
        <w:rPr>
          <w:sz w:val="24"/>
          <w:szCs w:val="24"/>
        </w:rPr>
        <w:t xml:space="preserve">self-reported </w:t>
      </w:r>
      <w:r w:rsidR="008D77D3" w:rsidRPr="00951584">
        <w:rPr>
          <w:sz w:val="24"/>
          <w:szCs w:val="24"/>
        </w:rPr>
        <w:t xml:space="preserve">enjoyment, time sufficiency and rating of </w:t>
      </w:r>
      <w:r w:rsidR="004E0B6E" w:rsidRPr="00951584">
        <w:rPr>
          <w:sz w:val="24"/>
          <w:szCs w:val="24"/>
        </w:rPr>
        <w:t>the quality of the method used (in general and applied to the given task) did not differ across group sizes.</w:t>
      </w:r>
      <w:r w:rsidR="009F08D0" w:rsidRPr="00951584">
        <w:rPr>
          <w:sz w:val="24"/>
          <w:szCs w:val="24"/>
        </w:rPr>
        <w:t xml:space="preserve"> No published study has explored the relationship between the diversity of Delphi panellists’ opinions and perceptions of the Delphi experience.</w:t>
      </w:r>
    </w:p>
    <w:p w14:paraId="37801F33" w14:textId="2392A65C" w:rsidR="00796547" w:rsidRPr="00951584" w:rsidRDefault="000934DC" w:rsidP="00211B87">
      <w:pPr>
        <w:spacing w:line="360" w:lineRule="auto"/>
        <w:rPr>
          <w:sz w:val="24"/>
          <w:szCs w:val="24"/>
        </w:rPr>
      </w:pPr>
      <w:r w:rsidRPr="00951584">
        <w:rPr>
          <w:sz w:val="24"/>
          <w:szCs w:val="24"/>
        </w:rPr>
        <w:t>The present study explored the following</w:t>
      </w:r>
      <w:r w:rsidR="007E71F8" w:rsidRPr="00951584">
        <w:rPr>
          <w:sz w:val="24"/>
          <w:szCs w:val="24"/>
        </w:rPr>
        <w:t xml:space="preserve"> research question:</w:t>
      </w:r>
      <w:r w:rsidR="00173C97" w:rsidRPr="00951584">
        <w:rPr>
          <w:sz w:val="24"/>
          <w:szCs w:val="24"/>
        </w:rPr>
        <w:t xml:space="preserve"> </w:t>
      </w:r>
      <w:r w:rsidR="005D7F93" w:rsidRPr="00951584">
        <w:rPr>
          <w:sz w:val="24"/>
          <w:szCs w:val="24"/>
        </w:rPr>
        <w:t xml:space="preserve">How do </w:t>
      </w:r>
      <w:r w:rsidRPr="00951584">
        <w:rPr>
          <w:sz w:val="24"/>
          <w:szCs w:val="24"/>
        </w:rPr>
        <w:t xml:space="preserve">Delphi group size </w:t>
      </w:r>
      <w:r w:rsidR="00762700" w:rsidRPr="00951584">
        <w:rPr>
          <w:sz w:val="24"/>
          <w:szCs w:val="24"/>
        </w:rPr>
        <w:t xml:space="preserve">and opinion diversity </w:t>
      </w:r>
      <w:r w:rsidR="007E71F8" w:rsidRPr="00951584">
        <w:rPr>
          <w:sz w:val="24"/>
          <w:szCs w:val="24"/>
        </w:rPr>
        <w:t>influence group members’</w:t>
      </w:r>
      <w:r w:rsidR="005D7F93" w:rsidRPr="00951584">
        <w:rPr>
          <w:sz w:val="24"/>
          <w:szCs w:val="24"/>
        </w:rPr>
        <w:t xml:space="preserve"> </w:t>
      </w:r>
      <w:r w:rsidR="002D4223" w:rsidRPr="00951584">
        <w:rPr>
          <w:sz w:val="24"/>
          <w:szCs w:val="24"/>
        </w:rPr>
        <w:t xml:space="preserve">actual and perceived information load, as well as their overall </w:t>
      </w:r>
      <w:r w:rsidR="00762700" w:rsidRPr="00951584">
        <w:rPr>
          <w:sz w:val="24"/>
          <w:szCs w:val="24"/>
        </w:rPr>
        <w:t>experience</w:t>
      </w:r>
      <w:r w:rsidR="005D7F93" w:rsidRPr="00951584">
        <w:rPr>
          <w:sz w:val="24"/>
          <w:szCs w:val="24"/>
        </w:rPr>
        <w:t xml:space="preserve"> of the </w:t>
      </w:r>
      <w:r w:rsidR="007E71F8" w:rsidRPr="00951584">
        <w:rPr>
          <w:sz w:val="24"/>
          <w:szCs w:val="24"/>
        </w:rPr>
        <w:t xml:space="preserve">Delphi </w:t>
      </w:r>
      <w:r w:rsidR="005D7F93" w:rsidRPr="00951584">
        <w:rPr>
          <w:sz w:val="24"/>
          <w:szCs w:val="24"/>
        </w:rPr>
        <w:t>process?</w:t>
      </w:r>
      <w:r w:rsidR="00E12791" w:rsidRPr="00951584">
        <w:rPr>
          <w:sz w:val="24"/>
          <w:szCs w:val="24"/>
        </w:rPr>
        <w:t xml:space="preserve"> Our aim was to </w:t>
      </w:r>
      <w:r w:rsidR="001505AE" w:rsidRPr="00951584">
        <w:rPr>
          <w:sz w:val="24"/>
          <w:szCs w:val="24"/>
        </w:rPr>
        <w:t>learn more about how the variables group size and opinion diversity may operate, independently or in combination, to affect Delphi group members’ experience of taking part in a survey.</w:t>
      </w:r>
    </w:p>
    <w:p w14:paraId="0F94DCDE" w14:textId="77777777" w:rsidR="00DE24C6" w:rsidRPr="00951584" w:rsidRDefault="00DE24C6" w:rsidP="00211B87">
      <w:pPr>
        <w:spacing w:line="360" w:lineRule="auto"/>
        <w:rPr>
          <w:sz w:val="24"/>
          <w:szCs w:val="24"/>
        </w:rPr>
      </w:pPr>
    </w:p>
    <w:p w14:paraId="4939C171" w14:textId="77777777" w:rsidR="009577B5" w:rsidRPr="00951584" w:rsidRDefault="009577B5" w:rsidP="00211B87">
      <w:pPr>
        <w:spacing w:line="360" w:lineRule="auto"/>
        <w:jc w:val="center"/>
        <w:rPr>
          <w:b/>
          <w:sz w:val="24"/>
          <w:szCs w:val="24"/>
        </w:rPr>
      </w:pPr>
      <w:r w:rsidRPr="00951584">
        <w:rPr>
          <w:b/>
          <w:sz w:val="24"/>
          <w:szCs w:val="24"/>
        </w:rPr>
        <w:t>Method</w:t>
      </w:r>
    </w:p>
    <w:p w14:paraId="0AA5D3DD" w14:textId="60AD6D7E" w:rsidR="00CE35A6" w:rsidRPr="00951584" w:rsidRDefault="00CE35A6" w:rsidP="00211B87">
      <w:pPr>
        <w:spacing w:line="360" w:lineRule="auto"/>
        <w:rPr>
          <w:b/>
          <w:sz w:val="24"/>
          <w:szCs w:val="24"/>
        </w:rPr>
      </w:pPr>
      <w:r w:rsidRPr="00951584">
        <w:rPr>
          <w:b/>
          <w:sz w:val="24"/>
          <w:szCs w:val="24"/>
        </w:rPr>
        <w:t>Participants</w:t>
      </w:r>
    </w:p>
    <w:p w14:paraId="6AFE09AC" w14:textId="2E98716B" w:rsidR="00EE20D0" w:rsidRDefault="000A6A8B" w:rsidP="00211B87">
      <w:pPr>
        <w:spacing w:line="360" w:lineRule="auto"/>
        <w:rPr>
          <w:bCs/>
          <w:iCs/>
          <w:sz w:val="24"/>
          <w:szCs w:val="24"/>
        </w:rPr>
      </w:pPr>
      <w:r w:rsidRPr="00951584">
        <w:rPr>
          <w:bCs/>
          <w:iCs/>
          <w:sz w:val="24"/>
          <w:szCs w:val="24"/>
        </w:rPr>
        <w:t xml:space="preserve">In total, 282 participants were recruited online using the ‘Prolific’ recruitment platform. </w:t>
      </w:r>
    </w:p>
    <w:p w14:paraId="29084386" w14:textId="6B1B8A11" w:rsidR="00890C5B" w:rsidRDefault="00235C7E" w:rsidP="00890C5B">
      <w:pPr>
        <w:spacing w:line="360" w:lineRule="auto"/>
        <w:rPr>
          <w:bCs/>
          <w:iCs/>
          <w:sz w:val="24"/>
          <w:szCs w:val="24"/>
        </w:rPr>
      </w:pPr>
      <w:r w:rsidRPr="00951584">
        <w:rPr>
          <w:bCs/>
          <w:iCs/>
          <w:sz w:val="24"/>
          <w:szCs w:val="24"/>
        </w:rPr>
        <w:t xml:space="preserve">Thirty </w:t>
      </w:r>
      <w:r w:rsidR="000A6A8B" w:rsidRPr="00951584">
        <w:rPr>
          <w:bCs/>
          <w:iCs/>
          <w:sz w:val="24"/>
          <w:szCs w:val="24"/>
        </w:rPr>
        <w:t>participants were recruited for the pre-study</w:t>
      </w:r>
      <w:r w:rsidR="005A14D7">
        <w:rPr>
          <w:bCs/>
          <w:iCs/>
          <w:sz w:val="24"/>
          <w:szCs w:val="24"/>
        </w:rPr>
        <w:t>.</w:t>
      </w:r>
      <w:r w:rsidR="00890C5B" w:rsidRPr="00890C5B">
        <w:rPr>
          <w:bCs/>
          <w:iCs/>
          <w:sz w:val="24"/>
          <w:szCs w:val="24"/>
        </w:rPr>
        <w:t xml:space="preserve"> Two hundred and fifty-two participants were recruited for the main study</w:t>
      </w:r>
      <w:r w:rsidR="00890C5B">
        <w:rPr>
          <w:bCs/>
          <w:iCs/>
          <w:sz w:val="24"/>
          <w:szCs w:val="24"/>
        </w:rPr>
        <w:t>.</w:t>
      </w:r>
    </w:p>
    <w:p w14:paraId="5EDDD93C" w14:textId="6D4AB992" w:rsidR="00890C5B" w:rsidRDefault="00890C5B" w:rsidP="00890C5B">
      <w:pPr>
        <w:spacing w:line="360" w:lineRule="auto"/>
        <w:rPr>
          <w:b/>
          <w:bCs/>
          <w:iCs/>
          <w:sz w:val="24"/>
          <w:szCs w:val="24"/>
        </w:rPr>
      </w:pPr>
      <w:r w:rsidRPr="00890C5B">
        <w:rPr>
          <w:b/>
          <w:bCs/>
          <w:iCs/>
          <w:sz w:val="24"/>
          <w:szCs w:val="24"/>
        </w:rPr>
        <w:t>Materials</w:t>
      </w:r>
    </w:p>
    <w:p w14:paraId="66BE023C" w14:textId="1D9C91CC" w:rsidR="00890C5B" w:rsidRPr="00ED24A8" w:rsidRDefault="00890C5B" w:rsidP="00890C5B">
      <w:pPr>
        <w:spacing w:line="360" w:lineRule="auto"/>
        <w:rPr>
          <w:b/>
          <w:bCs/>
          <w:i/>
          <w:iCs/>
          <w:sz w:val="24"/>
          <w:szCs w:val="24"/>
        </w:rPr>
      </w:pPr>
      <w:r>
        <w:rPr>
          <w:b/>
          <w:bCs/>
          <w:i/>
          <w:iCs/>
          <w:sz w:val="24"/>
          <w:szCs w:val="24"/>
        </w:rPr>
        <w:t>Pre-study</w:t>
      </w:r>
    </w:p>
    <w:p w14:paraId="2A5D2437" w14:textId="609F48C6" w:rsidR="00C33AC1" w:rsidRPr="00951584" w:rsidRDefault="000A6A8B" w:rsidP="00211B87">
      <w:pPr>
        <w:spacing w:line="360" w:lineRule="auto"/>
        <w:rPr>
          <w:bCs/>
          <w:iCs/>
          <w:sz w:val="24"/>
          <w:szCs w:val="24"/>
        </w:rPr>
      </w:pPr>
      <w:r w:rsidRPr="00951584">
        <w:rPr>
          <w:bCs/>
          <w:iCs/>
          <w:sz w:val="24"/>
          <w:szCs w:val="24"/>
        </w:rPr>
        <w:t xml:space="preserve"> </w:t>
      </w:r>
      <w:r w:rsidR="00890C5B">
        <w:rPr>
          <w:bCs/>
          <w:iCs/>
          <w:sz w:val="24"/>
          <w:szCs w:val="24"/>
        </w:rPr>
        <w:t>In the pre-study, w</w:t>
      </w:r>
      <w:r w:rsidR="00E12791" w:rsidRPr="00951584">
        <w:rPr>
          <w:bCs/>
          <w:iCs/>
          <w:sz w:val="24"/>
          <w:szCs w:val="24"/>
        </w:rPr>
        <w:t xml:space="preserve">e elicited rationales linked to </w:t>
      </w:r>
      <w:r w:rsidR="00173C97" w:rsidRPr="00951584">
        <w:rPr>
          <w:bCs/>
          <w:iCs/>
          <w:sz w:val="24"/>
          <w:szCs w:val="24"/>
        </w:rPr>
        <w:t xml:space="preserve">binary (“yes/no”) </w:t>
      </w:r>
      <w:r w:rsidR="00E12791" w:rsidRPr="00951584">
        <w:rPr>
          <w:bCs/>
          <w:iCs/>
          <w:sz w:val="24"/>
          <w:szCs w:val="24"/>
        </w:rPr>
        <w:t xml:space="preserve">judgments that we then utilised for </w:t>
      </w:r>
      <w:r w:rsidRPr="00951584">
        <w:rPr>
          <w:bCs/>
          <w:iCs/>
          <w:sz w:val="24"/>
          <w:szCs w:val="24"/>
        </w:rPr>
        <w:t>the main study</w:t>
      </w:r>
      <w:r w:rsidR="005A14D7">
        <w:rPr>
          <w:bCs/>
          <w:iCs/>
          <w:sz w:val="24"/>
          <w:szCs w:val="24"/>
        </w:rPr>
        <w:t xml:space="preserve">, </w:t>
      </w:r>
      <w:r w:rsidR="00890C5B">
        <w:rPr>
          <w:bCs/>
          <w:iCs/>
          <w:sz w:val="24"/>
          <w:szCs w:val="24"/>
        </w:rPr>
        <w:t>following</w:t>
      </w:r>
      <w:r w:rsidR="005A14D7">
        <w:rPr>
          <w:bCs/>
          <w:iCs/>
          <w:sz w:val="24"/>
          <w:szCs w:val="24"/>
        </w:rPr>
        <w:t xml:space="preserve"> a </w:t>
      </w:r>
      <w:r w:rsidR="005A14D7" w:rsidRPr="005A14D7">
        <w:rPr>
          <w:bCs/>
          <w:iCs/>
          <w:sz w:val="24"/>
          <w:szCs w:val="24"/>
        </w:rPr>
        <w:t xml:space="preserve">novel method based on the </w:t>
      </w:r>
      <w:r w:rsidR="00890C5B">
        <w:rPr>
          <w:bCs/>
          <w:iCs/>
          <w:sz w:val="24"/>
          <w:szCs w:val="24"/>
        </w:rPr>
        <w:t>“</w:t>
      </w:r>
      <w:r w:rsidR="005A14D7" w:rsidRPr="005A14D7">
        <w:rPr>
          <w:bCs/>
          <w:iCs/>
          <w:sz w:val="24"/>
          <w:szCs w:val="24"/>
        </w:rPr>
        <w:t xml:space="preserve">Simulated Group </w:t>
      </w:r>
      <w:r w:rsidR="005A14D7" w:rsidRPr="005A14D7">
        <w:rPr>
          <w:bCs/>
          <w:iCs/>
          <w:sz w:val="24"/>
          <w:szCs w:val="24"/>
        </w:rPr>
        <w:lastRenderedPageBreak/>
        <w:t>Response Paradigm</w:t>
      </w:r>
      <w:r w:rsidR="00890C5B">
        <w:rPr>
          <w:bCs/>
          <w:iCs/>
          <w:sz w:val="24"/>
          <w:szCs w:val="24"/>
        </w:rPr>
        <w:t>”</w:t>
      </w:r>
      <w:r w:rsidR="005A14D7" w:rsidRPr="005A14D7">
        <w:rPr>
          <w:bCs/>
          <w:iCs/>
          <w:sz w:val="24"/>
          <w:szCs w:val="24"/>
        </w:rPr>
        <w:t xml:space="preserve"> (SGRP). SGRP is described in detail in </w:t>
      </w:r>
      <w:r w:rsidR="005A14D7">
        <w:rPr>
          <w:bCs/>
          <w:iCs/>
          <w:sz w:val="24"/>
          <w:szCs w:val="24"/>
        </w:rPr>
        <w:t>Bolger</w:t>
      </w:r>
      <w:r w:rsidR="005A14D7" w:rsidRPr="005A14D7">
        <w:rPr>
          <w:bCs/>
          <w:iCs/>
          <w:sz w:val="24"/>
          <w:szCs w:val="24"/>
        </w:rPr>
        <w:t xml:space="preserve"> et al., (20</w:t>
      </w:r>
      <w:r w:rsidR="005A14D7">
        <w:rPr>
          <w:bCs/>
          <w:iCs/>
          <w:sz w:val="24"/>
          <w:szCs w:val="24"/>
        </w:rPr>
        <w:t>20</w:t>
      </w:r>
      <w:r w:rsidR="005A14D7" w:rsidRPr="005A14D7">
        <w:rPr>
          <w:bCs/>
          <w:iCs/>
          <w:sz w:val="24"/>
          <w:szCs w:val="24"/>
        </w:rPr>
        <w:t>)</w:t>
      </w:r>
      <w:r w:rsidRPr="00951584">
        <w:rPr>
          <w:bCs/>
          <w:iCs/>
          <w:sz w:val="24"/>
          <w:szCs w:val="24"/>
        </w:rPr>
        <w:t>.</w:t>
      </w:r>
      <w:r w:rsidR="00E12791" w:rsidRPr="00951584">
        <w:rPr>
          <w:sz w:val="24"/>
          <w:szCs w:val="24"/>
        </w:rPr>
        <w:t xml:space="preserve"> </w:t>
      </w:r>
      <w:r w:rsidR="00433088" w:rsidRPr="00951584">
        <w:rPr>
          <w:sz w:val="24"/>
          <w:szCs w:val="24"/>
        </w:rPr>
        <w:t>Pre-study p</w:t>
      </w:r>
      <w:r w:rsidR="00E12791" w:rsidRPr="00951584">
        <w:rPr>
          <w:sz w:val="24"/>
          <w:szCs w:val="24"/>
        </w:rPr>
        <w:t>articipants were given 10 short-term forecasting questions (see Appendix 1).</w:t>
      </w:r>
      <w:r w:rsidR="007268EB" w:rsidRPr="00951584">
        <w:rPr>
          <w:sz w:val="24"/>
          <w:szCs w:val="24"/>
        </w:rPr>
        <w:t xml:space="preserve"> Questions were written to be topical for the time at which the study was run (September</w:t>
      </w:r>
      <w:r w:rsidR="00951584">
        <w:rPr>
          <w:sz w:val="24"/>
          <w:szCs w:val="24"/>
        </w:rPr>
        <w:t xml:space="preserve"> </w:t>
      </w:r>
      <w:r w:rsidR="007268EB" w:rsidRPr="00951584">
        <w:rPr>
          <w:sz w:val="24"/>
          <w:szCs w:val="24"/>
        </w:rPr>
        <w:t>2018).</w:t>
      </w:r>
      <w:r w:rsidR="00E12791" w:rsidRPr="00951584">
        <w:rPr>
          <w:sz w:val="24"/>
          <w:szCs w:val="24"/>
        </w:rPr>
        <w:t xml:space="preserve"> For each question, participants were asked to answer “yes” or “no” and give three rationales to support their answer. </w:t>
      </w:r>
      <w:r w:rsidR="00C33AC1" w:rsidRPr="00951584">
        <w:rPr>
          <w:bCs/>
          <w:iCs/>
          <w:sz w:val="24"/>
          <w:szCs w:val="24"/>
        </w:rPr>
        <w:t>For example, in response to the question “</w:t>
      </w:r>
      <w:r w:rsidR="00716F85" w:rsidRPr="00951584">
        <w:rPr>
          <w:bCs/>
          <w:iCs/>
          <w:sz w:val="24"/>
          <w:szCs w:val="24"/>
        </w:rPr>
        <w:t>China and the US will resume trade talks designed to de-escalate the trade war</w:t>
      </w:r>
      <w:r w:rsidR="00C33AC1" w:rsidRPr="00951584">
        <w:rPr>
          <w:bCs/>
          <w:iCs/>
          <w:sz w:val="24"/>
          <w:szCs w:val="24"/>
        </w:rPr>
        <w:t>”, typical rationales included:</w:t>
      </w:r>
    </w:p>
    <w:p w14:paraId="48424CD7" w14:textId="54B9F5F6" w:rsidR="00C33AC1" w:rsidRPr="00951584" w:rsidRDefault="00716F85" w:rsidP="00C33AC1">
      <w:pPr>
        <w:pStyle w:val="ListParagraph"/>
        <w:numPr>
          <w:ilvl w:val="0"/>
          <w:numId w:val="15"/>
        </w:numPr>
        <w:spacing w:line="360" w:lineRule="auto"/>
        <w:rPr>
          <w:bCs/>
          <w:iCs/>
          <w:sz w:val="24"/>
          <w:szCs w:val="24"/>
        </w:rPr>
      </w:pPr>
      <w:r w:rsidRPr="00951584">
        <w:rPr>
          <w:bCs/>
          <w:iCs/>
          <w:sz w:val="24"/>
          <w:szCs w:val="24"/>
        </w:rPr>
        <w:t>(Answering “yes”): They have to talk. Money is falling off the stock exchanges left right and centre, both countries are huge players in trade, it benefits them both to find common ground.</w:t>
      </w:r>
    </w:p>
    <w:p w14:paraId="33CDB101" w14:textId="48CA8934" w:rsidR="00C33AC1" w:rsidRPr="00951584" w:rsidRDefault="00716F85" w:rsidP="00211B87">
      <w:pPr>
        <w:pStyle w:val="ListParagraph"/>
        <w:numPr>
          <w:ilvl w:val="0"/>
          <w:numId w:val="15"/>
        </w:numPr>
        <w:spacing w:line="360" w:lineRule="auto"/>
        <w:rPr>
          <w:bCs/>
          <w:iCs/>
          <w:sz w:val="24"/>
          <w:szCs w:val="24"/>
        </w:rPr>
      </w:pPr>
      <w:r w:rsidRPr="00951584">
        <w:rPr>
          <w:bCs/>
          <w:iCs/>
          <w:sz w:val="24"/>
          <w:szCs w:val="24"/>
        </w:rPr>
        <w:t>(Answering “no”): Internal economics will exert pressure on Trump to keep jobs and services in America, meaning no end to the trade stand-off with China.</w:t>
      </w:r>
    </w:p>
    <w:p w14:paraId="300C94F1" w14:textId="775B672F" w:rsidR="000A6A8B" w:rsidRPr="00951584" w:rsidRDefault="00433088" w:rsidP="00211B87">
      <w:pPr>
        <w:spacing w:line="360" w:lineRule="auto"/>
        <w:rPr>
          <w:bCs/>
          <w:iCs/>
          <w:sz w:val="24"/>
          <w:szCs w:val="24"/>
        </w:rPr>
      </w:pPr>
      <w:r w:rsidRPr="00951584">
        <w:rPr>
          <w:sz w:val="24"/>
          <w:szCs w:val="24"/>
        </w:rPr>
        <w:t xml:space="preserve">Stimuli was presented online using Qualtrics survey software. </w:t>
      </w:r>
    </w:p>
    <w:p w14:paraId="01582F93" w14:textId="6E87AD95" w:rsidR="009577B5" w:rsidRPr="00951584" w:rsidRDefault="009577B5" w:rsidP="00211B87">
      <w:pPr>
        <w:spacing w:line="360" w:lineRule="auto"/>
        <w:rPr>
          <w:b/>
          <w:i/>
          <w:sz w:val="24"/>
          <w:szCs w:val="24"/>
        </w:rPr>
      </w:pPr>
      <w:r w:rsidRPr="00951584">
        <w:rPr>
          <w:b/>
          <w:i/>
          <w:sz w:val="24"/>
          <w:szCs w:val="24"/>
        </w:rPr>
        <w:t>Main study</w:t>
      </w:r>
    </w:p>
    <w:p w14:paraId="2F25C2A4" w14:textId="23C4A48A" w:rsidR="009577B5" w:rsidRPr="00951584" w:rsidRDefault="009577B5" w:rsidP="00211B87">
      <w:pPr>
        <w:spacing w:line="360" w:lineRule="auto"/>
        <w:rPr>
          <w:sz w:val="24"/>
          <w:szCs w:val="24"/>
          <w:u w:val="single"/>
        </w:rPr>
      </w:pPr>
      <w:r w:rsidRPr="00951584">
        <w:rPr>
          <w:sz w:val="24"/>
          <w:szCs w:val="24"/>
        </w:rPr>
        <w:t>The main study was a 5 x 2 between-subjects design. Two independent variables were manipulated in the study:</w:t>
      </w:r>
    </w:p>
    <w:p w14:paraId="56A8D5CF" w14:textId="77777777" w:rsidR="009577B5" w:rsidRPr="00951584" w:rsidRDefault="009577B5" w:rsidP="00211B87">
      <w:pPr>
        <w:numPr>
          <w:ilvl w:val="0"/>
          <w:numId w:val="4"/>
        </w:numPr>
        <w:spacing w:line="360" w:lineRule="auto"/>
        <w:rPr>
          <w:sz w:val="24"/>
          <w:szCs w:val="24"/>
        </w:rPr>
      </w:pPr>
      <w:r w:rsidRPr="00951584">
        <w:rPr>
          <w:sz w:val="24"/>
          <w:szCs w:val="24"/>
        </w:rPr>
        <w:t>Delphi group size (5 levels: 7, 10, 13, 16 and 19).</w:t>
      </w:r>
    </w:p>
    <w:p w14:paraId="1A3746C5" w14:textId="50E6BADA" w:rsidR="009577B5" w:rsidRPr="00951584" w:rsidRDefault="009577B5" w:rsidP="009650EF">
      <w:pPr>
        <w:numPr>
          <w:ilvl w:val="0"/>
          <w:numId w:val="4"/>
        </w:numPr>
        <w:spacing w:line="360" w:lineRule="auto"/>
        <w:rPr>
          <w:b/>
          <w:sz w:val="24"/>
          <w:szCs w:val="24"/>
          <w:u w:val="single"/>
        </w:rPr>
      </w:pPr>
      <w:r w:rsidRPr="00951584">
        <w:rPr>
          <w:sz w:val="24"/>
          <w:szCs w:val="24"/>
        </w:rPr>
        <w:t xml:space="preserve">Opinion diversity (2 levels: low and high, defined below). </w:t>
      </w:r>
    </w:p>
    <w:p w14:paraId="334EC8A1" w14:textId="10A06D66" w:rsidR="009577B5" w:rsidRPr="00951584" w:rsidRDefault="009577B5" w:rsidP="00211B87">
      <w:pPr>
        <w:spacing w:line="360" w:lineRule="auto"/>
        <w:rPr>
          <w:sz w:val="24"/>
          <w:szCs w:val="24"/>
        </w:rPr>
      </w:pPr>
      <w:r w:rsidRPr="00951584">
        <w:rPr>
          <w:sz w:val="24"/>
          <w:szCs w:val="24"/>
        </w:rPr>
        <w:t xml:space="preserve">Participants were randomly allocated to one of 10 conditions. Stimuli were presented online using Qualtrics. The order in which participants received the 10 forecasting questions was also randomised to prevent order effects. In each condition participants were given 10 short-term forecasting questions (see Appendix </w:t>
      </w:r>
      <w:r w:rsidR="00433088" w:rsidRPr="00951584">
        <w:rPr>
          <w:sz w:val="24"/>
          <w:szCs w:val="24"/>
        </w:rPr>
        <w:t>1</w:t>
      </w:r>
      <w:r w:rsidRPr="00951584">
        <w:rPr>
          <w:sz w:val="24"/>
          <w:szCs w:val="24"/>
        </w:rPr>
        <w:t xml:space="preserve">). </w:t>
      </w:r>
      <w:r w:rsidR="004B6A3C">
        <w:rPr>
          <w:sz w:val="24"/>
          <w:szCs w:val="24"/>
        </w:rPr>
        <w:t xml:space="preserve">A two-round Delphi </w:t>
      </w:r>
      <w:r w:rsidRPr="00951584">
        <w:rPr>
          <w:sz w:val="24"/>
          <w:szCs w:val="24"/>
        </w:rPr>
        <w:t>process was repeated for each question</w:t>
      </w:r>
      <w:r w:rsidR="004B6A3C">
        <w:rPr>
          <w:sz w:val="24"/>
          <w:szCs w:val="24"/>
        </w:rPr>
        <w:t>, as follows</w:t>
      </w:r>
      <w:r w:rsidRPr="00951584">
        <w:rPr>
          <w:sz w:val="24"/>
          <w:szCs w:val="24"/>
        </w:rPr>
        <w:t>:</w:t>
      </w:r>
    </w:p>
    <w:p w14:paraId="7073A03A" w14:textId="77777777" w:rsidR="009577B5" w:rsidRPr="00951584" w:rsidRDefault="009577B5" w:rsidP="00211B87">
      <w:pPr>
        <w:numPr>
          <w:ilvl w:val="0"/>
          <w:numId w:val="5"/>
        </w:numPr>
        <w:spacing w:line="360" w:lineRule="auto"/>
        <w:rPr>
          <w:sz w:val="24"/>
          <w:szCs w:val="24"/>
        </w:rPr>
      </w:pPr>
      <w:r w:rsidRPr="00951584">
        <w:rPr>
          <w:sz w:val="24"/>
          <w:szCs w:val="24"/>
        </w:rPr>
        <w:t>Participants were asked to answer “yes” or “no”, give a rationale for their answer, and provide a confidence estimate on a scale from 50 to 100 per cent (an estimate of less than 50 per cent would mean that the participant should have chosen the other answer).</w:t>
      </w:r>
    </w:p>
    <w:p w14:paraId="1ED6C5D0" w14:textId="75A65361" w:rsidR="009577B5" w:rsidRPr="00951584" w:rsidRDefault="009577B5" w:rsidP="00211B87">
      <w:pPr>
        <w:numPr>
          <w:ilvl w:val="0"/>
          <w:numId w:val="5"/>
        </w:numPr>
        <w:spacing w:line="360" w:lineRule="auto"/>
        <w:rPr>
          <w:sz w:val="24"/>
          <w:szCs w:val="24"/>
        </w:rPr>
      </w:pPr>
      <w:r w:rsidRPr="00951584">
        <w:rPr>
          <w:sz w:val="24"/>
          <w:szCs w:val="24"/>
        </w:rPr>
        <w:t xml:space="preserve">Participants were then shown a set of 6, 9, 12, 15 or 18 answers taken from those collected during the pre-study, each with an accompanying rationale. In the low diversity </w:t>
      </w:r>
      <w:r w:rsidRPr="00951584">
        <w:rPr>
          <w:sz w:val="24"/>
          <w:szCs w:val="24"/>
        </w:rPr>
        <w:lastRenderedPageBreak/>
        <w:t>conditions, each “yes” and each “no” answer was supported by a version of the same rationale</w:t>
      </w:r>
      <w:r w:rsidR="00552638" w:rsidRPr="00951584">
        <w:rPr>
          <w:sz w:val="24"/>
          <w:szCs w:val="24"/>
        </w:rPr>
        <w:t xml:space="preserve"> (the same argument but worded differently)</w:t>
      </w:r>
      <w:r w:rsidRPr="00951584">
        <w:rPr>
          <w:sz w:val="24"/>
          <w:szCs w:val="24"/>
        </w:rPr>
        <w:t xml:space="preserve">. In the high diversity conditions, each “yes and each “no” answer was supported by three different rationales (repeated multiple times in the 12, 15 and 18 answer conditions). </w:t>
      </w:r>
      <w:r w:rsidR="00552638" w:rsidRPr="00951584">
        <w:rPr>
          <w:sz w:val="24"/>
          <w:szCs w:val="24"/>
        </w:rPr>
        <w:t>In every case, participants were shown a majority of answers and rationales contrary to their original answer (“no” if they answered “yes” and vice versa), in the ratio 2:1 (4 vs 2, 6 vs 3, 8 vs 4, 10 vs 5 and 12 vs 6 respectively).</w:t>
      </w:r>
    </w:p>
    <w:p w14:paraId="306F700A" w14:textId="7C122E86" w:rsidR="009577B5" w:rsidRPr="00951584" w:rsidRDefault="009577B5" w:rsidP="00211B87">
      <w:pPr>
        <w:numPr>
          <w:ilvl w:val="0"/>
          <w:numId w:val="5"/>
        </w:numPr>
        <w:spacing w:line="360" w:lineRule="auto"/>
        <w:rPr>
          <w:sz w:val="24"/>
          <w:szCs w:val="24"/>
        </w:rPr>
      </w:pPr>
      <w:r w:rsidRPr="00951584">
        <w:rPr>
          <w:sz w:val="24"/>
          <w:szCs w:val="24"/>
        </w:rPr>
        <w:t xml:space="preserve">Next, </w:t>
      </w:r>
      <w:r w:rsidR="00433088" w:rsidRPr="00951584">
        <w:rPr>
          <w:sz w:val="24"/>
          <w:szCs w:val="24"/>
        </w:rPr>
        <w:t xml:space="preserve">a </w:t>
      </w:r>
      <w:r w:rsidRPr="00951584">
        <w:rPr>
          <w:sz w:val="24"/>
          <w:szCs w:val="24"/>
        </w:rPr>
        <w:t>participant</w:t>
      </w:r>
      <w:r w:rsidR="00433088" w:rsidRPr="00951584">
        <w:rPr>
          <w:sz w:val="24"/>
          <w:szCs w:val="24"/>
        </w:rPr>
        <w:t xml:space="preserve"> was</w:t>
      </w:r>
      <w:r w:rsidRPr="00951584">
        <w:rPr>
          <w:sz w:val="24"/>
          <w:szCs w:val="24"/>
        </w:rPr>
        <w:t xml:space="preserve"> shown their original answer and rationale and given an opportunity to revise th</w:t>
      </w:r>
      <w:r w:rsidR="00433088" w:rsidRPr="00951584">
        <w:rPr>
          <w:sz w:val="24"/>
          <w:szCs w:val="24"/>
        </w:rPr>
        <w:t>is</w:t>
      </w:r>
      <w:r w:rsidRPr="00951584">
        <w:rPr>
          <w:sz w:val="24"/>
          <w:szCs w:val="24"/>
        </w:rPr>
        <w:t xml:space="preserve">, if </w:t>
      </w:r>
      <w:r w:rsidR="00433088" w:rsidRPr="00951584">
        <w:rPr>
          <w:sz w:val="24"/>
          <w:szCs w:val="24"/>
        </w:rPr>
        <w:t>she/he</w:t>
      </w:r>
      <w:r w:rsidRPr="00951584">
        <w:rPr>
          <w:sz w:val="24"/>
          <w:szCs w:val="24"/>
        </w:rPr>
        <w:t xml:space="preserve"> wish</w:t>
      </w:r>
      <w:r w:rsidR="00552638" w:rsidRPr="00951584">
        <w:rPr>
          <w:sz w:val="24"/>
          <w:szCs w:val="24"/>
        </w:rPr>
        <w:t>ed</w:t>
      </w:r>
      <w:r w:rsidRPr="00951584">
        <w:rPr>
          <w:sz w:val="24"/>
          <w:szCs w:val="24"/>
        </w:rPr>
        <w:t>, after reading the other responses. Participants were also able to revise their confidence estimate at this point.</w:t>
      </w:r>
    </w:p>
    <w:p w14:paraId="3E2A014E" w14:textId="01A3016A" w:rsidR="009577B5" w:rsidRPr="00951584" w:rsidRDefault="009577B5" w:rsidP="00211B87">
      <w:pPr>
        <w:numPr>
          <w:ilvl w:val="0"/>
          <w:numId w:val="5"/>
        </w:numPr>
        <w:spacing w:line="360" w:lineRule="auto"/>
        <w:rPr>
          <w:sz w:val="24"/>
          <w:szCs w:val="24"/>
        </w:rPr>
      </w:pPr>
      <w:r w:rsidRPr="00951584">
        <w:rPr>
          <w:sz w:val="24"/>
          <w:szCs w:val="24"/>
        </w:rPr>
        <w:t>Lastly, participants completed the NASA-TLX satisfaction questions</w:t>
      </w:r>
      <w:r w:rsidR="00433088" w:rsidRPr="00951584">
        <w:rPr>
          <w:sz w:val="24"/>
          <w:szCs w:val="24"/>
        </w:rPr>
        <w:t xml:space="preserve"> (described next) and the self-report group process questions</w:t>
      </w:r>
      <w:r w:rsidR="00552638" w:rsidRPr="00951584">
        <w:rPr>
          <w:sz w:val="24"/>
          <w:szCs w:val="24"/>
        </w:rPr>
        <w:t xml:space="preserve"> </w:t>
      </w:r>
      <w:r w:rsidR="00433088" w:rsidRPr="00951584">
        <w:rPr>
          <w:sz w:val="24"/>
          <w:szCs w:val="24"/>
        </w:rPr>
        <w:t>(also described next)</w:t>
      </w:r>
      <w:r w:rsidR="00EF183C" w:rsidRPr="00951584">
        <w:rPr>
          <w:sz w:val="24"/>
          <w:szCs w:val="24"/>
        </w:rPr>
        <w:t>,</w:t>
      </w:r>
      <w:r w:rsidR="00433088" w:rsidRPr="00951584">
        <w:rPr>
          <w:sz w:val="24"/>
          <w:szCs w:val="24"/>
        </w:rPr>
        <w:t xml:space="preserve"> </w:t>
      </w:r>
      <w:r w:rsidRPr="00951584">
        <w:rPr>
          <w:sz w:val="24"/>
          <w:szCs w:val="24"/>
        </w:rPr>
        <w:t>and provide</w:t>
      </w:r>
      <w:r w:rsidR="00552638" w:rsidRPr="00951584">
        <w:rPr>
          <w:sz w:val="24"/>
          <w:szCs w:val="24"/>
        </w:rPr>
        <w:t>d</w:t>
      </w:r>
      <w:r w:rsidRPr="00951584">
        <w:rPr>
          <w:sz w:val="24"/>
          <w:szCs w:val="24"/>
        </w:rPr>
        <w:t xml:space="preserve"> basic demographic information. </w:t>
      </w:r>
    </w:p>
    <w:p w14:paraId="28203BCC" w14:textId="7ECEF36A" w:rsidR="009577B5" w:rsidRPr="00951584" w:rsidRDefault="009577B5" w:rsidP="00211B87">
      <w:pPr>
        <w:spacing w:line="360" w:lineRule="auto"/>
        <w:rPr>
          <w:sz w:val="24"/>
          <w:szCs w:val="24"/>
        </w:rPr>
      </w:pPr>
      <w:r w:rsidRPr="00951584">
        <w:rPr>
          <w:sz w:val="24"/>
          <w:szCs w:val="24"/>
        </w:rPr>
        <w:t xml:space="preserve">Two separate attention checks were included in the stimuli to prevent completion of the online survey by </w:t>
      </w:r>
      <w:r w:rsidR="00DE24C6" w:rsidRPr="00951584">
        <w:rPr>
          <w:sz w:val="24"/>
          <w:szCs w:val="24"/>
        </w:rPr>
        <w:t>“</w:t>
      </w:r>
      <w:r w:rsidRPr="00951584">
        <w:rPr>
          <w:sz w:val="24"/>
          <w:szCs w:val="24"/>
        </w:rPr>
        <w:t>bots</w:t>
      </w:r>
      <w:r w:rsidR="00DE24C6" w:rsidRPr="00951584">
        <w:rPr>
          <w:sz w:val="24"/>
          <w:szCs w:val="24"/>
        </w:rPr>
        <w:t>”</w:t>
      </w:r>
      <w:r w:rsidRPr="00951584">
        <w:rPr>
          <w:sz w:val="24"/>
          <w:szCs w:val="24"/>
        </w:rPr>
        <w:t>. IP addresses and GPS locations of all completed responses were also checked to confirm that there were no duplicates.</w:t>
      </w:r>
    </w:p>
    <w:p w14:paraId="77A2CCDC" w14:textId="77777777" w:rsidR="009577B5" w:rsidRPr="00951584" w:rsidRDefault="009577B5" w:rsidP="00211B87">
      <w:pPr>
        <w:spacing w:line="360" w:lineRule="auto"/>
        <w:rPr>
          <w:b/>
          <w:sz w:val="24"/>
          <w:szCs w:val="24"/>
        </w:rPr>
      </w:pPr>
      <w:r w:rsidRPr="00951584">
        <w:rPr>
          <w:b/>
          <w:sz w:val="24"/>
          <w:szCs w:val="24"/>
        </w:rPr>
        <w:t>Measures</w:t>
      </w:r>
    </w:p>
    <w:p w14:paraId="3B9A0643" w14:textId="233141DA" w:rsidR="009577B5" w:rsidRPr="00951584" w:rsidRDefault="009577B5" w:rsidP="00211B87">
      <w:pPr>
        <w:spacing w:line="360" w:lineRule="auto"/>
        <w:rPr>
          <w:sz w:val="24"/>
          <w:szCs w:val="24"/>
        </w:rPr>
      </w:pPr>
      <w:r w:rsidRPr="00951584">
        <w:rPr>
          <w:sz w:val="24"/>
          <w:szCs w:val="24"/>
        </w:rPr>
        <w:t xml:space="preserve">There were </w:t>
      </w:r>
      <w:r w:rsidR="00DB05A2" w:rsidRPr="00951584">
        <w:rPr>
          <w:sz w:val="24"/>
          <w:szCs w:val="24"/>
        </w:rPr>
        <w:t>three</w:t>
      </w:r>
      <w:r w:rsidRPr="00951584">
        <w:rPr>
          <w:sz w:val="24"/>
          <w:szCs w:val="24"/>
        </w:rPr>
        <w:t xml:space="preserve"> measures aimed at exploring participants’ experience of the online Delphi process:</w:t>
      </w:r>
    </w:p>
    <w:p w14:paraId="6D5984CB" w14:textId="4A5250A9" w:rsidR="00DB05A2" w:rsidRPr="00951584" w:rsidRDefault="009577B5" w:rsidP="00A13902">
      <w:pPr>
        <w:numPr>
          <w:ilvl w:val="0"/>
          <w:numId w:val="6"/>
        </w:numPr>
        <w:spacing w:line="360" w:lineRule="auto"/>
        <w:contextualSpacing/>
        <w:rPr>
          <w:sz w:val="24"/>
          <w:szCs w:val="24"/>
        </w:rPr>
      </w:pPr>
      <w:r w:rsidRPr="00951584">
        <w:rPr>
          <w:sz w:val="24"/>
          <w:szCs w:val="24"/>
        </w:rPr>
        <w:t>The NASA-TLX task load index (Hart &amp; Staveland, 1988</w:t>
      </w:r>
      <w:r w:rsidR="009F08D0" w:rsidRPr="00951584">
        <w:rPr>
          <w:sz w:val="24"/>
          <w:szCs w:val="24"/>
        </w:rPr>
        <w:t>). The NASA-TLX was chosen</w:t>
      </w:r>
      <w:r w:rsidR="00ED24A8">
        <w:rPr>
          <w:sz w:val="24"/>
          <w:szCs w:val="24"/>
        </w:rPr>
        <w:t xml:space="preserve"> as a measure of perceived information load</w:t>
      </w:r>
      <w:r w:rsidR="009F08D0" w:rsidRPr="00951584">
        <w:rPr>
          <w:sz w:val="24"/>
          <w:szCs w:val="24"/>
        </w:rPr>
        <w:t xml:space="preserve"> because it is the most relevant well-validated response scale that could be identified in the literature.</w:t>
      </w:r>
      <w:r w:rsidR="00A13902" w:rsidRPr="00951584">
        <w:rPr>
          <w:sz w:val="24"/>
          <w:szCs w:val="24"/>
        </w:rPr>
        <w:t xml:space="preserve"> </w:t>
      </w:r>
      <w:r w:rsidR="000F09C3" w:rsidRPr="00951584">
        <w:rPr>
          <w:sz w:val="24"/>
          <w:szCs w:val="24"/>
        </w:rPr>
        <w:t>The NASA-TLX is a self-report rating scale used to measure individuals’ subjective experience of “workload”</w:t>
      </w:r>
      <w:r w:rsidR="008D41D2">
        <w:rPr>
          <w:sz w:val="24"/>
          <w:szCs w:val="24"/>
        </w:rPr>
        <w:t xml:space="preserve">, </w:t>
      </w:r>
      <w:r w:rsidR="000F09C3" w:rsidRPr="00951584">
        <w:rPr>
          <w:sz w:val="24"/>
          <w:szCs w:val="24"/>
        </w:rPr>
        <w:t>a hypothetical construct that “represents the cost incurred by a human operator to achieve a particular level of performance” (Hart &amp; Staveland, 1988, p. 140</w:t>
      </w:r>
      <w:r w:rsidR="008D41D2">
        <w:rPr>
          <w:sz w:val="24"/>
          <w:szCs w:val="24"/>
        </w:rPr>
        <w:t>; see als</w:t>
      </w:r>
      <w:r w:rsidR="00006D11">
        <w:rPr>
          <w:sz w:val="24"/>
          <w:szCs w:val="24"/>
        </w:rPr>
        <w:t>o de Winter, 2014</w:t>
      </w:r>
      <w:r w:rsidR="000F09C3" w:rsidRPr="00951584">
        <w:rPr>
          <w:sz w:val="24"/>
          <w:szCs w:val="24"/>
        </w:rPr>
        <w:t>).</w:t>
      </w:r>
      <w:r w:rsidR="008D41D2">
        <w:rPr>
          <w:sz w:val="24"/>
          <w:szCs w:val="24"/>
        </w:rPr>
        <w:t xml:space="preserve"> The NASA-TLX comprises six sub-scales</w:t>
      </w:r>
      <w:r w:rsidR="00D33D0D" w:rsidRPr="00951584">
        <w:rPr>
          <w:sz w:val="24"/>
          <w:szCs w:val="24"/>
        </w:rPr>
        <w:t xml:space="preserve">: mental demand, physical demand, temporal demand, </w:t>
      </w:r>
      <w:r w:rsidR="00A21470" w:rsidRPr="00951584">
        <w:rPr>
          <w:sz w:val="24"/>
          <w:szCs w:val="24"/>
        </w:rPr>
        <w:t>performance</w:t>
      </w:r>
      <w:r w:rsidR="00A21470">
        <w:rPr>
          <w:sz w:val="24"/>
          <w:szCs w:val="24"/>
        </w:rPr>
        <w:t>,</w:t>
      </w:r>
      <w:r w:rsidR="00A21470" w:rsidRPr="00951584">
        <w:rPr>
          <w:sz w:val="24"/>
          <w:szCs w:val="24"/>
        </w:rPr>
        <w:t xml:space="preserve"> effort, and </w:t>
      </w:r>
      <w:r w:rsidR="00D33D0D" w:rsidRPr="00951584">
        <w:rPr>
          <w:sz w:val="24"/>
          <w:szCs w:val="24"/>
        </w:rPr>
        <w:t>frustration.</w:t>
      </w:r>
      <w:r w:rsidR="00887695" w:rsidRPr="00951584">
        <w:rPr>
          <w:sz w:val="24"/>
          <w:szCs w:val="24"/>
        </w:rPr>
        <w:t xml:space="preserve"> </w:t>
      </w:r>
      <w:r w:rsidR="008D41D2">
        <w:rPr>
          <w:sz w:val="24"/>
          <w:szCs w:val="24"/>
        </w:rPr>
        <w:t>Each sub-scale is measured on a 21-point scale that is taken to represent 0-100 in increments of 5. A</w:t>
      </w:r>
      <w:r w:rsidR="008D41D2" w:rsidRPr="008D41D2">
        <w:rPr>
          <w:sz w:val="24"/>
          <w:szCs w:val="24"/>
        </w:rPr>
        <w:t xml:space="preserve"> global score </w:t>
      </w:r>
      <w:r w:rsidR="00006D11">
        <w:rPr>
          <w:sz w:val="24"/>
          <w:szCs w:val="24"/>
        </w:rPr>
        <w:t>of 0-1</w:t>
      </w:r>
      <w:r w:rsidR="008D41D2" w:rsidRPr="008D41D2">
        <w:rPr>
          <w:sz w:val="24"/>
          <w:szCs w:val="24"/>
        </w:rPr>
        <w:t xml:space="preserve">00 is </w:t>
      </w:r>
      <w:r w:rsidR="008D41D2">
        <w:rPr>
          <w:sz w:val="24"/>
          <w:szCs w:val="24"/>
        </w:rPr>
        <w:t xml:space="preserve">obtained by first weighting the sub-scales, using a series of </w:t>
      </w:r>
      <w:r w:rsidR="008D41D2">
        <w:rPr>
          <w:sz w:val="24"/>
          <w:szCs w:val="24"/>
        </w:rPr>
        <w:lastRenderedPageBreak/>
        <w:t>pairwise comparisons where participants</w:t>
      </w:r>
      <w:r w:rsidR="008D41D2" w:rsidRPr="008D41D2">
        <w:t xml:space="preserve"> </w:t>
      </w:r>
      <w:r w:rsidR="008D41D2" w:rsidRPr="008D41D2">
        <w:rPr>
          <w:sz w:val="24"/>
          <w:szCs w:val="24"/>
        </w:rPr>
        <w:t>choose which item in each pair was a more important contributor to the level of workload they experienced</w:t>
      </w:r>
      <w:r w:rsidR="008D41D2">
        <w:rPr>
          <w:sz w:val="24"/>
          <w:szCs w:val="24"/>
        </w:rPr>
        <w:t>, then calculating a weighted mean.</w:t>
      </w:r>
      <w:r w:rsidR="008D41D2" w:rsidRPr="008D41D2">
        <w:rPr>
          <w:sz w:val="24"/>
          <w:szCs w:val="24"/>
        </w:rPr>
        <w:t xml:space="preserve"> </w:t>
      </w:r>
      <w:r w:rsidR="008D41D2">
        <w:rPr>
          <w:sz w:val="24"/>
          <w:szCs w:val="24"/>
        </w:rPr>
        <w:t>The NASA-TLX sub-scales</w:t>
      </w:r>
      <w:r w:rsidR="00D33D0D" w:rsidRPr="00951584">
        <w:rPr>
          <w:sz w:val="24"/>
          <w:szCs w:val="24"/>
        </w:rPr>
        <w:t xml:space="preserve"> can also be analysed separately.</w:t>
      </w:r>
      <w:r w:rsidR="000F09C3" w:rsidRPr="00951584">
        <w:rPr>
          <w:sz w:val="24"/>
          <w:szCs w:val="24"/>
        </w:rPr>
        <w:t xml:space="preserve"> The NASA-TLX has been used in over </w:t>
      </w:r>
      <w:r w:rsidR="00756F1E" w:rsidRPr="00951584">
        <w:rPr>
          <w:sz w:val="24"/>
          <w:szCs w:val="24"/>
        </w:rPr>
        <w:t xml:space="preserve">700 </w:t>
      </w:r>
      <w:r w:rsidR="000F09C3" w:rsidRPr="00951584">
        <w:rPr>
          <w:sz w:val="24"/>
          <w:szCs w:val="24"/>
        </w:rPr>
        <w:t xml:space="preserve">studies </w:t>
      </w:r>
      <w:r w:rsidR="00756F1E" w:rsidRPr="00951584">
        <w:rPr>
          <w:sz w:val="24"/>
          <w:szCs w:val="24"/>
        </w:rPr>
        <w:t>across a wide range of domains, particularly those involving human-machine interaction,</w:t>
      </w:r>
      <w:r w:rsidR="00D33D0D" w:rsidRPr="00951584">
        <w:rPr>
          <w:sz w:val="24"/>
          <w:szCs w:val="24"/>
        </w:rPr>
        <w:t xml:space="preserve"> and is the most cited survey-based workload measure (Grier, 2015). </w:t>
      </w:r>
      <w:r w:rsidR="00756F1E" w:rsidRPr="00951584">
        <w:rPr>
          <w:sz w:val="24"/>
          <w:szCs w:val="24"/>
        </w:rPr>
        <w:t xml:space="preserve">It has been repeatedly evaluated for reliability, </w:t>
      </w:r>
      <w:r w:rsidR="00A55341" w:rsidRPr="00951584">
        <w:rPr>
          <w:sz w:val="24"/>
          <w:szCs w:val="24"/>
        </w:rPr>
        <w:t>sensitivity,</w:t>
      </w:r>
      <w:r w:rsidR="00756F1E" w:rsidRPr="00951584">
        <w:rPr>
          <w:sz w:val="24"/>
          <w:szCs w:val="24"/>
        </w:rPr>
        <w:t xml:space="preserve"> and utility during its lifespan.</w:t>
      </w:r>
      <w:r w:rsidR="00433088" w:rsidRPr="00951584">
        <w:rPr>
          <w:sz w:val="24"/>
          <w:szCs w:val="24"/>
        </w:rPr>
        <w:t xml:space="preserve"> (See Appendix 2)</w:t>
      </w:r>
      <w:r w:rsidR="00A55341">
        <w:rPr>
          <w:sz w:val="24"/>
          <w:szCs w:val="24"/>
        </w:rPr>
        <w:t>.</w:t>
      </w:r>
    </w:p>
    <w:p w14:paraId="3240702C" w14:textId="67D4684A" w:rsidR="00C10239" w:rsidRPr="00951584" w:rsidRDefault="00C10239" w:rsidP="00C10239">
      <w:pPr>
        <w:numPr>
          <w:ilvl w:val="0"/>
          <w:numId w:val="6"/>
        </w:numPr>
        <w:spacing w:line="360" w:lineRule="auto"/>
        <w:contextualSpacing/>
        <w:rPr>
          <w:sz w:val="24"/>
          <w:szCs w:val="24"/>
        </w:rPr>
      </w:pPr>
      <w:r w:rsidRPr="00951584">
        <w:rPr>
          <w:sz w:val="24"/>
          <w:szCs w:val="24"/>
        </w:rPr>
        <w:t>A set of nine self-report questions relating to satisfaction with the Delphi process, based on those used in Hackman and Vidmar (1970) and Boje and Murnighan (1982) but adapted to suit online Delphi groups</w:t>
      </w:r>
      <w:r w:rsidR="00A55341">
        <w:rPr>
          <w:sz w:val="24"/>
          <w:szCs w:val="24"/>
        </w:rPr>
        <w:t>. (S</w:t>
      </w:r>
      <w:r w:rsidRPr="00951584">
        <w:rPr>
          <w:sz w:val="24"/>
          <w:szCs w:val="24"/>
        </w:rPr>
        <w:t>ee Appendix 3).</w:t>
      </w:r>
    </w:p>
    <w:p w14:paraId="5A34B296" w14:textId="654705F7" w:rsidR="007E71F8" w:rsidRPr="00951584" w:rsidRDefault="007E71F8" w:rsidP="00211B87">
      <w:pPr>
        <w:numPr>
          <w:ilvl w:val="0"/>
          <w:numId w:val="6"/>
        </w:numPr>
        <w:spacing w:line="360" w:lineRule="auto"/>
        <w:rPr>
          <w:sz w:val="24"/>
          <w:szCs w:val="24"/>
        </w:rPr>
      </w:pPr>
      <w:r w:rsidRPr="00951584">
        <w:rPr>
          <w:sz w:val="24"/>
          <w:szCs w:val="24"/>
        </w:rPr>
        <w:t>Time taken to complete the study.</w:t>
      </w:r>
      <w:r w:rsidR="00FA397F" w:rsidRPr="00951584">
        <w:rPr>
          <w:sz w:val="24"/>
          <w:szCs w:val="24"/>
        </w:rPr>
        <w:t xml:space="preserve"> This was used as an indirect measure of participants’ actual information load.</w:t>
      </w:r>
      <w:r w:rsidR="00014E50">
        <w:rPr>
          <w:sz w:val="24"/>
          <w:szCs w:val="24"/>
        </w:rPr>
        <w:t xml:space="preserve"> There is</w:t>
      </w:r>
      <w:r w:rsidR="0063729F">
        <w:rPr>
          <w:sz w:val="24"/>
          <w:szCs w:val="24"/>
        </w:rPr>
        <w:t xml:space="preserve"> empirical evidence for a positive correlation between information load/task difficulty and decision time </w:t>
      </w:r>
      <w:r w:rsidR="0063729F" w:rsidRPr="00D54442">
        <w:rPr>
          <w:sz w:val="24"/>
          <w:szCs w:val="24"/>
        </w:rPr>
        <w:t>(Iselin, 1988; Swain &amp; Haka, 2000; Wright &amp; Ayton, 1988).</w:t>
      </w:r>
      <w:r w:rsidR="0063729F">
        <w:rPr>
          <w:sz w:val="24"/>
          <w:szCs w:val="24"/>
        </w:rPr>
        <w:t xml:space="preserve"> </w:t>
      </w:r>
    </w:p>
    <w:p w14:paraId="58878B2E" w14:textId="2A16EA2E" w:rsidR="00DB05A2" w:rsidRPr="00951584" w:rsidRDefault="00DB05A2" w:rsidP="00211B87">
      <w:pPr>
        <w:spacing w:line="360" w:lineRule="auto"/>
        <w:contextualSpacing/>
        <w:rPr>
          <w:sz w:val="24"/>
          <w:szCs w:val="24"/>
        </w:rPr>
      </w:pPr>
    </w:p>
    <w:p w14:paraId="41A6A89C" w14:textId="77777777" w:rsidR="0051698B" w:rsidRPr="00951584" w:rsidRDefault="0051698B" w:rsidP="00211B87">
      <w:pPr>
        <w:spacing w:line="360" w:lineRule="auto"/>
        <w:jc w:val="center"/>
        <w:rPr>
          <w:b/>
          <w:sz w:val="24"/>
          <w:szCs w:val="24"/>
        </w:rPr>
      </w:pPr>
      <w:r w:rsidRPr="00951584">
        <w:rPr>
          <w:b/>
          <w:sz w:val="24"/>
          <w:szCs w:val="24"/>
        </w:rPr>
        <w:t>Results</w:t>
      </w:r>
    </w:p>
    <w:p w14:paraId="18FE40CF" w14:textId="4352E931" w:rsidR="00ED24A8" w:rsidRPr="00ED24A8" w:rsidRDefault="00ED24A8" w:rsidP="00ED24A8">
      <w:pPr>
        <w:spacing w:line="360" w:lineRule="auto"/>
        <w:rPr>
          <w:sz w:val="24"/>
          <w:szCs w:val="24"/>
        </w:rPr>
      </w:pPr>
      <w:r>
        <w:rPr>
          <w:sz w:val="24"/>
          <w:szCs w:val="24"/>
        </w:rPr>
        <w:t>The present study was primarily exploratory in nature. However, based on the previous research on information load, we hypothesized that:</w:t>
      </w:r>
    </w:p>
    <w:p w14:paraId="1054E731" w14:textId="4D4C378C" w:rsidR="00ED24A8" w:rsidRPr="00ED24A8" w:rsidRDefault="00ED24A8" w:rsidP="00ED24A8">
      <w:pPr>
        <w:pStyle w:val="CommentText"/>
        <w:numPr>
          <w:ilvl w:val="0"/>
          <w:numId w:val="16"/>
        </w:numPr>
        <w:rPr>
          <w:sz w:val="24"/>
          <w:szCs w:val="24"/>
        </w:rPr>
      </w:pPr>
      <w:r w:rsidRPr="00ED24A8">
        <w:rPr>
          <w:sz w:val="24"/>
          <w:szCs w:val="24"/>
        </w:rPr>
        <w:t xml:space="preserve"> Increasing group size will increase actual and perceived </w:t>
      </w:r>
      <w:r w:rsidR="00094F20">
        <w:rPr>
          <w:sz w:val="24"/>
          <w:szCs w:val="24"/>
        </w:rPr>
        <w:t>information</w:t>
      </w:r>
      <w:r w:rsidRPr="00ED24A8">
        <w:rPr>
          <w:sz w:val="24"/>
          <w:szCs w:val="24"/>
        </w:rPr>
        <w:t xml:space="preserve"> load</w:t>
      </w:r>
    </w:p>
    <w:p w14:paraId="7E4541E1" w14:textId="5F94CC5B" w:rsidR="00ED24A8" w:rsidRPr="00ED24A8" w:rsidRDefault="00ED24A8" w:rsidP="00ED24A8">
      <w:pPr>
        <w:pStyle w:val="ListParagraph"/>
        <w:numPr>
          <w:ilvl w:val="0"/>
          <w:numId w:val="16"/>
        </w:numPr>
        <w:spacing w:line="360" w:lineRule="auto"/>
        <w:rPr>
          <w:sz w:val="24"/>
          <w:szCs w:val="24"/>
        </w:rPr>
      </w:pPr>
      <w:r w:rsidRPr="00ED24A8">
        <w:rPr>
          <w:sz w:val="24"/>
          <w:szCs w:val="24"/>
        </w:rPr>
        <w:t xml:space="preserve"> Increasing opinion diversity will increase actual and perceived </w:t>
      </w:r>
      <w:r w:rsidR="00094F20">
        <w:rPr>
          <w:sz w:val="24"/>
          <w:szCs w:val="24"/>
        </w:rPr>
        <w:t>information</w:t>
      </w:r>
      <w:r w:rsidRPr="00ED24A8">
        <w:rPr>
          <w:sz w:val="24"/>
          <w:szCs w:val="24"/>
        </w:rPr>
        <w:t xml:space="preserve"> load</w:t>
      </w:r>
    </w:p>
    <w:p w14:paraId="4509B5CC" w14:textId="74B9E422" w:rsidR="0051698B" w:rsidRPr="00951584" w:rsidRDefault="0051698B" w:rsidP="00211B87">
      <w:pPr>
        <w:spacing w:line="360" w:lineRule="auto"/>
        <w:rPr>
          <w:b/>
          <w:sz w:val="24"/>
          <w:szCs w:val="24"/>
        </w:rPr>
      </w:pPr>
      <w:r w:rsidRPr="00951584">
        <w:rPr>
          <w:b/>
          <w:sz w:val="24"/>
          <w:szCs w:val="24"/>
        </w:rPr>
        <w:t>NASA-TLX</w:t>
      </w:r>
    </w:p>
    <w:p w14:paraId="164CC6A9" w14:textId="337547A1" w:rsidR="006E54D4" w:rsidRPr="00F35E64" w:rsidRDefault="0051698B" w:rsidP="00211B87">
      <w:pPr>
        <w:spacing w:line="360" w:lineRule="auto"/>
        <w:rPr>
          <w:sz w:val="24"/>
          <w:szCs w:val="24"/>
        </w:rPr>
      </w:pPr>
      <w:r w:rsidRPr="00951584">
        <w:rPr>
          <w:sz w:val="24"/>
          <w:szCs w:val="24"/>
        </w:rPr>
        <w:t>Participants’ me</w:t>
      </w:r>
      <w:r w:rsidR="003F3ADE">
        <w:rPr>
          <w:sz w:val="24"/>
          <w:szCs w:val="24"/>
        </w:rPr>
        <w:t>dian</w:t>
      </w:r>
      <w:r w:rsidRPr="00951584">
        <w:rPr>
          <w:sz w:val="24"/>
          <w:szCs w:val="24"/>
        </w:rPr>
        <w:t xml:space="preserve"> score on the NASA-TLX index across all conditions was 5</w:t>
      </w:r>
      <w:r w:rsidR="003F3ADE">
        <w:rPr>
          <w:sz w:val="24"/>
          <w:szCs w:val="24"/>
        </w:rPr>
        <w:t>3.00</w:t>
      </w:r>
      <w:r w:rsidRPr="00951584">
        <w:rPr>
          <w:sz w:val="24"/>
          <w:szCs w:val="24"/>
        </w:rPr>
        <w:t xml:space="preserve"> (out of a possible 100, with a higher score indicating greater perceived task load). The descriptive statistics for each </w:t>
      </w:r>
      <w:r w:rsidR="00610662" w:rsidRPr="00951584">
        <w:rPr>
          <w:sz w:val="24"/>
          <w:szCs w:val="24"/>
        </w:rPr>
        <w:t>con</w:t>
      </w:r>
      <w:r w:rsidR="00930DBC" w:rsidRPr="00951584">
        <w:rPr>
          <w:sz w:val="24"/>
          <w:szCs w:val="24"/>
        </w:rPr>
        <w:t>dition are set out in Table 1</w:t>
      </w:r>
      <w:r w:rsidRPr="00951584">
        <w:rPr>
          <w:sz w:val="24"/>
          <w:szCs w:val="24"/>
        </w:rPr>
        <w:t>.</w:t>
      </w:r>
      <w:r w:rsidR="003D5D16">
        <w:rPr>
          <w:sz w:val="24"/>
          <w:szCs w:val="24"/>
        </w:rPr>
        <w:t xml:space="preserve"> Medians and interquartile ranges are reported for comparison with </w:t>
      </w:r>
      <w:r w:rsidR="003F3ADE">
        <w:rPr>
          <w:sz w:val="24"/>
          <w:szCs w:val="24"/>
        </w:rPr>
        <w:t xml:space="preserve">Grier’s (2015) </w:t>
      </w:r>
      <w:r w:rsidR="00D33D0D" w:rsidRPr="00951584">
        <w:rPr>
          <w:sz w:val="24"/>
          <w:szCs w:val="24"/>
        </w:rPr>
        <w:t>meta-analysis of 237 NASA-TLX studies</w:t>
      </w:r>
      <w:r w:rsidR="003F3ADE">
        <w:rPr>
          <w:sz w:val="24"/>
          <w:szCs w:val="24"/>
        </w:rPr>
        <w:t>.</w:t>
      </w:r>
      <w:r w:rsidR="00D33D0D" w:rsidRPr="00951584">
        <w:rPr>
          <w:sz w:val="24"/>
          <w:szCs w:val="24"/>
        </w:rPr>
        <w:t xml:space="preserve"> </w:t>
      </w:r>
      <w:r w:rsidR="003F3ADE">
        <w:rPr>
          <w:sz w:val="24"/>
          <w:szCs w:val="24"/>
        </w:rPr>
        <w:t>T</w:t>
      </w:r>
      <w:r w:rsidR="00D33D0D" w:rsidRPr="00951584">
        <w:rPr>
          <w:sz w:val="24"/>
          <w:szCs w:val="24"/>
        </w:rPr>
        <w:t xml:space="preserve">he present scores are comparable to the median scores </w:t>
      </w:r>
      <w:r w:rsidR="00D33D0D" w:rsidRPr="00F35E64">
        <w:rPr>
          <w:sz w:val="24"/>
          <w:szCs w:val="24"/>
        </w:rPr>
        <w:t>obtained in studies relating to computer activities in gen</w:t>
      </w:r>
      <w:r w:rsidR="00EB67F9" w:rsidRPr="00F35E64">
        <w:rPr>
          <w:sz w:val="24"/>
          <w:szCs w:val="24"/>
        </w:rPr>
        <w:t>e</w:t>
      </w:r>
      <w:r w:rsidR="00D33D0D" w:rsidRPr="00F35E64">
        <w:rPr>
          <w:sz w:val="24"/>
          <w:szCs w:val="24"/>
        </w:rPr>
        <w:t>ral (54.00), video games (56.50) and medical activities (50.60).</w:t>
      </w:r>
      <w:r w:rsidR="00EB67F9" w:rsidRPr="00F35E64">
        <w:rPr>
          <w:sz w:val="24"/>
          <w:szCs w:val="24"/>
        </w:rPr>
        <w:t xml:space="preserve"> This suggests that participants found the task moderately challenging: more so than daily activities (18.30) or navigation (37.70)</w:t>
      </w:r>
      <w:r w:rsidR="00756F1E" w:rsidRPr="00F35E64">
        <w:rPr>
          <w:sz w:val="24"/>
          <w:szCs w:val="24"/>
        </w:rPr>
        <w:t>, for example.</w:t>
      </w:r>
      <w:r w:rsidR="00B8100A" w:rsidRPr="00F35E64">
        <w:rPr>
          <w:sz w:val="24"/>
          <w:szCs w:val="24"/>
        </w:rPr>
        <w:t xml:space="preserve"> Notably,</w:t>
      </w:r>
      <w:r w:rsidR="007337D7" w:rsidRPr="00F35E64">
        <w:rPr>
          <w:sz w:val="24"/>
          <w:szCs w:val="24"/>
        </w:rPr>
        <w:t xml:space="preserve"> </w:t>
      </w:r>
      <w:r w:rsidR="00B8100A" w:rsidRPr="00F35E64">
        <w:rPr>
          <w:sz w:val="24"/>
          <w:szCs w:val="24"/>
        </w:rPr>
        <w:t xml:space="preserve">even with the maximum group </w:t>
      </w:r>
      <w:r w:rsidR="00B8100A" w:rsidRPr="00F35E64">
        <w:rPr>
          <w:sz w:val="24"/>
          <w:szCs w:val="24"/>
        </w:rPr>
        <w:lastRenderedPageBreak/>
        <w:t>size of 19 and coupled with high diversity in feedback rationales, the degree of the Delphi task’s cognitive “challenge” was still viewed as moderate by participants.</w:t>
      </w:r>
    </w:p>
    <w:p w14:paraId="568C32C6" w14:textId="112D6A1E" w:rsidR="0051698B" w:rsidRPr="00F35E64" w:rsidRDefault="00930DBC" w:rsidP="00211B87">
      <w:pPr>
        <w:spacing w:line="360" w:lineRule="auto"/>
        <w:rPr>
          <w:sz w:val="24"/>
          <w:szCs w:val="24"/>
        </w:rPr>
      </w:pPr>
      <w:r w:rsidRPr="00F35E64">
        <w:rPr>
          <w:sz w:val="24"/>
          <w:szCs w:val="24"/>
        </w:rPr>
        <w:t>Table 1</w:t>
      </w:r>
      <w:r w:rsidR="00610662" w:rsidRPr="00F35E64">
        <w:rPr>
          <w:sz w:val="24"/>
          <w:szCs w:val="24"/>
        </w:rPr>
        <w:t>.</w:t>
      </w:r>
    </w:p>
    <w:p w14:paraId="5B84CA4B" w14:textId="168C53C4" w:rsidR="0051698B" w:rsidRPr="00F35E64" w:rsidRDefault="0051698B" w:rsidP="00211B87">
      <w:pPr>
        <w:spacing w:line="360" w:lineRule="auto"/>
        <w:rPr>
          <w:i/>
          <w:sz w:val="24"/>
          <w:szCs w:val="24"/>
        </w:rPr>
      </w:pPr>
      <w:r w:rsidRPr="00F35E64">
        <w:rPr>
          <w:i/>
          <w:sz w:val="24"/>
          <w:szCs w:val="24"/>
        </w:rPr>
        <w:t>NASA-TLX me</w:t>
      </w:r>
      <w:r w:rsidR="00FC4832" w:rsidRPr="00F35E64">
        <w:rPr>
          <w:i/>
          <w:sz w:val="24"/>
          <w:szCs w:val="24"/>
        </w:rPr>
        <w:t>dian</w:t>
      </w:r>
      <w:r w:rsidR="00E0233A">
        <w:rPr>
          <w:i/>
          <w:sz w:val="24"/>
          <w:szCs w:val="24"/>
        </w:rPr>
        <w:t xml:space="preserve"> scores</w:t>
      </w:r>
      <w:r w:rsidRPr="00F35E64">
        <w:rPr>
          <w:i/>
          <w:sz w:val="24"/>
          <w:szCs w:val="24"/>
        </w:rPr>
        <w:t xml:space="preserve"> (out of a possible 100) and </w:t>
      </w:r>
      <w:r w:rsidR="00FC4832" w:rsidRPr="00F35E64">
        <w:rPr>
          <w:i/>
          <w:sz w:val="24"/>
          <w:szCs w:val="24"/>
        </w:rPr>
        <w:t xml:space="preserve">interquartile ranges </w:t>
      </w:r>
      <w:r w:rsidR="007337D7" w:rsidRPr="00F35E64">
        <w:rPr>
          <w:i/>
          <w:sz w:val="24"/>
          <w:szCs w:val="24"/>
        </w:rPr>
        <w:t>by condition</w:t>
      </w:r>
      <w:r w:rsidRPr="00F35E64">
        <w:rPr>
          <w:i/>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43"/>
        <w:gridCol w:w="1675"/>
        <w:gridCol w:w="26"/>
        <w:gridCol w:w="1842"/>
        <w:gridCol w:w="1650"/>
      </w:tblGrid>
      <w:tr w:rsidR="00FC4832" w:rsidRPr="00F35E64" w14:paraId="6645E1FC" w14:textId="77777777" w:rsidTr="00672A4E">
        <w:tc>
          <w:tcPr>
            <w:tcW w:w="1980" w:type="dxa"/>
            <w:vMerge w:val="restart"/>
            <w:tcBorders>
              <w:top w:val="single" w:sz="4" w:space="0" w:color="auto"/>
            </w:tcBorders>
            <w:shd w:val="clear" w:color="auto" w:fill="auto"/>
          </w:tcPr>
          <w:p w14:paraId="3F556E6C"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Group size</w:t>
            </w:r>
          </w:p>
        </w:tc>
        <w:tc>
          <w:tcPr>
            <w:tcW w:w="3518" w:type="dxa"/>
            <w:gridSpan w:val="2"/>
            <w:tcBorders>
              <w:top w:val="single" w:sz="4" w:space="0" w:color="auto"/>
              <w:bottom w:val="single" w:sz="4" w:space="0" w:color="auto"/>
            </w:tcBorders>
            <w:shd w:val="clear" w:color="auto" w:fill="auto"/>
          </w:tcPr>
          <w:p w14:paraId="4B79EFDD"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Low Diversity</w:t>
            </w:r>
          </w:p>
        </w:tc>
        <w:tc>
          <w:tcPr>
            <w:tcW w:w="3518" w:type="dxa"/>
            <w:gridSpan w:val="3"/>
            <w:tcBorders>
              <w:top w:val="single" w:sz="4" w:space="0" w:color="auto"/>
              <w:bottom w:val="single" w:sz="4" w:space="0" w:color="auto"/>
            </w:tcBorders>
            <w:shd w:val="clear" w:color="auto" w:fill="auto"/>
          </w:tcPr>
          <w:p w14:paraId="1FF3C7D4"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High Diversity</w:t>
            </w:r>
          </w:p>
        </w:tc>
      </w:tr>
      <w:tr w:rsidR="00FC4832" w:rsidRPr="00F35E64" w14:paraId="7DECFE69" w14:textId="77777777" w:rsidTr="00672A4E">
        <w:tc>
          <w:tcPr>
            <w:tcW w:w="1980" w:type="dxa"/>
            <w:vMerge/>
            <w:tcBorders>
              <w:bottom w:val="single" w:sz="4" w:space="0" w:color="auto"/>
            </w:tcBorders>
            <w:shd w:val="clear" w:color="auto" w:fill="auto"/>
          </w:tcPr>
          <w:p w14:paraId="21FB75D0" w14:textId="77777777" w:rsidR="00FC4832" w:rsidRPr="00F35E64" w:rsidRDefault="00FC4832" w:rsidP="00672A4E">
            <w:pPr>
              <w:spacing w:line="360" w:lineRule="auto"/>
              <w:rPr>
                <w:rFonts w:ascii="Calibri" w:eastAsia="Calibri" w:hAnsi="Calibri" w:cs="Times New Roman"/>
                <w:sz w:val="24"/>
                <w:szCs w:val="24"/>
              </w:rPr>
            </w:pPr>
          </w:p>
        </w:tc>
        <w:tc>
          <w:tcPr>
            <w:tcW w:w="1843" w:type="dxa"/>
            <w:tcBorders>
              <w:top w:val="single" w:sz="4" w:space="0" w:color="auto"/>
              <w:bottom w:val="single" w:sz="4" w:space="0" w:color="auto"/>
            </w:tcBorders>
            <w:shd w:val="clear" w:color="auto" w:fill="auto"/>
          </w:tcPr>
          <w:p w14:paraId="46E36A4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Median</w:t>
            </w:r>
          </w:p>
        </w:tc>
        <w:tc>
          <w:tcPr>
            <w:tcW w:w="1701" w:type="dxa"/>
            <w:gridSpan w:val="2"/>
            <w:tcBorders>
              <w:top w:val="single" w:sz="4" w:space="0" w:color="auto"/>
              <w:bottom w:val="single" w:sz="4" w:space="0" w:color="auto"/>
            </w:tcBorders>
            <w:shd w:val="clear" w:color="auto" w:fill="auto"/>
          </w:tcPr>
          <w:p w14:paraId="1D71FF97"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IQR</w:t>
            </w:r>
          </w:p>
        </w:tc>
        <w:tc>
          <w:tcPr>
            <w:tcW w:w="1842" w:type="dxa"/>
            <w:tcBorders>
              <w:top w:val="single" w:sz="4" w:space="0" w:color="auto"/>
              <w:bottom w:val="single" w:sz="4" w:space="0" w:color="auto"/>
            </w:tcBorders>
            <w:shd w:val="clear" w:color="auto" w:fill="auto"/>
          </w:tcPr>
          <w:p w14:paraId="396701BF"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Median</w:t>
            </w:r>
          </w:p>
        </w:tc>
        <w:tc>
          <w:tcPr>
            <w:tcW w:w="1650" w:type="dxa"/>
            <w:tcBorders>
              <w:top w:val="single" w:sz="4" w:space="0" w:color="auto"/>
              <w:bottom w:val="single" w:sz="4" w:space="0" w:color="auto"/>
            </w:tcBorders>
            <w:shd w:val="clear" w:color="auto" w:fill="auto"/>
          </w:tcPr>
          <w:p w14:paraId="3FBAD793"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IQR</w:t>
            </w:r>
          </w:p>
        </w:tc>
      </w:tr>
      <w:tr w:rsidR="00FC4832" w:rsidRPr="00F35E64" w14:paraId="711AA625" w14:textId="77777777" w:rsidTr="00672A4E">
        <w:tc>
          <w:tcPr>
            <w:tcW w:w="1980" w:type="dxa"/>
            <w:tcBorders>
              <w:top w:val="single" w:sz="4" w:space="0" w:color="auto"/>
            </w:tcBorders>
            <w:shd w:val="clear" w:color="auto" w:fill="auto"/>
          </w:tcPr>
          <w:p w14:paraId="07E90473"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7</w:t>
            </w:r>
          </w:p>
        </w:tc>
        <w:tc>
          <w:tcPr>
            <w:tcW w:w="1843" w:type="dxa"/>
            <w:tcBorders>
              <w:top w:val="single" w:sz="4" w:space="0" w:color="auto"/>
            </w:tcBorders>
            <w:shd w:val="clear" w:color="auto" w:fill="auto"/>
          </w:tcPr>
          <w:p w14:paraId="115C5E76"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56.00</w:t>
            </w:r>
          </w:p>
        </w:tc>
        <w:tc>
          <w:tcPr>
            <w:tcW w:w="1701" w:type="dxa"/>
            <w:gridSpan w:val="2"/>
            <w:tcBorders>
              <w:top w:val="single" w:sz="4" w:space="0" w:color="auto"/>
            </w:tcBorders>
            <w:shd w:val="clear" w:color="auto" w:fill="auto"/>
          </w:tcPr>
          <w:p w14:paraId="1FA08E90"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15.67</w:t>
            </w:r>
          </w:p>
        </w:tc>
        <w:tc>
          <w:tcPr>
            <w:tcW w:w="1842" w:type="dxa"/>
            <w:tcBorders>
              <w:top w:val="single" w:sz="4" w:space="0" w:color="auto"/>
            </w:tcBorders>
            <w:shd w:val="clear" w:color="auto" w:fill="auto"/>
          </w:tcPr>
          <w:p w14:paraId="6D89FEE7"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53.50</w:t>
            </w:r>
          </w:p>
        </w:tc>
        <w:tc>
          <w:tcPr>
            <w:tcW w:w="1650" w:type="dxa"/>
            <w:tcBorders>
              <w:top w:val="single" w:sz="4" w:space="0" w:color="auto"/>
            </w:tcBorders>
            <w:shd w:val="clear" w:color="auto" w:fill="auto"/>
          </w:tcPr>
          <w:p w14:paraId="6204E6E4"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13.00</w:t>
            </w:r>
          </w:p>
        </w:tc>
      </w:tr>
      <w:tr w:rsidR="00FC4832" w:rsidRPr="00F35E64" w14:paraId="53C221D7" w14:textId="77777777" w:rsidTr="00672A4E">
        <w:tc>
          <w:tcPr>
            <w:tcW w:w="1980" w:type="dxa"/>
            <w:shd w:val="clear" w:color="auto" w:fill="auto"/>
          </w:tcPr>
          <w:p w14:paraId="2664DA2C"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10</w:t>
            </w:r>
          </w:p>
        </w:tc>
        <w:tc>
          <w:tcPr>
            <w:tcW w:w="1843" w:type="dxa"/>
            <w:shd w:val="clear" w:color="auto" w:fill="auto"/>
          </w:tcPr>
          <w:p w14:paraId="06127FDD"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53.67</w:t>
            </w:r>
          </w:p>
        </w:tc>
        <w:tc>
          <w:tcPr>
            <w:tcW w:w="1701" w:type="dxa"/>
            <w:gridSpan w:val="2"/>
            <w:shd w:val="clear" w:color="auto" w:fill="auto"/>
          </w:tcPr>
          <w:p w14:paraId="0EBFE567"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13.50</w:t>
            </w:r>
          </w:p>
        </w:tc>
        <w:tc>
          <w:tcPr>
            <w:tcW w:w="1842" w:type="dxa"/>
            <w:shd w:val="clear" w:color="auto" w:fill="auto"/>
          </w:tcPr>
          <w:p w14:paraId="72D06905"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54.33</w:t>
            </w:r>
          </w:p>
        </w:tc>
        <w:tc>
          <w:tcPr>
            <w:tcW w:w="1650" w:type="dxa"/>
            <w:shd w:val="clear" w:color="auto" w:fill="auto"/>
          </w:tcPr>
          <w:p w14:paraId="4059E565"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20.91</w:t>
            </w:r>
          </w:p>
        </w:tc>
      </w:tr>
      <w:tr w:rsidR="00FC4832" w:rsidRPr="00F35E64" w14:paraId="25CAE26F" w14:textId="77777777" w:rsidTr="00672A4E">
        <w:tc>
          <w:tcPr>
            <w:tcW w:w="1980" w:type="dxa"/>
            <w:shd w:val="clear" w:color="auto" w:fill="auto"/>
          </w:tcPr>
          <w:p w14:paraId="59992040"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13</w:t>
            </w:r>
          </w:p>
        </w:tc>
        <w:tc>
          <w:tcPr>
            <w:tcW w:w="1843" w:type="dxa"/>
            <w:shd w:val="clear" w:color="auto" w:fill="auto"/>
          </w:tcPr>
          <w:p w14:paraId="62772DB6"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52.33</w:t>
            </w:r>
          </w:p>
        </w:tc>
        <w:tc>
          <w:tcPr>
            <w:tcW w:w="1701" w:type="dxa"/>
            <w:gridSpan w:val="2"/>
            <w:shd w:val="clear" w:color="auto" w:fill="auto"/>
          </w:tcPr>
          <w:p w14:paraId="11217FA1"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17.34</w:t>
            </w:r>
          </w:p>
        </w:tc>
        <w:tc>
          <w:tcPr>
            <w:tcW w:w="1842" w:type="dxa"/>
            <w:shd w:val="clear" w:color="auto" w:fill="auto"/>
          </w:tcPr>
          <w:p w14:paraId="4D29F52A"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54.00</w:t>
            </w:r>
          </w:p>
        </w:tc>
        <w:tc>
          <w:tcPr>
            <w:tcW w:w="1650" w:type="dxa"/>
            <w:shd w:val="clear" w:color="auto" w:fill="auto"/>
          </w:tcPr>
          <w:p w14:paraId="5DAF3681"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15.33</w:t>
            </w:r>
          </w:p>
        </w:tc>
      </w:tr>
      <w:tr w:rsidR="00FC4832" w:rsidRPr="00F35E64" w14:paraId="5D4542D1" w14:textId="77777777" w:rsidTr="00672A4E">
        <w:tc>
          <w:tcPr>
            <w:tcW w:w="1980" w:type="dxa"/>
            <w:shd w:val="clear" w:color="auto" w:fill="auto"/>
          </w:tcPr>
          <w:p w14:paraId="735D818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16</w:t>
            </w:r>
          </w:p>
        </w:tc>
        <w:tc>
          <w:tcPr>
            <w:tcW w:w="1843" w:type="dxa"/>
            <w:shd w:val="clear" w:color="auto" w:fill="auto"/>
          </w:tcPr>
          <w:p w14:paraId="65401E7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47.67</w:t>
            </w:r>
          </w:p>
        </w:tc>
        <w:tc>
          <w:tcPr>
            <w:tcW w:w="1701" w:type="dxa"/>
            <w:gridSpan w:val="2"/>
            <w:shd w:val="clear" w:color="auto" w:fill="auto"/>
          </w:tcPr>
          <w:p w14:paraId="67DEB5F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17.83</w:t>
            </w:r>
          </w:p>
        </w:tc>
        <w:tc>
          <w:tcPr>
            <w:tcW w:w="1842" w:type="dxa"/>
            <w:shd w:val="clear" w:color="auto" w:fill="auto"/>
          </w:tcPr>
          <w:p w14:paraId="65F8B287"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56.67</w:t>
            </w:r>
          </w:p>
        </w:tc>
        <w:tc>
          <w:tcPr>
            <w:tcW w:w="1650" w:type="dxa"/>
            <w:shd w:val="clear" w:color="auto" w:fill="auto"/>
          </w:tcPr>
          <w:p w14:paraId="10E5DC68"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18.50</w:t>
            </w:r>
          </w:p>
        </w:tc>
      </w:tr>
      <w:tr w:rsidR="00FC4832" w:rsidRPr="00F35E64" w14:paraId="4BD0B7A6" w14:textId="77777777" w:rsidTr="00672A4E">
        <w:tc>
          <w:tcPr>
            <w:tcW w:w="1980" w:type="dxa"/>
            <w:shd w:val="clear" w:color="auto" w:fill="auto"/>
          </w:tcPr>
          <w:p w14:paraId="45213F3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19</w:t>
            </w:r>
          </w:p>
        </w:tc>
        <w:tc>
          <w:tcPr>
            <w:tcW w:w="1843" w:type="dxa"/>
            <w:shd w:val="clear" w:color="auto" w:fill="auto"/>
          </w:tcPr>
          <w:p w14:paraId="2783F5E8"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50.67</w:t>
            </w:r>
          </w:p>
        </w:tc>
        <w:tc>
          <w:tcPr>
            <w:tcW w:w="1701" w:type="dxa"/>
            <w:gridSpan w:val="2"/>
            <w:shd w:val="clear" w:color="auto" w:fill="auto"/>
          </w:tcPr>
          <w:p w14:paraId="0C7D8A98"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19.34</w:t>
            </w:r>
          </w:p>
        </w:tc>
        <w:tc>
          <w:tcPr>
            <w:tcW w:w="1842" w:type="dxa"/>
            <w:shd w:val="clear" w:color="auto" w:fill="auto"/>
          </w:tcPr>
          <w:p w14:paraId="473A9D5E"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54.33</w:t>
            </w:r>
          </w:p>
        </w:tc>
        <w:tc>
          <w:tcPr>
            <w:tcW w:w="1650" w:type="dxa"/>
            <w:shd w:val="clear" w:color="auto" w:fill="auto"/>
          </w:tcPr>
          <w:p w14:paraId="2EB4092C" w14:textId="77777777" w:rsidR="00FC4832" w:rsidRPr="00F35E64" w:rsidRDefault="00FC4832" w:rsidP="00672A4E">
            <w:pPr>
              <w:spacing w:line="360" w:lineRule="auto"/>
              <w:rPr>
                <w:rFonts w:ascii="Calibri" w:eastAsia="Calibri" w:hAnsi="Calibri" w:cs="Times New Roman"/>
                <w:sz w:val="24"/>
                <w:szCs w:val="24"/>
              </w:rPr>
            </w:pPr>
            <w:r w:rsidRPr="00F35E64">
              <w:rPr>
                <w:rFonts w:ascii="Calibri" w:eastAsia="Calibri" w:hAnsi="Calibri" w:cs="Times New Roman"/>
                <w:sz w:val="24"/>
                <w:szCs w:val="24"/>
              </w:rPr>
              <w:t>13.66</w:t>
            </w:r>
          </w:p>
        </w:tc>
      </w:tr>
    </w:tbl>
    <w:p w14:paraId="575B1008" w14:textId="77777777" w:rsidR="0051698B" w:rsidRPr="00F35E64" w:rsidRDefault="0051698B" w:rsidP="00211B87">
      <w:pPr>
        <w:spacing w:line="360" w:lineRule="auto"/>
        <w:rPr>
          <w:sz w:val="24"/>
          <w:szCs w:val="24"/>
        </w:rPr>
      </w:pPr>
    </w:p>
    <w:p w14:paraId="133FD7D9" w14:textId="382C7074" w:rsidR="006E2E38" w:rsidRDefault="006E2E38" w:rsidP="00211B87">
      <w:pPr>
        <w:spacing w:line="360" w:lineRule="auto"/>
        <w:rPr>
          <w:sz w:val="24"/>
          <w:szCs w:val="24"/>
        </w:rPr>
      </w:pPr>
      <w:r>
        <w:rPr>
          <w:sz w:val="24"/>
          <w:szCs w:val="24"/>
        </w:rPr>
        <w:t>ANOVAs were used to test for the effects of group size and opinion diversity on scores in the NASA-TLX scale and subscales – hence the reference to mean differences below and the mean scores show</w:t>
      </w:r>
      <w:r w:rsidR="003F3ADE">
        <w:rPr>
          <w:sz w:val="24"/>
          <w:szCs w:val="24"/>
        </w:rPr>
        <w:t>n</w:t>
      </w:r>
      <w:r>
        <w:rPr>
          <w:sz w:val="24"/>
          <w:szCs w:val="24"/>
        </w:rPr>
        <w:t xml:space="preserve"> in Figure </w:t>
      </w:r>
      <w:r w:rsidR="00C903BC">
        <w:rPr>
          <w:sz w:val="24"/>
          <w:szCs w:val="24"/>
        </w:rPr>
        <w:t>2</w:t>
      </w:r>
      <w:r>
        <w:rPr>
          <w:sz w:val="24"/>
          <w:szCs w:val="24"/>
        </w:rPr>
        <w:t>. While the NASA-TLX items each produce ordinal data, the NASA-TLX scale as a whole generates interval data, which can properly be analysed using parametric tests (Carifio &amp; Perla, 2008; Norman, 2010).</w:t>
      </w:r>
      <w:r w:rsidR="003F3ADE">
        <w:rPr>
          <w:sz w:val="24"/>
          <w:szCs w:val="24"/>
        </w:rPr>
        <w:t xml:space="preserve"> </w:t>
      </w:r>
      <w:bookmarkStart w:id="1" w:name="_Hlk65874523"/>
      <w:r w:rsidR="003F3ADE">
        <w:rPr>
          <w:sz w:val="24"/>
          <w:szCs w:val="24"/>
        </w:rPr>
        <w:t xml:space="preserve">It </w:t>
      </w:r>
      <w:r w:rsidR="005F559A">
        <w:rPr>
          <w:sz w:val="24"/>
          <w:szCs w:val="24"/>
        </w:rPr>
        <w:t xml:space="preserve">is not </w:t>
      </w:r>
      <w:r w:rsidR="003F3ADE">
        <w:rPr>
          <w:sz w:val="24"/>
          <w:szCs w:val="24"/>
        </w:rPr>
        <w:t>possible to carry out a multivariate non-parametric ANOVA and so a non-parametric approach would have required many more tests (increasing the risk of type I errors) and could not have tested for interactions between the two independent variables.</w:t>
      </w:r>
      <w:bookmarkEnd w:id="1"/>
    </w:p>
    <w:p w14:paraId="5B82E62F" w14:textId="6AB1F74B" w:rsidR="0051698B" w:rsidRPr="00F35E64" w:rsidRDefault="0051698B" w:rsidP="00211B87">
      <w:pPr>
        <w:spacing w:line="360" w:lineRule="auto"/>
        <w:rPr>
          <w:sz w:val="24"/>
          <w:szCs w:val="24"/>
        </w:rPr>
      </w:pPr>
      <w:r w:rsidRPr="00F35E64">
        <w:rPr>
          <w:sz w:val="24"/>
          <w:szCs w:val="24"/>
        </w:rPr>
        <w:t>A one-way ANOVA found no main effect of group size on NASA-TLX score (</w:t>
      </w:r>
      <w:r w:rsidRPr="00F35E64">
        <w:rPr>
          <w:i/>
          <w:sz w:val="24"/>
          <w:szCs w:val="24"/>
        </w:rPr>
        <w:t>F</w:t>
      </w:r>
      <w:r w:rsidRPr="00F35E64">
        <w:rPr>
          <w:sz w:val="24"/>
          <w:szCs w:val="24"/>
        </w:rPr>
        <w:t xml:space="preserve">(4, 242) = 0.81, </w:t>
      </w:r>
      <w:r w:rsidRPr="00F35E64">
        <w:rPr>
          <w:i/>
          <w:sz w:val="24"/>
          <w:szCs w:val="24"/>
        </w:rPr>
        <w:t>p</w:t>
      </w:r>
      <w:r w:rsidRPr="00F35E64">
        <w:rPr>
          <w:sz w:val="24"/>
          <w:szCs w:val="24"/>
        </w:rPr>
        <w:t xml:space="preserve"> = .518), and no linear or other trend was identified. There was no main effect of diversity on NASA-TLX score (</w:t>
      </w:r>
      <w:r w:rsidRPr="00F35E64">
        <w:rPr>
          <w:i/>
          <w:sz w:val="24"/>
          <w:szCs w:val="24"/>
        </w:rPr>
        <w:t>F</w:t>
      </w:r>
      <w:r w:rsidRPr="00F35E64">
        <w:rPr>
          <w:sz w:val="24"/>
          <w:szCs w:val="24"/>
        </w:rPr>
        <w:t>(4, 242) = 2.94, mean difference = 2.67, 95% CIs [-0.40, 5.73]</w:t>
      </w:r>
      <w:r w:rsidR="003F3ADE">
        <w:rPr>
          <w:sz w:val="24"/>
          <w:szCs w:val="24"/>
        </w:rPr>
        <w:t xml:space="preserve">. There was </w:t>
      </w:r>
      <w:r w:rsidR="00B627FE">
        <w:rPr>
          <w:sz w:val="24"/>
          <w:szCs w:val="24"/>
        </w:rPr>
        <w:t xml:space="preserve">also </w:t>
      </w:r>
      <w:r w:rsidR="003F3ADE">
        <w:rPr>
          <w:sz w:val="24"/>
          <w:szCs w:val="24"/>
        </w:rPr>
        <w:t>no significant interaction found between group size and diversity</w:t>
      </w:r>
      <w:r w:rsidRPr="00F35E64">
        <w:rPr>
          <w:sz w:val="24"/>
          <w:szCs w:val="24"/>
        </w:rPr>
        <w:t xml:space="preserve">. However, </w:t>
      </w:r>
      <w:r w:rsidR="00E67749">
        <w:rPr>
          <w:sz w:val="24"/>
          <w:szCs w:val="24"/>
        </w:rPr>
        <w:t>p</w:t>
      </w:r>
      <w:r w:rsidR="00436844" w:rsidRPr="00F35E64">
        <w:rPr>
          <w:sz w:val="24"/>
          <w:szCs w:val="24"/>
        </w:rPr>
        <w:t>ost hoc tests identified a significant difference in NASA-TLX score for participants in groups of 19 between high- and low-diversity conditions</w:t>
      </w:r>
      <w:r w:rsidRPr="00F35E64">
        <w:rPr>
          <w:sz w:val="24"/>
          <w:szCs w:val="24"/>
        </w:rPr>
        <w:t xml:space="preserve"> (</w:t>
      </w:r>
      <w:r w:rsidRPr="00F35E64">
        <w:rPr>
          <w:i/>
          <w:sz w:val="24"/>
          <w:szCs w:val="24"/>
        </w:rPr>
        <w:t>t</w:t>
      </w:r>
      <w:r w:rsidRPr="00F35E64">
        <w:rPr>
          <w:sz w:val="24"/>
          <w:szCs w:val="24"/>
        </w:rPr>
        <w:t xml:space="preserve">(50) = 2.26, </w:t>
      </w:r>
      <w:r w:rsidR="006423D9">
        <w:rPr>
          <w:i/>
          <w:sz w:val="24"/>
          <w:szCs w:val="24"/>
        </w:rPr>
        <w:t xml:space="preserve">p = </w:t>
      </w:r>
      <w:r w:rsidR="00EE6006" w:rsidRPr="00EE6006">
        <w:rPr>
          <w:sz w:val="24"/>
          <w:szCs w:val="24"/>
        </w:rPr>
        <w:t>.028</w:t>
      </w:r>
      <w:r w:rsidR="00EE6006">
        <w:rPr>
          <w:sz w:val="24"/>
          <w:szCs w:val="24"/>
        </w:rPr>
        <w:t>,</w:t>
      </w:r>
      <w:r w:rsidR="006423D9" w:rsidRPr="00EE6006">
        <w:rPr>
          <w:sz w:val="24"/>
          <w:szCs w:val="24"/>
        </w:rPr>
        <w:t xml:space="preserve"> </w:t>
      </w:r>
      <w:r w:rsidRPr="00F35E64">
        <w:rPr>
          <w:sz w:val="24"/>
          <w:szCs w:val="24"/>
        </w:rPr>
        <w:t xml:space="preserve">mean difference = 7.33, 95% CIs [0.81, 13.85], Cohen’s </w:t>
      </w:r>
      <w:r w:rsidRPr="00F35E64">
        <w:rPr>
          <w:i/>
          <w:sz w:val="24"/>
          <w:szCs w:val="24"/>
        </w:rPr>
        <w:t>d</w:t>
      </w:r>
      <w:r w:rsidRPr="00F35E64">
        <w:rPr>
          <w:sz w:val="24"/>
          <w:szCs w:val="24"/>
        </w:rPr>
        <w:t xml:space="preserve"> = 0.56 (a medium effect))</w:t>
      </w:r>
      <w:r w:rsidR="00E67749">
        <w:rPr>
          <w:sz w:val="24"/>
          <w:szCs w:val="24"/>
        </w:rPr>
        <w:t>, with task load perceived as higher in the high-diversity condition</w:t>
      </w:r>
      <w:r w:rsidRPr="00F35E64">
        <w:rPr>
          <w:sz w:val="24"/>
          <w:szCs w:val="24"/>
        </w:rPr>
        <w:t xml:space="preserve">. See Figure </w:t>
      </w:r>
      <w:r w:rsidR="00C903BC">
        <w:rPr>
          <w:sz w:val="24"/>
          <w:szCs w:val="24"/>
        </w:rPr>
        <w:t>2</w:t>
      </w:r>
      <w:r w:rsidR="00610662" w:rsidRPr="00F35E64">
        <w:rPr>
          <w:sz w:val="24"/>
          <w:szCs w:val="24"/>
        </w:rPr>
        <w:t xml:space="preserve"> below</w:t>
      </w:r>
      <w:r w:rsidRPr="00F35E64">
        <w:rPr>
          <w:sz w:val="24"/>
          <w:szCs w:val="24"/>
        </w:rPr>
        <w:t xml:space="preserve">. </w:t>
      </w:r>
    </w:p>
    <w:p w14:paraId="47C58CC3" w14:textId="77777777" w:rsidR="0051698B" w:rsidRPr="00F35E64" w:rsidRDefault="0051698B" w:rsidP="00211B87">
      <w:pPr>
        <w:spacing w:line="360" w:lineRule="auto"/>
        <w:rPr>
          <w:sz w:val="24"/>
          <w:szCs w:val="24"/>
        </w:rPr>
      </w:pPr>
      <w:r w:rsidRPr="00F35E64">
        <w:rPr>
          <w:noProof/>
          <w:sz w:val="24"/>
          <w:szCs w:val="24"/>
          <w:lang w:eastAsia="en-GB"/>
        </w:rPr>
        <w:lastRenderedPageBreak/>
        <w:drawing>
          <wp:inline distT="0" distB="0" distL="0" distR="0" wp14:anchorId="766B1C8F" wp14:editId="0EEECA15">
            <wp:extent cx="5991225" cy="3525968"/>
            <wp:effectExtent l="0" t="0" r="0" b="0"/>
            <wp:docPr id="12" name="Picture 12" descr="Figure shows the mean NASA-TLX score by group size and diversity. Error bars ar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shows the mean NASA-TLX score by group size and diversity. Error bars are 95% confidence interval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1291" cy="3537778"/>
                    </a:xfrm>
                    <a:prstGeom prst="rect">
                      <a:avLst/>
                    </a:prstGeom>
                    <a:noFill/>
                    <a:ln>
                      <a:noFill/>
                    </a:ln>
                  </pic:spPr>
                </pic:pic>
              </a:graphicData>
            </a:graphic>
          </wp:inline>
        </w:drawing>
      </w:r>
    </w:p>
    <w:p w14:paraId="00B60011" w14:textId="7D1610B2" w:rsidR="0051698B" w:rsidRPr="00F35E64" w:rsidRDefault="00930DBC" w:rsidP="00211B87">
      <w:pPr>
        <w:spacing w:line="360" w:lineRule="auto"/>
        <w:rPr>
          <w:sz w:val="24"/>
          <w:szCs w:val="24"/>
        </w:rPr>
      </w:pPr>
      <w:r w:rsidRPr="00F35E64">
        <w:rPr>
          <w:i/>
          <w:sz w:val="24"/>
          <w:szCs w:val="24"/>
        </w:rPr>
        <w:t xml:space="preserve">Figure </w:t>
      </w:r>
      <w:r w:rsidR="00C903BC">
        <w:rPr>
          <w:i/>
          <w:sz w:val="24"/>
          <w:szCs w:val="24"/>
        </w:rPr>
        <w:t>2</w:t>
      </w:r>
      <w:r w:rsidR="0051698B" w:rsidRPr="00F35E64">
        <w:rPr>
          <w:i/>
          <w:sz w:val="24"/>
          <w:szCs w:val="24"/>
        </w:rPr>
        <w:t xml:space="preserve">. </w:t>
      </w:r>
      <w:r w:rsidR="0051698B" w:rsidRPr="00F35E64">
        <w:rPr>
          <w:sz w:val="24"/>
          <w:szCs w:val="24"/>
        </w:rPr>
        <w:t>Mean NASA-TLX score by group size and diversity. Error bars are 95% confidence intervals.</w:t>
      </w:r>
    </w:p>
    <w:p w14:paraId="612D3CE1" w14:textId="0FC3A721" w:rsidR="0051698B" w:rsidRPr="00F35E64" w:rsidRDefault="0051698B" w:rsidP="00211B87">
      <w:pPr>
        <w:spacing w:line="360" w:lineRule="auto"/>
        <w:rPr>
          <w:b/>
          <w:sz w:val="24"/>
          <w:szCs w:val="24"/>
        </w:rPr>
      </w:pPr>
      <w:r w:rsidRPr="00F35E64">
        <w:rPr>
          <w:b/>
          <w:sz w:val="24"/>
          <w:szCs w:val="24"/>
        </w:rPr>
        <w:t>NASA-TLX sub</w:t>
      </w:r>
      <w:r w:rsidR="00F2091B">
        <w:rPr>
          <w:b/>
          <w:sz w:val="24"/>
          <w:szCs w:val="24"/>
        </w:rPr>
        <w:t>-</w:t>
      </w:r>
      <w:r w:rsidRPr="00F35E64">
        <w:rPr>
          <w:b/>
          <w:sz w:val="24"/>
          <w:szCs w:val="24"/>
        </w:rPr>
        <w:t>scales</w:t>
      </w:r>
    </w:p>
    <w:p w14:paraId="2F3335CB" w14:textId="4E2DAC5B" w:rsidR="00173FB0" w:rsidRPr="00494AAF" w:rsidRDefault="0051698B" w:rsidP="00494AAF">
      <w:pPr>
        <w:spacing w:line="360" w:lineRule="auto"/>
        <w:rPr>
          <w:sz w:val="24"/>
          <w:szCs w:val="24"/>
        </w:rPr>
      </w:pPr>
      <w:r w:rsidRPr="00F35E64">
        <w:rPr>
          <w:sz w:val="24"/>
          <w:szCs w:val="24"/>
        </w:rPr>
        <w:t xml:space="preserve">As described </w:t>
      </w:r>
      <w:r w:rsidR="00763EC0">
        <w:rPr>
          <w:sz w:val="24"/>
          <w:szCs w:val="24"/>
        </w:rPr>
        <w:t>in the Method section</w:t>
      </w:r>
      <w:r w:rsidRPr="00F35E64">
        <w:rPr>
          <w:sz w:val="24"/>
          <w:szCs w:val="24"/>
        </w:rPr>
        <w:t xml:space="preserve">, the NASA-TLX </w:t>
      </w:r>
      <w:r w:rsidR="00FD4F3F" w:rsidRPr="00F35E64">
        <w:rPr>
          <w:sz w:val="24"/>
          <w:szCs w:val="24"/>
        </w:rPr>
        <w:t>is composed of 6 sub</w:t>
      </w:r>
      <w:r w:rsidR="00F2091B">
        <w:rPr>
          <w:sz w:val="24"/>
          <w:szCs w:val="24"/>
        </w:rPr>
        <w:t>-</w:t>
      </w:r>
      <w:r w:rsidR="00FD4F3F" w:rsidRPr="00F35E64">
        <w:rPr>
          <w:sz w:val="24"/>
          <w:szCs w:val="24"/>
        </w:rPr>
        <w:t>scales: mental demand, physical demand, temporal demand, performance, effort, and frustration</w:t>
      </w:r>
      <w:r w:rsidRPr="00F35E64">
        <w:rPr>
          <w:sz w:val="24"/>
          <w:szCs w:val="24"/>
        </w:rPr>
        <w:t xml:space="preserve">. There is evidence that measurement of cognitive load using the NASA-TLX should take account </w:t>
      </w:r>
      <w:r w:rsidR="006423D9">
        <w:rPr>
          <w:sz w:val="24"/>
          <w:szCs w:val="24"/>
        </w:rPr>
        <w:t xml:space="preserve">of </w:t>
      </w:r>
      <w:r w:rsidRPr="00F35E64">
        <w:rPr>
          <w:sz w:val="24"/>
          <w:szCs w:val="24"/>
        </w:rPr>
        <w:t>each sub</w:t>
      </w:r>
      <w:r w:rsidR="00F2091B">
        <w:rPr>
          <w:sz w:val="24"/>
          <w:szCs w:val="24"/>
        </w:rPr>
        <w:t>-</w:t>
      </w:r>
      <w:r w:rsidRPr="00F35E64">
        <w:rPr>
          <w:sz w:val="24"/>
          <w:szCs w:val="24"/>
        </w:rPr>
        <w:t>scale separately (Galy, Paxion, &amp; Berthelon, 2018). ANOVAs were therefore carried out with group size and diversity as independent variables and each of the six sub</w:t>
      </w:r>
      <w:r w:rsidR="00F2091B">
        <w:rPr>
          <w:sz w:val="24"/>
          <w:szCs w:val="24"/>
        </w:rPr>
        <w:t>-</w:t>
      </w:r>
      <w:r w:rsidRPr="00F35E64">
        <w:rPr>
          <w:sz w:val="24"/>
          <w:szCs w:val="24"/>
        </w:rPr>
        <w:t xml:space="preserve">scales as </w:t>
      </w:r>
      <w:r w:rsidR="008F2A32" w:rsidRPr="00F35E64">
        <w:rPr>
          <w:sz w:val="24"/>
          <w:szCs w:val="24"/>
        </w:rPr>
        <w:t>dependent variable</w:t>
      </w:r>
      <w:r w:rsidRPr="00F35E64">
        <w:rPr>
          <w:sz w:val="24"/>
          <w:szCs w:val="24"/>
        </w:rPr>
        <w:t>s. No effect of group size was found for any sub</w:t>
      </w:r>
      <w:r w:rsidR="00F2091B">
        <w:rPr>
          <w:sz w:val="24"/>
          <w:szCs w:val="24"/>
        </w:rPr>
        <w:t>-</w:t>
      </w:r>
      <w:r w:rsidRPr="00F35E64">
        <w:rPr>
          <w:sz w:val="24"/>
          <w:szCs w:val="24"/>
        </w:rPr>
        <w:t xml:space="preserve">scale. </w:t>
      </w:r>
      <w:r w:rsidR="00AF5C86">
        <w:rPr>
          <w:sz w:val="24"/>
          <w:szCs w:val="24"/>
        </w:rPr>
        <w:t xml:space="preserve">Note, however, that the NASA-TLX subscales were originally devised to measure perceived information load within a variety of tasks and one of the subscales, that of “physical demand”, had little prior face validity in our current experimental study. </w:t>
      </w:r>
      <w:r w:rsidRPr="00F35E64">
        <w:rPr>
          <w:sz w:val="24"/>
          <w:szCs w:val="24"/>
        </w:rPr>
        <w:t xml:space="preserve">An effect of diversity was found only on the performance subscale (“how successful were you in accomplishing what you were asked to do?”), with participants in high-diversity groups perceiving that they were </w:t>
      </w:r>
      <w:r w:rsidR="00173FB0" w:rsidRPr="00F35E64">
        <w:rPr>
          <w:sz w:val="24"/>
          <w:szCs w:val="24"/>
        </w:rPr>
        <w:t>less</w:t>
      </w:r>
      <w:r w:rsidRPr="00F35E64">
        <w:rPr>
          <w:sz w:val="24"/>
          <w:szCs w:val="24"/>
        </w:rPr>
        <w:t xml:space="preserve"> successful than those in low-diversity groups</w:t>
      </w:r>
      <w:r w:rsidR="00817AF2" w:rsidRPr="00F35E64">
        <w:rPr>
          <w:rStyle w:val="FootnoteReference"/>
          <w:sz w:val="24"/>
          <w:szCs w:val="24"/>
        </w:rPr>
        <w:footnoteReference w:id="1"/>
      </w:r>
      <w:r w:rsidRPr="00F35E64">
        <w:rPr>
          <w:sz w:val="24"/>
          <w:szCs w:val="24"/>
        </w:rPr>
        <w:t xml:space="preserve"> (F(1, 242) = 4.64, difference = .99, 95% CIs [.09, 1.89], </w:t>
      </w:r>
      <w:r w:rsidRPr="006423D9">
        <w:rPr>
          <w:i/>
          <w:sz w:val="24"/>
          <w:szCs w:val="24"/>
        </w:rPr>
        <w:t>p</w:t>
      </w:r>
      <w:r w:rsidRPr="00F35E64">
        <w:rPr>
          <w:sz w:val="24"/>
          <w:szCs w:val="24"/>
        </w:rPr>
        <w:t xml:space="preserve"> = </w:t>
      </w:r>
      <w:r w:rsidRPr="00F35E64">
        <w:rPr>
          <w:sz w:val="24"/>
          <w:szCs w:val="24"/>
        </w:rPr>
        <w:lastRenderedPageBreak/>
        <w:t xml:space="preserve">.032, partial eta squared = .02 (a small effect). See Figure </w:t>
      </w:r>
      <w:r w:rsidR="00C903BC">
        <w:rPr>
          <w:sz w:val="24"/>
          <w:szCs w:val="24"/>
        </w:rPr>
        <w:t>3</w:t>
      </w:r>
      <w:r w:rsidRPr="00F35E64">
        <w:rPr>
          <w:sz w:val="24"/>
          <w:szCs w:val="24"/>
        </w:rPr>
        <w:t xml:space="preserve"> below.</w:t>
      </w:r>
      <w:r w:rsidR="00B8100A" w:rsidRPr="00F35E64">
        <w:rPr>
          <w:sz w:val="24"/>
          <w:szCs w:val="24"/>
        </w:rPr>
        <w:t xml:space="preserve"> Our </w:t>
      </w:r>
      <w:r w:rsidR="001E1221">
        <w:rPr>
          <w:sz w:val="24"/>
          <w:szCs w:val="24"/>
        </w:rPr>
        <w:t xml:space="preserve">tentative </w:t>
      </w:r>
      <w:r w:rsidR="00B8100A" w:rsidRPr="00F35E64">
        <w:rPr>
          <w:sz w:val="24"/>
          <w:szCs w:val="24"/>
        </w:rPr>
        <w:t xml:space="preserve">inference </w:t>
      </w:r>
      <w:r w:rsidR="005926CB" w:rsidRPr="00F35E64">
        <w:rPr>
          <w:sz w:val="24"/>
          <w:szCs w:val="24"/>
        </w:rPr>
        <w:t xml:space="preserve">from this final result </w:t>
      </w:r>
      <w:r w:rsidR="00B8100A" w:rsidRPr="00F35E64">
        <w:rPr>
          <w:sz w:val="24"/>
          <w:szCs w:val="24"/>
        </w:rPr>
        <w:t xml:space="preserve">is that the salience of alternative viewpoints revealed in the high-diversity group setting </w:t>
      </w:r>
      <w:r w:rsidR="002324D5">
        <w:rPr>
          <w:sz w:val="24"/>
          <w:szCs w:val="24"/>
        </w:rPr>
        <w:t xml:space="preserve">may have </w:t>
      </w:r>
      <w:r w:rsidR="00B8100A" w:rsidRPr="00F35E64">
        <w:rPr>
          <w:sz w:val="24"/>
          <w:szCs w:val="24"/>
        </w:rPr>
        <w:t>focused participants’ attention on the difficulty of the task that they faced</w:t>
      </w:r>
      <w:r w:rsidR="002324D5">
        <w:rPr>
          <w:rStyle w:val="FootnoteReference"/>
          <w:sz w:val="24"/>
          <w:szCs w:val="24"/>
        </w:rPr>
        <w:footnoteReference w:id="2"/>
      </w:r>
      <w:r w:rsidR="00B8100A" w:rsidRPr="00F35E64">
        <w:rPr>
          <w:sz w:val="24"/>
          <w:szCs w:val="24"/>
        </w:rPr>
        <w:t>.</w:t>
      </w:r>
    </w:p>
    <w:p w14:paraId="187C97D7" w14:textId="1BE7D053" w:rsidR="00880350" w:rsidRPr="00880350" w:rsidRDefault="00880350" w:rsidP="00880350">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F46ACB3" wp14:editId="0F4DEC1F">
            <wp:extent cx="4591050" cy="2696110"/>
            <wp:effectExtent l="0" t="0" r="0" b="9525"/>
            <wp:docPr id="14" name="Picture 14" descr="Figure shows the mean NASA-TLX performance sub-scale score by diversity. Error bars ar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shows the mean NASA-TLX performance sub-scale score by diversity. Error bars are 95% confidence interva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5630" cy="2710545"/>
                    </a:xfrm>
                    <a:prstGeom prst="rect">
                      <a:avLst/>
                    </a:prstGeom>
                    <a:noFill/>
                  </pic:spPr>
                </pic:pic>
              </a:graphicData>
            </a:graphic>
          </wp:inline>
        </w:drawing>
      </w:r>
    </w:p>
    <w:p w14:paraId="54AA57E1" w14:textId="4FF48264" w:rsidR="00B8100A" w:rsidRPr="00F35E64" w:rsidRDefault="00930DBC" w:rsidP="00211B87">
      <w:pPr>
        <w:spacing w:line="360" w:lineRule="auto"/>
        <w:rPr>
          <w:sz w:val="24"/>
          <w:szCs w:val="24"/>
        </w:rPr>
      </w:pPr>
      <w:r w:rsidRPr="00F35E64">
        <w:rPr>
          <w:i/>
          <w:sz w:val="24"/>
          <w:szCs w:val="24"/>
        </w:rPr>
        <w:t xml:space="preserve">Figure </w:t>
      </w:r>
      <w:r w:rsidR="00C903BC">
        <w:rPr>
          <w:i/>
          <w:sz w:val="24"/>
          <w:szCs w:val="24"/>
        </w:rPr>
        <w:t>3</w:t>
      </w:r>
      <w:r w:rsidR="008F2A32" w:rsidRPr="00F35E64">
        <w:rPr>
          <w:i/>
          <w:sz w:val="24"/>
          <w:szCs w:val="24"/>
        </w:rPr>
        <w:t xml:space="preserve">. </w:t>
      </w:r>
      <w:r w:rsidR="008F2A32" w:rsidRPr="00F35E64">
        <w:rPr>
          <w:sz w:val="24"/>
          <w:szCs w:val="24"/>
        </w:rPr>
        <w:t xml:space="preserve">Mean NASA-TLX </w:t>
      </w:r>
      <w:r w:rsidR="00332F88" w:rsidRPr="00F35E64">
        <w:rPr>
          <w:sz w:val="24"/>
          <w:szCs w:val="24"/>
        </w:rPr>
        <w:t>performance sub</w:t>
      </w:r>
      <w:r w:rsidR="00F2091B">
        <w:rPr>
          <w:sz w:val="24"/>
          <w:szCs w:val="24"/>
        </w:rPr>
        <w:t>-</w:t>
      </w:r>
      <w:r w:rsidR="00332F88" w:rsidRPr="00F35E64">
        <w:rPr>
          <w:sz w:val="24"/>
          <w:szCs w:val="24"/>
        </w:rPr>
        <w:t xml:space="preserve">scale </w:t>
      </w:r>
      <w:r w:rsidR="008F2A32" w:rsidRPr="00F35E64">
        <w:rPr>
          <w:sz w:val="24"/>
          <w:szCs w:val="24"/>
        </w:rPr>
        <w:t>score by diversity. Error bars are 95% confidence intervals.</w:t>
      </w:r>
    </w:p>
    <w:p w14:paraId="36E9F5A8" w14:textId="77777777" w:rsidR="003F622D" w:rsidRPr="00F35E64" w:rsidRDefault="003F622D" w:rsidP="003F622D">
      <w:pPr>
        <w:spacing w:line="360" w:lineRule="auto"/>
        <w:rPr>
          <w:b/>
          <w:sz w:val="24"/>
          <w:szCs w:val="24"/>
        </w:rPr>
      </w:pPr>
      <w:r w:rsidRPr="00F35E64">
        <w:rPr>
          <w:b/>
          <w:sz w:val="24"/>
          <w:szCs w:val="24"/>
        </w:rPr>
        <w:t>Time taken to complete the study</w:t>
      </w:r>
    </w:p>
    <w:p w14:paraId="4881F703" w14:textId="3FC4D7ED" w:rsidR="003F622D" w:rsidRPr="00F35E64" w:rsidRDefault="003F622D" w:rsidP="003F622D">
      <w:pPr>
        <w:spacing w:line="360" w:lineRule="auto"/>
        <w:rPr>
          <w:sz w:val="24"/>
          <w:szCs w:val="24"/>
        </w:rPr>
      </w:pPr>
      <w:r w:rsidRPr="00F35E64">
        <w:rPr>
          <w:sz w:val="24"/>
          <w:szCs w:val="24"/>
        </w:rPr>
        <w:t xml:space="preserve">Descriptive statistics for the time participants took to complete the study (in minutes) are presented in Table </w:t>
      </w:r>
      <w:r w:rsidR="00FE7846">
        <w:rPr>
          <w:sz w:val="24"/>
          <w:szCs w:val="24"/>
        </w:rPr>
        <w:t>2</w:t>
      </w:r>
      <w:r w:rsidRPr="00F35E64">
        <w:rPr>
          <w:sz w:val="24"/>
          <w:szCs w:val="24"/>
        </w:rPr>
        <w:t xml:space="preserve"> below.</w:t>
      </w:r>
    </w:p>
    <w:p w14:paraId="3CEE04C8" w14:textId="779BD810" w:rsidR="003F622D" w:rsidRPr="00F35E64" w:rsidRDefault="003F622D" w:rsidP="003F622D">
      <w:pPr>
        <w:spacing w:line="360" w:lineRule="auto"/>
        <w:rPr>
          <w:sz w:val="24"/>
          <w:szCs w:val="24"/>
        </w:rPr>
      </w:pPr>
      <w:r w:rsidRPr="00F35E64">
        <w:rPr>
          <w:sz w:val="24"/>
          <w:szCs w:val="24"/>
        </w:rPr>
        <w:t xml:space="preserve">Table </w:t>
      </w:r>
      <w:r w:rsidR="00FE7846">
        <w:rPr>
          <w:sz w:val="24"/>
          <w:szCs w:val="24"/>
        </w:rPr>
        <w:t>2</w:t>
      </w:r>
      <w:r w:rsidRPr="00F35E64">
        <w:rPr>
          <w:sz w:val="24"/>
          <w:szCs w:val="24"/>
        </w:rPr>
        <w:t xml:space="preserve">. </w:t>
      </w:r>
    </w:p>
    <w:p w14:paraId="123A4C91" w14:textId="77777777" w:rsidR="003F622D" w:rsidRPr="00F35E64" w:rsidRDefault="003F622D" w:rsidP="003F622D">
      <w:pPr>
        <w:spacing w:line="360" w:lineRule="auto"/>
        <w:rPr>
          <w:sz w:val="24"/>
          <w:szCs w:val="24"/>
        </w:rPr>
      </w:pPr>
      <w:r w:rsidRPr="00F35E64">
        <w:rPr>
          <w:sz w:val="24"/>
          <w:szCs w:val="24"/>
        </w:rPr>
        <w:t>Means and standard deviations of total time taken (minutes) by group size and diversity</w:t>
      </w:r>
    </w:p>
    <w:tbl>
      <w:tblPr>
        <w:tblW w:w="8505" w:type="dxa"/>
        <w:tblInd w:w="284" w:type="dxa"/>
        <w:tblLayout w:type="fixed"/>
        <w:tblCellMar>
          <w:left w:w="0" w:type="dxa"/>
          <w:right w:w="0" w:type="dxa"/>
        </w:tblCellMar>
        <w:tblLook w:val="0000" w:firstRow="0" w:lastRow="0" w:firstColumn="0" w:lastColumn="0" w:noHBand="0" w:noVBand="0"/>
      </w:tblPr>
      <w:tblGrid>
        <w:gridCol w:w="1843"/>
        <w:gridCol w:w="1701"/>
        <w:gridCol w:w="1701"/>
        <w:gridCol w:w="1842"/>
        <w:gridCol w:w="1418"/>
      </w:tblGrid>
      <w:tr w:rsidR="003F622D" w:rsidRPr="00F35E64" w14:paraId="04891A46" w14:textId="77777777" w:rsidTr="00513057">
        <w:trPr>
          <w:cantSplit/>
        </w:trPr>
        <w:tc>
          <w:tcPr>
            <w:tcW w:w="1843" w:type="dxa"/>
            <w:tcBorders>
              <w:top w:val="single" w:sz="4" w:space="0" w:color="auto"/>
            </w:tcBorders>
            <w:shd w:val="clear" w:color="auto" w:fill="auto"/>
            <w:vAlign w:val="bottom"/>
          </w:tcPr>
          <w:p w14:paraId="61981D55" w14:textId="77777777" w:rsidR="003F622D" w:rsidRPr="00F35E64" w:rsidRDefault="003F622D" w:rsidP="00513057">
            <w:pPr>
              <w:spacing w:after="0" w:line="360" w:lineRule="auto"/>
              <w:rPr>
                <w:sz w:val="24"/>
                <w:szCs w:val="24"/>
              </w:rPr>
            </w:pPr>
            <w:r w:rsidRPr="00F35E64">
              <w:rPr>
                <w:sz w:val="24"/>
                <w:szCs w:val="24"/>
              </w:rPr>
              <w:t>Group size</w:t>
            </w:r>
          </w:p>
        </w:tc>
        <w:tc>
          <w:tcPr>
            <w:tcW w:w="3402" w:type="dxa"/>
            <w:gridSpan w:val="2"/>
            <w:tcBorders>
              <w:top w:val="single" w:sz="4" w:space="0" w:color="auto"/>
              <w:bottom w:val="single" w:sz="4" w:space="0" w:color="auto"/>
            </w:tcBorders>
            <w:shd w:val="clear" w:color="auto" w:fill="auto"/>
            <w:vAlign w:val="bottom"/>
          </w:tcPr>
          <w:p w14:paraId="23AA2ABC" w14:textId="77777777" w:rsidR="003F622D" w:rsidRPr="00F35E64" w:rsidRDefault="003F622D" w:rsidP="00513057">
            <w:pPr>
              <w:spacing w:after="0" w:line="360" w:lineRule="auto"/>
              <w:rPr>
                <w:sz w:val="24"/>
                <w:szCs w:val="24"/>
              </w:rPr>
            </w:pPr>
            <w:r w:rsidRPr="00F35E64">
              <w:rPr>
                <w:sz w:val="24"/>
                <w:szCs w:val="24"/>
              </w:rPr>
              <w:t>Low Diversity</w:t>
            </w:r>
          </w:p>
        </w:tc>
        <w:tc>
          <w:tcPr>
            <w:tcW w:w="3260" w:type="dxa"/>
            <w:gridSpan w:val="2"/>
            <w:tcBorders>
              <w:top w:val="single" w:sz="4" w:space="0" w:color="auto"/>
              <w:bottom w:val="single" w:sz="4" w:space="0" w:color="auto"/>
            </w:tcBorders>
          </w:tcPr>
          <w:p w14:paraId="52363481" w14:textId="77777777" w:rsidR="003F622D" w:rsidRPr="00F35E64" w:rsidRDefault="003F622D" w:rsidP="00513057">
            <w:pPr>
              <w:spacing w:after="0" w:line="360" w:lineRule="auto"/>
              <w:rPr>
                <w:sz w:val="24"/>
                <w:szCs w:val="24"/>
              </w:rPr>
            </w:pPr>
            <w:r w:rsidRPr="00F35E64">
              <w:rPr>
                <w:sz w:val="24"/>
                <w:szCs w:val="24"/>
              </w:rPr>
              <w:t>High Diversity</w:t>
            </w:r>
          </w:p>
        </w:tc>
      </w:tr>
      <w:tr w:rsidR="003F622D" w:rsidRPr="00F35E64" w14:paraId="331BEB6D" w14:textId="77777777" w:rsidTr="00513057">
        <w:trPr>
          <w:cantSplit/>
        </w:trPr>
        <w:tc>
          <w:tcPr>
            <w:tcW w:w="1843" w:type="dxa"/>
            <w:tcBorders>
              <w:bottom w:val="single" w:sz="4" w:space="0" w:color="auto"/>
            </w:tcBorders>
            <w:shd w:val="clear" w:color="auto" w:fill="auto"/>
            <w:vAlign w:val="bottom"/>
          </w:tcPr>
          <w:p w14:paraId="1AC1A801" w14:textId="77777777" w:rsidR="003F622D" w:rsidRPr="00F35E64" w:rsidRDefault="003F622D" w:rsidP="00513057">
            <w:pPr>
              <w:spacing w:after="0" w:line="360" w:lineRule="auto"/>
              <w:rPr>
                <w:sz w:val="24"/>
                <w:szCs w:val="24"/>
              </w:rPr>
            </w:pPr>
          </w:p>
        </w:tc>
        <w:tc>
          <w:tcPr>
            <w:tcW w:w="1701" w:type="dxa"/>
            <w:tcBorders>
              <w:top w:val="single" w:sz="4" w:space="0" w:color="auto"/>
              <w:bottom w:val="single" w:sz="4" w:space="0" w:color="auto"/>
            </w:tcBorders>
            <w:shd w:val="clear" w:color="auto" w:fill="auto"/>
            <w:vAlign w:val="bottom"/>
          </w:tcPr>
          <w:p w14:paraId="1256E729" w14:textId="77777777" w:rsidR="003F622D" w:rsidRPr="00F35E64" w:rsidRDefault="003F622D" w:rsidP="00513057">
            <w:pPr>
              <w:spacing w:after="0" w:line="360" w:lineRule="auto"/>
              <w:rPr>
                <w:sz w:val="24"/>
                <w:szCs w:val="24"/>
              </w:rPr>
            </w:pPr>
            <w:r w:rsidRPr="00F35E64">
              <w:rPr>
                <w:sz w:val="24"/>
                <w:szCs w:val="24"/>
              </w:rPr>
              <w:t>Mean</w:t>
            </w:r>
          </w:p>
        </w:tc>
        <w:tc>
          <w:tcPr>
            <w:tcW w:w="1701" w:type="dxa"/>
            <w:tcBorders>
              <w:top w:val="single" w:sz="4" w:space="0" w:color="auto"/>
              <w:bottom w:val="single" w:sz="4" w:space="0" w:color="auto"/>
            </w:tcBorders>
            <w:shd w:val="clear" w:color="auto" w:fill="auto"/>
            <w:vAlign w:val="bottom"/>
          </w:tcPr>
          <w:p w14:paraId="2AEEDD99" w14:textId="77777777" w:rsidR="003F622D" w:rsidRPr="00F35E64" w:rsidRDefault="003F622D" w:rsidP="00513057">
            <w:pPr>
              <w:spacing w:after="0" w:line="360" w:lineRule="auto"/>
              <w:rPr>
                <w:sz w:val="24"/>
                <w:szCs w:val="24"/>
              </w:rPr>
            </w:pPr>
            <w:r w:rsidRPr="00F35E64">
              <w:rPr>
                <w:sz w:val="24"/>
                <w:szCs w:val="24"/>
              </w:rPr>
              <w:t>SD</w:t>
            </w:r>
          </w:p>
        </w:tc>
        <w:tc>
          <w:tcPr>
            <w:tcW w:w="1842" w:type="dxa"/>
            <w:tcBorders>
              <w:top w:val="single" w:sz="4" w:space="0" w:color="auto"/>
              <w:bottom w:val="single" w:sz="4" w:space="0" w:color="auto"/>
            </w:tcBorders>
          </w:tcPr>
          <w:p w14:paraId="28B7F7EC" w14:textId="77777777" w:rsidR="003F622D" w:rsidRPr="00F35E64" w:rsidRDefault="003F622D" w:rsidP="00513057">
            <w:pPr>
              <w:spacing w:after="0" w:line="360" w:lineRule="auto"/>
              <w:rPr>
                <w:sz w:val="24"/>
                <w:szCs w:val="24"/>
              </w:rPr>
            </w:pPr>
            <w:r w:rsidRPr="00F35E64">
              <w:rPr>
                <w:sz w:val="24"/>
                <w:szCs w:val="24"/>
              </w:rPr>
              <w:t>Mean</w:t>
            </w:r>
          </w:p>
        </w:tc>
        <w:tc>
          <w:tcPr>
            <w:tcW w:w="1418" w:type="dxa"/>
            <w:tcBorders>
              <w:top w:val="single" w:sz="4" w:space="0" w:color="auto"/>
              <w:bottom w:val="single" w:sz="4" w:space="0" w:color="auto"/>
            </w:tcBorders>
          </w:tcPr>
          <w:p w14:paraId="34AEDB32" w14:textId="77777777" w:rsidR="003F622D" w:rsidRPr="00F35E64" w:rsidRDefault="003F622D" w:rsidP="00513057">
            <w:pPr>
              <w:spacing w:after="0" w:line="360" w:lineRule="auto"/>
              <w:rPr>
                <w:sz w:val="24"/>
                <w:szCs w:val="24"/>
              </w:rPr>
            </w:pPr>
            <w:r w:rsidRPr="00F35E64">
              <w:rPr>
                <w:sz w:val="24"/>
                <w:szCs w:val="24"/>
              </w:rPr>
              <w:t>SD</w:t>
            </w:r>
          </w:p>
        </w:tc>
      </w:tr>
      <w:tr w:rsidR="003F622D" w:rsidRPr="00F35E64" w14:paraId="028AB076" w14:textId="77777777" w:rsidTr="00513057">
        <w:trPr>
          <w:cantSplit/>
        </w:trPr>
        <w:tc>
          <w:tcPr>
            <w:tcW w:w="1843" w:type="dxa"/>
            <w:tcBorders>
              <w:top w:val="single" w:sz="4" w:space="0" w:color="auto"/>
            </w:tcBorders>
            <w:shd w:val="clear" w:color="auto" w:fill="auto"/>
          </w:tcPr>
          <w:p w14:paraId="51237B67" w14:textId="77777777" w:rsidR="003F622D" w:rsidRPr="00F35E64" w:rsidRDefault="003F622D" w:rsidP="00513057">
            <w:pPr>
              <w:spacing w:after="0" w:line="360" w:lineRule="auto"/>
              <w:rPr>
                <w:sz w:val="24"/>
                <w:szCs w:val="24"/>
              </w:rPr>
            </w:pPr>
            <w:r w:rsidRPr="00F35E64">
              <w:rPr>
                <w:sz w:val="24"/>
                <w:szCs w:val="24"/>
              </w:rPr>
              <w:t>7</w:t>
            </w:r>
          </w:p>
        </w:tc>
        <w:tc>
          <w:tcPr>
            <w:tcW w:w="1701" w:type="dxa"/>
            <w:tcBorders>
              <w:top w:val="single" w:sz="4" w:space="0" w:color="auto"/>
            </w:tcBorders>
            <w:shd w:val="clear" w:color="auto" w:fill="auto"/>
          </w:tcPr>
          <w:p w14:paraId="59421135" w14:textId="77777777" w:rsidR="003F622D" w:rsidRPr="00F35E64" w:rsidRDefault="003F622D" w:rsidP="00513057">
            <w:pPr>
              <w:spacing w:after="0" w:line="360" w:lineRule="auto"/>
              <w:rPr>
                <w:sz w:val="24"/>
                <w:szCs w:val="24"/>
              </w:rPr>
            </w:pPr>
            <w:r w:rsidRPr="00F35E64">
              <w:rPr>
                <w:sz w:val="24"/>
                <w:szCs w:val="24"/>
              </w:rPr>
              <w:t>41.43</w:t>
            </w:r>
          </w:p>
        </w:tc>
        <w:tc>
          <w:tcPr>
            <w:tcW w:w="1701" w:type="dxa"/>
            <w:tcBorders>
              <w:top w:val="single" w:sz="4" w:space="0" w:color="auto"/>
            </w:tcBorders>
            <w:shd w:val="clear" w:color="auto" w:fill="auto"/>
          </w:tcPr>
          <w:p w14:paraId="569B0295" w14:textId="77777777" w:rsidR="003F622D" w:rsidRPr="00F35E64" w:rsidRDefault="003F622D" w:rsidP="00513057">
            <w:pPr>
              <w:spacing w:after="0" w:line="360" w:lineRule="auto"/>
              <w:rPr>
                <w:sz w:val="24"/>
                <w:szCs w:val="24"/>
              </w:rPr>
            </w:pPr>
            <w:r w:rsidRPr="00F35E64">
              <w:rPr>
                <w:sz w:val="24"/>
                <w:szCs w:val="24"/>
              </w:rPr>
              <w:t>15.162</w:t>
            </w:r>
          </w:p>
        </w:tc>
        <w:tc>
          <w:tcPr>
            <w:tcW w:w="1842" w:type="dxa"/>
            <w:tcBorders>
              <w:top w:val="single" w:sz="4" w:space="0" w:color="auto"/>
            </w:tcBorders>
          </w:tcPr>
          <w:p w14:paraId="13BEF04A" w14:textId="77777777" w:rsidR="003F622D" w:rsidRPr="00F35E64" w:rsidRDefault="003F622D" w:rsidP="00513057">
            <w:pPr>
              <w:spacing w:after="0" w:line="360" w:lineRule="auto"/>
              <w:rPr>
                <w:sz w:val="24"/>
                <w:szCs w:val="24"/>
              </w:rPr>
            </w:pPr>
            <w:r w:rsidRPr="00F35E64">
              <w:rPr>
                <w:sz w:val="24"/>
                <w:szCs w:val="24"/>
              </w:rPr>
              <w:t>48.90</w:t>
            </w:r>
          </w:p>
        </w:tc>
        <w:tc>
          <w:tcPr>
            <w:tcW w:w="1418" w:type="dxa"/>
            <w:tcBorders>
              <w:top w:val="single" w:sz="4" w:space="0" w:color="auto"/>
            </w:tcBorders>
          </w:tcPr>
          <w:p w14:paraId="1F14F86A" w14:textId="77777777" w:rsidR="003F622D" w:rsidRPr="00F35E64" w:rsidRDefault="003F622D" w:rsidP="00513057">
            <w:pPr>
              <w:spacing w:after="0" w:line="360" w:lineRule="auto"/>
              <w:rPr>
                <w:sz w:val="24"/>
                <w:szCs w:val="24"/>
              </w:rPr>
            </w:pPr>
            <w:r w:rsidRPr="00F35E64">
              <w:rPr>
                <w:sz w:val="24"/>
                <w:szCs w:val="24"/>
              </w:rPr>
              <w:t>31.139</w:t>
            </w:r>
          </w:p>
        </w:tc>
      </w:tr>
      <w:tr w:rsidR="003F622D" w:rsidRPr="00F35E64" w14:paraId="1ED7B934" w14:textId="77777777" w:rsidTr="00513057">
        <w:trPr>
          <w:cantSplit/>
        </w:trPr>
        <w:tc>
          <w:tcPr>
            <w:tcW w:w="1843" w:type="dxa"/>
            <w:shd w:val="clear" w:color="auto" w:fill="auto"/>
          </w:tcPr>
          <w:p w14:paraId="1DA049F4" w14:textId="77777777" w:rsidR="003F622D" w:rsidRPr="00F35E64" w:rsidRDefault="003F622D" w:rsidP="00513057">
            <w:pPr>
              <w:spacing w:after="0" w:line="360" w:lineRule="auto"/>
              <w:rPr>
                <w:sz w:val="24"/>
                <w:szCs w:val="24"/>
              </w:rPr>
            </w:pPr>
            <w:r w:rsidRPr="00F35E64">
              <w:rPr>
                <w:sz w:val="24"/>
                <w:szCs w:val="24"/>
              </w:rPr>
              <w:t>10</w:t>
            </w:r>
          </w:p>
        </w:tc>
        <w:tc>
          <w:tcPr>
            <w:tcW w:w="1701" w:type="dxa"/>
            <w:shd w:val="clear" w:color="auto" w:fill="auto"/>
          </w:tcPr>
          <w:p w14:paraId="2941DA21" w14:textId="77777777" w:rsidR="003F622D" w:rsidRPr="00F35E64" w:rsidRDefault="003F622D" w:rsidP="00513057">
            <w:pPr>
              <w:spacing w:after="0" w:line="360" w:lineRule="auto"/>
              <w:rPr>
                <w:sz w:val="24"/>
                <w:szCs w:val="24"/>
              </w:rPr>
            </w:pPr>
            <w:r w:rsidRPr="00F35E64">
              <w:rPr>
                <w:sz w:val="24"/>
                <w:szCs w:val="24"/>
              </w:rPr>
              <w:t>50.02</w:t>
            </w:r>
          </w:p>
        </w:tc>
        <w:tc>
          <w:tcPr>
            <w:tcW w:w="1701" w:type="dxa"/>
            <w:shd w:val="clear" w:color="auto" w:fill="auto"/>
          </w:tcPr>
          <w:p w14:paraId="5E59EF37" w14:textId="77777777" w:rsidR="003F622D" w:rsidRPr="00F35E64" w:rsidRDefault="003F622D" w:rsidP="00513057">
            <w:pPr>
              <w:spacing w:after="0" w:line="360" w:lineRule="auto"/>
              <w:rPr>
                <w:sz w:val="24"/>
                <w:szCs w:val="24"/>
              </w:rPr>
            </w:pPr>
            <w:r w:rsidRPr="00F35E64">
              <w:rPr>
                <w:sz w:val="24"/>
                <w:szCs w:val="24"/>
              </w:rPr>
              <w:t>24.489</w:t>
            </w:r>
          </w:p>
        </w:tc>
        <w:tc>
          <w:tcPr>
            <w:tcW w:w="1842" w:type="dxa"/>
          </w:tcPr>
          <w:p w14:paraId="3B3AF8E8" w14:textId="77777777" w:rsidR="003F622D" w:rsidRPr="00F35E64" w:rsidRDefault="003F622D" w:rsidP="00513057">
            <w:pPr>
              <w:spacing w:after="0" w:line="360" w:lineRule="auto"/>
              <w:rPr>
                <w:sz w:val="24"/>
                <w:szCs w:val="24"/>
              </w:rPr>
            </w:pPr>
            <w:r w:rsidRPr="00F35E64">
              <w:rPr>
                <w:sz w:val="24"/>
                <w:szCs w:val="24"/>
              </w:rPr>
              <w:t>34.79</w:t>
            </w:r>
          </w:p>
        </w:tc>
        <w:tc>
          <w:tcPr>
            <w:tcW w:w="1418" w:type="dxa"/>
          </w:tcPr>
          <w:p w14:paraId="606BB3A5" w14:textId="77777777" w:rsidR="003F622D" w:rsidRPr="00F35E64" w:rsidRDefault="003F622D" w:rsidP="00513057">
            <w:pPr>
              <w:spacing w:after="0" w:line="360" w:lineRule="auto"/>
              <w:rPr>
                <w:sz w:val="24"/>
                <w:szCs w:val="24"/>
              </w:rPr>
            </w:pPr>
            <w:r w:rsidRPr="00F35E64">
              <w:rPr>
                <w:sz w:val="24"/>
                <w:szCs w:val="24"/>
              </w:rPr>
              <w:t>12.884</w:t>
            </w:r>
          </w:p>
        </w:tc>
      </w:tr>
      <w:tr w:rsidR="003F622D" w:rsidRPr="00F35E64" w14:paraId="5B2DA0A2" w14:textId="77777777" w:rsidTr="00513057">
        <w:trPr>
          <w:cantSplit/>
        </w:trPr>
        <w:tc>
          <w:tcPr>
            <w:tcW w:w="1843" w:type="dxa"/>
            <w:shd w:val="clear" w:color="auto" w:fill="auto"/>
          </w:tcPr>
          <w:p w14:paraId="54E8C7D2" w14:textId="77777777" w:rsidR="003F622D" w:rsidRPr="00F35E64" w:rsidRDefault="003F622D" w:rsidP="00513057">
            <w:pPr>
              <w:spacing w:after="0" w:line="360" w:lineRule="auto"/>
              <w:rPr>
                <w:sz w:val="24"/>
                <w:szCs w:val="24"/>
              </w:rPr>
            </w:pPr>
            <w:r w:rsidRPr="00F35E64">
              <w:rPr>
                <w:sz w:val="24"/>
                <w:szCs w:val="24"/>
              </w:rPr>
              <w:t>13</w:t>
            </w:r>
          </w:p>
        </w:tc>
        <w:tc>
          <w:tcPr>
            <w:tcW w:w="1701" w:type="dxa"/>
            <w:shd w:val="clear" w:color="auto" w:fill="auto"/>
          </w:tcPr>
          <w:p w14:paraId="0146AB85" w14:textId="77777777" w:rsidR="003F622D" w:rsidRPr="00F35E64" w:rsidRDefault="003F622D" w:rsidP="00513057">
            <w:pPr>
              <w:spacing w:after="0" w:line="360" w:lineRule="auto"/>
              <w:rPr>
                <w:sz w:val="24"/>
                <w:szCs w:val="24"/>
              </w:rPr>
            </w:pPr>
            <w:r w:rsidRPr="00F35E64">
              <w:rPr>
                <w:sz w:val="24"/>
                <w:szCs w:val="24"/>
              </w:rPr>
              <w:t>44.88</w:t>
            </w:r>
          </w:p>
        </w:tc>
        <w:tc>
          <w:tcPr>
            <w:tcW w:w="1701" w:type="dxa"/>
            <w:shd w:val="clear" w:color="auto" w:fill="auto"/>
          </w:tcPr>
          <w:p w14:paraId="0F2EB3D5" w14:textId="77777777" w:rsidR="003F622D" w:rsidRPr="00F35E64" w:rsidRDefault="003F622D" w:rsidP="00513057">
            <w:pPr>
              <w:spacing w:after="0" w:line="360" w:lineRule="auto"/>
              <w:rPr>
                <w:sz w:val="24"/>
                <w:szCs w:val="24"/>
              </w:rPr>
            </w:pPr>
            <w:r w:rsidRPr="00F35E64">
              <w:rPr>
                <w:sz w:val="24"/>
                <w:szCs w:val="24"/>
              </w:rPr>
              <w:t>25.137</w:t>
            </w:r>
          </w:p>
        </w:tc>
        <w:tc>
          <w:tcPr>
            <w:tcW w:w="1842" w:type="dxa"/>
          </w:tcPr>
          <w:p w14:paraId="0DB5B3CC" w14:textId="77777777" w:rsidR="003F622D" w:rsidRPr="00F35E64" w:rsidRDefault="003F622D" w:rsidP="00513057">
            <w:pPr>
              <w:spacing w:after="0" w:line="360" w:lineRule="auto"/>
              <w:rPr>
                <w:sz w:val="24"/>
                <w:szCs w:val="24"/>
              </w:rPr>
            </w:pPr>
            <w:r w:rsidRPr="00F35E64">
              <w:rPr>
                <w:sz w:val="24"/>
                <w:szCs w:val="24"/>
              </w:rPr>
              <w:t>57.72</w:t>
            </w:r>
          </w:p>
        </w:tc>
        <w:tc>
          <w:tcPr>
            <w:tcW w:w="1418" w:type="dxa"/>
          </w:tcPr>
          <w:p w14:paraId="0EBF47AE" w14:textId="77777777" w:rsidR="003F622D" w:rsidRPr="00F35E64" w:rsidRDefault="003F622D" w:rsidP="00513057">
            <w:pPr>
              <w:spacing w:after="0" w:line="360" w:lineRule="auto"/>
              <w:rPr>
                <w:sz w:val="24"/>
                <w:szCs w:val="24"/>
              </w:rPr>
            </w:pPr>
            <w:r w:rsidRPr="00F35E64">
              <w:rPr>
                <w:sz w:val="24"/>
                <w:szCs w:val="24"/>
              </w:rPr>
              <w:t>39.745</w:t>
            </w:r>
          </w:p>
        </w:tc>
      </w:tr>
      <w:tr w:rsidR="003F622D" w:rsidRPr="00F35E64" w14:paraId="10A7A3D9" w14:textId="77777777" w:rsidTr="00513057">
        <w:trPr>
          <w:cantSplit/>
        </w:trPr>
        <w:tc>
          <w:tcPr>
            <w:tcW w:w="1843" w:type="dxa"/>
            <w:shd w:val="clear" w:color="auto" w:fill="auto"/>
          </w:tcPr>
          <w:p w14:paraId="007854D0" w14:textId="77777777" w:rsidR="003F622D" w:rsidRPr="00F35E64" w:rsidRDefault="003F622D" w:rsidP="00513057">
            <w:pPr>
              <w:spacing w:after="0" w:line="360" w:lineRule="auto"/>
              <w:rPr>
                <w:sz w:val="24"/>
                <w:szCs w:val="24"/>
              </w:rPr>
            </w:pPr>
            <w:r w:rsidRPr="00F35E64">
              <w:rPr>
                <w:sz w:val="24"/>
                <w:szCs w:val="24"/>
              </w:rPr>
              <w:t>16</w:t>
            </w:r>
          </w:p>
        </w:tc>
        <w:tc>
          <w:tcPr>
            <w:tcW w:w="1701" w:type="dxa"/>
            <w:shd w:val="clear" w:color="auto" w:fill="auto"/>
          </w:tcPr>
          <w:p w14:paraId="235A6537" w14:textId="77777777" w:rsidR="003F622D" w:rsidRPr="00F35E64" w:rsidRDefault="003F622D" w:rsidP="00513057">
            <w:pPr>
              <w:spacing w:after="0" w:line="360" w:lineRule="auto"/>
              <w:rPr>
                <w:sz w:val="24"/>
                <w:szCs w:val="24"/>
              </w:rPr>
            </w:pPr>
            <w:r w:rsidRPr="00F35E64">
              <w:rPr>
                <w:sz w:val="24"/>
                <w:szCs w:val="24"/>
              </w:rPr>
              <w:t>48.86</w:t>
            </w:r>
          </w:p>
        </w:tc>
        <w:tc>
          <w:tcPr>
            <w:tcW w:w="1701" w:type="dxa"/>
            <w:shd w:val="clear" w:color="auto" w:fill="auto"/>
          </w:tcPr>
          <w:p w14:paraId="5DE9A48E" w14:textId="77777777" w:rsidR="003F622D" w:rsidRPr="00F35E64" w:rsidRDefault="003F622D" w:rsidP="00513057">
            <w:pPr>
              <w:spacing w:after="0" w:line="360" w:lineRule="auto"/>
              <w:rPr>
                <w:sz w:val="24"/>
                <w:szCs w:val="24"/>
              </w:rPr>
            </w:pPr>
            <w:r w:rsidRPr="00F35E64">
              <w:rPr>
                <w:sz w:val="24"/>
                <w:szCs w:val="24"/>
              </w:rPr>
              <w:t>18.026</w:t>
            </w:r>
          </w:p>
        </w:tc>
        <w:tc>
          <w:tcPr>
            <w:tcW w:w="1842" w:type="dxa"/>
          </w:tcPr>
          <w:p w14:paraId="675ABC0E" w14:textId="77777777" w:rsidR="003F622D" w:rsidRPr="00F35E64" w:rsidRDefault="003F622D" w:rsidP="00513057">
            <w:pPr>
              <w:spacing w:after="0" w:line="360" w:lineRule="auto"/>
              <w:rPr>
                <w:sz w:val="24"/>
                <w:szCs w:val="24"/>
              </w:rPr>
            </w:pPr>
            <w:r w:rsidRPr="00F35E64">
              <w:rPr>
                <w:sz w:val="24"/>
                <w:szCs w:val="24"/>
              </w:rPr>
              <w:t>49.86</w:t>
            </w:r>
          </w:p>
        </w:tc>
        <w:tc>
          <w:tcPr>
            <w:tcW w:w="1418" w:type="dxa"/>
          </w:tcPr>
          <w:p w14:paraId="1EED4CCA" w14:textId="77777777" w:rsidR="003F622D" w:rsidRPr="00F35E64" w:rsidRDefault="003F622D" w:rsidP="00513057">
            <w:pPr>
              <w:spacing w:after="0" w:line="360" w:lineRule="auto"/>
              <w:rPr>
                <w:sz w:val="24"/>
                <w:szCs w:val="24"/>
              </w:rPr>
            </w:pPr>
            <w:r w:rsidRPr="00F35E64">
              <w:rPr>
                <w:sz w:val="24"/>
                <w:szCs w:val="24"/>
              </w:rPr>
              <w:t>24.372</w:t>
            </w:r>
          </w:p>
        </w:tc>
      </w:tr>
      <w:tr w:rsidR="003F622D" w:rsidRPr="00F35E64" w14:paraId="43A570C5" w14:textId="77777777" w:rsidTr="00513057">
        <w:trPr>
          <w:cantSplit/>
        </w:trPr>
        <w:tc>
          <w:tcPr>
            <w:tcW w:w="1843" w:type="dxa"/>
            <w:tcBorders>
              <w:bottom w:val="single" w:sz="4" w:space="0" w:color="auto"/>
            </w:tcBorders>
            <w:shd w:val="clear" w:color="auto" w:fill="auto"/>
          </w:tcPr>
          <w:p w14:paraId="0A4573BB" w14:textId="77777777" w:rsidR="003F622D" w:rsidRPr="00F35E64" w:rsidRDefault="003F622D" w:rsidP="00513057">
            <w:pPr>
              <w:spacing w:after="0" w:line="360" w:lineRule="auto"/>
              <w:rPr>
                <w:sz w:val="24"/>
                <w:szCs w:val="24"/>
              </w:rPr>
            </w:pPr>
            <w:r w:rsidRPr="00F35E64">
              <w:rPr>
                <w:sz w:val="24"/>
                <w:szCs w:val="24"/>
              </w:rPr>
              <w:lastRenderedPageBreak/>
              <w:t>19</w:t>
            </w:r>
          </w:p>
        </w:tc>
        <w:tc>
          <w:tcPr>
            <w:tcW w:w="1701" w:type="dxa"/>
            <w:tcBorders>
              <w:bottom w:val="single" w:sz="4" w:space="0" w:color="auto"/>
            </w:tcBorders>
            <w:shd w:val="clear" w:color="auto" w:fill="auto"/>
          </w:tcPr>
          <w:p w14:paraId="257593BE" w14:textId="77777777" w:rsidR="003F622D" w:rsidRPr="00F35E64" w:rsidRDefault="003F622D" w:rsidP="00513057">
            <w:pPr>
              <w:spacing w:after="0" w:line="360" w:lineRule="auto"/>
              <w:rPr>
                <w:sz w:val="24"/>
                <w:szCs w:val="24"/>
              </w:rPr>
            </w:pPr>
            <w:r w:rsidRPr="00F35E64">
              <w:rPr>
                <w:sz w:val="24"/>
                <w:szCs w:val="24"/>
              </w:rPr>
              <w:t>63.24</w:t>
            </w:r>
          </w:p>
        </w:tc>
        <w:tc>
          <w:tcPr>
            <w:tcW w:w="1701" w:type="dxa"/>
            <w:tcBorders>
              <w:bottom w:val="single" w:sz="4" w:space="0" w:color="auto"/>
            </w:tcBorders>
            <w:shd w:val="clear" w:color="auto" w:fill="auto"/>
          </w:tcPr>
          <w:p w14:paraId="2AB1AC74" w14:textId="77777777" w:rsidR="003F622D" w:rsidRPr="00F35E64" w:rsidRDefault="003F622D" w:rsidP="00513057">
            <w:pPr>
              <w:spacing w:after="0" w:line="360" w:lineRule="auto"/>
              <w:rPr>
                <w:sz w:val="24"/>
                <w:szCs w:val="24"/>
              </w:rPr>
            </w:pPr>
            <w:r w:rsidRPr="00F35E64">
              <w:rPr>
                <w:sz w:val="24"/>
                <w:szCs w:val="24"/>
              </w:rPr>
              <w:t>42.690</w:t>
            </w:r>
          </w:p>
        </w:tc>
        <w:tc>
          <w:tcPr>
            <w:tcW w:w="1842" w:type="dxa"/>
            <w:tcBorders>
              <w:bottom w:val="single" w:sz="4" w:space="0" w:color="auto"/>
            </w:tcBorders>
          </w:tcPr>
          <w:p w14:paraId="7D319C1A" w14:textId="77777777" w:rsidR="003F622D" w:rsidRPr="00F35E64" w:rsidRDefault="003F622D" w:rsidP="00513057">
            <w:pPr>
              <w:spacing w:after="0" w:line="360" w:lineRule="auto"/>
              <w:rPr>
                <w:sz w:val="24"/>
                <w:szCs w:val="24"/>
              </w:rPr>
            </w:pPr>
            <w:r w:rsidRPr="00F35E64">
              <w:rPr>
                <w:sz w:val="24"/>
                <w:szCs w:val="24"/>
              </w:rPr>
              <w:t>46.76</w:t>
            </w:r>
          </w:p>
        </w:tc>
        <w:tc>
          <w:tcPr>
            <w:tcW w:w="1418" w:type="dxa"/>
            <w:tcBorders>
              <w:bottom w:val="single" w:sz="4" w:space="0" w:color="auto"/>
            </w:tcBorders>
          </w:tcPr>
          <w:p w14:paraId="733E99F6" w14:textId="77777777" w:rsidR="003F622D" w:rsidRPr="00F35E64" w:rsidRDefault="003F622D" w:rsidP="00513057">
            <w:pPr>
              <w:spacing w:after="0" w:line="360" w:lineRule="auto"/>
              <w:rPr>
                <w:sz w:val="24"/>
                <w:szCs w:val="24"/>
              </w:rPr>
            </w:pPr>
            <w:r w:rsidRPr="00F35E64">
              <w:rPr>
                <w:sz w:val="24"/>
                <w:szCs w:val="24"/>
              </w:rPr>
              <w:t>19.705</w:t>
            </w:r>
          </w:p>
        </w:tc>
      </w:tr>
    </w:tbl>
    <w:p w14:paraId="3CE41FE4" w14:textId="77777777" w:rsidR="003F622D" w:rsidRPr="00F35E64" w:rsidRDefault="003F622D" w:rsidP="003F622D">
      <w:pPr>
        <w:spacing w:line="360" w:lineRule="auto"/>
        <w:rPr>
          <w:sz w:val="24"/>
          <w:szCs w:val="24"/>
        </w:rPr>
      </w:pPr>
    </w:p>
    <w:p w14:paraId="16A83E01" w14:textId="5EA5F644" w:rsidR="003F622D" w:rsidRPr="00F35E64" w:rsidRDefault="003F622D" w:rsidP="003F622D">
      <w:pPr>
        <w:spacing w:line="360" w:lineRule="auto"/>
        <w:rPr>
          <w:sz w:val="24"/>
          <w:szCs w:val="24"/>
        </w:rPr>
      </w:pPr>
      <w:r w:rsidRPr="00F35E64">
        <w:rPr>
          <w:sz w:val="24"/>
          <w:szCs w:val="24"/>
        </w:rPr>
        <w:t xml:space="preserve">A one-way ANOVA found no main effect of group size or diversity on time taken. However, a polynomial contrast for group size identified a significant linear trend (difference = 8.42 minutes, 95% CIs [0.95, 15.89], </w:t>
      </w:r>
      <w:r w:rsidRPr="00F35E64">
        <w:rPr>
          <w:i/>
          <w:sz w:val="24"/>
          <w:szCs w:val="24"/>
        </w:rPr>
        <w:t xml:space="preserve">p </w:t>
      </w:r>
      <w:r w:rsidRPr="00F35E64">
        <w:rPr>
          <w:sz w:val="24"/>
          <w:szCs w:val="24"/>
        </w:rPr>
        <w:t xml:space="preserve">= .027), with participants in larger groups taking longer to complete the study than those in smaller groups. In addition, </w:t>
      </w:r>
      <w:r w:rsidR="009241A7">
        <w:rPr>
          <w:sz w:val="24"/>
          <w:szCs w:val="24"/>
        </w:rPr>
        <w:t>when</w:t>
      </w:r>
      <w:r w:rsidRPr="00F35E64">
        <w:rPr>
          <w:sz w:val="24"/>
          <w:szCs w:val="24"/>
        </w:rPr>
        <w:t xml:space="preserve"> the low- and high-diversity groups</w:t>
      </w:r>
      <w:r w:rsidR="009241A7">
        <w:rPr>
          <w:sz w:val="24"/>
          <w:szCs w:val="24"/>
        </w:rPr>
        <w:t xml:space="preserve"> were analysed separately, different patterns were evident</w:t>
      </w:r>
      <w:r w:rsidRPr="00F35E64">
        <w:rPr>
          <w:sz w:val="24"/>
          <w:szCs w:val="24"/>
        </w:rPr>
        <w:t xml:space="preserve"> (see Figure </w:t>
      </w:r>
      <w:r w:rsidR="00C903BC">
        <w:rPr>
          <w:sz w:val="24"/>
          <w:szCs w:val="24"/>
        </w:rPr>
        <w:t>4</w:t>
      </w:r>
      <w:r w:rsidRPr="00F35E64">
        <w:rPr>
          <w:sz w:val="24"/>
          <w:szCs w:val="24"/>
        </w:rPr>
        <w:t xml:space="preserve">). </w:t>
      </w:r>
      <w:r w:rsidR="00FB4D7A">
        <w:rPr>
          <w:sz w:val="24"/>
          <w:szCs w:val="24"/>
        </w:rPr>
        <w:t xml:space="preserve">Planned contrasts found </w:t>
      </w:r>
      <w:r w:rsidRPr="00F35E64">
        <w:rPr>
          <w:sz w:val="24"/>
          <w:szCs w:val="24"/>
        </w:rPr>
        <w:t xml:space="preserve">a </w:t>
      </w:r>
      <w:r w:rsidR="0066382F">
        <w:rPr>
          <w:sz w:val="24"/>
          <w:szCs w:val="24"/>
        </w:rPr>
        <w:t xml:space="preserve">significant </w:t>
      </w:r>
      <w:r w:rsidRPr="00F35E64">
        <w:rPr>
          <w:sz w:val="24"/>
          <w:szCs w:val="24"/>
        </w:rPr>
        <w:t xml:space="preserve">linear trend amongst low-diversity participants (main effect of group size: F(4, 121) = 2.45, </w:t>
      </w:r>
      <w:r w:rsidRPr="00F35E64">
        <w:rPr>
          <w:i/>
          <w:sz w:val="24"/>
          <w:szCs w:val="24"/>
        </w:rPr>
        <w:t xml:space="preserve">p </w:t>
      </w:r>
      <w:r w:rsidRPr="00F35E64">
        <w:rPr>
          <w:sz w:val="24"/>
          <w:szCs w:val="24"/>
        </w:rPr>
        <w:t xml:space="preserve">= .050, partial eta squared = .08, polynomial contrast (linear): difference = 13.43, 95% CIs [2.79, 24.07], </w:t>
      </w:r>
      <w:r w:rsidRPr="00F35E64">
        <w:rPr>
          <w:i/>
          <w:sz w:val="24"/>
          <w:szCs w:val="24"/>
        </w:rPr>
        <w:t xml:space="preserve">p </w:t>
      </w:r>
      <w:r w:rsidRPr="00F35E64">
        <w:rPr>
          <w:sz w:val="24"/>
          <w:szCs w:val="24"/>
        </w:rPr>
        <w:t>= .014)</w:t>
      </w:r>
      <w:r w:rsidR="00FB4D7A">
        <w:rPr>
          <w:sz w:val="24"/>
          <w:szCs w:val="24"/>
        </w:rPr>
        <w:t xml:space="preserve"> but </w:t>
      </w:r>
      <w:r w:rsidR="009241A7">
        <w:rPr>
          <w:sz w:val="24"/>
          <w:szCs w:val="24"/>
        </w:rPr>
        <w:t xml:space="preserve">a </w:t>
      </w:r>
      <w:r w:rsidR="0066382F">
        <w:rPr>
          <w:sz w:val="24"/>
          <w:szCs w:val="24"/>
        </w:rPr>
        <w:t xml:space="preserve">significant </w:t>
      </w:r>
      <w:r w:rsidR="009241A7">
        <w:rPr>
          <w:sz w:val="24"/>
          <w:szCs w:val="24"/>
        </w:rPr>
        <w:t xml:space="preserve">fourth degree polynomial trend </w:t>
      </w:r>
      <w:r w:rsidR="0066382F">
        <w:rPr>
          <w:sz w:val="24"/>
          <w:szCs w:val="24"/>
        </w:rPr>
        <w:t xml:space="preserve">amongst </w:t>
      </w:r>
      <w:r w:rsidRPr="00F35E64">
        <w:rPr>
          <w:sz w:val="24"/>
          <w:szCs w:val="24"/>
        </w:rPr>
        <w:t>high-diversity participants</w:t>
      </w:r>
      <w:r w:rsidR="00FB4D7A">
        <w:rPr>
          <w:sz w:val="24"/>
          <w:szCs w:val="24"/>
        </w:rPr>
        <w:t>, with time taken</w:t>
      </w:r>
      <w:r w:rsidRPr="00F35E64">
        <w:rPr>
          <w:sz w:val="24"/>
          <w:szCs w:val="24"/>
        </w:rPr>
        <w:t xml:space="preserve"> peak</w:t>
      </w:r>
      <w:r w:rsidR="00FB4D7A">
        <w:rPr>
          <w:sz w:val="24"/>
          <w:szCs w:val="24"/>
        </w:rPr>
        <w:t>ing</w:t>
      </w:r>
      <w:r w:rsidRPr="00F35E64">
        <w:rPr>
          <w:sz w:val="24"/>
          <w:szCs w:val="24"/>
        </w:rPr>
        <w:t xml:space="preserve"> for those in groups of 13 and then f</w:t>
      </w:r>
      <w:r w:rsidR="00FB4D7A">
        <w:rPr>
          <w:sz w:val="24"/>
          <w:szCs w:val="24"/>
        </w:rPr>
        <w:t>a</w:t>
      </w:r>
      <w:r w:rsidRPr="00F35E64">
        <w:rPr>
          <w:sz w:val="24"/>
          <w:szCs w:val="24"/>
        </w:rPr>
        <w:t>ll</w:t>
      </w:r>
      <w:r w:rsidR="00FB4D7A">
        <w:rPr>
          <w:sz w:val="24"/>
          <w:szCs w:val="24"/>
        </w:rPr>
        <w:t>ing</w:t>
      </w:r>
      <w:r w:rsidRPr="00F35E64">
        <w:rPr>
          <w:sz w:val="24"/>
          <w:szCs w:val="24"/>
        </w:rPr>
        <w:t xml:space="preserve"> from there (main effect = non-significant, polynomial contrast (order 4): difference = 12.36, 95% CIs [1.60, 23.12], </w:t>
      </w:r>
      <w:r w:rsidRPr="00F35E64">
        <w:rPr>
          <w:i/>
          <w:sz w:val="24"/>
          <w:szCs w:val="24"/>
        </w:rPr>
        <w:t xml:space="preserve">p </w:t>
      </w:r>
      <w:r w:rsidRPr="00F35E64">
        <w:rPr>
          <w:sz w:val="24"/>
          <w:szCs w:val="24"/>
        </w:rPr>
        <w:t>= .025). O</w:t>
      </w:r>
      <w:r>
        <w:rPr>
          <w:sz w:val="24"/>
          <w:szCs w:val="24"/>
        </w:rPr>
        <w:t>verall, o</w:t>
      </w:r>
      <w:r w:rsidRPr="00F35E64">
        <w:rPr>
          <w:sz w:val="24"/>
          <w:szCs w:val="24"/>
        </w:rPr>
        <w:t xml:space="preserve">ur inference is that even with group sizes of 19, respondents did not reject the task that they were given – since </w:t>
      </w:r>
      <w:r w:rsidR="00703E99">
        <w:rPr>
          <w:sz w:val="24"/>
          <w:szCs w:val="24"/>
        </w:rPr>
        <w:t xml:space="preserve">there was no </w:t>
      </w:r>
      <w:r>
        <w:rPr>
          <w:sz w:val="24"/>
          <w:szCs w:val="24"/>
        </w:rPr>
        <w:t>abrupt</w:t>
      </w:r>
      <w:r w:rsidRPr="00F35E64">
        <w:rPr>
          <w:sz w:val="24"/>
          <w:szCs w:val="24"/>
        </w:rPr>
        <w:t xml:space="preserve"> decreas</w:t>
      </w:r>
      <w:r>
        <w:rPr>
          <w:sz w:val="24"/>
          <w:szCs w:val="24"/>
        </w:rPr>
        <w:t>e in</w:t>
      </w:r>
      <w:r w:rsidRPr="00F35E64">
        <w:rPr>
          <w:sz w:val="24"/>
          <w:szCs w:val="24"/>
        </w:rPr>
        <w:t xml:space="preserve"> time-taken over group-size increase</w:t>
      </w:r>
      <w:r w:rsidR="00703E99">
        <w:rPr>
          <w:sz w:val="24"/>
          <w:szCs w:val="24"/>
        </w:rPr>
        <w:t>, which would indicate such a rejection. Instead, the modest</w:t>
      </w:r>
      <w:r w:rsidR="00FB4D7A">
        <w:rPr>
          <w:sz w:val="24"/>
          <w:szCs w:val="24"/>
        </w:rPr>
        <w:t xml:space="preserve"> reduction </w:t>
      </w:r>
      <w:r w:rsidR="00703E99">
        <w:rPr>
          <w:sz w:val="24"/>
          <w:szCs w:val="24"/>
        </w:rPr>
        <w:t>observed</w:t>
      </w:r>
      <w:r w:rsidR="00FB4D7A">
        <w:rPr>
          <w:sz w:val="24"/>
          <w:szCs w:val="24"/>
        </w:rPr>
        <w:t xml:space="preserve"> in the high-diversity groups of 16 and 19</w:t>
      </w:r>
      <w:r w:rsidR="00703E99">
        <w:rPr>
          <w:sz w:val="24"/>
          <w:szCs w:val="24"/>
        </w:rPr>
        <w:t xml:space="preserve"> suggests a change towards a simpler cognitive strategy in order to manage information load.</w:t>
      </w:r>
    </w:p>
    <w:p w14:paraId="4F5F6D7A" w14:textId="77777777" w:rsidR="003F622D" w:rsidRPr="00F35E64" w:rsidRDefault="003F622D" w:rsidP="003F622D">
      <w:pPr>
        <w:spacing w:line="360" w:lineRule="auto"/>
        <w:rPr>
          <w:sz w:val="24"/>
          <w:szCs w:val="24"/>
        </w:rPr>
      </w:pPr>
    </w:p>
    <w:p w14:paraId="1AF7B53E" w14:textId="77777777" w:rsidR="003F622D" w:rsidRPr="00B04EF7" w:rsidRDefault="003F622D" w:rsidP="003F622D">
      <w:pPr>
        <w:autoSpaceDE w:val="0"/>
        <w:autoSpaceDN w:val="0"/>
        <w:adjustRightInd w:val="0"/>
        <w:spacing w:after="0" w:line="240" w:lineRule="auto"/>
        <w:rPr>
          <w:rFonts w:ascii="Times New Roman" w:hAnsi="Times New Roman" w:cs="Times New Roman"/>
          <w:sz w:val="24"/>
          <w:szCs w:val="24"/>
        </w:rPr>
      </w:pPr>
      <w:r w:rsidRPr="00B04EF7">
        <w:rPr>
          <w:rFonts w:ascii="Times New Roman" w:hAnsi="Times New Roman" w:cs="Times New Roman"/>
          <w:noProof/>
          <w:sz w:val="24"/>
          <w:szCs w:val="24"/>
        </w:rPr>
        <w:lastRenderedPageBreak/>
        <w:drawing>
          <wp:inline distT="0" distB="0" distL="0" distR="0" wp14:anchorId="117A2B63" wp14:editId="12633741">
            <wp:extent cx="6042279" cy="3562709"/>
            <wp:effectExtent l="0" t="0" r="0" b="0"/>
            <wp:docPr id="4" name="Picture 4" descr="Figure shows the mean total time taken (minutes) by group size and diversity. Error bars ar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shows the mean total time taken (minutes) by group size and diversity. Error bars are 95% confidence interva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6929" cy="3571347"/>
                    </a:xfrm>
                    <a:prstGeom prst="rect">
                      <a:avLst/>
                    </a:prstGeom>
                    <a:noFill/>
                    <a:ln>
                      <a:noFill/>
                    </a:ln>
                  </pic:spPr>
                </pic:pic>
              </a:graphicData>
            </a:graphic>
          </wp:inline>
        </w:drawing>
      </w:r>
    </w:p>
    <w:p w14:paraId="2BF0CFC9" w14:textId="77777777" w:rsidR="003F622D" w:rsidRPr="00F35E64" w:rsidRDefault="003F622D" w:rsidP="003F622D">
      <w:pPr>
        <w:autoSpaceDE w:val="0"/>
        <w:autoSpaceDN w:val="0"/>
        <w:adjustRightInd w:val="0"/>
        <w:spacing w:after="0" w:line="240" w:lineRule="auto"/>
        <w:rPr>
          <w:rFonts w:ascii="Times New Roman" w:hAnsi="Times New Roman" w:cs="Times New Roman"/>
          <w:sz w:val="24"/>
          <w:szCs w:val="24"/>
        </w:rPr>
      </w:pPr>
    </w:p>
    <w:p w14:paraId="506017B4" w14:textId="418ECFA6" w:rsidR="003F622D" w:rsidRPr="00F35E64" w:rsidRDefault="003F622D" w:rsidP="003F622D">
      <w:pPr>
        <w:spacing w:line="360" w:lineRule="auto"/>
        <w:rPr>
          <w:sz w:val="24"/>
          <w:szCs w:val="24"/>
        </w:rPr>
      </w:pPr>
      <w:r w:rsidRPr="00F35E64">
        <w:rPr>
          <w:i/>
          <w:sz w:val="24"/>
          <w:szCs w:val="24"/>
        </w:rPr>
        <w:t xml:space="preserve">Figure </w:t>
      </w:r>
      <w:r w:rsidR="00C903BC">
        <w:rPr>
          <w:i/>
          <w:sz w:val="24"/>
          <w:szCs w:val="24"/>
        </w:rPr>
        <w:t>4</w:t>
      </w:r>
      <w:r w:rsidRPr="00F35E64">
        <w:rPr>
          <w:i/>
          <w:sz w:val="24"/>
          <w:szCs w:val="24"/>
        </w:rPr>
        <w:t xml:space="preserve">. </w:t>
      </w:r>
      <w:r w:rsidRPr="00F35E64">
        <w:rPr>
          <w:sz w:val="24"/>
          <w:szCs w:val="24"/>
        </w:rPr>
        <w:t>Mean total time taken (minutes) by group size and diversity. Error bars are 95% confidence intervals.</w:t>
      </w:r>
    </w:p>
    <w:p w14:paraId="410C189A" w14:textId="6AA57BE7" w:rsidR="003F622D" w:rsidRPr="003F622D" w:rsidRDefault="003F622D" w:rsidP="00211B87">
      <w:pPr>
        <w:spacing w:line="360" w:lineRule="auto"/>
        <w:rPr>
          <w:sz w:val="24"/>
          <w:szCs w:val="24"/>
        </w:rPr>
      </w:pPr>
      <w:r>
        <w:rPr>
          <w:sz w:val="24"/>
          <w:szCs w:val="24"/>
        </w:rPr>
        <w:t xml:space="preserve">Overall, therefore, hypothesis 1 was supported in relation to actual information load (as measured by time taken) but not perceived information load (as measured by the NASA-TLX). Hypothesis 2 was not supported in relation to actual information load and was only supported for perceived information load to a </w:t>
      </w:r>
      <w:r w:rsidR="00441747">
        <w:rPr>
          <w:sz w:val="24"/>
          <w:szCs w:val="24"/>
        </w:rPr>
        <w:t xml:space="preserve">very </w:t>
      </w:r>
      <w:r>
        <w:rPr>
          <w:sz w:val="24"/>
          <w:szCs w:val="24"/>
        </w:rPr>
        <w:t>limited extent</w:t>
      </w:r>
      <w:r w:rsidR="008B3B34">
        <w:rPr>
          <w:sz w:val="24"/>
          <w:szCs w:val="24"/>
        </w:rPr>
        <w:t>, as we have just discussed.</w:t>
      </w:r>
    </w:p>
    <w:p w14:paraId="61F5B5E5" w14:textId="53B0CF43" w:rsidR="000E4861" w:rsidRPr="00F35E64" w:rsidRDefault="000E4861" w:rsidP="00211B87">
      <w:pPr>
        <w:spacing w:line="360" w:lineRule="auto"/>
        <w:rPr>
          <w:b/>
          <w:sz w:val="24"/>
          <w:szCs w:val="24"/>
        </w:rPr>
      </w:pPr>
      <w:r w:rsidRPr="00F35E64">
        <w:rPr>
          <w:b/>
          <w:sz w:val="24"/>
          <w:szCs w:val="24"/>
        </w:rPr>
        <w:t>Self-report satisfaction questions</w:t>
      </w:r>
    </w:p>
    <w:p w14:paraId="2A4FEEBB" w14:textId="0AA27E0B" w:rsidR="0051698B" w:rsidRPr="00F35E64" w:rsidRDefault="007B5837" w:rsidP="00211B87">
      <w:pPr>
        <w:spacing w:line="360" w:lineRule="auto"/>
        <w:rPr>
          <w:sz w:val="24"/>
          <w:szCs w:val="24"/>
        </w:rPr>
      </w:pPr>
      <w:r w:rsidRPr="00F35E64">
        <w:rPr>
          <w:sz w:val="24"/>
          <w:szCs w:val="24"/>
        </w:rPr>
        <w:t xml:space="preserve">The nine </w:t>
      </w:r>
      <w:r w:rsidR="000E4861" w:rsidRPr="00F35E64">
        <w:rPr>
          <w:sz w:val="24"/>
          <w:szCs w:val="24"/>
        </w:rPr>
        <w:t>satisfaction</w:t>
      </w:r>
      <w:r w:rsidRPr="00F35E64">
        <w:rPr>
          <w:sz w:val="24"/>
          <w:szCs w:val="24"/>
        </w:rPr>
        <w:t>-focussed attitudinal</w:t>
      </w:r>
      <w:r w:rsidR="000E4861" w:rsidRPr="00F35E64">
        <w:rPr>
          <w:sz w:val="24"/>
          <w:szCs w:val="24"/>
        </w:rPr>
        <w:t xml:space="preserve"> </w:t>
      </w:r>
      <w:r w:rsidR="0051698B" w:rsidRPr="00F35E64">
        <w:rPr>
          <w:sz w:val="24"/>
          <w:szCs w:val="24"/>
        </w:rPr>
        <w:t xml:space="preserve">questions </w:t>
      </w:r>
      <w:r w:rsidR="000E4861" w:rsidRPr="00F35E64">
        <w:rPr>
          <w:sz w:val="24"/>
          <w:szCs w:val="24"/>
        </w:rPr>
        <w:t xml:space="preserve">given to participants </w:t>
      </w:r>
      <w:r w:rsidR="00F8738E" w:rsidRPr="00F35E64">
        <w:rPr>
          <w:sz w:val="24"/>
          <w:szCs w:val="24"/>
        </w:rPr>
        <w:t xml:space="preserve">(see Appendix </w:t>
      </w:r>
      <w:r w:rsidR="001003FD" w:rsidRPr="00F35E64">
        <w:rPr>
          <w:sz w:val="24"/>
          <w:szCs w:val="24"/>
        </w:rPr>
        <w:t>3</w:t>
      </w:r>
      <w:r w:rsidR="00F8738E" w:rsidRPr="00F35E64">
        <w:rPr>
          <w:sz w:val="24"/>
          <w:szCs w:val="24"/>
        </w:rPr>
        <w:t xml:space="preserve">) </w:t>
      </w:r>
      <w:r w:rsidR="0051698B" w:rsidRPr="00F35E64">
        <w:rPr>
          <w:sz w:val="24"/>
          <w:szCs w:val="24"/>
        </w:rPr>
        <w:t xml:space="preserve">were tested for </w:t>
      </w:r>
      <w:r w:rsidRPr="00F35E64">
        <w:rPr>
          <w:sz w:val="24"/>
          <w:szCs w:val="24"/>
        </w:rPr>
        <w:t xml:space="preserve">internal </w:t>
      </w:r>
      <w:r w:rsidR="0051698B" w:rsidRPr="00F35E64">
        <w:rPr>
          <w:sz w:val="24"/>
          <w:szCs w:val="24"/>
        </w:rPr>
        <w:t>reliability using Cronbach’s Alpha (</w:t>
      </w:r>
      <w:r w:rsidR="004F498F" w:rsidRPr="00F35E64">
        <w:rPr>
          <w:sz w:val="24"/>
          <w:szCs w:val="24"/>
        </w:rPr>
        <w:t>Cronbach, 1951).</w:t>
      </w:r>
      <w:r w:rsidR="0051698B" w:rsidRPr="00F35E64">
        <w:rPr>
          <w:sz w:val="24"/>
          <w:szCs w:val="24"/>
        </w:rPr>
        <w:t xml:space="preserve"> The Alpha score achieved </w:t>
      </w:r>
      <w:r w:rsidR="000E4861" w:rsidRPr="00F35E64">
        <w:rPr>
          <w:sz w:val="24"/>
          <w:szCs w:val="24"/>
        </w:rPr>
        <w:t xml:space="preserve">for all nine questions </w:t>
      </w:r>
      <w:r w:rsidR="0051698B" w:rsidRPr="00F35E64">
        <w:rPr>
          <w:sz w:val="24"/>
          <w:szCs w:val="24"/>
        </w:rPr>
        <w:t>was .53</w:t>
      </w:r>
      <w:r w:rsidRPr="00F35E64">
        <w:rPr>
          <w:sz w:val="24"/>
          <w:szCs w:val="24"/>
        </w:rPr>
        <w:t xml:space="preserve">, revealing that the set of 9 questions were not, together, a coherent single indicator of task and process satisfaction. </w:t>
      </w:r>
      <w:r w:rsidR="0051698B" w:rsidRPr="00F35E64">
        <w:rPr>
          <w:sz w:val="24"/>
          <w:szCs w:val="24"/>
        </w:rPr>
        <w:t xml:space="preserve">Two pairs of items were selected that </w:t>
      </w:r>
      <w:r w:rsidR="00B43F97" w:rsidRPr="00F35E64">
        <w:rPr>
          <w:sz w:val="24"/>
          <w:szCs w:val="24"/>
        </w:rPr>
        <w:t xml:space="preserve">were </w:t>
      </w:r>
      <w:r w:rsidR="0051698B" w:rsidRPr="00F35E64">
        <w:rPr>
          <w:sz w:val="24"/>
          <w:szCs w:val="24"/>
        </w:rPr>
        <w:t xml:space="preserve">highly </w:t>
      </w:r>
      <w:r w:rsidR="00B43F97" w:rsidRPr="00F35E64">
        <w:rPr>
          <w:sz w:val="24"/>
          <w:szCs w:val="24"/>
        </w:rPr>
        <w:t>inter-</w:t>
      </w:r>
      <w:r w:rsidR="0051698B" w:rsidRPr="00F35E64">
        <w:rPr>
          <w:sz w:val="24"/>
          <w:szCs w:val="24"/>
        </w:rPr>
        <w:t xml:space="preserve">correlated: </w:t>
      </w:r>
    </w:p>
    <w:p w14:paraId="57863BEC" w14:textId="0074777A" w:rsidR="0051698B" w:rsidRPr="00F35E64" w:rsidRDefault="0051698B" w:rsidP="00211B87">
      <w:pPr>
        <w:numPr>
          <w:ilvl w:val="0"/>
          <w:numId w:val="1"/>
        </w:numPr>
        <w:spacing w:line="360" w:lineRule="auto"/>
        <w:rPr>
          <w:sz w:val="24"/>
          <w:szCs w:val="24"/>
        </w:rPr>
      </w:pPr>
      <w:r w:rsidRPr="00F35E64">
        <w:rPr>
          <w:sz w:val="24"/>
          <w:szCs w:val="24"/>
        </w:rPr>
        <w:t xml:space="preserve">“I enjoyed working on the task” and “I was interested in the questions”. Together, these two items produced a Cronbach’s alpha of .80, </w:t>
      </w:r>
      <w:r w:rsidR="00B8100A" w:rsidRPr="00F35E64">
        <w:rPr>
          <w:sz w:val="24"/>
          <w:szCs w:val="24"/>
        </w:rPr>
        <w:t xml:space="preserve">revealing </w:t>
      </w:r>
      <w:r w:rsidRPr="00F35E64">
        <w:rPr>
          <w:sz w:val="24"/>
          <w:szCs w:val="24"/>
        </w:rPr>
        <w:t xml:space="preserve">that they represented a reliable measure. We defined this </w:t>
      </w:r>
      <w:r w:rsidR="00B43F97" w:rsidRPr="00F35E64">
        <w:rPr>
          <w:sz w:val="24"/>
          <w:szCs w:val="24"/>
        </w:rPr>
        <w:t xml:space="preserve">two-item questionnaire </w:t>
      </w:r>
      <w:r w:rsidRPr="00F35E64">
        <w:rPr>
          <w:sz w:val="24"/>
          <w:szCs w:val="24"/>
        </w:rPr>
        <w:t>as “</w:t>
      </w:r>
      <w:r w:rsidRPr="00F35E64">
        <w:rPr>
          <w:b/>
          <w:bCs/>
          <w:sz w:val="24"/>
          <w:szCs w:val="24"/>
        </w:rPr>
        <w:t>task involvement</w:t>
      </w:r>
      <w:r w:rsidRPr="00F35E64">
        <w:rPr>
          <w:sz w:val="24"/>
          <w:szCs w:val="24"/>
        </w:rPr>
        <w:t xml:space="preserve">”. </w:t>
      </w:r>
    </w:p>
    <w:p w14:paraId="53B5AB38" w14:textId="0F184316" w:rsidR="0051698B" w:rsidRPr="00F35E64" w:rsidRDefault="0051698B" w:rsidP="00211B87">
      <w:pPr>
        <w:numPr>
          <w:ilvl w:val="0"/>
          <w:numId w:val="1"/>
        </w:numPr>
        <w:spacing w:line="360" w:lineRule="auto"/>
        <w:rPr>
          <w:sz w:val="24"/>
          <w:szCs w:val="24"/>
        </w:rPr>
      </w:pPr>
      <w:r w:rsidRPr="00F35E64">
        <w:rPr>
          <w:sz w:val="24"/>
          <w:szCs w:val="24"/>
        </w:rPr>
        <w:lastRenderedPageBreak/>
        <w:t>“The other group members’ answers were helpful for completing my revised answers” and “How much influence did the group have on your personal, final ideas about what would be good answers to the questions?” Together, these two items produced a Cronbach’s alpha of 0.74</w:t>
      </w:r>
      <w:r w:rsidR="00B8100A" w:rsidRPr="00F35E64">
        <w:rPr>
          <w:sz w:val="24"/>
          <w:szCs w:val="24"/>
        </w:rPr>
        <w:t>, again documenting a reliable measure.</w:t>
      </w:r>
      <w:r w:rsidRPr="00F35E64">
        <w:rPr>
          <w:sz w:val="24"/>
          <w:szCs w:val="24"/>
        </w:rPr>
        <w:t xml:space="preserve"> We defined this </w:t>
      </w:r>
      <w:r w:rsidR="00B43F97" w:rsidRPr="00F35E64">
        <w:rPr>
          <w:sz w:val="24"/>
          <w:szCs w:val="24"/>
        </w:rPr>
        <w:t xml:space="preserve">two-item questionnaire </w:t>
      </w:r>
      <w:r w:rsidRPr="00F35E64">
        <w:rPr>
          <w:sz w:val="24"/>
          <w:szCs w:val="24"/>
        </w:rPr>
        <w:t>as “</w:t>
      </w:r>
      <w:r w:rsidRPr="00F35E64">
        <w:rPr>
          <w:b/>
          <w:bCs/>
          <w:sz w:val="24"/>
          <w:szCs w:val="24"/>
        </w:rPr>
        <w:t>group sway</w:t>
      </w:r>
      <w:r w:rsidRPr="00F35E64">
        <w:rPr>
          <w:sz w:val="24"/>
          <w:szCs w:val="24"/>
        </w:rPr>
        <w:t>”.</w:t>
      </w:r>
    </w:p>
    <w:p w14:paraId="43B6CFB8" w14:textId="14FB2F06" w:rsidR="00A17115" w:rsidRPr="005B478B" w:rsidRDefault="008B3B34" w:rsidP="00211B87">
      <w:pPr>
        <w:spacing w:line="360" w:lineRule="auto"/>
        <w:rPr>
          <w:bCs/>
          <w:iCs/>
          <w:sz w:val="24"/>
          <w:szCs w:val="24"/>
        </w:rPr>
      </w:pPr>
      <w:r>
        <w:rPr>
          <w:bCs/>
          <w:iCs/>
          <w:sz w:val="24"/>
          <w:szCs w:val="24"/>
        </w:rPr>
        <w:t>Answers to each of the</w:t>
      </w:r>
      <w:r w:rsidR="007D7A9F">
        <w:rPr>
          <w:bCs/>
          <w:iCs/>
          <w:sz w:val="24"/>
          <w:szCs w:val="24"/>
        </w:rPr>
        <w:t xml:space="preserve"> two</w:t>
      </w:r>
      <w:r>
        <w:rPr>
          <w:bCs/>
          <w:iCs/>
          <w:sz w:val="24"/>
          <w:szCs w:val="24"/>
        </w:rPr>
        <w:t xml:space="preserve"> </w:t>
      </w:r>
      <w:r w:rsidR="007D7A9F">
        <w:rPr>
          <w:bCs/>
          <w:iCs/>
          <w:sz w:val="24"/>
          <w:szCs w:val="24"/>
        </w:rPr>
        <w:t xml:space="preserve">Task Involvement questions were found to be uncorrelated (p&gt; 0.05) with answers to </w:t>
      </w:r>
      <w:r w:rsidR="00EC0488">
        <w:rPr>
          <w:bCs/>
          <w:iCs/>
          <w:sz w:val="24"/>
          <w:szCs w:val="24"/>
        </w:rPr>
        <w:t xml:space="preserve">each of </w:t>
      </w:r>
      <w:r w:rsidR="007D7A9F">
        <w:rPr>
          <w:bCs/>
          <w:iCs/>
          <w:sz w:val="24"/>
          <w:szCs w:val="24"/>
        </w:rPr>
        <w:t>the two Group Sway questions, and vice-versa, on analysis of our sample of 282 respondents</w:t>
      </w:r>
      <w:r w:rsidR="00EC0488">
        <w:rPr>
          <w:bCs/>
          <w:iCs/>
          <w:sz w:val="24"/>
          <w:szCs w:val="24"/>
        </w:rPr>
        <w:t>, demonstrating the separability of our two conceptualizations.</w:t>
      </w:r>
    </w:p>
    <w:p w14:paraId="4C6ABF72" w14:textId="27E97EEB" w:rsidR="0051698B" w:rsidRPr="00F35E64" w:rsidRDefault="0051698B" w:rsidP="00211B87">
      <w:pPr>
        <w:spacing w:line="360" w:lineRule="auto"/>
        <w:rPr>
          <w:b/>
          <w:i/>
          <w:sz w:val="24"/>
          <w:szCs w:val="24"/>
        </w:rPr>
      </w:pPr>
      <w:r w:rsidRPr="00F35E64">
        <w:rPr>
          <w:b/>
          <w:i/>
          <w:sz w:val="24"/>
          <w:szCs w:val="24"/>
        </w:rPr>
        <w:t>Task involvement</w:t>
      </w:r>
    </w:p>
    <w:p w14:paraId="363F624A" w14:textId="421177A4" w:rsidR="0051698B" w:rsidRPr="00F35E64" w:rsidRDefault="0051698B" w:rsidP="00211B87">
      <w:pPr>
        <w:spacing w:line="360" w:lineRule="auto"/>
        <w:rPr>
          <w:sz w:val="24"/>
          <w:szCs w:val="24"/>
        </w:rPr>
      </w:pPr>
      <w:r w:rsidRPr="00F35E64">
        <w:rPr>
          <w:sz w:val="24"/>
          <w:szCs w:val="24"/>
        </w:rPr>
        <w:t>An ANOVA was carried out to explore the effects of group size and div</w:t>
      </w:r>
      <w:r w:rsidR="00B653B9" w:rsidRPr="00F35E64">
        <w:rPr>
          <w:sz w:val="24"/>
          <w:szCs w:val="24"/>
        </w:rPr>
        <w:t>ersity on participants’ task involvement score</w:t>
      </w:r>
      <w:r w:rsidRPr="00F35E64">
        <w:rPr>
          <w:sz w:val="24"/>
          <w:szCs w:val="24"/>
        </w:rPr>
        <w:t xml:space="preserve">, with group size and diversity as the independent variables and interest/enjoyment score as the dependent variables. No effect of diversity was found. A quadratic effect of group size was found, with interest and enjoyment increasing up to a group size of 13 and decreasing thereafter: difference = -0.68, 95% CI of difference [-1.26, -0.10], </w:t>
      </w:r>
      <w:r w:rsidRPr="00F35E64">
        <w:rPr>
          <w:i/>
          <w:sz w:val="24"/>
          <w:szCs w:val="24"/>
        </w:rPr>
        <w:t xml:space="preserve">p </w:t>
      </w:r>
      <w:r w:rsidRPr="00F35E64">
        <w:rPr>
          <w:sz w:val="24"/>
          <w:szCs w:val="24"/>
        </w:rPr>
        <w:t xml:space="preserve">= .021. The effect is illustrated in Figure </w:t>
      </w:r>
      <w:r w:rsidR="009D41A6">
        <w:rPr>
          <w:sz w:val="24"/>
          <w:szCs w:val="24"/>
        </w:rPr>
        <w:t>5</w:t>
      </w:r>
      <w:r w:rsidRPr="00F35E64">
        <w:rPr>
          <w:sz w:val="24"/>
          <w:szCs w:val="24"/>
        </w:rPr>
        <w:t xml:space="preserve"> below. </w:t>
      </w:r>
      <w:r w:rsidR="00522761" w:rsidRPr="00F35E64">
        <w:rPr>
          <w:sz w:val="24"/>
          <w:szCs w:val="24"/>
        </w:rPr>
        <w:t>The p</w:t>
      </w:r>
      <w:r w:rsidRPr="00F35E64">
        <w:rPr>
          <w:sz w:val="24"/>
          <w:szCs w:val="24"/>
        </w:rPr>
        <w:t>attern</w:t>
      </w:r>
      <w:r w:rsidR="00522761" w:rsidRPr="00F35E64">
        <w:rPr>
          <w:sz w:val="24"/>
          <w:szCs w:val="24"/>
        </w:rPr>
        <w:t xml:space="preserve"> found</w:t>
      </w:r>
      <w:r w:rsidRPr="00F35E64">
        <w:rPr>
          <w:sz w:val="24"/>
          <w:szCs w:val="24"/>
        </w:rPr>
        <w:t xml:space="preserve"> reflects Eppler and Mengis’ (2004) inverted u-curve for information load.</w:t>
      </w:r>
      <w:r w:rsidR="00522761" w:rsidRPr="00F35E64">
        <w:rPr>
          <w:sz w:val="24"/>
          <w:szCs w:val="24"/>
        </w:rPr>
        <w:t xml:space="preserve"> </w:t>
      </w:r>
      <w:r w:rsidR="008172A6" w:rsidRPr="00F35E64">
        <w:rPr>
          <w:sz w:val="24"/>
          <w:szCs w:val="24"/>
        </w:rPr>
        <w:t xml:space="preserve">Figure </w:t>
      </w:r>
      <w:r w:rsidR="00C903BC">
        <w:rPr>
          <w:sz w:val="24"/>
          <w:szCs w:val="24"/>
        </w:rPr>
        <w:t>5</w:t>
      </w:r>
      <w:r w:rsidR="00BC74E3" w:rsidRPr="00F35E64">
        <w:rPr>
          <w:sz w:val="24"/>
          <w:szCs w:val="24"/>
        </w:rPr>
        <w:t xml:space="preserve"> shows that the pattern was very similar for high- and low-diversity groups.</w:t>
      </w:r>
      <w:bookmarkStart w:id="2" w:name="_Hlk42086360"/>
      <w:r w:rsidR="005926CB" w:rsidRPr="00F35E64">
        <w:rPr>
          <w:sz w:val="24"/>
          <w:szCs w:val="24"/>
        </w:rPr>
        <w:t xml:space="preserve"> Notably, in the first question of the Task Involvement questionnaire, over 80% of respondents indicated that their experience above the mid-point of the enjoyment scale and on the second task-interest question, over 88% of respondents rated interest as above the mid-point of the scale, no matter the group size or level of diversity of opinion within their group.</w:t>
      </w:r>
      <w:bookmarkEnd w:id="2"/>
    </w:p>
    <w:p w14:paraId="38AA7D9C" w14:textId="77777777" w:rsidR="00BC74E3" w:rsidRPr="00F35E64" w:rsidRDefault="00BC74E3" w:rsidP="00211B87">
      <w:pPr>
        <w:autoSpaceDE w:val="0"/>
        <w:autoSpaceDN w:val="0"/>
        <w:adjustRightInd w:val="0"/>
        <w:spacing w:after="0" w:line="360" w:lineRule="auto"/>
        <w:rPr>
          <w:rFonts w:ascii="Times New Roman" w:hAnsi="Times New Roman" w:cs="Times New Roman"/>
          <w:sz w:val="24"/>
          <w:szCs w:val="24"/>
        </w:rPr>
      </w:pPr>
      <w:r w:rsidRPr="00F35E64">
        <w:rPr>
          <w:rFonts w:ascii="Times New Roman" w:hAnsi="Times New Roman" w:cs="Times New Roman"/>
          <w:noProof/>
          <w:sz w:val="24"/>
          <w:szCs w:val="24"/>
          <w:lang w:eastAsia="en-GB"/>
        </w:rPr>
        <w:lastRenderedPageBreak/>
        <w:drawing>
          <wp:inline distT="0" distB="0" distL="0" distR="0" wp14:anchorId="12A8A376" wp14:editId="6F0581E7">
            <wp:extent cx="6146289" cy="3739515"/>
            <wp:effectExtent l="0" t="0" r="6985" b="0"/>
            <wp:docPr id="2" name="Picture 2" descr="Figure shows the mean task involvement score by group size and diversity. Error bars ar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shows the mean task involvement score by group size and diversity. Error bars are 95% confidence interval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0258" cy="3741930"/>
                    </a:xfrm>
                    <a:prstGeom prst="rect">
                      <a:avLst/>
                    </a:prstGeom>
                    <a:noFill/>
                    <a:ln>
                      <a:noFill/>
                    </a:ln>
                  </pic:spPr>
                </pic:pic>
              </a:graphicData>
            </a:graphic>
          </wp:inline>
        </w:drawing>
      </w:r>
    </w:p>
    <w:p w14:paraId="738325D4" w14:textId="75437F9B" w:rsidR="004E0685" w:rsidRPr="00F35E64" w:rsidRDefault="008172A6" w:rsidP="00211B87">
      <w:pPr>
        <w:spacing w:line="360" w:lineRule="auto"/>
        <w:rPr>
          <w:i/>
          <w:sz w:val="24"/>
          <w:szCs w:val="24"/>
        </w:rPr>
      </w:pPr>
      <w:r w:rsidRPr="00F35E64">
        <w:rPr>
          <w:i/>
          <w:sz w:val="24"/>
          <w:szCs w:val="24"/>
        </w:rPr>
        <w:t xml:space="preserve">Figure </w:t>
      </w:r>
      <w:r w:rsidR="00C903BC">
        <w:rPr>
          <w:i/>
          <w:sz w:val="24"/>
          <w:szCs w:val="24"/>
        </w:rPr>
        <w:t>5</w:t>
      </w:r>
      <w:r w:rsidR="00610662" w:rsidRPr="00F35E64">
        <w:rPr>
          <w:i/>
          <w:sz w:val="24"/>
          <w:szCs w:val="24"/>
        </w:rPr>
        <w:t xml:space="preserve">. </w:t>
      </w:r>
      <w:r w:rsidR="00DC438F" w:rsidRPr="00F35E64">
        <w:rPr>
          <w:sz w:val="24"/>
          <w:szCs w:val="24"/>
        </w:rPr>
        <w:t xml:space="preserve">Mean task </w:t>
      </w:r>
      <w:r w:rsidR="00BC74E3" w:rsidRPr="00F35E64">
        <w:rPr>
          <w:sz w:val="24"/>
          <w:szCs w:val="24"/>
        </w:rPr>
        <w:t>involvement score by group size and diversity. Error bars are 95% confidence intervals.</w:t>
      </w:r>
    </w:p>
    <w:p w14:paraId="6F32A5E0" w14:textId="3D25F05E" w:rsidR="0051698B" w:rsidRPr="00F35E64" w:rsidRDefault="0051698B" w:rsidP="00211B87">
      <w:pPr>
        <w:spacing w:line="360" w:lineRule="auto"/>
        <w:rPr>
          <w:i/>
          <w:sz w:val="24"/>
          <w:szCs w:val="24"/>
        </w:rPr>
      </w:pPr>
      <w:r w:rsidRPr="00F35E64">
        <w:rPr>
          <w:b/>
          <w:i/>
          <w:sz w:val="24"/>
          <w:szCs w:val="24"/>
        </w:rPr>
        <w:t>Group sway</w:t>
      </w:r>
    </w:p>
    <w:p w14:paraId="051284FB" w14:textId="7DFDCF79" w:rsidR="00930DBC" w:rsidRPr="00F35E64" w:rsidRDefault="0051698B" w:rsidP="00211B87">
      <w:pPr>
        <w:spacing w:line="360" w:lineRule="auto"/>
        <w:rPr>
          <w:bCs/>
          <w:iCs/>
          <w:sz w:val="24"/>
          <w:szCs w:val="24"/>
        </w:rPr>
      </w:pPr>
      <w:r w:rsidRPr="00F35E64">
        <w:rPr>
          <w:sz w:val="24"/>
          <w:szCs w:val="24"/>
        </w:rPr>
        <w:t>An ANOVA was used to explore the effects of group si</w:t>
      </w:r>
      <w:r w:rsidR="00B653B9" w:rsidRPr="00F35E64">
        <w:rPr>
          <w:sz w:val="24"/>
          <w:szCs w:val="24"/>
        </w:rPr>
        <w:t>ze and diversity on group sway</w:t>
      </w:r>
      <w:r w:rsidRPr="00F35E64">
        <w:rPr>
          <w:sz w:val="24"/>
          <w:szCs w:val="24"/>
        </w:rPr>
        <w:t xml:space="preserve"> score. </w:t>
      </w:r>
      <w:r w:rsidR="00C45A2D" w:rsidRPr="00F35E64">
        <w:rPr>
          <w:sz w:val="24"/>
          <w:szCs w:val="24"/>
        </w:rPr>
        <w:t>There was no</w:t>
      </w:r>
      <w:r w:rsidRPr="00F35E64">
        <w:rPr>
          <w:sz w:val="24"/>
          <w:szCs w:val="24"/>
        </w:rPr>
        <w:t xml:space="preserve"> </w:t>
      </w:r>
      <w:r w:rsidR="00C45A2D" w:rsidRPr="00F35E64">
        <w:rPr>
          <w:sz w:val="24"/>
          <w:szCs w:val="24"/>
        </w:rPr>
        <w:t xml:space="preserve">main </w:t>
      </w:r>
      <w:r w:rsidRPr="00F35E64">
        <w:rPr>
          <w:sz w:val="24"/>
          <w:szCs w:val="24"/>
        </w:rPr>
        <w:t xml:space="preserve">effect </w:t>
      </w:r>
      <w:r w:rsidR="00C45A2D" w:rsidRPr="00F35E64">
        <w:rPr>
          <w:sz w:val="24"/>
          <w:szCs w:val="24"/>
        </w:rPr>
        <w:t>found for</w:t>
      </w:r>
      <w:r w:rsidRPr="00F35E64">
        <w:rPr>
          <w:sz w:val="24"/>
          <w:szCs w:val="24"/>
        </w:rPr>
        <w:t xml:space="preserve"> either group size or diversity. However, </w:t>
      </w:r>
      <w:r w:rsidR="00C45A2D" w:rsidRPr="00F35E64">
        <w:rPr>
          <w:sz w:val="24"/>
          <w:szCs w:val="24"/>
        </w:rPr>
        <w:t xml:space="preserve">the </w:t>
      </w:r>
      <w:r w:rsidRPr="00F35E64">
        <w:rPr>
          <w:sz w:val="24"/>
          <w:szCs w:val="24"/>
        </w:rPr>
        <w:t xml:space="preserve">picture </w:t>
      </w:r>
      <w:r w:rsidR="00FA143F">
        <w:rPr>
          <w:sz w:val="24"/>
          <w:szCs w:val="24"/>
        </w:rPr>
        <w:t xml:space="preserve">is </w:t>
      </w:r>
      <w:r w:rsidRPr="00F35E64">
        <w:rPr>
          <w:sz w:val="24"/>
          <w:szCs w:val="24"/>
        </w:rPr>
        <w:t>different for the l</w:t>
      </w:r>
      <w:r w:rsidR="00E176CF" w:rsidRPr="00F35E64">
        <w:rPr>
          <w:sz w:val="24"/>
          <w:szCs w:val="24"/>
        </w:rPr>
        <w:t>ow- and high-diversity groups. Amongst low-</w:t>
      </w:r>
      <w:r w:rsidRPr="00F35E64">
        <w:rPr>
          <w:sz w:val="24"/>
          <w:szCs w:val="24"/>
        </w:rPr>
        <w:t>diversity</w:t>
      </w:r>
      <w:r w:rsidR="00E176CF" w:rsidRPr="00F35E64">
        <w:rPr>
          <w:sz w:val="24"/>
          <w:szCs w:val="24"/>
        </w:rPr>
        <w:t xml:space="preserve"> participants, there was</w:t>
      </w:r>
      <w:r w:rsidRPr="00F35E64">
        <w:rPr>
          <w:sz w:val="24"/>
          <w:szCs w:val="24"/>
        </w:rPr>
        <w:t xml:space="preserve"> no effect</w:t>
      </w:r>
      <w:r w:rsidR="00E176CF" w:rsidRPr="00F35E64">
        <w:rPr>
          <w:sz w:val="24"/>
          <w:szCs w:val="24"/>
        </w:rPr>
        <w:t xml:space="preserve"> of group size on group sway. For high-diversity participants, however, a</w:t>
      </w:r>
      <w:r w:rsidRPr="00F35E64">
        <w:rPr>
          <w:sz w:val="24"/>
          <w:szCs w:val="24"/>
        </w:rPr>
        <w:t xml:space="preserve"> linear effect </w:t>
      </w:r>
      <w:r w:rsidR="00E176CF" w:rsidRPr="00F35E64">
        <w:rPr>
          <w:sz w:val="24"/>
          <w:szCs w:val="24"/>
        </w:rPr>
        <w:t>was found (</w:t>
      </w:r>
      <w:r w:rsidRPr="00F35E64">
        <w:rPr>
          <w:sz w:val="24"/>
          <w:szCs w:val="24"/>
        </w:rPr>
        <w:t>difference = -1.03, 95% CIs [-1.98, -.08]</w:t>
      </w:r>
      <w:r w:rsidR="00E176CF" w:rsidRPr="00F35E64">
        <w:rPr>
          <w:sz w:val="24"/>
          <w:szCs w:val="24"/>
        </w:rPr>
        <w:t xml:space="preserve">, </w:t>
      </w:r>
      <w:r w:rsidR="00E176CF" w:rsidRPr="00F35E64">
        <w:rPr>
          <w:i/>
          <w:sz w:val="24"/>
          <w:szCs w:val="24"/>
        </w:rPr>
        <w:t xml:space="preserve">p </w:t>
      </w:r>
      <w:r w:rsidR="00E176CF" w:rsidRPr="00F35E64">
        <w:rPr>
          <w:sz w:val="24"/>
          <w:szCs w:val="24"/>
        </w:rPr>
        <w:t>= .034)</w:t>
      </w:r>
      <w:r w:rsidRPr="00F35E64">
        <w:rPr>
          <w:sz w:val="24"/>
          <w:szCs w:val="24"/>
        </w:rPr>
        <w:t xml:space="preserve">, </w:t>
      </w:r>
      <w:r w:rsidR="00E176CF" w:rsidRPr="00F35E64">
        <w:rPr>
          <w:sz w:val="24"/>
          <w:szCs w:val="24"/>
        </w:rPr>
        <w:t xml:space="preserve">with </w:t>
      </w:r>
      <w:r w:rsidRPr="00F35E64">
        <w:rPr>
          <w:sz w:val="24"/>
          <w:szCs w:val="24"/>
        </w:rPr>
        <w:t xml:space="preserve">group sway perceived to be </w:t>
      </w:r>
      <w:r w:rsidR="00E176CF" w:rsidRPr="00F35E64">
        <w:rPr>
          <w:sz w:val="24"/>
          <w:szCs w:val="24"/>
        </w:rPr>
        <w:t>highest for groups of 7 and lowest for groups of 19</w:t>
      </w:r>
      <w:r w:rsidRPr="00F35E64">
        <w:rPr>
          <w:sz w:val="24"/>
          <w:szCs w:val="24"/>
        </w:rPr>
        <w:t xml:space="preserve">. </w:t>
      </w:r>
      <w:r w:rsidR="00930DBC" w:rsidRPr="00F35E64">
        <w:rPr>
          <w:sz w:val="24"/>
          <w:szCs w:val="24"/>
        </w:rPr>
        <w:t xml:space="preserve">See Figure </w:t>
      </w:r>
      <w:r w:rsidR="00C903BC">
        <w:rPr>
          <w:sz w:val="24"/>
          <w:szCs w:val="24"/>
        </w:rPr>
        <w:t>6</w:t>
      </w:r>
      <w:r w:rsidR="00930DBC" w:rsidRPr="00F35E64">
        <w:rPr>
          <w:sz w:val="24"/>
          <w:szCs w:val="24"/>
        </w:rPr>
        <w:t xml:space="preserve"> below.</w:t>
      </w:r>
      <w:r w:rsidR="00930DBC" w:rsidRPr="00F35E64">
        <w:rPr>
          <w:b/>
          <w:i/>
          <w:sz w:val="24"/>
          <w:szCs w:val="24"/>
        </w:rPr>
        <w:t xml:space="preserve"> </w:t>
      </w:r>
      <w:r w:rsidR="005926CB" w:rsidRPr="00F35E64">
        <w:rPr>
          <w:bCs/>
          <w:iCs/>
          <w:sz w:val="24"/>
          <w:szCs w:val="24"/>
        </w:rPr>
        <w:t xml:space="preserve">Our inference from this result is </w:t>
      </w:r>
      <w:r w:rsidR="00903BF3" w:rsidRPr="00F35E64">
        <w:rPr>
          <w:bCs/>
          <w:iCs/>
          <w:sz w:val="24"/>
          <w:szCs w:val="24"/>
        </w:rPr>
        <w:t>that</w:t>
      </w:r>
      <w:r w:rsidR="00930DBC" w:rsidRPr="00F35E64">
        <w:rPr>
          <w:bCs/>
          <w:iCs/>
          <w:sz w:val="24"/>
          <w:szCs w:val="24"/>
        </w:rPr>
        <w:t xml:space="preserve"> </w:t>
      </w:r>
      <w:r w:rsidR="00FA143F">
        <w:rPr>
          <w:bCs/>
          <w:iCs/>
          <w:sz w:val="24"/>
          <w:szCs w:val="24"/>
        </w:rPr>
        <w:t xml:space="preserve">when the other group members all made the same argument in support of their answer, the size of that group made no difference. Conversely, where the group presented a range of different arguments, the larger groups were perceived as being </w:t>
      </w:r>
      <w:r w:rsidR="006012F0">
        <w:rPr>
          <w:bCs/>
          <w:iCs/>
          <w:sz w:val="24"/>
          <w:szCs w:val="24"/>
        </w:rPr>
        <w:t>more useful and influential.</w:t>
      </w:r>
      <w:r w:rsidR="00FA143F">
        <w:rPr>
          <w:bCs/>
          <w:iCs/>
          <w:sz w:val="24"/>
          <w:szCs w:val="24"/>
        </w:rPr>
        <w:t xml:space="preserve"> </w:t>
      </w:r>
    </w:p>
    <w:p w14:paraId="32843560" w14:textId="58544FDE" w:rsidR="0051698B" w:rsidRPr="008C2146" w:rsidRDefault="008C2146" w:rsidP="00211B87">
      <w:pPr>
        <w:spacing w:line="360" w:lineRule="auto"/>
        <w:rPr>
          <w:b/>
          <w:i/>
          <w:sz w:val="24"/>
          <w:szCs w:val="24"/>
        </w:rPr>
      </w:pPr>
      <w:r>
        <w:rPr>
          <w:sz w:val="24"/>
          <w:szCs w:val="24"/>
        </w:rPr>
        <w:t>I</w:t>
      </w:r>
      <w:r w:rsidR="00903BF3" w:rsidRPr="00F35E64">
        <w:rPr>
          <w:sz w:val="24"/>
          <w:szCs w:val="24"/>
        </w:rPr>
        <w:t>n the second question of the Group Sway questionnaire, respondents</w:t>
      </w:r>
      <w:r>
        <w:rPr>
          <w:sz w:val="24"/>
          <w:szCs w:val="24"/>
        </w:rPr>
        <w:t xml:space="preserve">’ </w:t>
      </w:r>
      <w:r w:rsidR="00C10239" w:rsidRPr="00F35E64">
        <w:rPr>
          <w:sz w:val="24"/>
          <w:szCs w:val="24"/>
        </w:rPr>
        <w:t>rating</w:t>
      </w:r>
      <w:r w:rsidR="00903BF3" w:rsidRPr="00F35E64">
        <w:rPr>
          <w:sz w:val="24"/>
          <w:szCs w:val="24"/>
        </w:rPr>
        <w:t xml:space="preserve"> of group-based influence was roughly evenly split above and below the mid-point of the scale</w:t>
      </w:r>
      <w:r w:rsidR="00651AB3" w:rsidRPr="00F35E64">
        <w:rPr>
          <w:sz w:val="24"/>
          <w:szCs w:val="24"/>
        </w:rPr>
        <w:t>, whilst on the first question,</w:t>
      </w:r>
      <w:r w:rsidR="00903BF3" w:rsidRPr="00F35E64">
        <w:rPr>
          <w:sz w:val="24"/>
          <w:szCs w:val="24"/>
        </w:rPr>
        <w:t xml:space="preserve"> over 68% of respondents rated perceived-helpfulness</w:t>
      </w:r>
      <w:r w:rsidR="00651AB3" w:rsidRPr="00F35E64">
        <w:rPr>
          <w:sz w:val="24"/>
          <w:szCs w:val="24"/>
        </w:rPr>
        <w:t xml:space="preserve"> of the group</w:t>
      </w:r>
      <w:r w:rsidR="00903BF3" w:rsidRPr="00F35E64">
        <w:rPr>
          <w:sz w:val="24"/>
          <w:szCs w:val="24"/>
        </w:rPr>
        <w:t xml:space="preserve"> as </w:t>
      </w:r>
      <w:r w:rsidR="00903BF3" w:rsidRPr="00F35E64">
        <w:rPr>
          <w:sz w:val="24"/>
          <w:szCs w:val="24"/>
        </w:rPr>
        <w:lastRenderedPageBreak/>
        <w:t>above the mid-point of the scale</w:t>
      </w:r>
      <w:r w:rsidR="007D06F5" w:rsidRPr="00F35E64">
        <w:rPr>
          <w:sz w:val="24"/>
          <w:szCs w:val="24"/>
        </w:rPr>
        <w:t>.</w:t>
      </w:r>
      <w:r>
        <w:rPr>
          <w:sz w:val="24"/>
          <w:szCs w:val="24"/>
        </w:rPr>
        <w:t xml:space="preserve"> Overall, therefore, o</w:t>
      </w:r>
      <w:r w:rsidR="00651AB3" w:rsidRPr="00F35E64">
        <w:rPr>
          <w:sz w:val="24"/>
          <w:szCs w:val="24"/>
        </w:rPr>
        <w:t xml:space="preserve">thers’ opinions were </w:t>
      </w:r>
      <w:r w:rsidR="00C10239" w:rsidRPr="00F35E64">
        <w:rPr>
          <w:sz w:val="24"/>
          <w:szCs w:val="24"/>
        </w:rPr>
        <w:t xml:space="preserve">seen to be </w:t>
      </w:r>
      <w:r w:rsidR="00651AB3" w:rsidRPr="00F35E64">
        <w:rPr>
          <w:sz w:val="24"/>
          <w:szCs w:val="24"/>
        </w:rPr>
        <w:t xml:space="preserve">of </w:t>
      </w:r>
      <w:r w:rsidR="00C10239" w:rsidRPr="00F35E64">
        <w:rPr>
          <w:sz w:val="24"/>
          <w:szCs w:val="24"/>
        </w:rPr>
        <w:t xml:space="preserve">both </w:t>
      </w:r>
      <w:r w:rsidR="00651AB3" w:rsidRPr="00F35E64">
        <w:rPr>
          <w:sz w:val="24"/>
          <w:szCs w:val="24"/>
        </w:rPr>
        <w:t>moderate influence</w:t>
      </w:r>
      <w:r w:rsidR="00C10239" w:rsidRPr="00F35E64">
        <w:rPr>
          <w:sz w:val="24"/>
          <w:szCs w:val="24"/>
        </w:rPr>
        <w:t xml:space="preserve"> and helpfulness</w:t>
      </w:r>
      <w:r w:rsidR="00651AB3" w:rsidRPr="00F35E64">
        <w:rPr>
          <w:sz w:val="24"/>
          <w:szCs w:val="24"/>
        </w:rPr>
        <w:t xml:space="preserve"> </w:t>
      </w:r>
      <w:r w:rsidR="00C10239" w:rsidRPr="00F35E64">
        <w:rPr>
          <w:sz w:val="24"/>
          <w:szCs w:val="24"/>
        </w:rPr>
        <w:t>in forming participants’ second round judgments.</w:t>
      </w:r>
    </w:p>
    <w:p w14:paraId="15007374" w14:textId="77777777" w:rsidR="00CD7966" w:rsidRPr="00F35E64" w:rsidRDefault="00CD7966" w:rsidP="00211B87">
      <w:pPr>
        <w:autoSpaceDE w:val="0"/>
        <w:autoSpaceDN w:val="0"/>
        <w:adjustRightInd w:val="0"/>
        <w:spacing w:after="0" w:line="360" w:lineRule="auto"/>
        <w:rPr>
          <w:rFonts w:ascii="Times New Roman" w:hAnsi="Times New Roman" w:cs="Times New Roman"/>
          <w:sz w:val="24"/>
          <w:szCs w:val="24"/>
        </w:rPr>
      </w:pPr>
      <w:r w:rsidRPr="00F35E64">
        <w:rPr>
          <w:rFonts w:ascii="Times New Roman" w:hAnsi="Times New Roman" w:cs="Times New Roman"/>
          <w:noProof/>
          <w:sz w:val="24"/>
          <w:szCs w:val="24"/>
          <w:lang w:eastAsia="en-GB"/>
        </w:rPr>
        <w:drawing>
          <wp:inline distT="0" distB="0" distL="0" distR="0" wp14:anchorId="3B3DB8D7" wp14:editId="36A84AC1">
            <wp:extent cx="6105525" cy="3590111"/>
            <wp:effectExtent l="0" t="0" r="0" b="0"/>
            <wp:docPr id="5" name="Picture 5" descr="Figure shows the mean group sway score by group size and diversity. Error bars ar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shows the mean group sway score by group size and diversity. Error bars are 95% confidence interva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1131" cy="3593407"/>
                    </a:xfrm>
                    <a:prstGeom prst="rect">
                      <a:avLst/>
                    </a:prstGeom>
                    <a:noFill/>
                    <a:ln>
                      <a:noFill/>
                    </a:ln>
                  </pic:spPr>
                </pic:pic>
              </a:graphicData>
            </a:graphic>
          </wp:inline>
        </w:drawing>
      </w:r>
    </w:p>
    <w:p w14:paraId="4D59D8DF" w14:textId="53ED7330" w:rsidR="00DC438F" w:rsidRPr="00F35E64" w:rsidRDefault="008172A6" w:rsidP="00211B87">
      <w:pPr>
        <w:spacing w:line="360" w:lineRule="auto"/>
        <w:rPr>
          <w:i/>
          <w:sz w:val="24"/>
          <w:szCs w:val="24"/>
        </w:rPr>
      </w:pPr>
      <w:r w:rsidRPr="00F35E64">
        <w:rPr>
          <w:i/>
          <w:sz w:val="24"/>
          <w:szCs w:val="24"/>
        </w:rPr>
        <w:t xml:space="preserve">Figure </w:t>
      </w:r>
      <w:r w:rsidR="00C903BC">
        <w:rPr>
          <w:i/>
          <w:sz w:val="24"/>
          <w:szCs w:val="24"/>
        </w:rPr>
        <w:t>6</w:t>
      </w:r>
      <w:r w:rsidR="00DC438F" w:rsidRPr="00F35E64">
        <w:rPr>
          <w:i/>
          <w:sz w:val="24"/>
          <w:szCs w:val="24"/>
        </w:rPr>
        <w:t xml:space="preserve">. </w:t>
      </w:r>
      <w:r w:rsidR="00DC438F" w:rsidRPr="00F35E64">
        <w:rPr>
          <w:sz w:val="24"/>
          <w:szCs w:val="24"/>
        </w:rPr>
        <w:t>Mean group sway score by group size</w:t>
      </w:r>
      <w:r w:rsidR="00CD7966" w:rsidRPr="00F35E64">
        <w:rPr>
          <w:sz w:val="24"/>
          <w:szCs w:val="24"/>
        </w:rPr>
        <w:t xml:space="preserve"> and diversity</w:t>
      </w:r>
      <w:r w:rsidR="00DC438F" w:rsidRPr="00F35E64">
        <w:rPr>
          <w:sz w:val="24"/>
          <w:szCs w:val="24"/>
        </w:rPr>
        <w:t>.</w:t>
      </w:r>
      <w:r w:rsidR="00CD7966" w:rsidRPr="00F35E64">
        <w:rPr>
          <w:sz w:val="24"/>
          <w:szCs w:val="24"/>
        </w:rPr>
        <w:t xml:space="preserve"> Error bars are 95% confidence intervals.</w:t>
      </w:r>
    </w:p>
    <w:p w14:paraId="0AE1B18A" w14:textId="77777777" w:rsidR="004F498F" w:rsidRPr="00F35E64" w:rsidRDefault="004F498F" w:rsidP="00211B87">
      <w:pPr>
        <w:spacing w:line="360" w:lineRule="auto"/>
        <w:rPr>
          <w:b/>
          <w:sz w:val="24"/>
          <w:szCs w:val="24"/>
        </w:rPr>
      </w:pPr>
    </w:p>
    <w:p w14:paraId="3022204D" w14:textId="7D1E36D5" w:rsidR="009305EB" w:rsidRPr="00F35E64" w:rsidRDefault="0061164D" w:rsidP="00810A9F">
      <w:pPr>
        <w:spacing w:line="360" w:lineRule="auto"/>
        <w:jc w:val="center"/>
        <w:rPr>
          <w:b/>
          <w:sz w:val="24"/>
          <w:szCs w:val="24"/>
        </w:rPr>
      </w:pPr>
      <w:r w:rsidRPr="00F35E64">
        <w:rPr>
          <w:b/>
          <w:sz w:val="24"/>
          <w:szCs w:val="24"/>
        </w:rPr>
        <w:t>Discussion</w:t>
      </w:r>
    </w:p>
    <w:p w14:paraId="05B61E12" w14:textId="77777777" w:rsidR="007F2FB6" w:rsidRDefault="005B77D4" w:rsidP="00211B87">
      <w:pPr>
        <w:spacing w:line="360" w:lineRule="auto"/>
        <w:rPr>
          <w:sz w:val="24"/>
          <w:szCs w:val="24"/>
        </w:rPr>
      </w:pPr>
      <w:r>
        <w:rPr>
          <w:sz w:val="24"/>
          <w:szCs w:val="24"/>
        </w:rPr>
        <w:t xml:space="preserve">This study set out to explore whether the size of </w:t>
      </w:r>
      <w:r w:rsidR="00D84571">
        <w:rPr>
          <w:sz w:val="24"/>
          <w:szCs w:val="24"/>
        </w:rPr>
        <w:t xml:space="preserve">a </w:t>
      </w:r>
      <w:r>
        <w:rPr>
          <w:sz w:val="24"/>
          <w:szCs w:val="24"/>
        </w:rPr>
        <w:t xml:space="preserve">Delphi group or the diversity of the opinions represented affect participants’ experience of the process. </w:t>
      </w:r>
      <w:r w:rsidR="009305EB" w:rsidRPr="00F35E64">
        <w:rPr>
          <w:sz w:val="24"/>
          <w:szCs w:val="24"/>
        </w:rPr>
        <w:t>Overall, even with a maximum group size of 19</w:t>
      </w:r>
      <w:r w:rsidR="00703C32" w:rsidRPr="00F35E64">
        <w:rPr>
          <w:sz w:val="24"/>
          <w:szCs w:val="24"/>
        </w:rPr>
        <w:t xml:space="preserve"> and </w:t>
      </w:r>
      <w:r w:rsidR="009305EB" w:rsidRPr="00F35E64">
        <w:rPr>
          <w:sz w:val="24"/>
          <w:szCs w:val="24"/>
        </w:rPr>
        <w:t xml:space="preserve">coupled with high diversity of </w:t>
      </w:r>
      <w:r w:rsidR="00703C32" w:rsidRPr="00F35E64">
        <w:rPr>
          <w:sz w:val="24"/>
          <w:szCs w:val="24"/>
        </w:rPr>
        <w:t xml:space="preserve">qualitative </w:t>
      </w:r>
      <w:r w:rsidR="009305EB" w:rsidRPr="00F35E64">
        <w:rPr>
          <w:sz w:val="24"/>
          <w:szCs w:val="24"/>
        </w:rPr>
        <w:t xml:space="preserve">feedback from the other panellists, the degree of the challenge presented by the Delphi task to individual participants was moderate and roughly equivalent to that of participating in computer gaming. </w:t>
      </w:r>
      <w:r w:rsidR="00703C32" w:rsidRPr="00F35E64">
        <w:rPr>
          <w:sz w:val="24"/>
          <w:szCs w:val="24"/>
        </w:rPr>
        <w:t>Notably</w:t>
      </w:r>
      <w:r w:rsidR="009305EB" w:rsidRPr="00F35E64">
        <w:rPr>
          <w:sz w:val="24"/>
          <w:szCs w:val="24"/>
        </w:rPr>
        <w:t>, participants’ task involvement (enjoyment and interest) was quite high - at least 80% of respondents rated their experience as above the mid-point of the scale</w:t>
      </w:r>
      <w:r w:rsidR="00703C32" w:rsidRPr="00F35E64">
        <w:rPr>
          <w:sz w:val="24"/>
          <w:szCs w:val="24"/>
        </w:rPr>
        <w:t xml:space="preserve">, no matter the group size or diversity of opinions utilised as between-round feedback. </w:t>
      </w:r>
      <w:r w:rsidR="009305EB" w:rsidRPr="00F35E64">
        <w:rPr>
          <w:sz w:val="24"/>
          <w:szCs w:val="24"/>
        </w:rPr>
        <w:t xml:space="preserve">Additionally, </w:t>
      </w:r>
      <w:r w:rsidR="00703C32" w:rsidRPr="00F35E64">
        <w:rPr>
          <w:sz w:val="24"/>
          <w:szCs w:val="24"/>
        </w:rPr>
        <w:t xml:space="preserve">the qualitative between-round feedback </w:t>
      </w:r>
      <w:r w:rsidR="003E3769">
        <w:rPr>
          <w:sz w:val="24"/>
          <w:szCs w:val="24"/>
        </w:rPr>
        <w:t xml:space="preserve">from their fellow group members </w:t>
      </w:r>
      <w:r w:rsidR="00703C32" w:rsidRPr="00F35E64">
        <w:rPr>
          <w:sz w:val="24"/>
          <w:szCs w:val="24"/>
        </w:rPr>
        <w:t xml:space="preserve">was seen to have been of moderate influence and helpfulness. </w:t>
      </w:r>
    </w:p>
    <w:p w14:paraId="2FA4C884" w14:textId="411C12ED" w:rsidR="00703C32" w:rsidRPr="00F35E64" w:rsidRDefault="00703C32" w:rsidP="00211B87">
      <w:pPr>
        <w:spacing w:line="360" w:lineRule="auto"/>
        <w:rPr>
          <w:sz w:val="24"/>
          <w:szCs w:val="24"/>
        </w:rPr>
      </w:pPr>
      <w:r w:rsidRPr="00F35E64">
        <w:rPr>
          <w:sz w:val="24"/>
          <w:szCs w:val="24"/>
        </w:rPr>
        <w:lastRenderedPageBreak/>
        <w:t>Importantly,</w:t>
      </w:r>
      <w:r w:rsidR="00B10FC2">
        <w:rPr>
          <w:sz w:val="24"/>
          <w:szCs w:val="24"/>
        </w:rPr>
        <w:t xml:space="preserve"> analysis of</w:t>
      </w:r>
      <w:r w:rsidRPr="00F35E64">
        <w:rPr>
          <w:sz w:val="24"/>
          <w:szCs w:val="24"/>
        </w:rPr>
        <w:t xml:space="preserve"> the time that participants took to complete the Delphi task of responding to ten forecasting questions indicat</w:t>
      </w:r>
      <w:r w:rsidR="00802470">
        <w:rPr>
          <w:sz w:val="24"/>
          <w:szCs w:val="24"/>
        </w:rPr>
        <w:t>ed</w:t>
      </w:r>
      <w:r w:rsidRPr="00F35E64">
        <w:rPr>
          <w:sz w:val="24"/>
          <w:szCs w:val="24"/>
        </w:rPr>
        <w:t xml:space="preserve"> that participants </w:t>
      </w:r>
      <w:r w:rsidR="00802470">
        <w:rPr>
          <w:sz w:val="24"/>
          <w:szCs w:val="24"/>
        </w:rPr>
        <w:t>did</w:t>
      </w:r>
      <w:r w:rsidRPr="00F35E64">
        <w:rPr>
          <w:sz w:val="24"/>
          <w:szCs w:val="24"/>
        </w:rPr>
        <w:t xml:space="preserve"> not disengag</w:t>
      </w:r>
      <w:r w:rsidR="00802470">
        <w:rPr>
          <w:sz w:val="24"/>
          <w:szCs w:val="24"/>
        </w:rPr>
        <w:t>e</w:t>
      </w:r>
      <w:r w:rsidRPr="00F35E64">
        <w:rPr>
          <w:sz w:val="24"/>
          <w:szCs w:val="24"/>
        </w:rPr>
        <w:t xml:space="preserve"> with the Delphi task</w:t>
      </w:r>
      <w:r w:rsidR="00802470">
        <w:rPr>
          <w:sz w:val="24"/>
          <w:szCs w:val="24"/>
        </w:rPr>
        <w:t>,</w:t>
      </w:r>
      <w:r w:rsidRPr="00F35E64">
        <w:rPr>
          <w:sz w:val="24"/>
          <w:szCs w:val="24"/>
        </w:rPr>
        <w:t xml:space="preserve"> even when the Delphi group size was increased to 19. </w:t>
      </w:r>
      <w:r w:rsidR="00B10FC2">
        <w:rPr>
          <w:sz w:val="24"/>
          <w:szCs w:val="24"/>
        </w:rPr>
        <w:t>However, there was some indication that participants shortened their processing of highly diverse feedback when group size reached 16 and above</w:t>
      </w:r>
      <w:r w:rsidR="005B77D4" w:rsidRPr="005B77D4">
        <w:rPr>
          <w:sz w:val="24"/>
          <w:szCs w:val="24"/>
        </w:rPr>
        <w:t>.</w:t>
      </w:r>
      <w:r w:rsidR="001F698D">
        <w:rPr>
          <w:sz w:val="24"/>
          <w:szCs w:val="24"/>
        </w:rPr>
        <w:t xml:space="preserve"> Further research is needed to explore the link between increased information load and possible changes in panellist behaviour to reduce cognitive strain</w:t>
      </w:r>
      <w:r w:rsidR="00703E99">
        <w:rPr>
          <w:sz w:val="24"/>
          <w:szCs w:val="24"/>
        </w:rPr>
        <w:t>,</w:t>
      </w:r>
      <w:r w:rsidR="001F698D">
        <w:rPr>
          <w:sz w:val="24"/>
          <w:szCs w:val="24"/>
        </w:rPr>
        <w:t xml:space="preserve"> such as reading fewer of the rationales or engaging with the material at a more superficial level. Process-tracing methods such as mouse- and eye-tracking would be useful for this purpose (Maldonado, Dunbar &amp; Chemla, 2019; Schulte-Mecklenbeck</w:t>
      </w:r>
      <w:r w:rsidR="001E1532">
        <w:rPr>
          <w:sz w:val="24"/>
          <w:szCs w:val="24"/>
        </w:rPr>
        <w:t xml:space="preserve"> et al., 2017; Fiedler &amp; Glockner, 2012)</w:t>
      </w:r>
      <w:r w:rsidR="001F698D">
        <w:rPr>
          <w:sz w:val="24"/>
          <w:szCs w:val="24"/>
        </w:rPr>
        <w:t xml:space="preserve">. </w:t>
      </w:r>
      <w:r w:rsidR="00EC0488">
        <w:rPr>
          <w:sz w:val="24"/>
          <w:szCs w:val="24"/>
        </w:rPr>
        <w:t>Panellists</w:t>
      </w:r>
      <w:r w:rsidR="004C5FD0">
        <w:rPr>
          <w:sz w:val="24"/>
          <w:szCs w:val="24"/>
        </w:rPr>
        <w:t>’</w:t>
      </w:r>
      <w:r w:rsidR="00EC0488">
        <w:rPr>
          <w:sz w:val="24"/>
          <w:szCs w:val="24"/>
        </w:rPr>
        <w:t xml:space="preserve"> behavio</w:t>
      </w:r>
      <w:r w:rsidR="004C5FD0">
        <w:rPr>
          <w:sz w:val="24"/>
          <w:szCs w:val="24"/>
        </w:rPr>
        <w:t>u</w:t>
      </w:r>
      <w:r w:rsidR="00EC0488">
        <w:rPr>
          <w:sz w:val="24"/>
          <w:szCs w:val="24"/>
        </w:rPr>
        <w:t>r will also, no doubt, be influenced by their degree of interest in both the Delphi topic and in the similar or alternative rationales of others – when presented as feedback between Delphi rounds.</w:t>
      </w:r>
    </w:p>
    <w:p w14:paraId="14C14743" w14:textId="7F70C3E8" w:rsidR="00703C32" w:rsidRPr="00F35E64" w:rsidRDefault="00703C32" w:rsidP="00211B87">
      <w:pPr>
        <w:spacing w:line="360" w:lineRule="auto"/>
        <w:rPr>
          <w:sz w:val="24"/>
          <w:szCs w:val="24"/>
        </w:rPr>
      </w:pPr>
      <w:r w:rsidRPr="00F35E64">
        <w:rPr>
          <w:sz w:val="24"/>
          <w:szCs w:val="24"/>
        </w:rPr>
        <w:t xml:space="preserve">In short, </w:t>
      </w:r>
      <w:r w:rsidR="00657329">
        <w:rPr>
          <w:sz w:val="24"/>
          <w:szCs w:val="24"/>
        </w:rPr>
        <w:t xml:space="preserve">in our experimental, rather than real-world study, </w:t>
      </w:r>
      <w:r w:rsidR="00990B32">
        <w:rPr>
          <w:sz w:val="24"/>
          <w:szCs w:val="24"/>
        </w:rPr>
        <w:t>we found no evidence</w:t>
      </w:r>
      <w:r w:rsidR="009324B7">
        <w:rPr>
          <w:sz w:val="24"/>
          <w:szCs w:val="24"/>
        </w:rPr>
        <w:t xml:space="preserve"> to suggest</w:t>
      </w:r>
      <w:r w:rsidR="00D910C3">
        <w:rPr>
          <w:sz w:val="24"/>
          <w:szCs w:val="24"/>
        </w:rPr>
        <w:t xml:space="preserve"> </w:t>
      </w:r>
      <w:r w:rsidRPr="00F35E64">
        <w:rPr>
          <w:sz w:val="24"/>
          <w:szCs w:val="24"/>
        </w:rPr>
        <w:t xml:space="preserve">that </w:t>
      </w:r>
      <w:r w:rsidR="009324B7">
        <w:rPr>
          <w:sz w:val="24"/>
          <w:szCs w:val="24"/>
        </w:rPr>
        <w:t xml:space="preserve">running a </w:t>
      </w:r>
      <w:r w:rsidRPr="00F35E64">
        <w:rPr>
          <w:sz w:val="24"/>
          <w:szCs w:val="24"/>
        </w:rPr>
        <w:t>Delphi application using qualitative rationales as between-round feedback in group</w:t>
      </w:r>
      <w:r w:rsidR="00990B32">
        <w:rPr>
          <w:sz w:val="24"/>
          <w:szCs w:val="24"/>
        </w:rPr>
        <w:t xml:space="preserve">s of 19 or fewer </w:t>
      </w:r>
      <w:r w:rsidRPr="00F35E64">
        <w:rPr>
          <w:sz w:val="24"/>
          <w:szCs w:val="24"/>
        </w:rPr>
        <w:t>wi</w:t>
      </w:r>
      <w:r w:rsidR="00990B32">
        <w:rPr>
          <w:sz w:val="24"/>
          <w:szCs w:val="24"/>
        </w:rPr>
        <w:t xml:space="preserve">ll </w:t>
      </w:r>
      <w:r w:rsidRPr="00F35E64">
        <w:rPr>
          <w:sz w:val="24"/>
          <w:szCs w:val="24"/>
        </w:rPr>
        <w:t>overload, demotiv</w:t>
      </w:r>
      <w:r w:rsidR="00D910C3">
        <w:rPr>
          <w:sz w:val="24"/>
          <w:szCs w:val="24"/>
        </w:rPr>
        <w:t>ate</w:t>
      </w:r>
      <w:r w:rsidRPr="00F35E64">
        <w:rPr>
          <w:sz w:val="24"/>
          <w:szCs w:val="24"/>
        </w:rPr>
        <w:t>, or disengag</w:t>
      </w:r>
      <w:r w:rsidR="00990B32">
        <w:rPr>
          <w:sz w:val="24"/>
          <w:szCs w:val="24"/>
        </w:rPr>
        <w:t>e</w:t>
      </w:r>
      <w:r w:rsidRPr="00F35E64">
        <w:rPr>
          <w:sz w:val="24"/>
          <w:szCs w:val="24"/>
        </w:rPr>
        <w:t xml:space="preserve"> participants</w:t>
      </w:r>
      <w:r w:rsidRPr="00B6312D">
        <w:rPr>
          <w:rFonts w:cstheme="minorHAnsi"/>
          <w:sz w:val="24"/>
          <w:szCs w:val="24"/>
        </w:rPr>
        <w:t>.</w:t>
      </w:r>
      <w:r w:rsidR="00B6312D" w:rsidRPr="00B6312D">
        <w:rPr>
          <w:rFonts w:cstheme="minorHAnsi"/>
          <w:sz w:val="24"/>
          <w:szCs w:val="24"/>
        </w:rPr>
        <w:t xml:space="preserve"> </w:t>
      </w:r>
      <w:r w:rsidR="00094F20">
        <w:rPr>
          <w:rFonts w:cstheme="minorHAnsi"/>
          <w:sz w:val="24"/>
          <w:szCs w:val="24"/>
        </w:rPr>
        <w:t>It is worth noting that</w:t>
      </w:r>
      <w:r w:rsidR="00B6312D" w:rsidRPr="00094F20">
        <w:rPr>
          <w:rFonts w:cstheme="minorHAnsi"/>
          <w:sz w:val="24"/>
          <w:szCs w:val="24"/>
        </w:rPr>
        <w:t xml:space="preserve"> </w:t>
      </w:r>
      <w:r w:rsidR="004204C8">
        <w:rPr>
          <w:rFonts w:cstheme="minorHAnsi"/>
          <w:sz w:val="24"/>
          <w:szCs w:val="24"/>
        </w:rPr>
        <w:t xml:space="preserve">this </w:t>
      </w:r>
      <w:r w:rsidR="00B6312D" w:rsidRPr="00094F20">
        <w:rPr>
          <w:rFonts w:cstheme="minorHAnsi"/>
          <w:sz w:val="24"/>
          <w:szCs w:val="24"/>
        </w:rPr>
        <w:t xml:space="preserve">was </w:t>
      </w:r>
      <w:r w:rsidR="00094F20">
        <w:rPr>
          <w:rFonts w:cstheme="minorHAnsi"/>
          <w:sz w:val="24"/>
          <w:szCs w:val="24"/>
        </w:rPr>
        <w:t>primarily an</w:t>
      </w:r>
      <w:r w:rsidR="00B6312D" w:rsidRPr="00094F20">
        <w:rPr>
          <w:rFonts w:cstheme="minorHAnsi"/>
          <w:sz w:val="24"/>
          <w:szCs w:val="24"/>
        </w:rPr>
        <w:t xml:space="preserve"> exploratory study</w:t>
      </w:r>
      <w:r w:rsidR="004204C8">
        <w:rPr>
          <w:rFonts w:cstheme="minorHAnsi"/>
          <w:sz w:val="24"/>
          <w:szCs w:val="24"/>
        </w:rPr>
        <w:t xml:space="preserve"> and</w:t>
      </w:r>
      <w:r w:rsidR="00094F20">
        <w:rPr>
          <w:rFonts w:cstheme="minorHAnsi"/>
          <w:sz w:val="24"/>
          <w:szCs w:val="24"/>
        </w:rPr>
        <w:t xml:space="preserve"> </w:t>
      </w:r>
      <w:r w:rsidR="00B6312D" w:rsidRPr="00094F20">
        <w:rPr>
          <w:rFonts w:cstheme="minorHAnsi"/>
          <w:sz w:val="24"/>
          <w:szCs w:val="24"/>
        </w:rPr>
        <w:t xml:space="preserve">further </w:t>
      </w:r>
      <w:r w:rsidR="00D73B13">
        <w:rPr>
          <w:rFonts w:cstheme="minorHAnsi"/>
          <w:sz w:val="24"/>
          <w:szCs w:val="24"/>
        </w:rPr>
        <w:t>research</w:t>
      </w:r>
      <w:r w:rsidR="00B6312D" w:rsidRPr="00094F20">
        <w:rPr>
          <w:rFonts w:cstheme="minorHAnsi"/>
          <w:sz w:val="24"/>
          <w:szCs w:val="24"/>
        </w:rPr>
        <w:t xml:space="preserve"> </w:t>
      </w:r>
      <w:r w:rsidR="00094F20">
        <w:rPr>
          <w:rFonts w:cstheme="minorHAnsi"/>
          <w:sz w:val="24"/>
          <w:szCs w:val="24"/>
        </w:rPr>
        <w:t>would be</w:t>
      </w:r>
      <w:r w:rsidR="00B6312D" w:rsidRPr="00094F20">
        <w:rPr>
          <w:rFonts w:cstheme="minorHAnsi"/>
          <w:sz w:val="24"/>
          <w:szCs w:val="24"/>
        </w:rPr>
        <w:t xml:space="preserve"> required to ascertain whether these findings will generalise to other</w:t>
      </w:r>
      <w:r w:rsidR="00BF0C1C">
        <w:rPr>
          <w:rFonts w:cstheme="minorHAnsi"/>
          <w:sz w:val="24"/>
          <w:szCs w:val="24"/>
        </w:rPr>
        <w:t>, less simple</w:t>
      </w:r>
      <w:r w:rsidR="00B6312D" w:rsidRPr="00094F20">
        <w:rPr>
          <w:rFonts w:cstheme="minorHAnsi"/>
          <w:sz w:val="24"/>
          <w:szCs w:val="24"/>
        </w:rPr>
        <w:t xml:space="preserve"> Delphi tasks. </w:t>
      </w:r>
      <w:r w:rsidR="004B6A3C" w:rsidRPr="004B6A3C">
        <w:rPr>
          <w:rFonts w:cstheme="minorHAnsi"/>
          <w:sz w:val="24"/>
          <w:szCs w:val="24"/>
        </w:rPr>
        <w:t xml:space="preserve">Experiments </w:t>
      </w:r>
      <w:r w:rsidR="004B6A3C">
        <w:rPr>
          <w:rFonts w:cstheme="minorHAnsi"/>
          <w:sz w:val="24"/>
          <w:szCs w:val="24"/>
        </w:rPr>
        <w:t xml:space="preserve">such as the present study </w:t>
      </w:r>
      <w:r w:rsidR="004B6A3C" w:rsidRPr="004B6A3C">
        <w:rPr>
          <w:rFonts w:cstheme="minorHAnsi"/>
          <w:sz w:val="24"/>
          <w:szCs w:val="24"/>
        </w:rPr>
        <w:t xml:space="preserve">are always a trade-off since they involve creating an artificially simple and controlled environment so that the effect of specific variables can be tested. This ability to isolate effects comes at the price of reduced external validity. </w:t>
      </w:r>
      <w:r w:rsidR="001201F1">
        <w:rPr>
          <w:rFonts w:cstheme="minorHAnsi"/>
          <w:sz w:val="24"/>
          <w:szCs w:val="24"/>
        </w:rPr>
        <w:t>C</w:t>
      </w:r>
      <w:r w:rsidR="00094F20">
        <w:rPr>
          <w:rFonts w:cstheme="minorHAnsi"/>
          <w:sz w:val="24"/>
          <w:szCs w:val="24"/>
        </w:rPr>
        <w:t>ertain</w:t>
      </w:r>
      <w:r w:rsidR="00B6312D" w:rsidRPr="00094F20">
        <w:rPr>
          <w:rFonts w:cstheme="minorHAnsi"/>
          <w:sz w:val="24"/>
          <w:szCs w:val="24"/>
        </w:rPr>
        <w:t xml:space="preserve"> kinds of Delphi tasks</w:t>
      </w:r>
      <w:r w:rsidR="001201F1">
        <w:rPr>
          <w:rFonts w:cstheme="minorHAnsi"/>
          <w:sz w:val="24"/>
          <w:szCs w:val="24"/>
        </w:rPr>
        <w:t xml:space="preserve">, for example where there are many, detailed questions and/or where panellists provide particularly long, complex rationales, </w:t>
      </w:r>
      <w:r w:rsidR="00B6312D" w:rsidRPr="00094F20">
        <w:rPr>
          <w:rFonts w:cstheme="minorHAnsi"/>
          <w:sz w:val="24"/>
          <w:szCs w:val="24"/>
        </w:rPr>
        <w:t>might overload participants in groups smaller than 19.</w:t>
      </w:r>
      <w:r w:rsidR="00094F20">
        <w:rPr>
          <w:rFonts w:cstheme="minorHAnsi"/>
          <w:sz w:val="24"/>
          <w:szCs w:val="24"/>
        </w:rPr>
        <w:t xml:space="preserve"> </w:t>
      </w:r>
      <w:r w:rsidR="001201F1">
        <w:rPr>
          <w:rFonts w:cstheme="minorHAnsi"/>
          <w:sz w:val="24"/>
          <w:szCs w:val="24"/>
        </w:rPr>
        <w:t>The reverse is true for studies where</w:t>
      </w:r>
      <w:r w:rsidR="00BF0C1C">
        <w:rPr>
          <w:rFonts w:cstheme="minorHAnsi"/>
          <w:sz w:val="24"/>
          <w:szCs w:val="24"/>
        </w:rPr>
        <w:t xml:space="preserve"> only</w:t>
      </w:r>
      <w:r w:rsidR="001201F1">
        <w:rPr>
          <w:rFonts w:cstheme="minorHAnsi"/>
          <w:sz w:val="24"/>
          <w:szCs w:val="24"/>
        </w:rPr>
        <w:t xml:space="preserve"> few and/or brief rationales are provided. </w:t>
      </w:r>
      <w:r w:rsidR="00094F20">
        <w:rPr>
          <w:rFonts w:cstheme="minorHAnsi"/>
          <w:sz w:val="24"/>
          <w:szCs w:val="24"/>
        </w:rPr>
        <w:t xml:space="preserve">The </w:t>
      </w:r>
      <w:r w:rsidR="004A0DC8">
        <w:rPr>
          <w:rFonts w:cstheme="minorHAnsi"/>
          <w:sz w:val="24"/>
          <w:szCs w:val="24"/>
        </w:rPr>
        <w:t xml:space="preserve">tipping point for information overload may also be extremely sensitive to the </w:t>
      </w:r>
      <w:r w:rsidR="00094F20">
        <w:rPr>
          <w:rFonts w:cstheme="minorHAnsi"/>
          <w:sz w:val="24"/>
          <w:szCs w:val="24"/>
        </w:rPr>
        <w:t xml:space="preserve">format of the online tool used to deliver the Delphi survey </w:t>
      </w:r>
      <w:r w:rsidR="004A0DC8">
        <w:rPr>
          <w:rFonts w:cstheme="minorHAnsi"/>
          <w:sz w:val="24"/>
          <w:szCs w:val="24"/>
        </w:rPr>
        <w:t>and the exact procedure used.</w:t>
      </w:r>
      <w:r w:rsidR="00FB4D7A">
        <w:rPr>
          <w:rFonts w:cstheme="minorHAnsi"/>
          <w:sz w:val="24"/>
          <w:szCs w:val="24"/>
        </w:rPr>
        <w:t xml:space="preserve"> In addition, in many </w:t>
      </w:r>
      <w:r w:rsidR="00703E99">
        <w:rPr>
          <w:rFonts w:cstheme="minorHAnsi"/>
          <w:sz w:val="24"/>
          <w:szCs w:val="24"/>
        </w:rPr>
        <w:t xml:space="preserve">real-world </w:t>
      </w:r>
      <w:r w:rsidR="00FB4D7A">
        <w:rPr>
          <w:rFonts w:cstheme="minorHAnsi"/>
          <w:sz w:val="24"/>
          <w:szCs w:val="24"/>
        </w:rPr>
        <w:t xml:space="preserve">contexts the size of Delphi panel </w:t>
      </w:r>
      <w:r w:rsidR="003F6982">
        <w:rPr>
          <w:rFonts w:cstheme="minorHAnsi"/>
          <w:sz w:val="24"/>
          <w:szCs w:val="24"/>
        </w:rPr>
        <w:t xml:space="preserve">needed </w:t>
      </w:r>
      <w:r w:rsidR="00FB4D7A">
        <w:rPr>
          <w:rFonts w:cstheme="minorHAnsi"/>
          <w:sz w:val="24"/>
          <w:szCs w:val="24"/>
        </w:rPr>
        <w:t xml:space="preserve">will be dictated to some extent by the goals of the survey. The scope of the topic investigated might require a sample much larger than 20 </w:t>
      </w:r>
      <w:r w:rsidR="00BF0C1C">
        <w:rPr>
          <w:rFonts w:cstheme="minorHAnsi"/>
          <w:sz w:val="24"/>
          <w:szCs w:val="24"/>
        </w:rPr>
        <w:t xml:space="preserve">(e.g. 100 or more) </w:t>
      </w:r>
      <w:r w:rsidR="00FB4D7A">
        <w:rPr>
          <w:rFonts w:cstheme="minorHAnsi"/>
          <w:sz w:val="24"/>
          <w:szCs w:val="24"/>
        </w:rPr>
        <w:t xml:space="preserve">in order to </w:t>
      </w:r>
      <w:r w:rsidR="00BF0C1C">
        <w:rPr>
          <w:rFonts w:cstheme="minorHAnsi"/>
          <w:sz w:val="24"/>
          <w:szCs w:val="24"/>
        </w:rPr>
        <w:t xml:space="preserve">capture relevant expertise and generate legitimate, representative results. </w:t>
      </w:r>
      <w:r w:rsidR="00703E99">
        <w:rPr>
          <w:rFonts w:cstheme="minorHAnsi"/>
          <w:sz w:val="24"/>
          <w:szCs w:val="24"/>
        </w:rPr>
        <w:t xml:space="preserve">In such cases, </w:t>
      </w:r>
      <w:r w:rsidR="001C167F">
        <w:rPr>
          <w:rFonts w:cstheme="minorHAnsi"/>
          <w:sz w:val="24"/>
          <w:szCs w:val="24"/>
        </w:rPr>
        <w:t xml:space="preserve">it may make sense to apply a </w:t>
      </w:r>
      <w:r w:rsidR="00703E99">
        <w:rPr>
          <w:rFonts w:cstheme="minorHAnsi"/>
          <w:sz w:val="24"/>
          <w:szCs w:val="24"/>
        </w:rPr>
        <w:t xml:space="preserve">mechanism for reducing the volume of rationales presented </w:t>
      </w:r>
      <w:r w:rsidR="001C167F">
        <w:rPr>
          <w:rFonts w:cstheme="minorHAnsi"/>
          <w:sz w:val="24"/>
          <w:szCs w:val="24"/>
        </w:rPr>
        <w:t xml:space="preserve">to </w:t>
      </w:r>
      <w:r w:rsidR="001C167F">
        <w:rPr>
          <w:rFonts w:cstheme="minorHAnsi"/>
          <w:sz w:val="24"/>
          <w:szCs w:val="24"/>
        </w:rPr>
        <w:lastRenderedPageBreak/>
        <w:t>panellists while retaining as much of the argumentation as possible (e.g. DAD – Gheorghiu et al., 2017).</w:t>
      </w:r>
    </w:p>
    <w:p w14:paraId="52C12B6D" w14:textId="77777777" w:rsidR="00F86495" w:rsidRPr="00F35E64" w:rsidRDefault="00F86495" w:rsidP="00211B87">
      <w:pPr>
        <w:spacing w:line="360" w:lineRule="auto"/>
        <w:rPr>
          <w:b/>
          <w:sz w:val="24"/>
          <w:szCs w:val="24"/>
        </w:rPr>
      </w:pPr>
    </w:p>
    <w:p w14:paraId="61544236" w14:textId="5F489D82" w:rsidR="00B90995" w:rsidRDefault="0051698B" w:rsidP="00211B87">
      <w:pPr>
        <w:spacing w:line="360" w:lineRule="auto"/>
        <w:rPr>
          <w:b/>
          <w:sz w:val="24"/>
          <w:szCs w:val="24"/>
        </w:rPr>
      </w:pPr>
      <w:r w:rsidRPr="00F35E64">
        <w:rPr>
          <w:b/>
          <w:sz w:val="24"/>
          <w:szCs w:val="24"/>
        </w:rPr>
        <w:t>References</w:t>
      </w:r>
    </w:p>
    <w:p w14:paraId="71C5E158" w14:textId="6A609873" w:rsidR="004823A7" w:rsidRPr="004823A7" w:rsidRDefault="004823A7" w:rsidP="004823A7">
      <w:pPr>
        <w:autoSpaceDE w:val="0"/>
        <w:autoSpaceDN w:val="0"/>
        <w:adjustRightInd w:val="0"/>
        <w:spacing w:after="0" w:line="360" w:lineRule="auto"/>
        <w:ind w:left="567" w:hanging="567"/>
        <w:rPr>
          <w:rFonts w:eastAsia="Times New Roman" w:cstheme="minorHAnsi"/>
          <w:kern w:val="36"/>
          <w:sz w:val="24"/>
          <w:szCs w:val="24"/>
          <w:lang w:eastAsia="en-GB"/>
        </w:rPr>
      </w:pPr>
      <w:r w:rsidRPr="004823A7">
        <w:rPr>
          <w:rFonts w:eastAsia="Times New Roman" w:cstheme="minorHAnsi"/>
          <w:kern w:val="36"/>
          <w:sz w:val="24"/>
          <w:szCs w:val="24"/>
          <w:lang w:eastAsia="en-GB"/>
        </w:rPr>
        <w:t xml:space="preserve">Aengenheyster, S., Cuhls, K., Gerhold, L., Heiskanen-Schüttler, M., Huck, J., </w:t>
      </w:r>
      <w:r>
        <w:rPr>
          <w:rFonts w:eastAsia="Times New Roman" w:cstheme="minorHAnsi"/>
          <w:kern w:val="36"/>
          <w:sz w:val="24"/>
          <w:szCs w:val="24"/>
          <w:lang w:eastAsia="en-GB"/>
        </w:rPr>
        <w:t xml:space="preserve">&amp; </w:t>
      </w:r>
      <w:r w:rsidRPr="004823A7">
        <w:rPr>
          <w:rFonts w:eastAsia="Times New Roman" w:cstheme="minorHAnsi"/>
          <w:kern w:val="36"/>
          <w:sz w:val="24"/>
          <w:szCs w:val="24"/>
          <w:lang w:eastAsia="en-GB"/>
        </w:rPr>
        <w:t>Muszynska,</w:t>
      </w:r>
    </w:p>
    <w:p w14:paraId="34DE2596" w14:textId="02F05D7C" w:rsidR="00585476" w:rsidRDefault="004823A7" w:rsidP="00745F9F">
      <w:pPr>
        <w:autoSpaceDE w:val="0"/>
        <w:autoSpaceDN w:val="0"/>
        <w:adjustRightInd w:val="0"/>
        <w:spacing w:after="0" w:line="360" w:lineRule="auto"/>
        <w:ind w:left="567"/>
        <w:rPr>
          <w:rFonts w:eastAsia="Times New Roman" w:cstheme="minorHAnsi"/>
          <w:kern w:val="36"/>
          <w:sz w:val="24"/>
          <w:szCs w:val="24"/>
          <w:lang w:eastAsia="en-GB"/>
        </w:rPr>
      </w:pPr>
      <w:r w:rsidRPr="004823A7">
        <w:rPr>
          <w:rFonts w:eastAsia="Times New Roman" w:cstheme="minorHAnsi"/>
          <w:kern w:val="36"/>
          <w:sz w:val="24"/>
          <w:szCs w:val="24"/>
          <w:lang w:eastAsia="en-GB"/>
        </w:rPr>
        <w:t>M.</w:t>
      </w:r>
      <w:r>
        <w:rPr>
          <w:rFonts w:eastAsia="Times New Roman" w:cstheme="minorHAnsi"/>
          <w:kern w:val="36"/>
          <w:sz w:val="24"/>
          <w:szCs w:val="24"/>
          <w:lang w:eastAsia="en-GB"/>
        </w:rPr>
        <w:t xml:space="preserve"> (</w:t>
      </w:r>
      <w:r w:rsidRPr="004823A7">
        <w:rPr>
          <w:rFonts w:eastAsia="Times New Roman" w:cstheme="minorHAnsi"/>
          <w:kern w:val="36"/>
          <w:sz w:val="24"/>
          <w:szCs w:val="24"/>
          <w:lang w:eastAsia="en-GB"/>
        </w:rPr>
        <w:t>2017</w:t>
      </w:r>
      <w:r>
        <w:rPr>
          <w:rFonts w:eastAsia="Times New Roman" w:cstheme="minorHAnsi"/>
          <w:kern w:val="36"/>
          <w:sz w:val="24"/>
          <w:szCs w:val="24"/>
          <w:lang w:eastAsia="en-GB"/>
        </w:rPr>
        <w:t>)</w:t>
      </w:r>
      <w:r w:rsidRPr="004823A7">
        <w:rPr>
          <w:rFonts w:eastAsia="Times New Roman" w:cstheme="minorHAnsi"/>
          <w:kern w:val="36"/>
          <w:sz w:val="24"/>
          <w:szCs w:val="24"/>
          <w:lang w:eastAsia="en-GB"/>
        </w:rPr>
        <w:t xml:space="preserve">. Real-time Delphi in practice – a comparative analysis of existing </w:t>
      </w:r>
      <w:proofErr w:type="gramStart"/>
      <w:r w:rsidRPr="004823A7">
        <w:rPr>
          <w:rFonts w:eastAsia="Times New Roman" w:cstheme="minorHAnsi"/>
          <w:kern w:val="36"/>
          <w:sz w:val="24"/>
          <w:szCs w:val="24"/>
          <w:lang w:eastAsia="en-GB"/>
        </w:rPr>
        <w:t>software</w:t>
      </w:r>
      <w:r>
        <w:rPr>
          <w:rFonts w:eastAsia="Times New Roman" w:cstheme="minorHAnsi"/>
          <w:kern w:val="36"/>
          <w:sz w:val="24"/>
          <w:szCs w:val="24"/>
          <w:lang w:eastAsia="en-GB"/>
        </w:rPr>
        <w:t xml:space="preserve"> </w:t>
      </w:r>
      <w:r w:rsidRPr="004823A7">
        <w:rPr>
          <w:rFonts w:eastAsia="Times New Roman" w:cstheme="minorHAnsi"/>
          <w:kern w:val="36"/>
          <w:sz w:val="24"/>
          <w:szCs w:val="24"/>
          <w:lang w:eastAsia="en-GB"/>
        </w:rPr>
        <w:t>based</w:t>
      </w:r>
      <w:proofErr w:type="gramEnd"/>
      <w:r w:rsidR="00745F9F">
        <w:rPr>
          <w:rFonts w:eastAsia="Times New Roman" w:cstheme="minorHAnsi"/>
          <w:kern w:val="36"/>
          <w:sz w:val="24"/>
          <w:szCs w:val="24"/>
          <w:lang w:eastAsia="en-GB"/>
        </w:rPr>
        <w:t xml:space="preserve"> </w:t>
      </w:r>
      <w:r w:rsidRPr="004823A7">
        <w:rPr>
          <w:rFonts w:eastAsia="Times New Roman" w:cstheme="minorHAnsi"/>
          <w:kern w:val="36"/>
          <w:sz w:val="24"/>
          <w:szCs w:val="24"/>
          <w:lang w:eastAsia="en-GB"/>
        </w:rPr>
        <w:t xml:space="preserve">tools. </w:t>
      </w:r>
      <w:r w:rsidRPr="004823A7">
        <w:rPr>
          <w:rFonts w:eastAsia="Times New Roman" w:cstheme="minorHAnsi"/>
          <w:i/>
          <w:kern w:val="36"/>
          <w:sz w:val="24"/>
          <w:szCs w:val="24"/>
          <w:lang w:eastAsia="en-GB"/>
        </w:rPr>
        <w:t>Technological Forecasting and Social Change, 118,</w:t>
      </w:r>
      <w:r w:rsidRPr="004823A7">
        <w:rPr>
          <w:rFonts w:eastAsia="Times New Roman" w:cstheme="minorHAnsi"/>
          <w:kern w:val="36"/>
          <w:sz w:val="24"/>
          <w:szCs w:val="24"/>
          <w:lang w:eastAsia="en-GB"/>
        </w:rPr>
        <w:t xml:space="preserve"> 15–27.</w:t>
      </w:r>
    </w:p>
    <w:p w14:paraId="17AE494C" w14:textId="62E05B49" w:rsidR="00D54442" w:rsidRPr="004823A7" w:rsidRDefault="00585476" w:rsidP="00ED0391">
      <w:pPr>
        <w:autoSpaceDE w:val="0"/>
        <w:autoSpaceDN w:val="0"/>
        <w:adjustRightInd w:val="0"/>
        <w:spacing w:after="0" w:line="360" w:lineRule="auto"/>
        <w:ind w:left="567" w:hanging="567"/>
        <w:rPr>
          <w:sz w:val="24"/>
          <w:szCs w:val="24"/>
        </w:rPr>
      </w:pPr>
      <w:r w:rsidRPr="004823A7">
        <w:rPr>
          <w:sz w:val="24"/>
          <w:szCs w:val="24"/>
        </w:rPr>
        <w:t>Agnew</w:t>
      </w:r>
      <w:r w:rsidR="004823A7" w:rsidRPr="004823A7">
        <w:rPr>
          <w:sz w:val="24"/>
          <w:szCs w:val="24"/>
        </w:rPr>
        <w:t xml:space="preserve">, J. R., </w:t>
      </w:r>
      <w:r w:rsidRPr="004823A7">
        <w:rPr>
          <w:sz w:val="24"/>
          <w:szCs w:val="24"/>
        </w:rPr>
        <w:t xml:space="preserve">&amp; Szykman, </w:t>
      </w:r>
      <w:r w:rsidR="004823A7" w:rsidRPr="004823A7">
        <w:rPr>
          <w:sz w:val="24"/>
          <w:szCs w:val="24"/>
        </w:rPr>
        <w:t>L. R. (</w:t>
      </w:r>
      <w:r w:rsidRPr="004823A7">
        <w:rPr>
          <w:sz w:val="24"/>
          <w:szCs w:val="24"/>
        </w:rPr>
        <w:t>2005</w:t>
      </w:r>
      <w:r w:rsidR="004823A7" w:rsidRPr="004823A7">
        <w:rPr>
          <w:sz w:val="24"/>
          <w:szCs w:val="24"/>
        </w:rPr>
        <w:t xml:space="preserve">). Asset allocation and information overload: The influence of information display, asset choice, and investor experience. </w:t>
      </w:r>
      <w:r w:rsidR="004823A7" w:rsidRPr="004823A7">
        <w:rPr>
          <w:i/>
          <w:sz w:val="24"/>
          <w:szCs w:val="24"/>
        </w:rPr>
        <w:t>Journal of Behavioral Finance, 6</w:t>
      </w:r>
      <w:r w:rsidR="004823A7" w:rsidRPr="004823A7">
        <w:rPr>
          <w:sz w:val="24"/>
          <w:szCs w:val="24"/>
        </w:rPr>
        <w:t>(2), 57-70.</w:t>
      </w:r>
    </w:p>
    <w:p w14:paraId="3B604E78" w14:textId="68762675" w:rsidR="00ED0391" w:rsidRPr="00F35E64" w:rsidRDefault="00672A4E" w:rsidP="00ED0391">
      <w:pPr>
        <w:autoSpaceDE w:val="0"/>
        <w:autoSpaceDN w:val="0"/>
        <w:adjustRightInd w:val="0"/>
        <w:spacing w:after="0" w:line="360" w:lineRule="auto"/>
        <w:ind w:left="567" w:hanging="567"/>
        <w:rPr>
          <w:rFonts w:eastAsia="Times New Roman" w:cstheme="minorHAnsi"/>
          <w:kern w:val="36"/>
          <w:sz w:val="24"/>
          <w:szCs w:val="24"/>
          <w:lang w:eastAsia="en-GB"/>
        </w:rPr>
      </w:pPr>
      <w:r w:rsidRPr="00F35E64">
        <w:rPr>
          <w:rFonts w:eastAsia="Times New Roman" w:cstheme="minorHAnsi"/>
          <w:kern w:val="36"/>
          <w:sz w:val="24"/>
          <w:szCs w:val="24"/>
          <w:lang w:eastAsia="en-GB"/>
        </w:rPr>
        <w:t xml:space="preserve">Airaksinen, T., Halinen, I., &amp; Linturi, H. (2017). Futuribles of learning 2030 – Delphi supports the reform of the core curricula in Finland. </w:t>
      </w:r>
      <w:r w:rsidRPr="00F35E64">
        <w:rPr>
          <w:rFonts w:eastAsia="Times New Roman" w:cstheme="minorHAnsi"/>
          <w:i/>
          <w:iCs/>
          <w:kern w:val="36"/>
          <w:sz w:val="24"/>
          <w:szCs w:val="24"/>
          <w:lang w:eastAsia="en-GB"/>
        </w:rPr>
        <w:t>European Journal of Futures Research, 5</w:t>
      </w:r>
      <w:r w:rsidRPr="00F35E64">
        <w:rPr>
          <w:rFonts w:eastAsia="Times New Roman" w:cstheme="minorHAnsi"/>
          <w:kern w:val="36"/>
          <w:sz w:val="24"/>
          <w:szCs w:val="24"/>
          <w:lang w:eastAsia="en-GB"/>
        </w:rPr>
        <w:t>, 2</w:t>
      </w:r>
      <w:r w:rsidR="00393D77" w:rsidRPr="00F35E64">
        <w:rPr>
          <w:rFonts w:eastAsia="Times New Roman" w:cstheme="minorHAnsi"/>
          <w:kern w:val="36"/>
          <w:sz w:val="24"/>
          <w:szCs w:val="24"/>
          <w:lang w:eastAsia="en-GB"/>
        </w:rPr>
        <w:t>.</w:t>
      </w:r>
    </w:p>
    <w:p w14:paraId="4C8F7C77" w14:textId="77777777" w:rsidR="00ED0391" w:rsidRPr="00F35E64" w:rsidRDefault="00A0179A" w:rsidP="00ED0391">
      <w:pPr>
        <w:autoSpaceDE w:val="0"/>
        <w:autoSpaceDN w:val="0"/>
        <w:adjustRightInd w:val="0"/>
        <w:spacing w:after="0" w:line="360" w:lineRule="auto"/>
        <w:ind w:left="567" w:hanging="567"/>
        <w:rPr>
          <w:rFonts w:eastAsia="Times New Roman" w:cstheme="minorHAnsi"/>
          <w:kern w:val="36"/>
          <w:sz w:val="24"/>
          <w:szCs w:val="24"/>
          <w:lang w:eastAsia="en-GB"/>
        </w:rPr>
      </w:pPr>
      <w:r w:rsidRPr="00F35E64">
        <w:rPr>
          <w:rFonts w:eastAsia="Times New Roman" w:cstheme="minorHAnsi"/>
          <w:kern w:val="36"/>
          <w:sz w:val="24"/>
          <w:szCs w:val="24"/>
          <w:lang w:eastAsia="en-GB"/>
        </w:rPr>
        <w:t xml:space="preserve">Belton, I., MacDonald, A., Wright, G., &amp; Hamlin, I. (2019). Improving the practical application of the Delphi method in group-based judgment: A six-step prescription for a well-founded and defensible process. </w:t>
      </w:r>
      <w:r w:rsidRPr="00F35E64">
        <w:rPr>
          <w:rFonts w:eastAsia="Times New Roman" w:cstheme="minorHAnsi"/>
          <w:i/>
          <w:iCs/>
          <w:kern w:val="36"/>
          <w:sz w:val="24"/>
          <w:szCs w:val="24"/>
          <w:lang w:eastAsia="en-GB"/>
        </w:rPr>
        <w:t>Technological Forecasting &amp; Social Change, 147</w:t>
      </w:r>
      <w:r w:rsidRPr="00F35E64">
        <w:rPr>
          <w:rFonts w:eastAsia="Times New Roman" w:cstheme="minorHAnsi"/>
          <w:kern w:val="36"/>
          <w:sz w:val="24"/>
          <w:szCs w:val="24"/>
          <w:lang w:eastAsia="en-GB"/>
        </w:rPr>
        <w:t>, 72-82.</w:t>
      </w:r>
    </w:p>
    <w:p w14:paraId="02E3C06A" w14:textId="3FB8A25B" w:rsidR="00585476" w:rsidRPr="004823A7" w:rsidRDefault="00585476" w:rsidP="00ED0391">
      <w:pPr>
        <w:autoSpaceDE w:val="0"/>
        <w:autoSpaceDN w:val="0"/>
        <w:adjustRightInd w:val="0"/>
        <w:spacing w:after="0" w:line="360" w:lineRule="auto"/>
        <w:ind w:left="567" w:hanging="567"/>
        <w:rPr>
          <w:sz w:val="24"/>
          <w:szCs w:val="24"/>
        </w:rPr>
      </w:pPr>
      <w:r w:rsidRPr="004823A7">
        <w:rPr>
          <w:sz w:val="24"/>
          <w:szCs w:val="24"/>
        </w:rPr>
        <w:t xml:space="preserve">Biggs, </w:t>
      </w:r>
      <w:r w:rsidR="004823A7" w:rsidRPr="004823A7">
        <w:rPr>
          <w:sz w:val="24"/>
          <w:szCs w:val="24"/>
        </w:rPr>
        <w:t xml:space="preserve">S. F., </w:t>
      </w:r>
      <w:r w:rsidRPr="004823A7">
        <w:rPr>
          <w:sz w:val="24"/>
          <w:szCs w:val="24"/>
        </w:rPr>
        <w:t>Bedard,</w:t>
      </w:r>
      <w:r w:rsidR="004823A7" w:rsidRPr="004823A7">
        <w:rPr>
          <w:sz w:val="24"/>
          <w:szCs w:val="24"/>
        </w:rPr>
        <w:t xml:space="preserve"> J. C., </w:t>
      </w:r>
      <w:r w:rsidRPr="004823A7">
        <w:rPr>
          <w:sz w:val="24"/>
          <w:szCs w:val="24"/>
        </w:rPr>
        <w:t>Gaber</w:t>
      </w:r>
      <w:r w:rsidR="004823A7" w:rsidRPr="004823A7">
        <w:rPr>
          <w:sz w:val="24"/>
          <w:szCs w:val="24"/>
        </w:rPr>
        <w:t>, B. G.,</w:t>
      </w:r>
      <w:r w:rsidRPr="004823A7">
        <w:rPr>
          <w:sz w:val="24"/>
          <w:szCs w:val="24"/>
        </w:rPr>
        <w:t xml:space="preserve"> &amp; Linsmeier,</w:t>
      </w:r>
      <w:r w:rsidR="004823A7" w:rsidRPr="004823A7">
        <w:rPr>
          <w:sz w:val="24"/>
          <w:szCs w:val="24"/>
        </w:rPr>
        <w:t xml:space="preserve"> T. J. </w:t>
      </w:r>
      <w:r w:rsidRPr="004823A7">
        <w:rPr>
          <w:sz w:val="24"/>
          <w:szCs w:val="24"/>
        </w:rPr>
        <w:t xml:space="preserve"> </w:t>
      </w:r>
      <w:r w:rsidR="004823A7" w:rsidRPr="004823A7">
        <w:rPr>
          <w:sz w:val="24"/>
          <w:szCs w:val="24"/>
        </w:rPr>
        <w:t>(</w:t>
      </w:r>
      <w:r w:rsidRPr="004823A7">
        <w:rPr>
          <w:sz w:val="24"/>
          <w:szCs w:val="24"/>
        </w:rPr>
        <w:t>1985).</w:t>
      </w:r>
      <w:r w:rsidR="004823A7" w:rsidRPr="004823A7">
        <w:rPr>
          <w:sz w:val="24"/>
          <w:szCs w:val="24"/>
        </w:rPr>
        <w:t xml:space="preserve"> The effects of task size and similarity on the decision behaviour of bank loan officers. </w:t>
      </w:r>
      <w:r w:rsidR="004823A7" w:rsidRPr="004823A7">
        <w:rPr>
          <w:i/>
          <w:sz w:val="24"/>
          <w:szCs w:val="24"/>
        </w:rPr>
        <w:t>Management Science, 31</w:t>
      </w:r>
      <w:r w:rsidR="004823A7" w:rsidRPr="004823A7">
        <w:rPr>
          <w:sz w:val="24"/>
          <w:szCs w:val="24"/>
        </w:rPr>
        <w:t>(8), 919-1054.</w:t>
      </w:r>
    </w:p>
    <w:p w14:paraId="1B5EAA15" w14:textId="7137C093" w:rsidR="00ED0391" w:rsidRPr="00F35E64" w:rsidRDefault="00D70FCF" w:rsidP="00ED0391">
      <w:pPr>
        <w:autoSpaceDE w:val="0"/>
        <w:autoSpaceDN w:val="0"/>
        <w:adjustRightInd w:val="0"/>
        <w:spacing w:after="0" w:line="360" w:lineRule="auto"/>
        <w:ind w:left="567" w:hanging="567"/>
        <w:rPr>
          <w:rFonts w:eastAsia="Times New Roman" w:cstheme="minorHAnsi"/>
          <w:kern w:val="36"/>
          <w:sz w:val="24"/>
          <w:szCs w:val="24"/>
          <w:lang w:eastAsia="en-GB"/>
        </w:rPr>
      </w:pPr>
      <w:r w:rsidRPr="00F35E64">
        <w:rPr>
          <w:rFonts w:eastAsia="Times New Roman" w:cstheme="minorHAnsi"/>
          <w:kern w:val="36"/>
          <w:sz w:val="24"/>
          <w:szCs w:val="24"/>
          <w:lang w:eastAsia="en-GB"/>
        </w:rPr>
        <w:t xml:space="preserve">Boje, D.M., &amp; Murnighan, J.K. (1982). Group confidence pressures in iterative decisions. </w:t>
      </w:r>
      <w:r w:rsidRPr="00F35E64">
        <w:rPr>
          <w:rFonts w:eastAsia="Times New Roman" w:cstheme="minorHAnsi"/>
          <w:i/>
          <w:iCs/>
          <w:kern w:val="36"/>
          <w:sz w:val="24"/>
          <w:szCs w:val="24"/>
          <w:lang w:eastAsia="en-GB"/>
        </w:rPr>
        <w:t>Management Science, 28</w:t>
      </w:r>
      <w:r w:rsidRPr="00F35E64">
        <w:rPr>
          <w:rFonts w:eastAsia="Times New Roman" w:cstheme="minorHAnsi"/>
          <w:kern w:val="36"/>
          <w:sz w:val="24"/>
          <w:szCs w:val="24"/>
          <w:lang w:eastAsia="en-GB"/>
        </w:rPr>
        <w:t>(10), 1187-1196.</w:t>
      </w:r>
    </w:p>
    <w:p w14:paraId="1272F99E" w14:textId="6D77783B" w:rsidR="00ED0391" w:rsidRPr="00F35E64" w:rsidRDefault="00393D77" w:rsidP="00ED0391">
      <w:pPr>
        <w:autoSpaceDE w:val="0"/>
        <w:autoSpaceDN w:val="0"/>
        <w:adjustRightInd w:val="0"/>
        <w:spacing w:after="0" w:line="360" w:lineRule="auto"/>
        <w:ind w:left="567" w:hanging="567"/>
        <w:rPr>
          <w:rFonts w:eastAsia="Times New Roman" w:cstheme="minorHAnsi"/>
          <w:kern w:val="36"/>
          <w:sz w:val="24"/>
          <w:szCs w:val="24"/>
          <w:lang w:eastAsia="en-GB"/>
        </w:rPr>
      </w:pPr>
      <w:r w:rsidRPr="00F35E64">
        <w:rPr>
          <w:rFonts w:eastAsia="Times New Roman" w:cstheme="minorHAnsi"/>
          <w:kern w:val="36"/>
          <w:sz w:val="24"/>
          <w:szCs w:val="24"/>
          <w:lang w:eastAsia="en-GB"/>
        </w:rPr>
        <w:t>Bolger, F. (2018). The selection of experts for (probabilistic</w:t>
      </w:r>
      <w:r w:rsidR="00813BE2">
        <w:rPr>
          <w:rFonts w:eastAsia="Times New Roman" w:cstheme="minorHAnsi"/>
          <w:kern w:val="36"/>
          <w:sz w:val="24"/>
          <w:szCs w:val="24"/>
          <w:lang w:eastAsia="en-GB"/>
        </w:rPr>
        <w:t>)</w:t>
      </w:r>
      <w:r w:rsidRPr="00F35E64">
        <w:rPr>
          <w:rFonts w:eastAsia="Times New Roman" w:cstheme="minorHAnsi"/>
          <w:kern w:val="36"/>
          <w:sz w:val="24"/>
          <w:szCs w:val="24"/>
          <w:lang w:eastAsia="en-GB"/>
        </w:rPr>
        <w:t xml:space="preserve"> expert knowledge elicitation. </w:t>
      </w:r>
      <w:r w:rsidR="00387139" w:rsidRPr="00F35E64">
        <w:rPr>
          <w:rFonts w:eastAsia="Times New Roman" w:cstheme="minorHAnsi"/>
          <w:kern w:val="36"/>
          <w:sz w:val="24"/>
          <w:szCs w:val="24"/>
          <w:lang w:eastAsia="en-GB"/>
        </w:rPr>
        <w:t xml:space="preserve">In </w:t>
      </w:r>
      <w:r w:rsidRPr="00F35E64">
        <w:rPr>
          <w:rFonts w:eastAsia="Times New Roman" w:cstheme="minorHAnsi"/>
          <w:kern w:val="36"/>
          <w:sz w:val="24"/>
          <w:szCs w:val="24"/>
          <w:lang w:eastAsia="en-GB"/>
        </w:rPr>
        <w:t>Dias, L.C., Morton, A., &amp; Quigley, J. (Eds</w:t>
      </w:r>
      <w:r w:rsidR="00387139" w:rsidRPr="00F35E64">
        <w:rPr>
          <w:rFonts w:eastAsia="Times New Roman" w:cstheme="minorHAnsi"/>
          <w:kern w:val="36"/>
          <w:sz w:val="24"/>
          <w:szCs w:val="24"/>
          <w:lang w:eastAsia="en-GB"/>
        </w:rPr>
        <w:t xml:space="preserve">.), </w:t>
      </w:r>
      <w:r w:rsidRPr="00F35E64">
        <w:rPr>
          <w:rFonts w:eastAsia="Times New Roman" w:cstheme="minorHAnsi"/>
          <w:i/>
          <w:iCs/>
          <w:kern w:val="36"/>
          <w:sz w:val="24"/>
          <w:szCs w:val="24"/>
          <w:lang w:eastAsia="en-GB"/>
        </w:rPr>
        <w:t>Elicitation: The science and art of structuring judgement</w:t>
      </w:r>
      <w:r w:rsidR="009E640E" w:rsidRPr="00F35E64">
        <w:rPr>
          <w:rFonts w:eastAsia="Times New Roman" w:cstheme="minorHAnsi"/>
          <w:i/>
          <w:iCs/>
          <w:kern w:val="36"/>
          <w:sz w:val="24"/>
          <w:szCs w:val="24"/>
          <w:lang w:eastAsia="en-GB"/>
        </w:rPr>
        <w:t xml:space="preserve"> </w:t>
      </w:r>
      <w:r w:rsidR="009E640E" w:rsidRPr="00F35E64">
        <w:rPr>
          <w:rFonts w:eastAsia="Times New Roman" w:cstheme="minorHAnsi"/>
          <w:kern w:val="36"/>
          <w:sz w:val="24"/>
          <w:szCs w:val="24"/>
          <w:lang w:eastAsia="en-GB"/>
        </w:rPr>
        <w:t>(pp. 393-444)</w:t>
      </w:r>
      <w:r w:rsidRPr="00F35E64">
        <w:rPr>
          <w:rFonts w:eastAsia="Times New Roman" w:cstheme="minorHAnsi"/>
          <w:i/>
          <w:iCs/>
          <w:kern w:val="36"/>
          <w:sz w:val="24"/>
          <w:szCs w:val="24"/>
          <w:lang w:eastAsia="en-GB"/>
        </w:rPr>
        <w:t xml:space="preserve">. </w:t>
      </w:r>
      <w:r w:rsidR="00E8339C" w:rsidRPr="00F35E64">
        <w:rPr>
          <w:rFonts w:eastAsia="Times New Roman" w:cstheme="minorHAnsi"/>
          <w:kern w:val="36"/>
          <w:sz w:val="24"/>
          <w:szCs w:val="24"/>
          <w:lang w:eastAsia="en-GB"/>
        </w:rPr>
        <w:t>Cham, Switzerland: Springer.</w:t>
      </w:r>
    </w:p>
    <w:p w14:paraId="11053E66" w14:textId="0374A4B8" w:rsidR="005A14D7" w:rsidRPr="005A14D7" w:rsidRDefault="005A14D7" w:rsidP="00ED0391">
      <w:pPr>
        <w:autoSpaceDE w:val="0"/>
        <w:autoSpaceDN w:val="0"/>
        <w:adjustRightInd w:val="0"/>
        <w:spacing w:after="0" w:line="360" w:lineRule="auto"/>
        <w:ind w:left="567" w:hanging="567"/>
        <w:rPr>
          <w:rFonts w:eastAsia="Times New Roman" w:cstheme="minorHAnsi"/>
          <w:kern w:val="36"/>
          <w:sz w:val="24"/>
          <w:szCs w:val="24"/>
          <w:lang w:eastAsia="en-GB"/>
        </w:rPr>
      </w:pPr>
      <w:r>
        <w:rPr>
          <w:rFonts w:eastAsia="Times New Roman" w:cstheme="minorHAnsi"/>
          <w:kern w:val="36"/>
          <w:sz w:val="24"/>
          <w:szCs w:val="24"/>
          <w:lang w:eastAsia="en-GB"/>
        </w:rPr>
        <w:t>Bolger, F., Rowe, G., Belton, I., Crawford, M., Hamlin, I., Sissons, A., Taylor Browne L</w:t>
      </w:r>
      <w:r w:rsidRPr="005A14D7">
        <w:rPr>
          <w:rFonts w:eastAsia="Times New Roman" w:cstheme="minorHAnsi"/>
          <w:kern w:val="36"/>
          <w:sz w:val="24"/>
          <w:szCs w:val="24"/>
          <w:lang w:eastAsia="en-GB"/>
        </w:rPr>
        <w:t>ū</w:t>
      </w:r>
      <w:r>
        <w:rPr>
          <w:rFonts w:eastAsia="Times New Roman" w:cstheme="minorHAnsi"/>
          <w:kern w:val="36"/>
          <w:sz w:val="24"/>
          <w:szCs w:val="24"/>
          <w:lang w:eastAsia="en-GB"/>
        </w:rPr>
        <w:t>k</w:t>
      </w:r>
      <w:r w:rsidRPr="005A14D7">
        <w:rPr>
          <w:rFonts w:eastAsia="Times New Roman" w:cstheme="minorHAnsi"/>
          <w:kern w:val="36"/>
          <w:sz w:val="24"/>
          <w:szCs w:val="24"/>
          <w:lang w:eastAsia="en-GB"/>
        </w:rPr>
        <w:t>a</w:t>
      </w:r>
      <w:r>
        <w:rPr>
          <w:rFonts w:eastAsia="Times New Roman" w:cstheme="minorHAnsi"/>
          <w:kern w:val="36"/>
          <w:sz w:val="24"/>
          <w:szCs w:val="24"/>
          <w:lang w:eastAsia="en-GB"/>
        </w:rPr>
        <w:t xml:space="preserve">, C., Vasilichi, A., &amp; Wright, G. </w:t>
      </w:r>
      <w:r w:rsidRPr="005A14D7">
        <w:rPr>
          <w:rFonts w:eastAsia="Times New Roman" w:cstheme="minorHAnsi"/>
          <w:i/>
          <w:kern w:val="36"/>
          <w:sz w:val="24"/>
          <w:szCs w:val="24"/>
          <w:lang w:eastAsia="en-GB"/>
        </w:rPr>
        <w:t xml:space="preserve">The simulated group response paradigm: A new approach to the study of opinion change in Delphi and other structured-group techniques. </w:t>
      </w:r>
      <w:r>
        <w:rPr>
          <w:rFonts w:eastAsia="Times New Roman" w:cstheme="minorHAnsi"/>
          <w:kern w:val="36"/>
          <w:sz w:val="24"/>
          <w:szCs w:val="24"/>
          <w:lang w:eastAsia="en-GB"/>
        </w:rPr>
        <w:t>Manuscript submitted for publication.</w:t>
      </w:r>
      <w:r w:rsidR="00426F60">
        <w:rPr>
          <w:rFonts w:eastAsia="Times New Roman" w:cstheme="minorHAnsi"/>
          <w:kern w:val="36"/>
          <w:sz w:val="24"/>
          <w:szCs w:val="24"/>
          <w:lang w:eastAsia="en-GB"/>
        </w:rPr>
        <w:t xml:space="preserve"> Pre-print available at </w:t>
      </w:r>
      <w:r w:rsidR="00426F60">
        <w:rPr>
          <w:lang w:val="en-US"/>
        </w:rPr>
        <w:t>www.doi.org/10.31219/osf.io/4ufzg</w:t>
      </w:r>
    </w:p>
    <w:p w14:paraId="3101729F" w14:textId="54578635" w:rsidR="00672A4E" w:rsidRPr="00813BE2" w:rsidRDefault="00AD3726" w:rsidP="00813BE2">
      <w:pPr>
        <w:autoSpaceDE w:val="0"/>
        <w:autoSpaceDN w:val="0"/>
        <w:adjustRightInd w:val="0"/>
        <w:spacing w:after="0" w:line="360" w:lineRule="auto"/>
        <w:ind w:left="567" w:hanging="567"/>
        <w:rPr>
          <w:rFonts w:cstheme="minorHAnsi"/>
          <w:bCs/>
          <w:sz w:val="24"/>
          <w:szCs w:val="24"/>
        </w:rPr>
      </w:pPr>
      <w:r w:rsidRPr="00F35E64">
        <w:rPr>
          <w:rFonts w:eastAsia="Times New Roman" w:cstheme="minorHAnsi"/>
          <w:kern w:val="36"/>
          <w:sz w:val="24"/>
          <w:szCs w:val="24"/>
          <w:lang w:eastAsia="en-GB"/>
        </w:rPr>
        <w:lastRenderedPageBreak/>
        <w:t xml:space="preserve">Boulkedid, R., Abdoul, H., Loustau, M., Sibony, O., &amp; Alberti, C. (2011). Using and reporting the Delphi method for selecting healthcare quality indicators: A systematic review. </w:t>
      </w:r>
      <w:r w:rsidRPr="00F35E64">
        <w:rPr>
          <w:rFonts w:eastAsia="Times New Roman" w:cstheme="minorHAnsi"/>
          <w:i/>
          <w:kern w:val="36"/>
          <w:sz w:val="24"/>
          <w:szCs w:val="24"/>
          <w:lang w:eastAsia="en-GB"/>
        </w:rPr>
        <w:t>PLoS ONE</w:t>
      </w:r>
      <w:r w:rsidRPr="00F35E64">
        <w:rPr>
          <w:rFonts w:eastAsia="Times New Roman" w:cstheme="minorHAnsi"/>
          <w:kern w:val="36"/>
          <w:sz w:val="24"/>
          <w:szCs w:val="24"/>
          <w:lang w:eastAsia="en-GB"/>
        </w:rPr>
        <w:t xml:space="preserve">, </w:t>
      </w:r>
      <w:r w:rsidRPr="00F35E64">
        <w:rPr>
          <w:rFonts w:eastAsia="Times New Roman" w:cstheme="minorHAnsi"/>
          <w:i/>
          <w:kern w:val="36"/>
          <w:sz w:val="24"/>
          <w:szCs w:val="24"/>
          <w:lang w:eastAsia="en-GB"/>
        </w:rPr>
        <w:t>6</w:t>
      </w:r>
      <w:r w:rsidRPr="00F35E64">
        <w:rPr>
          <w:rFonts w:eastAsia="Times New Roman" w:cstheme="minorHAnsi"/>
          <w:kern w:val="36"/>
          <w:sz w:val="24"/>
          <w:szCs w:val="24"/>
          <w:lang w:eastAsia="en-GB"/>
        </w:rPr>
        <w:t>(6), 1-9.</w:t>
      </w:r>
    </w:p>
    <w:p w14:paraId="0F0796A6" w14:textId="09BFAA1E" w:rsidR="00672A4E" w:rsidRPr="00F35E64" w:rsidRDefault="00672A4E"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Cairns, G., Wright, G., Fairbrother, P., &amp; Phillips, R. (2017). ‘Branching scenarios’ seeking articulated action for regional regeneration – a case study of limited success. </w:t>
      </w:r>
      <w:r w:rsidRPr="00F35E64">
        <w:rPr>
          <w:rFonts w:cstheme="minorHAnsi"/>
          <w:bCs/>
          <w:i/>
          <w:iCs/>
          <w:sz w:val="24"/>
          <w:szCs w:val="24"/>
        </w:rPr>
        <w:t xml:space="preserve">Technological Forecasting and Social Change, 124, </w:t>
      </w:r>
      <w:r w:rsidRPr="00F35E64">
        <w:rPr>
          <w:rFonts w:cstheme="minorHAnsi"/>
          <w:bCs/>
          <w:sz w:val="24"/>
          <w:szCs w:val="24"/>
        </w:rPr>
        <w:t xml:space="preserve">189-202. </w:t>
      </w:r>
    </w:p>
    <w:p w14:paraId="53754A19" w14:textId="4C06E9ED" w:rsidR="00513057" w:rsidRPr="001369AA" w:rsidRDefault="001369AA" w:rsidP="001369AA">
      <w:pPr>
        <w:autoSpaceDE w:val="0"/>
        <w:autoSpaceDN w:val="0"/>
        <w:adjustRightInd w:val="0"/>
        <w:spacing w:after="0" w:line="360" w:lineRule="auto"/>
        <w:ind w:left="567" w:hanging="567"/>
        <w:rPr>
          <w:rFonts w:cstheme="minorHAnsi"/>
          <w:sz w:val="24"/>
          <w:szCs w:val="24"/>
        </w:rPr>
      </w:pPr>
      <w:r w:rsidRPr="001369AA">
        <w:rPr>
          <w:rFonts w:cstheme="minorHAnsi"/>
          <w:sz w:val="24"/>
          <w:szCs w:val="24"/>
        </w:rPr>
        <w:t xml:space="preserve">Carifio, L., &amp; Perla, R. (2008). Resolving the 50 year debate around using and misusing Likert scales. </w:t>
      </w:r>
      <w:r w:rsidRPr="001369AA">
        <w:rPr>
          <w:rFonts w:cstheme="minorHAnsi"/>
          <w:i/>
          <w:sz w:val="24"/>
          <w:szCs w:val="24"/>
        </w:rPr>
        <w:t>Medical Education, 42</w:t>
      </w:r>
      <w:r w:rsidRPr="001369AA">
        <w:rPr>
          <w:rFonts w:cstheme="minorHAnsi"/>
          <w:sz w:val="24"/>
          <w:szCs w:val="24"/>
        </w:rPr>
        <w:t>, 1150–1152.</w:t>
      </w:r>
    </w:p>
    <w:p w14:paraId="4289378F" w14:textId="6B0F09BF" w:rsidR="00D54442" w:rsidRPr="007135CE" w:rsidRDefault="00D54442" w:rsidP="00ED0391">
      <w:pPr>
        <w:autoSpaceDE w:val="0"/>
        <w:autoSpaceDN w:val="0"/>
        <w:adjustRightInd w:val="0"/>
        <w:spacing w:after="0" w:line="360" w:lineRule="auto"/>
        <w:ind w:left="567" w:hanging="567"/>
        <w:rPr>
          <w:rFonts w:cstheme="minorHAnsi"/>
          <w:sz w:val="24"/>
          <w:szCs w:val="24"/>
        </w:rPr>
      </w:pPr>
      <w:r w:rsidRPr="007135CE">
        <w:rPr>
          <w:sz w:val="24"/>
          <w:szCs w:val="24"/>
        </w:rPr>
        <w:t>Chewning</w:t>
      </w:r>
      <w:r w:rsidR="007135CE" w:rsidRPr="007135CE">
        <w:rPr>
          <w:sz w:val="24"/>
          <w:szCs w:val="24"/>
        </w:rPr>
        <w:t xml:space="preserve">, E. G., </w:t>
      </w:r>
      <w:r w:rsidRPr="007135CE">
        <w:rPr>
          <w:sz w:val="24"/>
          <w:szCs w:val="24"/>
        </w:rPr>
        <w:t>&amp; Harrell,</w:t>
      </w:r>
      <w:r w:rsidR="007135CE" w:rsidRPr="007135CE">
        <w:rPr>
          <w:sz w:val="24"/>
          <w:szCs w:val="24"/>
        </w:rPr>
        <w:t xml:space="preserve"> A. M. (</w:t>
      </w:r>
      <w:r w:rsidRPr="007135CE">
        <w:rPr>
          <w:sz w:val="24"/>
          <w:szCs w:val="24"/>
        </w:rPr>
        <w:t>1990</w:t>
      </w:r>
      <w:r w:rsidR="007135CE" w:rsidRPr="007135CE">
        <w:rPr>
          <w:sz w:val="24"/>
          <w:szCs w:val="24"/>
        </w:rPr>
        <w:t xml:space="preserve">). The effect of information load on decision makers’ cue utilization levels and decision quality in a financial distress decision task. </w:t>
      </w:r>
      <w:r w:rsidR="007135CE" w:rsidRPr="007135CE">
        <w:rPr>
          <w:i/>
          <w:sz w:val="24"/>
          <w:szCs w:val="24"/>
        </w:rPr>
        <w:t>Accounting, Organizations and Society, 15</w:t>
      </w:r>
      <w:r w:rsidR="007135CE" w:rsidRPr="007135CE">
        <w:rPr>
          <w:sz w:val="24"/>
          <w:szCs w:val="24"/>
        </w:rPr>
        <w:t>(6), 527-542.</w:t>
      </w:r>
    </w:p>
    <w:p w14:paraId="51DF9CEB" w14:textId="7702A2A8" w:rsidR="00BE624B" w:rsidRDefault="00BE624B" w:rsidP="00BE624B">
      <w:pPr>
        <w:autoSpaceDE w:val="0"/>
        <w:autoSpaceDN w:val="0"/>
        <w:adjustRightInd w:val="0"/>
        <w:spacing w:after="0" w:line="360" w:lineRule="auto"/>
        <w:ind w:left="567" w:hanging="567"/>
        <w:rPr>
          <w:rFonts w:cstheme="minorHAnsi"/>
          <w:sz w:val="24"/>
          <w:szCs w:val="24"/>
        </w:rPr>
      </w:pPr>
      <w:r w:rsidRPr="00BE624B">
        <w:rPr>
          <w:rFonts w:cstheme="minorHAnsi"/>
          <w:sz w:val="24"/>
          <w:szCs w:val="24"/>
        </w:rPr>
        <w:t xml:space="preserve">Choi, M., </w:t>
      </w:r>
      <w:r>
        <w:rPr>
          <w:rFonts w:cstheme="minorHAnsi"/>
          <w:sz w:val="24"/>
          <w:szCs w:val="24"/>
        </w:rPr>
        <w:t xml:space="preserve">&amp; </w:t>
      </w:r>
      <w:r w:rsidRPr="00BE624B">
        <w:rPr>
          <w:rFonts w:cstheme="minorHAnsi"/>
          <w:sz w:val="24"/>
          <w:szCs w:val="24"/>
        </w:rPr>
        <w:t>Choi, H.</w:t>
      </w:r>
      <w:r>
        <w:rPr>
          <w:rFonts w:cstheme="minorHAnsi"/>
          <w:sz w:val="24"/>
          <w:szCs w:val="24"/>
        </w:rPr>
        <w:t xml:space="preserve"> (</w:t>
      </w:r>
      <w:r w:rsidRPr="00BE624B">
        <w:rPr>
          <w:rFonts w:cstheme="minorHAnsi"/>
          <w:sz w:val="24"/>
          <w:szCs w:val="24"/>
        </w:rPr>
        <w:t>2015</w:t>
      </w:r>
      <w:r>
        <w:rPr>
          <w:rFonts w:cstheme="minorHAnsi"/>
          <w:sz w:val="24"/>
          <w:szCs w:val="24"/>
        </w:rPr>
        <w:t>)</w:t>
      </w:r>
      <w:r w:rsidRPr="00BE624B">
        <w:rPr>
          <w:rFonts w:cstheme="minorHAnsi"/>
          <w:sz w:val="24"/>
          <w:szCs w:val="24"/>
        </w:rPr>
        <w:t xml:space="preserve">. Foresight for science and technology setting in Korea. </w:t>
      </w:r>
      <w:r w:rsidRPr="00AF5466">
        <w:rPr>
          <w:rFonts w:cstheme="minorHAnsi"/>
          <w:i/>
          <w:sz w:val="24"/>
          <w:szCs w:val="24"/>
        </w:rPr>
        <w:t>Foresight and STI Governance 9</w:t>
      </w:r>
      <w:r w:rsidRPr="00BE624B">
        <w:rPr>
          <w:rFonts w:cstheme="minorHAnsi"/>
          <w:sz w:val="24"/>
          <w:szCs w:val="24"/>
        </w:rPr>
        <w:t xml:space="preserve"> (3), 54–65.</w:t>
      </w:r>
    </w:p>
    <w:p w14:paraId="69E09AEA" w14:textId="0E431A8D" w:rsidR="00BE624B" w:rsidRDefault="00BE624B" w:rsidP="00BE624B">
      <w:pPr>
        <w:autoSpaceDE w:val="0"/>
        <w:autoSpaceDN w:val="0"/>
        <w:adjustRightInd w:val="0"/>
        <w:spacing w:after="0" w:line="360" w:lineRule="auto"/>
        <w:ind w:left="567" w:hanging="567"/>
        <w:rPr>
          <w:rFonts w:cstheme="minorHAnsi"/>
          <w:sz w:val="24"/>
          <w:szCs w:val="24"/>
        </w:rPr>
      </w:pPr>
      <w:r w:rsidRPr="00BE624B">
        <w:rPr>
          <w:rFonts w:cstheme="minorHAnsi"/>
          <w:sz w:val="24"/>
          <w:szCs w:val="24"/>
        </w:rPr>
        <w:t>Clayton, M.J.</w:t>
      </w:r>
      <w:r>
        <w:rPr>
          <w:rFonts w:cstheme="minorHAnsi"/>
          <w:sz w:val="24"/>
          <w:szCs w:val="24"/>
        </w:rPr>
        <w:t xml:space="preserve"> (</w:t>
      </w:r>
      <w:r w:rsidRPr="00BE624B">
        <w:rPr>
          <w:rFonts w:cstheme="minorHAnsi"/>
          <w:sz w:val="24"/>
          <w:szCs w:val="24"/>
        </w:rPr>
        <w:t>1997</w:t>
      </w:r>
      <w:r>
        <w:rPr>
          <w:rFonts w:cstheme="minorHAnsi"/>
          <w:sz w:val="24"/>
          <w:szCs w:val="24"/>
        </w:rPr>
        <w:t>)</w:t>
      </w:r>
      <w:r w:rsidRPr="00BE624B">
        <w:rPr>
          <w:rFonts w:cstheme="minorHAnsi"/>
          <w:sz w:val="24"/>
          <w:szCs w:val="24"/>
        </w:rPr>
        <w:t>. Delphi: a technique to harness expert opinion for critical decision</w:t>
      </w:r>
      <w:r>
        <w:rPr>
          <w:rFonts w:cstheme="minorHAnsi"/>
          <w:sz w:val="24"/>
          <w:szCs w:val="24"/>
        </w:rPr>
        <w:t>-</w:t>
      </w:r>
      <w:r w:rsidRPr="00BE624B">
        <w:rPr>
          <w:rFonts w:cstheme="minorHAnsi"/>
          <w:sz w:val="24"/>
          <w:szCs w:val="24"/>
        </w:rPr>
        <w:t>making</w:t>
      </w:r>
      <w:r>
        <w:rPr>
          <w:rFonts w:cstheme="minorHAnsi"/>
          <w:sz w:val="24"/>
          <w:szCs w:val="24"/>
        </w:rPr>
        <w:t xml:space="preserve"> </w:t>
      </w:r>
      <w:r w:rsidRPr="00BE624B">
        <w:rPr>
          <w:rFonts w:cstheme="minorHAnsi"/>
          <w:sz w:val="24"/>
          <w:szCs w:val="24"/>
        </w:rPr>
        <w:t xml:space="preserve">tasks in education. </w:t>
      </w:r>
      <w:r w:rsidRPr="00AF5466">
        <w:rPr>
          <w:rFonts w:cstheme="minorHAnsi"/>
          <w:i/>
          <w:sz w:val="24"/>
          <w:szCs w:val="24"/>
        </w:rPr>
        <w:t>Education Psychology</w:t>
      </w:r>
      <w:r>
        <w:rPr>
          <w:rFonts w:cstheme="minorHAnsi"/>
          <w:sz w:val="24"/>
          <w:szCs w:val="24"/>
        </w:rPr>
        <w:t>,</w:t>
      </w:r>
      <w:r w:rsidRPr="00BE624B">
        <w:rPr>
          <w:rFonts w:cstheme="minorHAnsi"/>
          <w:sz w:val="24"/>
          <w:szCs w:val="24"/>
        </w:rPr>
        <w:t xml:space="preserve"> 17 (4), 373–386.</w:t>
      </w:r>
    </w:p>
    <w:p w14:paraId="00B1DF6C" w14:textId="68F0685D" w:rsidR="00446050" w:rsidRPr="00F35E64" w:rsidRDefault="00446050" w:rsidP="00ED0391">
      <w:pPr>
        <w:autoSpaceDE w:val="0"/>
        <w:autoSpaceDN w:val="0"/>
        <w:adjustRightInd w:val="0"/>
        <w:spacing w:after="0" w:line="360" w:lineRule="auto"/>
        <w:ind w:left="567" w:hanging="567"/>
        <w:rPr>
          <w:rFonts w:cstheme="minorHAnsi"/>
          <w:sz w:val="24"/>
          <w:szCs w:val="24"/>
        </w:rPr>
      </w:pPr>
      <w:r w:rsidRPr="00F35E64">
        <w:rPr>
          <w:rFonts w:cstheme="minorHAnsi"/>
          <w:sz w:val="24"/>
          <w:szCs w:val="24"/>
        </w:rPr>
        <w:t>Cook, G. J. 1993. An empirical investigation of information search strategies with implications for decision support system design. </w:t>
      </w:r>
      <w:r w:rsidRPr="00F35E64">
        <w:rPr>
          <w:rFonts w:cstheme="minorHAnsi"/>
          <w:i/>
          <w:iCs/>
          <w:sz w:val="24"/>
          <w:szCs w:val="24"/>
        </w:rPr>
        <w:t>Decision Sciences</w:t>
      </w:r>
      <w:r w:rsidRPr="00F35E64">
        <w:rPr>
          <w:rFonts w:cstheme="minorHAnsi"/>
          <w:sz w:val="24"/>
          <w:szCs w:val="24"/>
        </w:rPr>
        <w:t>, 24</w:t>
      </w:r>
      <w:r w:rsidR="00813BE2">
        <w:rPr>
          <w:rFonts w:cstheme="minorHAnsi"/>
          <w:sz w:val="24"/>
          <w:szCs w:val="24"/>
        </w:rPr>
        <w:t>,</w:t>
      </w:r>
      <w:r w:rsidRPr="00F35E64">
        <w:rPr>
          <w:rFonts w:cstheme="minorHAnsi"/>
          <w:sz w:val="24"/>
          <w:szCs w:val="24"/>
        </w:rPr>
        <w:t> 683–699.</w:t>
      </w:r>
    </w:p>
    <w:p w14:paraId="21E971CC" w14:textId="67B12BB2" w:rsidR="00446050" w:rsidRPr="00F35E64" w:rsidRDefault="00446050" w:rsidP="00ED0391">
      <w:pPr>
        <w:autoSpaceDE w:val="0"/>
        <w:autoSpaceDN w:val="0"/>
        <w:adjustRightInd w:val="0"/>
        <w:spacing w:after="0" w:line="360" w:lineRule="auto"/>
        <w:ind w:left="567" w:hanging="567"/>
        <w:rPr>
          <w:rFonts w:cstheme="minorHAnsi"/>
          <w:i/>
          <w:iCs/>
          <w:sz w:val="24"/>
          <w:szCs w:val="24"/>
        </w:rPr>
      </w:pPr>
      <w:r w:rsidRPr="00F35E64">
        <w:rPr>
          <w:rFonts w:cstheme="minorHAnsi"/>
          <w:sz w:val="24"/>
          <w:szCs w:val="24"/>
        </w:rPr>
        <w:t xml:space="preserve">Cowan, N. (2001). The magical number 4 in short-term memory: A reconsideration of mental storage capacity. </w:t>
      </w:r>
      <w:r w:rsidRPr="00F35E64">
        <w:rPr>
          <w:rFonts w:cstheme="minorHAnsi"/>
          <w:i/>
          <w:iCs/>
          <w:sz w:val="24"/>
          <w:szCs w:val="24"/>
        </w:rPr>
        <w:t xml:space="preserve">Behavioral and </w:t>
      </w:r>
      <w:r w:rsidR="00813BE2">
        <w:rPr>
          <w:rFonts w:cstheme="minorHAnsi"/>
          <w:i/>
          <w:iCs/>
          <w:sz w:val="24"/>
          <w:szCs w:val="24"/>
        </w:rPr>
        <w:t>B</w:t>
      </w:r>
      <w:r w:rsidRPr="00F35E64">
        <w:rPr>
          <w:rFonts w:cstheme="minorHAnsi"/>
          <w:i/>
          <w:iCs/>
          <w:sz w:val="24"/>
          <w:szCs w:val="24"/>
        </w:rPr>
        <w:t xml:space="preserve">rain </w:t>
      </w:r>
      <w:r w:rsidR="00813BE2">
        <w:rPr>
          <w:rFonts w:cstheme="minorHAnsi"/>
          <w:i/>
          <w:iCs/>
          <w:sz w:val="24"/>
          <w:szCs w:val="24"/>
        </w:rPr>
        <w:t>S</w:t>
      </w:r>
      <w:r w:rsidRPr="00F35E64">
        <w:rPr>
          <w:rFonts w:cstheme="minorHAnsi"/>
          <w:i/>
          <w:iCs/>
          <w:sz w:val="24"/>
          <w:szCs w:val="24"/>
        </w:rPr>
        <w:t>ciences, 24 1</w:t>
      </w:r>
      <w:r w:rsidRPr="00F35E64">
        <w:rPr>
          <w:rFonts w:cstheme="minorHAnsi"/>
          <w:sz w:val="24"/>
          <w:szCs w:val="24"/>
        </w:rPr>
        <w:t>, 87-114; discussion 114-85.</w:t>
      </w:r>
    </w:p>
    <w:p w14:paraId="447BA119" w14:textId="3850C1E3" w:rsidR="00923390" w:rsidRPr="00F35E64" w:rsidRDefault="00923390"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Cronbach, L.J. (1951). Coefficient alpha and the internal structure of tests. </w:t>
      </w:r>
      <w:r w:rsidRPr="00F35E64">
        <w:rPr>
          <w:rFonts w:cstheme="minorHAnsi"/>
          <w:bCs/>
          <w:i/>
          <w:iCs/>
          <w:sz w:val="24"/>
          <w:szCs w:val="24"/>
        </w:rPr>
        <w:t xml:space="preserve">Psychometrika, 16, </w:t>
      </w:r>
      <w:r w:rsidRPr="00F35E64">
        <w:rPr>
          <w:rFonts w:cstheme="minorHAnsi"/>
          <w:bCs/>
          <w:sz w:val="24"/>
          <w:szCs w:val="24"/>
        </w:rPr>
        <w:t>297-334.</w:t>
      </w:r>
    </w:p>
    <w:p w14:paraId="17A585AF" w14:textId="58791FF0" w:rsidR="003A246C" w:rsidRPr="00F265E6" w:rsidRDefault="003A246C" w:rsidP="003A246C">
      <w:pPr>
        <w:autoSpaceDE w:val="0"/>
        <w:autoSpaceDN w:val="0"/>
        <w:adjustRightInd w:val="0"/>
        <w:spacing w:after="0" w:line="360" w:lineRule="auto"/>
        <w:ind w:left="567" w:hanging="567"/>
        <w:rPr>
          <w:rFonts w:cstheme="minorHAnsi"/>
          <w:bCs/>
          <w:sz w:val="24"/>
          <w:szCs w:val="24"/>
        </w:rPr>
      </w:pPr>
      <w:r w:rsidRPr="00F265E6">
        <w:rPr>
          <w:rFonts w:cstheme="minorHAnsi"/>
          <w:bCs/>
          <w:sz w:val="24"/>
          <w:szCs w:val="24"/>
        </w:rPr>
        <w:t>Dalkey</w:t>
      </w:r>
      <w:r w:rsidR="007135CE" w:rsidRPr="00F265E6">
        <w:rPr>
          <w:rFonts w:cstheme="minorHAnsi"/>
          <w:bCs/>
          <w:sz w:val="24"/>
          <w:szCs w:val="24"/>
        </w:rPr>
        <w:t>, N., &amp;</w:t>
      </w:r>
      <w:r w:rsidRPr="00F265E6">
        <w:rPr>
          <w:rFonts w:cstheme="minorHAnsi"/>
          <w:bCs/>
          <w:sz w:val="24"/>
          <w:szCs w:val="24"/>
        </w:rPr>
        <w:t xml:space="preserve"> Helmer,</w:t>
      </w:r>
      <w:r w:rsidR="007135CE" w:rsidRPr="00F265E6">
        <w:rPr>
          <w:rFonts w:cstheme="minorHAnsi"/>
          <w:bCs/>
          <w:sz w:val="24"/>
          <w:szCs w:val="24"/>
        </w:rPr>
        <w:t xml:space="preserve"> O. (1963).</w:t>
      </w:r>
      <w:r w:rsidRPr="00F265E6">
        <w:rPr>
          <w:rFonts w:cstheme="minorHAnsi"/>
          <w:bCs/>
          <w:sz w:val="24"/>
          <w:szCs w:val="24"/>
        </w:rPr>
        <w:t xml:space="preserve"> An </w:t>
      </w:r>
      <w:r w:rsidR="007135CE" w:rsidRPr="00F265E6">
        <w:rPr>
          <w:rFonts w:cstheme="minorHAnsi"/>
          <w:bCs/>
          <w:sz w:val="24"/>
          <w:szCs w:val="24"/>
        </w:rPr>
        <w:t>e</w:t>
      </w:r>
      <w:r w:rsidRPr="00F265E6">
        <w:rPr>
          <w:rFonts w:cstheme="minorHAnsi"/>
          <w:bCs/>
          <w:sz w:val="24"/>
          <w:szCs w:val="24"/>
        </w:rPr>
        <w:t xml:space="preserve">xperimental </w:t>
      </w:r>
      <w:r w:rsidR="007135CE" w:rsidRPr="00F265E6">
        <w:rPr>
          <w:rFonts w:cstheme="minorHAnsi"/>
          <w:bCs/>
          <w:sz w:val="24"/>
          <w:szCs w:val="24"/>
        </w:rPr>
        <w:t>a</w:t>
      </w:r>
      <w:r w:rsidRPr="00F265E6">
        <w:rPr>
          <w:rFonts w:cstheme="minorHAnsi"/>
          <w:bCs/>
          <w:sz w:val="24"/>
          <w:szCs w:val="24"/>
        </w:rPr>
        <w:t xml:space="preserve">pplication of the Delphi </w:t>
      </w:r>
      <w:r w:rsidR="007135CE" w:rsidRPr="00F265E6">
        <w:rPr>
          <w:rFonts w:cstheme="minorHAnsi"/>
          <w:bCs/>
          <w:sz w:val="24"/>
          <w:szCs w:val="24"/>
        </w:rPr>
        <w:t>m</w:t>
      </w:r>
      <w:r w:rsidRPr="00F265E6">
        <w:rPr>
          <w:rFonts w:cstheme="minorHAnsi"/>
          <w:bCs/>
          <w:sz w:val="24"/>
          <w:szCs w:val="24"/>
        </w:rPr>
        <w:t xml:space="preserve">ethod to the </w:t>
      </w:r>
      <w:r w:rsidR="007135CE" w:rsidRPr="00F265E6">
        <w:rPr>
          <w:rFonts w:cstheme="minorHAnsi"/>
          <w:bCs/>
          <w:sz w:val="24"/>
          <w:szCs w:val="24"/>
        </w:rPr>
        <w:t>u</w:t>
      </w:r>
      <w:r w:rsidRPr="00F265E6">
        <w:rPr>
          <w:rFonts w:cstheme="minorHAnsi"/>
          <w:bCs/>
          <w:sz w:val="24"/>
          <w:szCs w:val="24"/>
        </w:rPr>
        <w:t xml:space="preserve">se of </w:t>
      </w:r>
      <w:r w:rsidR="007135CE" w:rsidRPr="00F265E6">
        <w:rPr>
          <w:rFonts w:cstheme="minorHAnsi"/>
          <w:bCs/>
          <w:sz w:val="24"/>
          <w:szCs w:val="24"/>
        </w:rPr>
        <w:t>e</w:t>
      </w:r>
      <w:r w:rsidRPr="00F265E6">
        <w:rPr>
          <w:rFonts w:cstheme="minorHAnsi"/>
          <w:bCs/>
          <w:sz w:val="24"/>
          <w:szCs w:val="24"/>
        </w:rPr>
        <w:t>xperts</w:t>
      </w:r>
      <w:r w:rsidR="007135CE" w:rsidRPr="00F265E6">
        <w:rPr>
          <w:rFonts w:cstheme="minorHAnsi"/>
          <w:bCs/>
          <w:sz w:val="24"/>
          <w:szCs w:val="24"/>
        </w:rPr>
        <w:t xml:space="preserve">. </w:t>
      </w:r>
      <w:r w:rsidRPr="00F265E6">
        <w:rPr>
          <w:rFonts w:cstheme="minorHAnsi"/>
          <w:bCs/>
          <w:i/>
          <w:iCs/>
          <w:sz w:val="24"/>
          <w:szCs w:val="24"/>
        </w:rPr>
        <w:t>Management Science</w:t>
      </w:r>
      <w:r w:rsidR="007135CE" w:rsidRPr="00F265E6">
        <w:rPr>
          <w:rFonts w:cstheme="minorHAnsi"/>
          <w:bCs/>
          <w:i/>
          <w:iCs/>
          <w:sz w:val="24"/>
          <w:szCs w:val="24"/>
        </w:rPr>
        <w:t>,</w:t>
      </w:r>
      <w:r w:rsidRPr="00F265E6">
        <w:rPr>
          <w:rFonts w:cstheme="minorHAnsi"/>
          <w:bCs/>
          <w:i/>
          <w:iCs/>
          <w:sz w:val="24"/>
          <w:szCs w:val="24"/>
        </w:rPr>
        <w:t xml:space="preserve"> </w:t>
      </w:r>
      <w:r w:rsidRPr="00F265E6">
        <w:rPr>
          <w:rFonts w:cstheme="minorHAnsi"/>
          <w:bCs/>
          <w:i/>
          <w:sz w:val="24"/>
          <w:szCs w:val="24"/>
        </w:rPr>
        <w:t>9</w:t>
      </w:r>
      <w:r w:rsidR="007135CE" w:rsidRPr="00F265E6">
        <w:rPr>
          <w:rFonts w:cstheme="minorHAnsi"/>
          <w:bCs/>
          <w:sz w:val="24"/>
          <w:szCs w:val="24"/>
        </w:rPr>
        <w:t>(3)</w:t>
      </w:r>
      <w:r w:rsidR="00F265E6" w:rsidRPr="00F265E6">
        <w:rPr>
          <w:rFonts w:cstheme="minorHAnsi"/>
          <w:bCs/>
          <w:sz w:val="24"/>
          <w:szCs w:val="24"/>
        </w:rPr>
        <w:t>,</w:t>
      </w:r>
      <w:r w:rsidRPr="00F265E6">
        <w:rPr>
          <w:rFonts w:cstheme="minorHAnsi"/>
          <w:bCs/>
          <w:sz w:val="24"/>
          <w:szCs w:val="24"/>
        </w:rPr>
        <w:t xml:space="preserve"> </w:t>
      </w:r>
      <w:r w:rsidR="00F265E6" w:rsidRPr="00F265E6">
        <w:rPr>
          <w:rFonts w:cstheme="minorHAnsi"/>
          <w:bCs/>
          <w:sz w:val="24"/>
          <w:szCs w:val="24"/>
        </w:rPr>
        <w:t>351-515.</w:t>
      </w:r>
    </w:p>
    <w:p w14:paraId="60CBBE1B" w14:textId="1201C561" w:rsidR="00BE624B" w:rsidRPr="00BE624B" w:rsidRDefault="00BE624B" w:rsidP="00BE624B">
      <w:pPr>
        <w:autoSpaceDE w:val="0"/>
        <w:autoSpaceDN w:val="0"/>
        <w:adjustRightInd w:val="0"/>
        <w:spacing w:after="0" w:line="360" w:lineRule="auto"/>
        <w:ind w:left="567" w:hanging="567"/>
        <w:rPr>
          <w:rFonts w:cstheme="minorHAnsi"/>
          <w:bCs/>
          <w:sz w:val="24"/>
          <w:szCs w:val="24"/>
        </w:rPr>
      </w:pPr>
      <w:r w:rsidRPr="00BE624B">
        <w:rPr>
          <w:rFonts w:cstheme="minorHAnsi"/>
          <w:bCs/>
          <w:sz w:val="24"/>
          <w:szCs w:val="24"/>
        </w:rPr>
        <w:t>de Loë, R.C., Melnychuk, N., Murray, D.</w:t>
      </w:r>
      <w:r w:rsidR="00A12E9E">
        <w:rPr>
          <w:rFonts w:cstheme="minorHAnsi"/>
          <w:bCs/>
          <w:sz w:val="24"/>
          <w:szCs w:val="24"/>
        </w:rPr>
        <w:t xml:space="preserve"> &amp;</w:t>
      </w:r>
      <w:r w:rsidRPr="00BE624B">
        <w:rPr>
          <w:rFonts w:cstheme="minorHAnsi"/>
          <w:bCs/>
          <w:sz w:val="24"/>
          <w:szCs w:val="24"/>
        </w:rPr>
        <w:t xml:space="preserve"> Plummer, R.</w:t>
      </w:r>
      <w:r>
        <w:rPr>
          <w:rFonts w:cstheme="minorHAnsi"/>
          <w:bCs/>
          <w:sz w:val="24"/>
          <w:szCs w:val="24"/>
        </w:rPr>
        <w:t xml:space="preserve"> (</w:t>
      </w:r>
      <w:r w:rsidRPr="00BE624B">
        <w:rPr>
          <w:rFonts w:cstheme="minorHAnsi"/>
          <w:bCs/>
          <w:sz w:val="24"/>
          <w:szCs w:val="24"/>
        </w:rPr>
        <w:t>2016</w:t>
      </w:r>
      <w:r>
        <w:rPr>
          <w:rFonts w:cstheme="minorHAnsi"/>
          <w:bCs/>
          <w:sz w:val="24"/>
          <w:szCs w:val="24"/>
        </w:rPr>
        <w:t>)</w:t>
      </w:r>
      <w:r w:rsidRPr="00BE624B">
        <w:rPr>
          <w:rFonts w:cstheme="minorHAnsi"/>
          <w:bCs/>
          <w:sz w:val="24"/>
          <w:szCs w:val="24"/>
        </w:rPr>
        <w:t>. Advancing the state of policy</w:t>
      </w:r>
    </w:p>
    <w:p w14:paraId="5ADBC2F0" w14:textId="299BDDEB" w:rsidR="00BE624B" w:rsidRDefault="00BE624B" w:rsidP="00AF5466">
      <w:pPr>
        <w:autoSpaceDE w:val="0"/>
        <w:autoSpaceDN w:val="0"/>
        <w:adjustRightInd w:val="0"/>
        <w:spacing w:after="0" w:line="360" w:lineRule="auto"/>
        <w:ind w:left="567"/>
        <w:rPr>
          <w:rFonts w:cstheme="minorHAnsi"/>
          <w:bCs/>
          <w:sz w:val="24"/>
          <w:szCs w:val="24"/>
        </w:rPr>
      </w:pPr>
      <w:r w:rsidRPr="00BE624B">
        <w:rPr>
          <w:rFonts w:cstheme="minorHAnsi"/>
          <w:bCs/>
          <w:sz w:val="24"/>
          <w:szCs w:val="24"/>
        </w:rPr>
        <w:t xml:space="preserve">Delphi practice: </w:t>
      </w:r>
      <w:r>
        <w:rPr>
          <w:rFonts w:cstheme="minorHAnsi"/>
          <w:bCs/>
          <w:sz w:val="24"/>
          <w:szCs w:val="24"/>
        </w:rPr>
        <w:t>A</w:t>
      </w:r>
      <w:r w:rsidRPr="00BE624B">
        <w:rPr>
          <w:rFonts w:cstheme="minorHAnsi"/>
          <w:bCs/>
          <w:sz w:val="24"/>
          <w:szCs w:val="24"/>
        </w:rPr>
        <w:t xml:space="preserve"> systematic review evaluating methodological evolution, innovation,</w:t>
      </w:r>
      <w:r>
        <w:rPr>
          <w:rFonts w:cstheme="minorHAnsi"/>
          <w:bCs/>
          <w:sz w:val="24"/>
          <w:szCs w:val="24"/>
        </w:rPr>
        <w:t xml:space="preserve"> </w:t>
      </w:r>
      <w:r w:rsidRPr="00BE624B">
        <w:rPr>
          <w:rFonts w:cstheme="minorHAnsi"/>
          <w:bCs/>
          <w:sz w:val="24"/>
          <w:szCs w:val="24"/>
        </w:rPr>
        <w:t xml:space="preserve">and opportunities. </w:t>
      </w:r>
      <w:r w:rsidRPr="00AF5466">
        <w:rPr>
          <w:rFonts w:cstheme="minorHAnsi"/>
          <w:bCs/>
          <w:i/>
          <w:sz w:val="24"/>
          <w:szCs w:val="24"/>
        </w:rPr>
        <w:t>Technological Forecasting &amp; Social Change, 104,</w:t>
      </w:r>
      <w:r w:rsidRPr="00BE624B">
        <w:rPr>
          <w:rFonts w:cstheme="minorHAnsi"/>
          <w:bCs/>
          <w:sz w:val="24"/>
          <w:szCs w:val="24"/>
        </w:rPr>
        <w:t xml:space="preserve"> 78–88.</w:t>
      </w:r>
    </w:p>
    <w:p w14:paraId="00068B61" w14:textId="3F19C65D" w:rsidR="00006D11" w:rsidRPr="00006D11" w:rsidRDefault="00006D11" w:rsidP="00ED0391">
      <w:pPr>
        <w:autoSpaceDE w:val="0"/>
        <w:autoSpaceDN w:val="0"/>
        <w:adjustRightInd w:val="0"/>
        <w:spacing w:after="0" w:line="360" w:lineRule="auto"/>
        <w:ind w:left="567" w:hanging="567"/>
        <w:rPr>
          <w:rFonts w:cstheme="minorHAnsi"/>
          <w:bCs/>
          <w:sz w:val="24"/>
          <w:szCs w:val="24"/>
        </w:rPr>
      </w:pPr>
      <w:r>
        <w:rPr>
          <w:rFonts w:cstheme="minorHAnsi"/>
          <w:bCs/>
          <w:sz w:val="24"/>
          <w:szCs w:val="24"/>
        </w:rPr>
        <w:t xml:space="preserve">De Winter, J.C.F. (2014). Controversy in human factors constructs and the explosive use of the NASA-TLX: A measurement perspective. </w:t>
      </w:r>
      <w:r>
        <w:rPr>
          <w:rFonts w:cstheme="minorHAnsi"/>
          <w:bCs/>
          <w:i/>
          <w:sz w:val="24"/>
          <w:szCs w:val="24"/>
        </w:rPr>
        <w:t xml:space="preserve">Cognition, Technology &amp; Work, 16, </w:t>
      </w:r>
      <w:r>
        <w:rPr>
          <w:rFonts w:cstheme="minorHAnsi"/>
          <w:bCs/>
          <w:sz w:val="24"/>
          <w:szCs w:val="24"/>
        </w:rPr>
        <w:t>299-302.</w:t>
      </w:r>
    </w:p>
    <w:p w14:paraId="1412BA3E" w14:textId="24F34A70" w:rsidR="00A12E9E" w:rsidRPr="00A12E9E" w:rsidRDefault="00A12E9E" w:rsidP="00A12E9E">
      <w:pPr>
        <w:autoSpaceDE w:val="0"/>
        <w:autoSpaceDN w:val="0"/>
        <w:adjustRightInd w:val="0"/>
        <w:spacing w:after="0" w:line="360" w:lineRule="auto"/>
        <w:ind w:left="567" w:hanging="567"/>
        <w:rPr>
          <w:rFonts w:cstheme="minorHAnsi"/>
          <w:bCs/>
          <w:sz w:val="24"/>
          <w:szCs w:val="24"/>
        </w:rPr>
      </w:pPr>
      <w:r w:rsidRPr="00A12E9E">
        <w:rPr>
          <w:rFonts w:cstheme="minorHAnsi"/>
          <w:bCs/>
          <w:sz w:val="24"/>
          <w:szCs w:val="24"/>
        </w:rPr>
        <w:t xml:space="preserve">Delbecq, A.L., Van de Ven, A.H., </w:t>
      </w:r>
      <w:r>
        <w:rPr>
          <w:rFonts w:cstheme="minorHAnsi"/>
          <w:bCs/>
          <w:sz w:val="24"/>
          <w:szCs w:val="24"/>
        </w:rPr>
        <w:t xml:space="preserve">&amp; </w:t>
      </w:r>
      <w:r w:rsidRPr="00A12E9E">
        <w:rPr>
          <w:rFonts w:cstheme="minorHAnsi"/>
          <w:bCs/>
          <w:sz w:val="24"/>
          <w:szCs w:val="24"/>
        </w:rPr>
        <w:t xml:space="preserve">Gustafson, D.H., </w:t>
      </w:r>
      <w:r>
        <w:rPr>
          <w:rFonts w:cstheme="minorHAnsi"/>
          <w:bCs/>
          <w:sz w:val="24"/>
          <w:szCs w:val="24"/>
        </w:rPr>
        <w:t>(</w:t>
      </w:r>
      <w:r w:rsidRPr="00A12E9E">
        <w:rPr>
          <w:rFonts w:cstheme="minorHAnsi"/>
          <w:bCs/>
          <w:sz w:val="24"/>
          <w:szCs w:val="24"/>
        </w:rPr>
        <w:t>1975</w:t>
      </w:r>
      <w:r>
        <w:rPr>
          <w:rFonts w:cstheme="minorHAnsi"/>
          <w:bCs/>
          <w:sz w:val="24"/>
          <w:szCs w:val="24"/>
        </w:rPr>
        <w:t>)</w:t>
      </w:r>
      <w:r w:rsidRPr="00A12E9E">
        <w:rPr>
          <w:rFonts w:cstheme="minorHAnsi"/>
          <w:bCs/>
          <w:sz w:val="24"/>
          <w:szCs w:val="24"/>
        </w:rPr>
        <w:t xml:space="preserve">. </w:t>
      </w:r>
      <w:r w:rsidRPr="00AF5466">
        <w:rPr>
          <w:rFonts w:cstheme="minorHAnsi"/>
          <w:bCs/>
          <w:i/>
          <w:sz w:val="24"/>
          <w:szCs w:val="24"/>
        </w:rPr>
        <w:t>Group Techniques for Program Planning.</w:t>
      </w:r>
      <w:r w:rsidRPr="00A12E9E">
        <w:rPr>
          <w:rFonts w:cstheme="minorHAnsi"/>
          <w:bCs/>
          <w:sz w:val="24"/>
          <w:szCs w:val="24"/>
        </w:rPr>
        <w:t xml:space="preserve"> </w:t>
      </w:r>
      <w:r w:rsidR="0007272F" w:rsidRPr="00A12E9E">
        <w:rPr>
          <w:rFonts w:cstheme="minorHAnsi"/>
          <w:bCs/>
          <w:sz w:val="24"/>
          <w:szCs w:val="24"/>
        </w:rPr>
        <w:t>Glenview, IL</w:t>
      </w:r>
      <w:r w:rsidR="0007272F">
        <w:rPr>
          <w:rFonts w:cstheme="minorHAnsi"/>
          <w:bCs/>
          <w:sz w:val="24"/>
          <w:szCs w:val="24"/>
        </w:rPr>
        <w:t xml:space="preserve">: </w:t>
      </w:r>
      <w:r w:rsidRPr="00A12E9E">
        <w:rPr>
          <w:rFonts w:cstheme="minorHAnsi"/>
          <w:bCs/>
          <w:sz w:val="24"/>
          <w:szCs w:val="24"/>
        </w:rPr>
        <w:t>Scott, Foresman, and Co</w:t>
      </w:r>
      <w:r w:rsidR="0007272F">
        <w:rPr>
          <w:rFonts w:cstheme="minorHAnsi"/>
          <w:bCs/>
          <w:sz w:val="24"/>
          <w:szCs w:val="24"/>
        </w:rPr>
        <w:t>.</w:t>
      </w:r>
      <w:r w:rsidRPr="00A12E9E">
        <w:rPr>
          <w:rFonts w:cstheme="minorHAnsi"/>
          <w:bCs/>
          <w:sz w:val="24"/>
          <w:szCs w:val="24"/>
        </w:rPr>
        <w:t xml:space="preserve"> </w:t>
      </w:r>
    </w:p>
    <w:p w14:paraId="064810A7" w14:textId="5016B8EC" w:rsidR="00A0179A" w:rsidRPr="00F35E64" w:rsidRDefault="00A0179A"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lastRenderedPageBreak/>
        <w:t xml:space="preserve">Eppler, M.J., &amp; </w:t>
      </w:r>
      <w:proofErr w:type="spellStart"/>
      <w:r w:rsidRPr="00F35E64">
        <w:rPr>
          <w:rFonts w:cstheme="minorHAnsi"/>
          <w:bCs/>
          <w:sz w:val="24"/>
          <w:szCs w:val="24"/>
        </w:rPr>
        <w:t>Mengis</w:t>
      </w:r>
      <w:proofErr w:type="spellEnd"/>
      <w:r w:rsidRPr="00F35E64">
        <w:rPr>
          <w:rFonts w:cstheme="minorHAnsi"/>
          <w:bCs/>
          <w:sz w:val="24"/>
          <w:szCs w:val="24"/>
        </w:rPr>
        <w:t xml:space="preserve">, J. (2004). The concept of information overload: A review of literature from organizational science, accounting, marketing, MIS, and related disciplines. </w:t>
      </w:r>
      <w:r w:rsidRPr="00F35E64">
        <w:rPr>
          <w:rFonts w:cstheme="minorHAnsi"/>
          <w:bCs/>
          <w:i/>
          <w:iCs/>
          <w:sz w:val="24"/>
          <w:szCs w:val="24"/>
        </w:rPr>
        <w:t>The Information Society, 20</w:t>
      </w:r>
      <w:r w:rsidRPr="00F35E64">
        <w:rPr>
          <w:rFonts w:cstheme="minorHAnsi"/>
          <w:bCs/>
          <w:sz w:val="24"/>
          <w:szCs w:val="24"/>
        </w:rPr>
        <w:t>(5), 325-344.</w:t>
      </w:r>
    </w:p>
    <w:p w14:paraId="0B966590" w14:textId="6AB7323A" w:rsidR="00EA4A16" w:rsidRPr="00EA4A16" w:rsidRDefault="00EA4A16" w:rsidP="00ED0391">
      <w:pPr>
        <w:autoSpaceDE w:val="0"/>
        <w:autoSpaceDN w:val="0"/>
        <w:adjustRightInd w:val="0"/>
        <w:spacing w:after="0" w:line="360" w:lineRule="auto"/>
        <w:ind w:left="567" w:hanging="567"/>
        <w:rPr>
          <w:rFonts w:cstheme="minorHAnsi"/>
          <w:bCs/>
          <w:sz w:val="24"/>
          <w:szCs w:val="24"/>
        </w:rPr>
      </w:pPr>
      <w:r>
        <w:rPr>
          <w:sz w:val="24"/>
          <w:szCs w:val="24"/>
        </w:rPr>
        <w:t xml:space="preserve">Fiedler, S., &amp; Glöckner, A. (2012). The dynamics of decision making in risky choice: An eye-tracking analysis. </w:t>
      </w:r>
      <w:r>
        <w:rPr>
          <w:i/>
          <w:sz w:val="24"/>
          <w:szCs w:val="24"/>
        </w:rPr>
        <w:t xml:space="preserve">Frontiers in Psychology, 3, </w:t>
      </w:r>
      <w:r>
        <w:rPr>
          <w:sz w:val="24"/>
          <w:szCs w:val="24"/>
        </w:rPr>
        <w:t>article 335.</w:t>
      </w:r>
    </w:p>
    <w:p w14:paraId="4DA56E8E" w14:textId="62FC7EB9" w:rsidR="0011358E" w:rsidRPr="00F35E64" w:rsidRDefault="0011358E"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Galy, E., Paxion, J., &amp; Berthelon, C. (2018). Measuring mental workload with the NASA-TLX needs to examine each dimension rather than relying on the global score: an example with driving. </w:t>
      </w:r>
      <w:r w:rsidRPr="00F35E64">
        <w:rPr>
          <w:rFonts w:cstheme="minorHAnsi"/>
          <w:bCs/>
          <w:i/>
          <w:iCs/>
          <w:sz w:val="24"/>
          <w:szCs w:val="24"/>
        </w:rPr>
        <w:t xml:space="preserve">Ergonomics, 61, </w:t>
      </w:r>
      <w:r w:rsidRPr="00F35E64">
        <w:rPr>
          <w:rFonts w:cstheme="minorHAnsi"/>
          <w:bCs/>
          <w:sz w:val="24"/>
          <w:szCs w:val="24"/>
        </w:rPr>
        <w:t xml:space="preserve">517-527. </w:t>
      </w:r>
    </w:p>
    <w:p w14:paraId="066EAC2F" w14:textId="52C43EAE" w:rsidR="00446050" w:rsidRPr="00F35E64" w:rsidRDefault="00446050"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Gheorghiu, R., Dragomir, B., Andreescu, L., Cuhls, K., Rosa, A. Curaj, A., &amp; Weber, M. (2017). </w:t>
      </w:r>
      <w:r w:rsidRPr="00F35E64">
        <w:rPr>
          <w:rFonts w:cstheme="minorHAnsi"/>
          <w:bCs/>
          <w:i/>
          <w:sz w:val="24"/>
          <w:szCs w:val="24"/>
        </w:rPr>
        <w:t>New horizons: Data from a Delphi survey in support of European Union futures policies in research and innovation.</w:t>
      </w:r>
      <w:r w:rsidRPr="00F35E64">
        <w:rPr>
          <w:rFonts w:cstheme="minorHAnsi"/>
          <w:bCs/>
          <w:sz w:val="24"/>
          <w:szCs w:val="24"/>
        </w:rPr>
        <w:t xml:space="preserve"> Retrieved from https://ec.europa.eu/jrc/sites/jrcsh/files/fta2018-paper-c3-cuhls.pdf</w:t>
      </w:r>
    </w:p>
    <w:p w14:paraId="1E71C3ED" w14:textId="04086D15" w:rsidR="001761D6" w:rsidRPr="00F35E64" w:rsidRDefault="00672A4E" w:rsidP="001761D6">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Goluchowicz, K., &amp; Blind, K. (2011). Identification of future fields of standardisation: An explorative</w:t>
      </w:r>
      <w:r w:rsidR="001761D6" w:rsidRPr="00F35E64">
        <w:rPr>
          <w:rFonts w:cstheme="minorHAnsi"/>
          <w:bCs/>
          <w:sz w:val="24"/>
          <w:szCs w:val="24"/>
        </w:rPr>
        <w:t xml:space="preserve"> </w:t>
      </w:r>
      <w:r w:rsidRPr="00F35E64">
        <w:rPr>
          <w:rFonts w:cstheme="minorHAnsi"/>
          <w:bCs/>
          <w:sz w:val="24"/>
          <w:szCs w:val="24"/>
        </w:rPr>
        <w:t xml:space="preserve">application of the Delphi methodology. </w:t>
      </w:r>
      <w:r w:rsidRPr="00F35E64">
        <w:rPr>
          <w:rFonts w:cstheme="minorHAnsi"/>
          <w:bCs/>
          <w:i/>
          <w:iCs/>
          <w:sz w:val="24"/>
          <w:szCs w:val="24"/>
        </w:rPr>
        <w:t>Technological Forecasting and Social Change, 78</w:t>
      </w:r>
      <w:r w:rsidRPr="00F35E64">
        <w:rPr>
          <w:rFonts w:cstheme="minorHAnsi"/>
          <w:bCs/>
          <w:sz w:val="24"/>
          <w:szCs w:val="24"/>
        </w:rPr>
        <w:t>(9), 1526-1541.</w:t>
      </w:r>
    </w:p>
    <w:p w14:paraId="4D0C7689" w14:textId="33C88CA1" w:rsidR="00672A4E" w:rsidRPr="00F35E64" w:rsidRDefault="00DD419F" w:rsidP="001761D6">
      <w:pPr>
        <w:spacing w:line="360" w:lineRule="auto"/>
        <w:ind w:left="709" w:hanging="709"/>
        <w:contextualSpacing/>
        <w:jc w:val="both"/>
        <w:rPr>
          <w:rFonts w:cstheme="minorHAnsi"/>
          <w:bCs/>
          <w:color w:val="000000"/>
          <w:sz w:val="24"/>
          <w:szCs w:val="24"/>
        </w:rPr>
      </w:pPr>
      <w:r w:rsidRPr="00F35E64">
        <w:rPr>
          <w:rFonts w:cstheme="minorHAnsi"/>
          <w:bCs/>
          <w:color w:val="000000"/>
          <w:sz w:val="24"/>
          <w:szCs w:val="24"/>
        </w:rPr>
        <w:t xml:space="preserve">Griefeneder, R., Scheibehenne, B., &amp; Kleber, N. (2010). Less may be more when choosing is difficult: Choice complexity and too much choice. </w:t>
      </w:r>
      <w:r w:rsidRPr="00F35E64">
        <w:rPr>
          <w:rFonts w:cstheme="minorHAnsi"/>
          <w:bCs/>
          <w:i/>
          <w:iCs/>
          <w:color w:val="000000"/>
          <w:sz w:val="24"/>
          <w:szCs w:val="24"/>
        </w:rPr>
        <w:t xml:space="preserve">Act Psychologica, 133, </w:t>
      </w:r>
      <w:r w:rsidRPr="00F35E64">
        <w:rPr>
          <w:rFonts w:cstheme="minorHAnsi"/>
          <w:bCs/>
          <w:color w:val="000000"/>
          <w:sz w:val="24"/>
          <w:szCs w:val="24"/>
        </w:rPr>
        <w:t xml:space="preserve">45-50. </w:t>
      </w:r>
    </w:p>
    <w:p w14:paraId="5635F7A4" w14:textId="3D9D567C" w:rsidR="00C70F5E" w:rsidRPr="00F35E64" w:rsidRDefault="00C70F5E"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Grier, R.A. (2015). How high is high? A meta-analysis of NASA-TLX global workload scores. </w:t>
      </w:r>
      <w:r w:rsidRPr="00F35E64">
        <w:rPr>
          <w:rFonts w:cstheme="minorHAnsi"/>
          <w:bCs/>
          <w:i/>
          <w:iCs/>
          <w:sz w:val="24"/>
          <w:szCs w:val="24"/>
        </w:rPr>
        <w:t>Proceedings of the Human Factors and Ergonomics Society</w:t>
      </w:r>
      <w:r w:rsidR="008C3ED0" w:rsidRPr="00F35E64">
        <w:rPr>
          <w:rFonts w:cstheme="minorHAnsi"/>
          <w:bCs/>
          <w:i/>
          <w:iCs/>
          <w:sz w:val="24"/>
          <w:szCs w:val="24"/>
        </w:rPr>
        <w:t xml:space="preserve"> 59</w:t>
      </w:r>
      <w:r w:rsidR="008C3ED0" w:rsidRPr="00F35E64">
        <w:rPr>
          <w:rFonts w:cstheme="minorHAnsi"/>
          <w:bCs/>
          <w:i/>
          <w:iCs/>
          <w:sz w:val="24"/>
          <w:szCs w:val="24"/>
          <w:vertAlign w:val="superscript"/>
        </w:rPr>
        <w:t>th</w:t>
      </w:r>
      <w:r w:rsidR="008C3ED0" w:rsidRPr="00F35E64">
        <w:rPr>
          <w:rFonts w:cstheme="minorHAnsi"/>
          <w:bCs/>
          <w:i/>
          <w:iCs/>
          <w:sz w:val="24"/>
          <w:szCs w:val="24"/>
        </w:rPr>
        <w:t xml:space="preserve"> Annual Meeting</w:t>
      </w:r>
      <w:r w:rsidR="008C3ED0" w:rsidRPr="00F35E64">
        <w:rPr>
          <w:rFonts w:cstheme="minorHAnsi"/>
          <w:bCs/>
          <w:sz w:val="24"/>
          <w:szCs w:val="24"/>
        </w:rPr>
        <w:t>, 1727-</w:t>
      </w:r>
      <w:r w:rsidR="008C3ED0" w:rsidRPr="00F35E64">
        <w:rPr>
          <w:rFonts w:cstheme="minorHAnsi"/>
          <w:bCs/>
          <w:i/>
          <w:iCs/>
          <w:sz w:val="24"/>
          <w:szCs w:val="24"/>
        </w:rPr>
        <w:t xml:space="preserve"> </w:t>
      </w:r>
      <w:r w:rsidR="008C3ED0" w:rsidRPr="00F35E64">
        <w:rPr>
          <w:rFonts w:cstheme="minorHAnsi"/>
          <w:bCs/>
          <w:sz w:val="24"/>
          <w:szCs w:val="24"/>
        </w:rPr>
        <w:t>1731.</w:t>
      </w:r>
    </w:p>
    <w:p w14:paraId="25B03D40" w14:textId="77777777" w:rsidR="001761D6" w:rsidRPr="00F35E64" w:rsidRDefault="00D70FCF" w:rsidP="001761D6">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Hackman, R.J., &amp; Vidmar, N. (1970). Effect of group size and task type on group performance and member reactions. </w:t>
      </w:r>
      <w:r w:rsidRPr="00F35E64">
        <w:rPr>
          <w:rFonts w:cstheme="minorHAnsi"/>
          <w:bCs/>
          <w:i/>
          <w:iCs/>
          <w:sz w:val="24"/>
          <w:szCs w:val="24"/>
        </w:rPr>
        <w:t>Sociometry, 33</w:t>
      </w:r>
      <w:r w:rsidRPr="00F35E64">
        <w:rPr>
          <w:rFonts w:cstheme="minorHAnsi"/>
          <w:bCs/>
          <w:sz w:val="24"/>
          <w:szCs w:val="24"/>
        </w:rPr>
        <w:t>(1), 37-54.</w:t>
      </w:r>
    </w:p>
    <w:p w14:paraId="2DB94077" w14:textId="77777777" w:rsidR="009D49A8" w:rsidRPr="00F35E64" w:rsidRDefault="009D49A8" w:rsidP="009D49A8">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Hart, S.G., &amp; Staveland, L.E. (1988). Development of NASA-TLX (Task Load Index): Results of empirical and theoretical research. </w:t>
      </w:r>
      <w:r w:rsidRPr="00F35E64">
        <w:rPr>
          <w:rFonts w:cstheme="minorHAnsi"/>
          <w:bCs/>
          <w:i/>
          <w:iCs/>
          <w:sz w:val="24"/>
          <w:szCs w:val="24"/>
        </w:rPr>
        <w:t xml:space="preserve">Advances in Psychology, 52, </w:t>
      </w:r>
      <w:r w:rsidRPr="00F35E64">
        <w:rPr>
          <w:rFonts w:cstheme="minorHAnsi"/>
          <w:bCs/>
          <w:sz w:val="24"/>
          <w:szCs w:val="24"/>
        </w:rPr>
        <w:t xml:space="preserve">139-183. </w:t>
      </w:r>
    </w:p>
    <w:p w14:paraId="2E53FF85" w14:textId="77777777" w:rsidR="001761D6" w:rsidRPr="00F35E64" w:rsidRDefault="00672A4E" w:rsidP="001761D6">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Hasson, F., Keeney, S., &amp; McKenna, H. (2000). Research guidelines for the Delphi survey technique.</w:t>
      </w:r>
      <w:r w:rsidR="001761D6" w:rsidRPr="00F35E64">
        <w:rPr>
          <w:rFonts w:cstheme="minorHAnsi"/>
          <w:bCs/>
          <w:sz w:val="24"/>
          <w:szCs w:val="24"/>
        </w:rPr>
        <w:t xml:space="preserve"> </w:t>
      </w:r>
      <w:r w:rsidRPr="00F35E64">
        <w:rPr>
          <w:rFonts w:cstheme="minorHAnsi"/>
          <w:bCs/>
          <w:i/>
          <w:sz w:val="24"/>
          <w:szCs w:val="24"/>
        </w:rPr>
        <w:t>Journal of Advanced Nursing</w:t>
      </w:r>
      <w:r w:rsidRPr="00F35E64">
        <w:rPr>
          <w:rFonts w:cstheme="minorHAnsi"/>
          <w:bCs/>
          <w:sz w:val="24"/>
          <w:szCs w:val="24"/>
        </w:rPr>
        <w:t xml:space="preserve">, </w:t>
      </w:r>
      <w:r w:rsidRPr="00F35E64">
        <w:rPr>
          <w:rFonts w:cstheme="minorHAnsi"/>
          <w:bCs/>
          <w:i/>
          <w:sz w:val="24"/>
          <w:szCs w:val="24"/>
        </w:rPr>
        <w:t>32</w:t>
      </w:r>
      <w:r w:rsidRPr="00F35E64">
        <w:rPr>
          <w:rFonts w:cstheme="minorHAnsi"/>
          <w:bCs/>
          <w:sz w:val="24"/>
          <w:szCs w:val="24"/>
        </w:rPr>
        <w:t>(4), 1008-1015.</w:t>
      </w:r>
    </w:p>
    <w:p w14:paraId="252A0938" w14:textId="77777777" w:rsidR="00446050" w:rsidRPr="00F35E64" w:rsidRDefault="00446050"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Helgeson, J.G., &amp; Ursic, M.L. (1993). Information load, cost/benefit assessment and decision strategy variability. </w:t>
      </w:r>
      <w:r w:rsidRPr="00F35E64">
        <w:rPr>
          <w:rFonts w:cstheme="minorHAnsi"/>
          <w:bCs/>
          <w:i/>
          <w:iCs/>
          <w:sz w:val="24"/>
          <w:szCs w:val="24"/>
        </w:rPr>
        <w:t>Journal of the Academy of Marketing Science, 21</w:t>
      </w:r>
      <w:r w:rsidRPr="00F35E64">
        <w:rPr>
          <w:rFonts w:cstheme="minorHAnsi"/>
          <w:bCs/>
          <w:sz w:val="24"/>
          <w:szCs w:val="24"/>
        </w:rPr>
        <w:t>(1), 13-20.</w:t>
      </w:r>
    </w:p>
    <w:p w14:paraId="282C22DA" w14:textId="78C1465C" w:rsidR="00672A4E" w:rsidRPr="00F35E64" w:rsidRDefault="00672A4E" w:rsidP="00ED0391">
      <w:pPr>
        <w:spacing w:line="360" w:lineRule="auto"/>
        <w:ind w:left="720" w:hanging="720"/>
        <w:contextualSpacing/>
        <w:jc w:val="both"/>
        <w:rPr>
          <w:rFonts w:cstheme="minorHAnsi"/>
          <w:sz w:val="24"/>
          <w:szCs w:val="24"/>
        </w:rPr>
      </w:pPr>
      <w:r w:rsidRPr="00F35E64">
        <w:rPr>
          <w:rFonts w:cstheme="minorHAnsi"/>
          <w:sz w:val="24"/>
          <w:szCs w:val="24"/>
        </w:rPr>
        <w:t xml:space="preserve">Humphrey-Murto, S., &amp; de Wit, M. (2019). The Delphi method – more research please. </w:t>
      </w:r>
      <w:r w:rsidRPr="00F35E64">
        <w:rPr>
          <w:rFonts w:cstheme="minorHAnsi"/>
          <w:i/>
          <w:sz w:val="24"/>
          <w:szCs w:val="24"/>
        </w:rPr>
        <w:t xml:space="preserve">Journal of Clinical Epidemiology, 106, </w:t>
      </w:r>
      <w:r w:rsidRPr="00F35E64">
        <w:rPr>
          <w:rFonts w:cstheme="minorHAnsi"/>
          <w:sz w:val="24"/>
          <w:szCs w:val="24"/>
        </w:rPr>
        <w:t>136-139.</w:t>
      </w:r>
    </w:p>
    <w:p w14:paraId="31F12AF7" w14:textId="77777777" w:rsidR="00261CBF" w:rsidRPr="00F35E64" w:rsidRDefault="00A0179A" w:rsidP="001761D6">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Hwang, M.I., &amp; Lin, J.W. (1999). Information dimension, information overload and decision quality. </w:t>
      </w:r>
      <w:r w:rsidRPr="00F35E64">
        <w:rPr>
          <w:rFonts w:cstheme="minorHAnsi"/>
          <w:bCs/>
          <w:i/>
          <w:iCs/>
          <w:sz w:val="24"/>
          <w:szCs w:val="24"/>
        </w:rPr>
        <w:t>Journal of Information Science, 25</w:t>
      </w:r>
      <w:r w:rsidRPr="00F35E64">
        <w:rPr>
          <w:rFonts w:cstheme="minorHAnsi"/>
          <w:bCs/>
          <w:sz w:val="24"/>
          <w:szCs w:val="24"/>
        </w:rPr>
        <w:t>(3), 213-218</w:t>
      </w:r>
      <w:r w:rsidR="00261CBF" w:rsidRPr="00F35E64">
        <w:rPr>
          <w:rFonts w:cstheme="minorHAnsi"/>
          <w:bCs/>
          <w:sz w:val="24"/>
          <w:szCs w:val="24"/>
        </w:rPr>
        <w:t>.</w:t>
      </w:r>
    </w:p>
    <w:p w14:paraId="15F45E52" w14:textId="3B24D46C" w:rsidR="00D54442" w:rsidRPr="00F265E6" w:rsidRDefault="00D54442" w:rsidP="00261CBF">
      <w:pPr>
        <w:autoSpaceDE w:val="0"/>
        <w:autoSpaceDN w:val="0"/>
        <w:adjustRightInd w:val="0"/>
        <w:spacing w:after="0" w:line="360" w:lineRule="auto"/>
        <w:ind w:left="567" w:hanging="567"/>
        <w:rPr>
          <w:rFonts w:cstheme="minorHAnsi"/>
          <w:bCs/>
          <w:sz w:val="24"/>
          <w:szCs w:val="24"/>
        </w:rPr>
      </w:pPr>
      <w:r>
        <w:rPr>
          <w:rFonts w:cstheme="minorHAnsi"/>
          <w:bCs/>
          <w:sz w:val="24"/>
          <w:szCs w:val="24"/>
        </w:rPr>
        <w:lastRenderedPageBreak/>
        <w:t>Iselin,</w:t>
      </w:r>
      <w:r w:rsidR="00F265E6">
        <w:rPr>
          <w:rFonts w:cstheme="minorHAnsi"/>
          <w:bCs/>
          <w:sz w:val="24"/>
          <w:szCs w:val="24"/>
        </w:rPr>
        <w:t xml:space="preserve"> E.R.</w:t>
      </w:r>
      <w:r>
        <w:rPr>
          <w:rFonts w:cstheme="minorHAnsi"/>
          <w:bCs/>
          <w:sz w:val="24"/>
          <w:szCs w:val="24"/>
        </w:rPr>
        <w:t xml:space="preserve"> </w:t>
      </w:r>
      <w:r w:rsidR="00F265E6">
        <w:rPr>
          <w:rFonts w:cstheme="minorHAnsi"/>
          <w:bCs/>
          <w:sz w:val="24"/>
          <w:szCs w:val="24"/>
        </w:rPr>
        <w:t>(</w:t>
      </w:r>
      <w:r>
        <w:rPr>
          <w:rFonts w:cstheme="minorHAnsi"/>
          <w:bCs/>
          <w:sz w:val="24"/>
          <w:szCs w:val="24"/>
        </w:rPr>
        <w:t>1988</w:t>
      </w:r>
      <w:r w:rsidR="00F265E6">
        <w:rPr>
          <w:rFonts w:cstheme="minorHAnsi"/>
          <w:bCs/>
          <w:sz w:val="24"/>
          <w:szCs w:val="24"/>
        </w:rPr>
        <w:t xml:space="preserve">). The effects of information load and information diversity on decision quality in a structured decision task. </w:t>
      </w:r>
      <w:r w:rsidR="00F265E6">
        <w:rPr>
          <w:rFonts w:cstheme="minorHAnsi"/>
          <w:bCs/>
          <w:i/>
          <w:sz w:val="24"/>
          <w:szCs w:val="24"/>
        </w:rPr>
        <w:t>Accounting, Organizations and Society, 13</w:t>
      </w:r>
      <w:r w:rsidR="00F265E6">
        <w:rPr>
          <w:rFonts w:cstheme="minorHAnsi"/>
          <w:bCs/>
          <w:sz w:val="24"/>
          <w:szCs w:val="24"/>
        </w:rPr>
        <w:t>(2), 147-164.</w:t>
      </w:r>
    </w:p>
    <w:p w14:paraId="331C2531" w14:textId="2135546B" w:rsidR="00261CBF" w:rsidRPr="00F35E64" w:rsidRDefault="00712892" w:rsidP="00261CBF">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Janis, I. L. (1972). </w:t>
      </w:r>
      <w:r w:rsidRPr="00F35E64">
        <w:rPr>
          <w:rFonts w:cstheme="minorHAnsi"/>
          <w:bCs/>
          <w:i/>
          <w:iCs/>
          <w:sz w:val="24"/>
          <w:szCs w:val="24"/>
        </w:rPr>
        <w:t xml:space="preserve">Victims of Groupthink: A Psychological study of foreign-policy decisions and fiascoes. </w:t>
      </w:r>
      <w:r w:rsidRPr="00F35E64">
        <w:rPr>
          <w:rFonts w:cstheme="minorHAnsi"/>
          <w:bCs/>
          <w:sz w:val="24"/>
          <w:szCs w:val="24"/>
        </w:rPr>
        <w:t>Boston: Houghton Mifflin.</w:t>
      </w:r>
    </w:p>
    <w:p w14:paraId="614865F9" w14:textId="7C0B7B2E" w:rsidR="00585476" w:rsidRPr="00EE5F98" w:rsidRDefault="00585476" w:rsidP="00261CBF">
      <w:pPr>
        <w:autoSpaceDE w:val="0"/>
        <w:autoSpaceDN w:val="0"/>
        <w:adjustRightInd w:val="0"/>
        <w:spacing w:after="0" w:line="360" w:lineRule="auto"/>
        <w:ind w:left="567" w:hanging="567"/>
        <w:rPr>
          <w:rFonts w:cstheme="minorHAnsi"/>
          <w:i/>
          <w:sz w:val="24"/>
          <w:szCs w:val="24"/>
          <w:shd w:val="clear" w:color="auto" w:fill="FFFFFF"/>
        </w:rPr>
      </w:pPr>
      <w:r>
        <w:rPr>
          <w:rFonts w:cstheme="minorHAnsi"/>
          <w:sz w:val="24"/>
          <w:szCs w:val="24"/>
          <w:shd w:val="clear" w:color="auto" w:fill="FFFFFF"/>
        </w:rPr>
        <w:t>KISTEP (2005)</w:t>
      </w:r>
      <w:r w:rsidR="002413DE">
        <w:rPr>
          <w:rFonts w:cstheme="minorHAnsi"/>
          <w:sz w:val="24"/>
          <w:szCs w:val="24"/>
          <w:shd w:val="clear" w:color="auto" w:fill="FFFFFF"/>
        </w:rPr>
        <w:t xml:space="preserve">. </w:t>
      </w:r>
      <w:r w:rsidR="002413DE">
        <w:rPr>
          <w:rFonts w:cstheme="minorHAnsi"/>
          <w:i/>
          <w:sz w:val="24"/>
          <w:szCs w:val="24"/>
          <w:shd w:val="clear" w:color="auto" w:fill="FFFFFF"/>
        </w:rPr>
        <w:t xml:space="preserve">The Future Perspectives and Technology Foresight of Korea: Identifying challenges and opportunities for Korea’s economy and society (Korean language only). </w:t>
      </w:r>
    </w:p>
    <w:p w14:paraId="12E194E4" w14:textId="2E02C1DF" w:rsidR="002413DE" w:rsidRPr="001F3AE5" w:rsidRDefault="002413DE" w:rsidP="002413DE">
      <w:pPr>
        <w:spacing w:line="360" w:lineRule="auto"/>
        <w:ind w:left="720" w:hanging="720"/>
        <w:contextualSpacing/>
        <w:rPr>
          <w:rFonts w:cstheme="minorHAnsi"/>
          <w:i/>
          <w:sz w:val="24"/>
          <w:szCs w:val="24"/>
          <w:shd w:val="clear" w:color="auto" w:fill="FFFFFF"/>
        </w:rPr>
      </w:pPr>
      <w:r>
        <w:rPr>
          <w:rFonts w:cstheme="minorHAnsi"/>
          <w:sz w:val="24"/>
          <w:szCs w:val="24"/>
          <w:shd w:val="clear" w:color="auto" w:fill="FFFFFF"/>
        </w:rPr>
        <w:t xml:space="preserve">KISTEP (2017). </w:t>
      </w:r>
      <w:r>
        <w:rPr>
          <w:rFonts w:cstheme="minorHAnsi"/>
          <w:i/>
          <w:sz w:val="24"/>
          <w:szCs w:val="24"/>
          <w:shd w:val="clear" w:color="auto" w:fill="FFFFFF"/>
        </w:rPr>
        <w:t>The 5</w:t>
      </w:r>
      <w:r w:rsidRPr="001F3AE5">
        <w:rPr>
          <w:rFonts w:cstheme="minorHAnsi"/>
          <w:i/>
          <w:sz w:val="24"/>
          <w:szCs w:val="24"/>
          <w:shd w:val="clear" w:color="auto" w:fill="FFFFFF"/>
          <w:vertAlign w:val="superscript"/>
        </w:rPr>
        <w:t>th</w:t>
      </w:r>
      <w:r>
        <w:rPr>
          <w:rFonts w:cstheme="minorHAnsi"/>
          <w:i/>
          <w:sz w:val="24"/>
          <w:szCs w:val="24"/>
          <w:shd w:val="clear" w:color="auto" w:fill="FFFFFF"/>
        </w:rPr>
        <w:t xml:space="preserve"> science and technology foresight (2016-2040): Discovering future technologies to solve major issues of future society.</w:t>
      </w:r>
    </w:p>
    <w:p w14:paraId="19167FEA" w14:textId="1230480A" w:rsidR="00261CBF" w:rsidRPr="00F35E64" w:rsidRDefault="00393D77" w:rsidP="00261CBF">
      <w:pPr>
        <w:autoSpaceDE w:val="0"/>
        <w:autoSpaceDN w:val="0"/>
        <w:adjustRightInd w:val="0"/>
        <w:spacing w:after="0" w:line="360" w:lineRule="auto"/>
        <w:ind w:left="567" w:hanging="567"/>
        <w:rPr>
          <w:rFonts w:cstheme="minorHAnsi"/>
          <w:bCs/>
          <w:sz w:val="24"/>
          <w:szCs w:val="24"/>
        </w:rPr>
      </w:pPr>
      <w:r w:rsidRPr="00F35E64">
        <w:rPr>
          <w:rFonts w:cstheme="minorHAnsi"/>
          <w:sz w:val="24"/>
          <w:szCs w:val="24"/>
          <w:shd w:val="clear" w:color="auto" w:fill="FFFFFF"/>
        </w:rPr>
        <w:t xml:space="preserve">Landeta, J., Barrutia, J., &amp; Lertxundi, A. (2011). Hybrid Delphi: A methodology to facilitate contribution from experts in professional contexts. </w:t>
      </w:r>
      <w:r w:rsidRPr="00F35E64">
        <w:rPr>
          <w:rFonts w:cstheme="minorHAnsi"/>
          <w:i/>
          <w:sz w:val="24"/>
          <w:szCs w:val="24"/>
          <w:shd w:val="clear" w:color="auto" w:fill="FFFFFF"/>
        </w:rPr>
        <w:t xml:space="preserve">Technological Forecasting &amp; Social Change, 78, </w:t>
      </w:r>
      <w:r w:rsidRPr="00F35E64">
        <w:rPr>
          <w:rFonts w:cstheme="minorHAnsi"/>
          <w:sz w:val="24"/>
          <w:szCs w:val="24"/>
          <w:shd w:val="clear" w:color="auto" w:fill="FFFFFF"/>
        </w:rPr>
        <w:t>1629-1641.</w:t>
      </w:r>
    </w:p>
    <w:p w14:paraId="7C15B320" w14:textId="76D3C7BC" w:rsidR="00BE624B" w:rsidRDefault="007D3D2B" w:rsidP="007D3D2B">
      <w:pPr>
        <w:autoSpaceDE w:val="0"/>
        <w:autoSpaceDN w:val="0"/>
        <w:adjustRightInd w:val="0"/>
        <w:spacing w:after="0" w:line="360" w:lineRule="auto"/>
        <w:ind w:left="567" w:hanging="567"/>
        <w:rPr>
          <w:rFonts w:cstheme="minorHAnsi"/>
          <w:bCs/>
          <w:sz w:val="24"/>
          <w:szCs w:val="24"/>
        </w:rPr>
      </w:pPr>
      <w:r w:rsidRPr="007D3D2B">
        <w:rPr>
          <w:rFonts w:cstheme="minorHAnsi"/>
          <w:bCs/>
          <w:sz w:val="24"/>
          <w:szCs w:val="24"/>
        </w:rPr>
        <w:t xml:space="preserve">Li, N., Chen, K., </w:t>
      </w:r>
      <w:r>
        <w:rPr>
          <w:rFonts w:cstheme="minorHAnsi"/>
          <w:bCs/>
          <w:sz w:val="24"/>
          <w:szCs w:val="24"/>
        </w:rPr>
        <w:t xml:space="preserve">&amp; </w:t>
      </w:r>
      <w:r w:rsidRPr="007D3D2B">
        <w:rPr>
          <w:rFonts w:cstheme="minorHAnsi"/>
          <w:bCs/>
          <w:sz w:val="24"/>
          <w:szCs w:val="24"/>
        </w:rPr>
        <w:t xml:space="preserve">Kou, M., </w:t>
      </w:r>
      <w:r>
        <w:rPr>
          <w:rFonts w:cstheme="minorHAnsi"/>
          <w:bCs/>
          <w:sz w:val="24"/>
          <w:szCs w:val="24"/>
        </w:rPr>
        <w:t>(</w:t>
      </w:r>
      <w:r w:rsidRPr="007D3D2B">
        <w:rPr>
          <w:rFonts w:cstheme="minorHAnsi"/>
          <w:bCs/>
          <w:sz w:val="24"/>
          <w:szCs w:val="24"/>
        </w:rPr>
        <w:t>2017</w:t>
      </w:r>
      <w:r>
        <w:rPr>
          <w:rFonts w:cstheme="minorHAnsi"/>
          <w:bCs/>
          <w:sz w:val="24"/>
          <w:szCs w:val="24"/>
        </w:rPr>
        <w:t>)</w:t>
      </w:r>
      <w:r w:rsidRPr="007D3D2B">
        <w:rPr>
          <w:rFonts w:cstheme="minorHAnsi"/>
          <w:bCs/>
          <w:sz w:val="24"/>
          <w:szCs w:val="24"/>
        </w:rPr>
        <w:t>. Technology foresight in China: academic studies, governmental</w:t>
      </w:r>
      <w:r>
        <w:rPr>
          <w:rFonts w:cstheme="minorHAnsi"/>
          <w:bCs/>
          <w:sz w:val="24"/>
          <w:szCs w:val="24"/>
        </w:rPr>
        <w:t xml:space="preserve"> </w:t>
      </w:r>
      <w:r w:rsidRPr="007D3D2B">
        <w:rPr>
          <w:rFonts w:cstheme="minorHAnsi"/>
          <w:bCs/>
          <w:sz w:val="24"/>
          <w:szCs w:val="24"/>
        </w:rPr>
        <w:t xml:space="preserve">practices and policy applications. </w:t>
      </w:r>
      <w:r w:rsidRPr="00AF5466">
        <w:rPr>
          <w:rFonts w:cstheme="minorHAnsi"/>
          <w:bCs/>
          <w:i/>
          <w:sz w:val="24"/>
          <w:szCs w:val="24"/>
        </w:rPr>
        <w:t xml:space="preserve">Technological Forecasting &amp; Social Change, 119, </w:t>
      </w:r>
      <w:r w:rsidRPr="007D3D2B">
        <w:rPr>
          <w:rFonts w:cstheme="minorHAnsi"/>
          <w:bCs/>
          <w:sz w:val="24"/>
          <w:szCs w:val="24"/>
        </w:rPr>
        <w:t>246–255.</w:t>
      </w:r>
    </w:p>
    <w:p w14:paraId="3DE06A4B" w14:textId="77D33142" w:rsidR="00712892" w:rsidRPr="00F35E64" w:rsidRDefault="00712892" w:rsidP="00261CBF">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Linstone, H.A., &amp; Turoff, M. (1975). </w:t>
      </w:r>
      <w:r w:rsidRPr="00F35E64">
        <w:rPr>
          <w:rFonts w:cstheme="minorHAnsi"/>
          <w:bCs/>
          <w:i/>
          <w:iCs/>
          <w:sz w:val="24"/>
          <w:szCs w:val="24"/>
        </w:rPr>
        <w:t>The Delphi method: Techniques and applications</w:t>
      </w:r>
      <w:r w:rsidRPr="00F35E64">
        <w:rPr>
          <w:rFonts w:cstheme="minorHAnsi"/>
          <w:bCs/>
          <w:sz w:val="24"/>
          <w:szCs w:val="24"/>
        </w:rPr>
        <w:t xml:space="preserve">. Reading, Mass.: Addison-Wesley. </w:t>
      </w:r>
    </w:p>
    <w:p w14:paraId="342F59D6" w14:textId="45EAAAAB" w:rsidR="00EA4A16" w:rsidRDefault="00EA4A16" w:rsidP="00ED0391">
      <w:pPr>
        <w:autoSpaceDE w:val="0"/>
        <w:autoSpaceDN w:val="0"/>
        <w:adjustRightInd w:val="0"/>
        <w:spacing w:after="0" w:line="360" w:lineRule="auto"/>
        <w:ind w:left="567" w:hanging="567"/>
        <w:rPr>
          <w:rFonts w:cstheme="minorHAnsi"/>
          <w:bCs/>
          <w:sz w:val="24"/>
          <w:szCs w:val="24"/>
        </w:rPr>
      </w:pPr>
      <w:r>
        <w:rPr>
          <w:sz w:val="24"/>
          <w:szCs w:val="24"/>
        </w:rPr>
        <w:t xml:space="preserve">Maldonado, M., Dunbar, E., &amp; Chemla, E. (2019). Mouse tracking as a window into decision making. </w:t>
      </w:r>
      <w:r>
        <w:rPr>
          <w:i/>
          <w:sz w:val="24"/>
          <w:szCs w:val="24"/>
        </w:rPr>
        <w:t xml:space="preserve">Behavior Research Methods, 51, </w:t>
      </w:r>
      <w:r>
        <w:rPr>
          <w:sz w:val="24"/>
          <w:szCs w:val="24"/>
        </w:rPr>
        <w:t xml:space="preserve">1085-1101. </w:t>
      </w:r>
    </w:p>
    <w:p w14:paraId="015A343F" w14:textId="0F4A65C8" w:rsidR="00712892" w:rsidRPr="00F35E64" w:rsidRDefault="00712892" w:rsidP="00ED0391">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Meijering, J.V., &amp; Tobi, H. (2016). The effect of controlled opinion feedback on Delphi features: Mixed messages from a real-world Delphi experiment. </w:t>
      </w:r>
      <w:r w:rsidRPr="00F35E64">
        <w:rPr>
          <w:rFonts w:cstheme="minorHAnsi"/>
          <w:bCs/>
          <w:i/>
          <w:iCs/>
          <w:sz w:val="24"/>
          <w:szCs w:val="24"/>
        </w:rPr>
        <w:t>Technological Forecasting and Social Change, 103</w:t>
      </w:r>
      <w:r w:rsidRPr="00F35E64">
        <w:rPr>
          <w:rFonts w:cstheme="minorHAnsi"/>
          <w:bCs/>
          <w:sz w:val="24"/>
          <w:szCs w:val="24"/>
        </w:rPr>
        <w:t>, 166-173.</w:t>
      </w:r>
    </w:p>
    <w:p w14:paraId="2232F285" w14:textId="77777777" w:rsidR="00C56EA2" w:rsidRPr="00F35E64" w:rsidRDefault="00C56EA2" w:rsidP="00C56EA2">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Miller, G. A. (1956). The magical number seven, plus or minus two: Some limits on our capacity for processing information.</w:t>
      </w:r>
      <w:r w:rsidRPr="00F35E64">
        <w:rPr>
          <w:rFonts w:cstheme="minorHAnsi"/>
          <w:bCs/>
          <w:i/>
          <w:iCs/>
          <w:sz w:val="24"/>
          <w:szCs w:val="24"/>
        </w:rPr>
        <w:t xml:space="preserve"> Psychological Review, 63</w:t>
      </w:r>
      <w:r w:rsidRPr="00F35E64">
        <w:rPr>
          <w:rFonts w:cstheme="minorHAnsi"/>
          <w:bCs/>
          <w:sz w:val="24"/>
          <w:szCs w:val="24"/>
        </w:rPr>
        <w:t>, 81–97.</w:t>
      </w:r>
    </w:p>
    <w:p w14:paraId="700D2E25" w14:textId="73A134B6" w:rsidR="00A0179A" w:rsidRPr="00F35E64" w:rsidRDefault="00A0179A" w:rsidP="00074D56">
      <w:pPr>
        <w:spacing w:line="360" w:lineRule="auto"/>
        <w:ind w:left="720" w:hanging="720"/>
        <w:contextualSpacing/>
        <w:rPr>
          <w:rFonts w:cstheme="minorHAnsi"/>
          <w:sz w:val="24"/>
          <w:szCs w:val="24"/>
          <w:shd w:val="clear" w:color="auto" w:fill="FFFFFF"/>
        </w:rPr>
      </w:pPr>
      <w:r w:rsidRPr="00F35E64">
        <w:rPr>
          <w:rFonts w:cstheme="minorHAnsi"/>
          <w:sz w:val="24"/>
          <w:szCs w:val="24"/>
          <w:shd w:val="clear" w:color="auto" w:fill="FFFFFF"/>
        </w:rPr>
        <w:t>NISTEP</w:t>
      </w:r>
      <w:r w:rsidR="00074D56">
        <w:rPr>
          <w:rFonts w:cstheme="minorHAnsi"/>
          <w:sz w:val="24"/>
          <w:szCs w:val="24"/>
          <w:shd w:val="clear" w:color="auto" w:fill="FFFFFF"/>
        </w:rPr>
        <w:t xml:space="preserve"> Foresight Center</w:t>
      </w:r>
      <w:r w:rsidRPr="00F35E64">
        <w:rPr>
          <w:rFonts w:cstheme="minorHAnsi"/>
          <w:sz w:val="24"/>
          <w:szCs w:val="24"/>
          <w:shd w:val="clear" w:color="auto" w:fill="FFFFFF"/>
        </w:rPr>
        <w:t xml:space="preserve"> (2009). </w:t>
      </w:r>
      <w:r w:rsidRPr="00F35E64">
        <w:rPr>
          <w:rFonts w:cstheme="minorHAnsi"/>
          <w:i/>
          <w:sz w:val="24"/>
          <w:szCs w:val="24"/>
          <w:shd w:val="clear" w:color="auto" w:fill="FFFFFF"/>
        </w:rPr>
        <w:t>The 9th science and technology foresight – contribution of science and technology to future society – the 9th Delphi survey.</w:t>
      </w:r>
      <w:r w:rsidRPr="00F35E64">
        <w:rPr>
          <w:rFonts w:cstheme="minorHAnsi"/>
          <w:sz w:val="24"/>
          <w:szCs w:val="24"/>
          <w:shd w:val="clear" w:color="auto" w:fill="FFFFFF"/>
        </w:rPr>
        <w:t xml:space="preserve"> </w:t>
      </w:r>
      <w:r w:rsidRPr="00F35E64">
        <w:rPr>
          <w:rFonts w:cstheme="minorHAnsi"/>
          <w:i/>
          <w:sz w:val="24"/>
          <w:szCs w:val="24"/>
          <w:shd w:val="clear" w:color="auto" w:fill="FFFFFF"/>
        </w:rPr>
        <w:t>NISTEP report no. 140</w:t>
      </w:r>
      <w:r w:rsidRPr="00F35E64">
        <w:rPr>
          <w:rFonts w:cstheme="minorHAnsi"/>
          <w:sz w:val="24"/>
          <w:szCs w:val="24"/>
          <w:shd w:val="clear" w:color="auto" w:fill="FFFFFF"/>
        </w:rPr>
        <w:t xml:space="preserve">. Retrieved from </w:t>
      </w:r>
      <w:hyperlink r:id="rId14" w:tgtFrame="_blank" w:history="1">
        <w:r w:rsidR="00074D56" w:rsidRPr="00074D56">
          <w:rPr>
            <w:rStyle w:val="Hyperlink"/>
            <w:rFonts w:cstheme="minorHAnsi" w:hint="eastAsia"/>
            <w:sz w:val="24"/>
            <w:szCs w:val="24"/>
            <w:shd w:val="clear" w:color="auto" w:fill="FFFFFF"/>
          </w:rPr>
          <w:t>http://hdl.handle.net/11035/696</w:t>
        </w:r>
      </w:hyperlink>
      <w:r w:rsidR="00074D56">
        <w:rPr>
          <w:rFonts w:cstheme="minorHAnsi"/>
          <w:sz w:val="24"/>
          <w:szCs w:val="24"/>
          <w:shd w:val="clear" w:color="auto" w:fill="FFFFFF"/>
        </w:rPr>
        <w:t xml:space="preserve"> </w:t>
      </w:r>
    </w:p>
    <w:p w14:paraId="736E9770" w14:textId="3FD1141E" w:rsidR="00AC05D8" w:rsidRPr="00074D56" w:rsidRDefault="00AC05D8" w:rsidP="00261CBF">
      <w:pPr>
        <w:autoSpaceDE w:val="0"/>
        <w:autoSpaceDN w:val="0"/>
        <w:adjustRightInd w:val="0"/>
        <w:spacing w:after="0" w:line="360" w:lineRule="auto"/>
        <w:ind w:left="567" w:hanging="567"/>
        <w:rPr>
          <w:rFonts w:cstheme="minorHAnsi"/>
          <w:bCs/>
          <w:sz w:val="24"/>
          <w:szCs w:val="24"/>
          <w:highlight w:val="yellow"/>
        </w:rPr>
      </w:pPr>
      <w:r w:rsidRPr="00074D56">
        <w:rPr>
          <w:rFonts w:cstheme="minorHAnsi"/>
          <w:bCs/>
          <w:sz w:val="24"/>
          <w:szCs w:val="24"/>
        </w:rPr>
        <w:t>NISTEP</w:t>
      </w:r>
      <w:r w:rsidR="00074D56" w:rsidRPr="00074D56">
        <w:rPr>
          <w:rFonts w:cstheme="minorHAnsi"/>
          <w:bCs/>
          <w:sz w:val="24"/>
          <w:szCs w:val="24"/>
        </w:rPr>
        <w:t xml:space="preserve"> Foresight Center</w:t>
      </w:r>
      <w:r w:rsidRPr="00074D56">
        <w:rPr>
          <w:rFonts w:cstheme="minorHAnsi"/>
          <w:bCs/>
          <w:sz w:val="24"/>
          <w:szCs w:val="24"/>
        </w:rPr>
        <w:t xml:space="preserve"> (2015)</w:t>
      </w:r>
      <w:r w:rsidR="007B47EE" w:rsidRPr="00074D56">
        <w:rPr>
          <w:rFonts w:cstheme="minorHAnsi"/>
          <w:bCs/>
          <w:sz w:val="24"/>
          <w:szCs w:val="24"/>
        </w:rPr>
        <w:t xml:space="preserve">. </w:t>
      </w:r>
      <w:r w:rsidR="007B47EE" w:rsidRPr="00074D56">
        <w:rPr>
          <w:rFonts w:cstheme="minorHAnsi"/>
          <w:bCs/>
          <w:i/>
          <w:sz w:val="24"/>
          <w:szCs w:val="24"/>
        </w:rPr>
        <w:t>The</w:t>
      </w:r>
      <w:r w:rsidR="00074D56" w:rsidRPr="00074D56">
        <w:rPr>
          <w:rFonts w:cstheme="minorHAnsi"/>
          <w:bCs/>
          <w:i/>
          <w:sz w:val="24"/>
          <w:szCs w:val="24"/>
        </w:rPr>
        <w:t xml:space="preserve"> 10</w:t>
      </w:r>
      <w:r w:rsidR="00074D56" w:rsidRPr="00074D56">
        <w:rPr>
          <w:rFonts w:cstheme="minorHAnsi"/>
          <w:bCs/>
          <w:i/>
          <w:sz w:val="24"/>
          <w:szCs w:val="24"/>
          <w:vertAlign w:val="superscript"/>
        </w:rPr>
        <w:t>th</w:t>
      </w:r>
      <w:r w:rsidR="00074D56" w:rsidRPr="00074D56">
        <w:rPr>
          <w:rFonts w:cstheme="minorHAnsi"/>
          <w:bCs/>
          <w:i/>
          <w:sz w:val="24"/>
          <w:szCs w:val="24"/>
        </w:rPr>
        <w:t xml:space="preserve"> Science and Technology Foresight – Scenario planning from the viewpoint of globalization (Summary Report). NISTEP report no. 164.</w:t>
      </w:r>
      <w:r w:rsidR="00074D56" w:rsidRPr="00074D56">
        <w:rPr>
          <w:rFonts w:cstheme="minorHAnsi"/>
          <w:bCs/>
          <w:sz w:val="24"/>
          <w:szCs w:val="24"/>
        </w:rPr>
        <w:t xml:space="preserve"> Retrieved from </w:t>
      </w:r>
      <w:hyperlink r:id="rId15" w:tgtFrame="_blank" w:history="1">
        <w:r w:rsidR="00074D56" w:rsidRPr="00074D56">
          <w:rPr>
            <w:rStyle w:val="Hyperlink"/>
            <w:rFonts w:cstheme="minorHAnsi" w:hint="eastAsia"/>
            <w:bCs/>
            <w:sz w:val="24"/>
            <w:szCs w:val="24"/>
          </w:rPr>
          <w:t>http://hdl.handle.net/11035/3079</w:t>
        </w:r>
      </w:hyperlink>
    </w:p>
    <w:p w14:paraId="24E397F2" w14:textId="43435B6C" w:rsidR="00AC05D8" w:rsidRPr="00074D56" w:rsidRDefault="00074D56" w:rsidP="00261CBF">
      <w:pPr>
        <w:autoSpaceDE w:val="0"/>
        <w:autoSpaceDN w:val="0"/>
        <w:adjustRightInd w:val="0"/>
        <w:spacing w:after="0" w:line="360" w:lineRule="auto"/>
        <w:ind w:left="567" w:hanging="567"/>
        <w:rPr>
          <w:rFonts w:cstheme="minorHAnsi"/>
          <w:bCs/>
          <w:i/>
          <w:sz w:val="24"/>
          <w:szCs w:val="24"/>
          <w:highlight w:val="yellow"/>
        </w:rPr>
      </w:pPr>
      <w:r w:rsidRPr="00074D56">
        <w:rPr>
          <w:rFonts w:cstheme="minorHAnsi"/>
          <w:bCs/>
          <w:i/>
          <w:sz w:val="24"/>
          <w:szCs w:val="24"/>
        </w:rPr>
        <w:lastRenderedPageBreak/>
        <w:t xml:space="preserve">NISTEP Foresight </w:t>
      </w:r>
      <w:proofErr w:type="spellStart"/>
      <w:r w:rsidRPr="00074D56">
        <w:rPr>
          <w:rFonts w:cstheme="minorHAnsi"/>
          <w:bCs/>
          <w:i/>
          <w:sz w:val="24"/>
          <w:szCs w:val="24"/>
        </w:rPr>
        <w:t>Center</w:t>
      </w:r>
      <w:proofErr w:type="spellEnd"/>
      <w:r w:rsidRPr="00074D56">
        <w:rPr>
          <w:rFonts w:cstheme="minorHAnsi"/>
          <w:bCs/>
          <w:i/>
          <w:sz w:val="24"/>
          <w:szCs w:val="24"/>
        </w:rPr>
        <w:t xml:space="preserve">: Dai 11kai </w:t>
      </w:r>
      <w:proofErr w:type="spellStart"/>
      <w:r w:rsidRPr="00074D56">
        <w:rPr>
          <w:rFonts w:cstheme="minorHAnsi"/>
          <w:bCs/>
          <w:i/>
          <w:sz w:val="24"/>
          <w:szCs w:val="24"/>
        </w:rPr>
        <w:t>GijutsuyosokuChoosa</w:t>
      </w:r>
      <w:proofErr w:type="spellEnd"/>
      <w:r w:rsidRPr="00074D56">
        <w:rPr>
          <w:rFonts w:cstheme="minorHAnsi"/>
          <w:bCs/>
          <w:i/>
          <w:sz w:val="24"/>
          <w:szCs w:val="24"/>
        </w:rPr>
        <w:t xml:space="preserve">, S&amp;T Foresight 2019 </w:t>
      </w:r>
      <w:proofErr w:type="spellStart"/>
      <w:r w:rsidRPr="00074D56">
        <w:rPr>
          <w:rFonts w:cstheme="minorHAnsi"/>
          <w:bCs/>
          <w:i/>
          <w:sz w:val="24"/>
          <w:szCs w:val="24"/>
        </w:rPr>
        <w:t>Soogoo</w:t>
      </w:r>
      <w:proofErr w:type="spellEnd"/>
      <w:r w:rsidRPr="00074D56">
        <w:rPr>
          <w:rFonts w:cstheme="minorHAnsi"/>
          <w:bCs/>
          <w:i/>
          <w:sz w:val="24"/>
          <w:szCs w:val="24"/>
        </w:rPr>
        <w:t xml:space="preserve"> </w:t>
      </w:r>
      <w:proofErr w:type="spellStart"/>
      <w:r w:rsidRPr="00074D56">
        <w:rPr>
          <w:rFonts w:cstheme="minorHAnsi"/>
          <w:bCs/>
          <w:i/>
          <w:sz w:val="24"/>
          <w:szCs w:val="24"/>
        </w:rPr>
        <w:t>Hosokusho</w:t>
      </w:r>
      <w:proofErr w:type="spellEnd"/>
      <w:r w:rsidRPr="00074D56">
        <w:rPr>
          <w:rFonts w:cstheme="minorHAnsi"/>
          <w:bCs/>
          <w:i/>
          <w:sz w:val="24"/>
          <w:szCs w:val="24"/>
        </w:rPr>
        <w:t xml:space="preserve"> (Report of the 11 Foresight in Japanese), NISTEP Report No. 183</w:t>
      </w:r>
      <w:r>
        <w:rPr>
          <w:rFonts w:cstheme="minorHAnsi"/>
          <w:bCs/>
          <w:i/>
          <w:sz w:val="24"/>
          <w:szCs w:val="24"/>
        </w:rPr>
        <w:t xml:space="preserve">. </w:t>
      </w:r>
      <w:r w:rsidRPr="00074D56">
        <w:rPr>
          <w:rFonts w:cstheme="minorHAnsi"/>
          <w:bCs/>
          <w:i/>
          <w:sz w:val="24"/>
          <w:szCs w:val="24"/>
        </w:rPr>
        <w:t xml:space="preserve"> </w:t>
      </w:r>
      <w:r>
        <w:rPr>
          <w:rFonts w:cstheme="minorHAnsi"/>
          <w:bCs/>
          <w:sz w:val="24"/>
          <w:szCs w:val="24"/>
        </w:rPr>
        <w:t xml:space="preserve">Retrieved from </w:t>
      </w:r>
      <w:r w:rsidRPr="00074D56">
        <w:rPr>
          <w:rFonts w:cstheme="minorHAnsi"/>
          <w:bCs/>
          <w:sz w:val="24"/>
          <w:szCs w:val="24"/>
        </w:rPr>
        <w:t>https://doi.org/10.15108/nr183.</w:t>
      </w:r>
    </w:p>
    <w:p w14:paraId="352AEB5B" w14:textId="2078640D" w:rsidR="00513057" w:rsidRPr="001369AA" w:rsidRDefault="00513057" w:rsidP="00261CBF">
      <w:pPr>
        <w:autoSpaceDE w:val="0"/>
        <w:autoSpaceDN w:val="0"/>
        <w:adjustRightInd w:val="0"/>
        <w:spacing w:after="0" w:line="360" w:lineRule="auto"/>
        <w:ind w:left="567" w:hanging="567"/>
        <w:rPr>
          <w:rFonts w:cstheme="minorHAnsi"/>
          <w:bCs/>
          <w:sz w:val="24"/>
          <w:szCs w:val="24"/>
        </w:rPr>
      </w:pPr>
      <w:r w:rsidRPr="001369AA">
        <w:rPr>
          <w:rFonts w:cstheme="minorHAnsi"/>
          <w:bCs/>
          <w:sz w:val="24"/>
          <w:szCs w:val="24"/>
        </w:rPr>
        <w:t>Norman</w:t>
      </w:r>
      <w:r w:rsidR="001369AA" w:rsidRPr="001369AA">
        <w:rPr>
          <w:rFonts w:cstheme="minorHAnsi"/>
          <w:bCs/>
          <w:sz w:val="24"/>
          <w:szCs w:val="24"/>
        </w:rPr>
        <w:t>, G.</w:t>
      </w:r>
      <w:r w:rsidRPr="001369AA">
        <w:rPr>
          <w:rFonts w:cstheme="minorHAnsi"/>
          <w:bCs/>
          <w:sz w:val="24"/>
          <w:szCs w:val="24"/>
        </w:rPr>
        <w:t xml:space="preserve"> (2010)</w:t>
      </w:r>
      <w:r w:rsidR="001369AA" w:rsidRPr="001369AA">
        <w:rPr>
          <w:rFonts w:cstheme="minorHAnsi"/>
          <w:bCs/>
          <w:sz w:val="24"/>
          <w:szCs w:val="24"/>
        </w:rPr>
        <w:t xml:space="preserve">. Likert scales, levels of measurement and the “laws” of statistics. </w:t>
      </w:r>
      <w:r w:rsidR="001369AA" w:rsidRPr="001369AA">
        <w:rPr>
          <w:rFonts w:cstheme="minorHAnsi"/>
          <w:bCs/>
          <w:i/>
          <w:sz w:val="24"/>
          <w:szCs w:val="24"/>
        </w:rPr>
        <w:t xml:space="preserve">Advances in Health Sciences Education, 15, </w:t>
      </w:r>
      <w:r w:rsidR="001369AA" w:rsidRPr="001369AA">
        <w:rPr>
          <w:rFonts w:cstheme="minorHAnsi"/>
          <w:bCs/>
          <w:sz w:val="24"/>
          <w:szCs w:val="24"/>
        </w:rPr>
        <w:t>625-632.</w:t>
      </w:r>
    </w:p>
    <w:p w14:paraId="5CA10D63" w14:textId="658B899B" w:rsidR="00261CBF" w:rsidRPr="00F35E64" w:rsidRDefault="00A0179A" w:rsidP="00261CBF">
      <w:pPr>
        <w:autoSpaceDE w:val="0"/>
        <w:autoSpaceDN w:val="0"/>
        <w:adjustRightInd w:val="0"/>
        <w:spacing w:after="0" w:line="360" w:lineRule="auto"/>
        <w:ind w:left="567" w:hanging="567"/>
        <w:rPr>
          <w:rFonts w:cstheme="minorHAnsi"/>
          <w:bCs/>
          <w:sz w:val="24"/>
          <w:szCs w:val="24"/>
        </w:rPr>
      </w:pPr>
      <w:proofErr w:type="spellStart"/>
      <w:r w:rsidRPr="00F35E64">
        <w:rPr>
          <w:rFonts w:cstheme="minorHAnsi"/>
          <w:bCs/>
          <w:sz w:val="24"/>
          <w:szCs w:val="24"/>
        </w:rPr>
        <w:t>Paas</w:t>
      </w:r>
      <w:proofErr w:type="spellEnd"/>
      <w:r w:rsidRPr="00F35E64">
        <w:rPr>
          <w:rFonts w:cstheme="minorHAnsi"/>
          <w:bCs/>
          <w:sz w:val="24"/>
          <w:szCs w:val="24"/>
        </w:rPr>
        <w:t xml:space="preserve">, F., Tuovinen, J.E., Tabbers, H., &amp; Van Gerven, W.M. (2003). Cognitive load measurement as a means to advance cognitive load theory. </w:t>
      </w:r>
      <w:r w:rsidRPr="00F35E64">
        <w:rPr>
          <w:rFonts w:cstheme="minorHAnsi"/>
          <w:bCs/>
          <w:i/>
          <w:iCs/>
          <w:sz w:val="24"/>
          <w:szCs w:val="24"/>
        </w:rPr>
        <w:t>Educational Psychologist, 38</w:t>
      </w:r>
      <w:r w:rsidRPr="00F35E64">
        <w:rPr>
          <w:rFonts w:cstheme="minorHAnsi"/>
          <w:bCs/>
          <w:sz w:val="24"/>
          <w:szCs w:val="24"/>
        </w:rPr>
        <w:t>(1), 63-71.</w:t>
      </w:r>
    </w:p>
    <w:p w14:paraId="5D5B60FD" w14:textId="77777777" w:rsidR="00261CBF" w:rsidRPr="00F35E64" w:rsidRDefault="00DD58C7" w:rsidP="00261CBF">
      <w:pPr>
        <w:autoSpaceDE w:val="0"/>
        <w:autoSpaceDN w:val="0"/>
        <w:adjustRightInd w:val="0"/>
        <w:spacing w:after="0" w:line="360" w:lineRule="auto"/>
        <w:ind w:left="567" w:hanging="567"/>
        <w:rPr>
          <w:rFonts w:cstheme="minorHAnsi"/>
          <w:bCs/>
          <w:sz w:val="24"/>
          <w:szCs w:val="24"/>
        </w:rPr>
      </w:pPr>
      <w:r w:rsidRPr="00F35E64">
        <w:rPr>
          <w:rFonts w:cstheme="minorHAnsi"/>
          <w:sz w:val="24"/>
          <w:szCs w:val="24"/>
        </w:rPr>
        <w:t xml:space="preserve">Park, J. &amp; Jang, S. (2013). Confused by too many choices? Choice overload in tourism. </w:t>
      </w:r>
      <w:r w:rsidRPr="00F35E64">
        <w:rPr>
          <w:rFonts w:cstheme="minorHAnsi"/>
          <w:i/>
          <w:iCs/>
          <w:sz w:val="24"/>
          <w:szCs w:val="24"/>
        </w:rPr>
        <w:t xml:space="preserve">Tourism Management, 35, </w:t>
      </w:r>
      <w:r w:rsidRPr="00F35E64">
        <w:rPr>
          <w:rFonts w:cstheme="minorHAnsi"/>
          <w:sz w:val="24"/>
          <w:szCs w:val="24"/>
        </w:rPr>
        <w:t>1-12.</w:t>
      </w:r>
    </w:p>
    <w:p w14:paraId="24CF3A71" w14:textId="50681B62" w:rsidR="00BE624B" w:rsidRDefault="00B90BA3" w:rsidP="00B90BA3">
      <w:pPr>
        <w:autoSpaceDE w:val="0"/>
        <w:autoSpaceDN w:val="0"/>
        <w:adjustRightInd w:val="0"/>
        <w:spacing w:after="0" w:line="360" w:lineRule="auto"/>
        <w:ind w:left="567" w:hanging="567"/>
        <w:rPr>
          <w:rFonts w:cstheme="minorHAnsi"/>
          <w:sz w:val="24"/>
          <w:szCs w:val="24"/>
        </w:rPr>
      </w:pPr>
      <w:r w:rsidRPr="00B90BA3">
        <w:rPr>
          <w:rFonts w:cstheme="minorHAnsi"/>
          <w:sz w:val="24"/>
          <w:szCs w:val="24"/>
        </w:rPr>
        <w:t>Rowe, G.,</w:t>
      </w:r>
      <w:r>
        <w:rPr>
          <w:rFonts w:cstheme="minorHAnsi"/>
          <w:sz w:val="24"/>
          <w:szCs w:val="24"/>
        </w:rPr>
        <w:t xml:space="preserve"> &amp;</w:t>
      </w:r>
      <w:r w:rsidRPr="00B90BA3">
        <w:rPr>
          <w:rFonts w:cstheme="minorHAnsi"/>
          <w:sz w:val="24"/>
          <w:szCs w:val="24"/>
        </w:rPr>
        <w:t xml:space="preserve"> Wright, G., </w:t>
      </w:r>
      <w:r>
        <w:rPr>
          <w:rFonts w:cstheme="minorHAnsi"/>
          <w:sz w:val="24"/>
          <w:szCs w:val="24"/>
        </w:rPr>
        <w:t>(</w:t>
      </w:r>
      <w:r w:rsidRPr="00B90BA3">
        <w:rPr>
          <w:rFonts w:cstheme="minorHAnsi"/>
          <w:sz w:val="24"/>
          <w:szCs w:val="24"/>
        </w:rPr>
        <w:t>2001</w:t>
      </w:r>
      <w:r>
        <w:rPr>
          <w:rFonts w:cstheme="minorHAnsi"/>
          <w:sz w:val="24"/>
          <w:szCs w:val="24"/>
        </w:rPr>
        <w:t>)</w:t>
      </w:r>
      <w:r w:rsidRPr="00B90BA3">
        <w:rPr>
          <w:rFonts w:cstheme="minorHAnsi"/>
          <w:sz w:val="24"/>
          <w:szCs w:val="24"/>
        </w:rPr>
        <w:t>. Expert opinions in forecasting: The role of the Delphi technique.</w:t>
      </w:r>
      <w:r>
        <w:rPr>
          <w:rFonts w:cstheme="minorHAnsi"/>
          <w:sz w:val="24"/>
          <w:szCs w:val="24"/>
        </w:rPr>
        <w:t xml:space="preserve"> In: </w:t>
      </w:r>
      <w:r w:rsidRPr="00B90BA3">
        <w:rPr>
          <w:rFonts w:cstheme="minorHAnsi"/>
          <w:sz w:val="24"/>
          <w:szCs w:val="24"/>
        </w:rPr>
        <w:t xml:space="preserve">Armstrong, J.S. (Ed.), </w:t>
      </w:r>
      <w:r w:rsidRPr="00AF5466">
        <w:rPr>
          <w:rFonts w:cstheme="minorHAnsi"/>
          <w:i/>
          <w:sz w:val="24"/>
          <w:szCs w:val="24"/>
        </w:rPr>
        <w:t>Principles of Forecasting</w:t>
      </w:r>
      <w:r w:rsidRPr="00B90BA3">
        <w:rPr>
          <w:rFonts w:cstheme="minorHAnsi"/>
          <w:sz w:val="24"/>
          <w:szCs w:val="24"/>
        </w:rPr>
        <w:t>. Springer, US, pp. 125–144.</w:t>
      </w:r>
    </w:p>
    <w:p w14:paraId="0DEFFD77" w14:textId="0DD7A485" w:rsidR="00672A4E" w:rsidRPr="001829D3" w:rsidRDefault="00672A4E" w:rsidP="001829D3">
      <w:pPr>
        <w:autoSpaceDE w:val="0"/>
        <w:autoSpaceDN w:val="0"/>
        <w:adjustRightInd w:val="0"/>
        <w:spacing w:after="0" w:line="360" w:lineRule="auto"/>
        <w:ind w:left="567" w:hanging="567"/>
        <w:rPr>
          <w:rFonts w:cstheme="minorHAnsi"/>
          <w:bCs/>
          <w:sz w:val="24"/>
          <w:szCs w:val="24"/>
        </w:rPr>
      </w:pPr>
      <w:r w:rsidRPr="00F35E64">
        <w:rPr>
          <w:rFonts w:cstheme="minorHAnsi"/>
          <w:sz w:val="24"/>
          <w:szCs w:val="24"/>
        </w:rPr>
        <w:t xml:space="preserve">Rowe, G., &amp; Wright, G. (2011). The Delphi technique: Past, present, and future prospects – Introduction to the special issue. </w:t>
      </w:r>
      <w:r w:rsidRPr="00F35E64">
        <w:rPr>
          <w:rFonts w:cstheme="minorHAnsi"/>
          <w:i/>
          <w:sz w:val="24"/>
          <w:szCs w:val="24"/>
        </w:rPr>
        <w:t>Technological Forecasting and Social Change</w:t>
      </w:r>
      <w:r w:rsidRPr="00F35E64">
        <w:rPr>
          <w:rFonts w:cstheme="minorHAnsi"/>
          <w:sz w:val="24"/>
          <w:szCs w:val="24"/>
        </w:rPr>
        <w:t xml:space="preserve">, </w:t>
      </w:r>
      <w:r w:rsidRPr="00F35E64">
        <w:rPr>
          <w:rFonts w:cstheme="minorHAnsi"/>
          <w:i/>
          <w:sz w:val="24"/>
          <w:szCs w:val="24"/>
        </w:rPr>
        <w:t>78</w:t>
      </w:r>
      <w:r w:rsidRPr="00F35E64">
        <w:rPr>
          <w:rFonts w:cstheme="minorHAnsi"/>
          <w:sz w:val="24"/>
          <w:szCs w:val="24"/>
        </w:rPr>
        <w:t>, 1487-1490.</w:t>
      </w:r>
    </w:p>
    <w:p w14:paraId="769A8CD2" w14:textId="1D896C16" w:rsidR="00EA4A16" w:rsidRDefault="00EA4A16" w:rsidP="00261CBF">
      <w:pPr>
        <w:autoSpaceDE w:val="0"/>
        <w:autoSpaceDN w:val="0"/>
        <w:adjustRightInd w:val="0"/>
        <w:spacing w:after="0" w:line="360" w:lineRule="auto"/>
        <w:ind w:left="567" w:hanging="567"/>
        <w:rPr>
          <w:sz w:val="24"/>
          <w:szCs w:val="24"/>
        </w:rPr>
      </w:pPr>
      <w:r>
        <w:rPr>
          <w:sz w:val="24"/>
          <w:szCs w:val="24"/>
        </w:rPr>
        <w:t xml:space="preserve">Schulte-Mecklenbeck, M., Johnson, J. G., </w:t>
      </w:r>
      <w:proofErr w:type="spellStart"/>
      <w:r>
        <w:rPr>
          <w:sz w:val="24"/>
          <w:szCs w:val="24"/>
        </w:rPr>
        <w:t>Böckenholt</w:t>
      </w:r>
      <w:proofErr w:type="spellEnd"/>
      <w:r>
        <w:rPr>
          <w:sz w:val="24"/>
          <w:szCs w:val="24"/>
        </w:rPr>
        <w:t xml:space="preserve">, U., Goldstein, D. G., Russo, J. E., Sullivan, N. J., &amp; Willemsen, M. C. (2017). Process-tracing methods in decision making: On growing up in the 70s. </w:t>
      </w:r>
      <w:r>
        <w:rPr>
          <w:i/>
          <w:sz w:val="24"/>
          <w:szCs w:val="24"/>
        </w:rPr>
        <w:t>Current Directions in Psychological Science, 26</w:t>
      </w:r>
      <w:r>
        <w:rPr>
          <w:sz w:val="24"/>
          <w:szCs w:val="24"/>
        </w:rPr>
        <w:t xml:space="preserve">(5), 442-450. </w:t>
      </w:r>
    </w:p>
    <w:p w14:paraId="64D602ED" w14:textId="1A20C7B8" w:rsidR="00D54442" w:rsidRDefault="00D54442" w:rsidP="00261CBF">
      <w:pPr>
        <w:autoSpaceDE w:val="0"/>
        <w:autoSpaceDN w:val="0"/>
        <w:adjustRightInd w:val="0"/>
        <w:spacing w:after="0" w:line="360" w:lineRule="auto"/>
        <w:ind w:left="567" w:hanging="567"/>
        <w:rPr>
          <w:sz w:val="24"/>
          <w:szCs w:val="24"/>
        </w:rPr>
      </w:pPr>
      <w:r w:rsidRPr="00F265E6">
        <w:rPr>
          <w:sz w:val="24"/>
          <w:szCs w:val="24"/>
        </w:rPr>
        <w:t xml:space="preserve">Sthapit, </w:t>
      </w:r>
      <w:r w:rsidR="00F265E6">
        <w:rPr>
          <w:sz w:val="24"/>
          <w:szCs w:val="24"/>
        </w:rPr>
        <w:t xml:space="preserve">E., </w:t>
      </w:r>
      <w:r w:rsidRPr="00F265E6">
        <w:rPr>
          <w:sz w:val="24"/>
          <w:szCs w:val="24"/>
        </w:rPr>
        <w:t>Del Chiappa</w:t>
      </w:r>
      <w:r w:rsidR="00F265E6">
        <w:rPr>
          <w:sz w:val="24"/>
          <w:szCs w:val="24"/>
        </w:rPr>
        <w:t>, G.</w:t>
      </w:r>
      <w:r w:rsidRPr="00F265E6">
        <w:rPr>
          <w:sz w:val="24"/>
          <w:szCs w:val="24"/>
        </w:rPr>
        <w:t>, Coudounaris</w:t>
      </w:r>
      <w:r w:rsidR="00F265E6">
        <w:rPr>
          <w:sz w:val="24"/>
          <w:szCs w:val="24"/>
        </w:rPr>
        <w:t>, D. N.,</w:t>
      </w:r>
      <w:r w:rsidRPr="00F265E6">
        <w:rPr>
          <w:sz w:val="24"/>
          <w:szCs w:val="24"/>
        </w:rPr>
        <w:t xml:space="preserve"> &amp; Bjork, </w:t>
      </w:r>
      <w:r w:rsidR="00F265E6">
        <w:rPr>
          <w:sz w:val="24"/>
          <w:szCs w:val="24"/>
        </w:rPr>
        <w:t xml:space="preserve">P. </w:t>
      </w:r>
      <w:r w:rsidR="00F265E6" w:rsidRPr="00F265E6">
        <w:rPr>
          <w:sz w:val="24"/>
          <w:szCs w:val="24"/>
        </w:rPr>
        <w:t>(</w:t>
      </w:r>
      <w:r w:rsidRPr="00F265E6">
        <w:rPr>
          <w:sz w:val="24"/>
          <w:szCs w:val="24"/>
        </w:rPr>
        <w:t>2019).</w:t>
      </w:r>
      <w:r w:rsidR="00F265E6">
        <w:rPr>
          <w:sz w:val="24"/>
          <w:szCs w:val="24"/>
        </w:rPr>
        <w:t xml:space="preserve"> Determinants of the continuance intention of Airbnb users: Consumption values, co-creation, information overload and satisfaction. </w:t>
      </w:r>
      <w:r w:rsidR="00F265E6">
        <w:rPr>
          <w:i/>
          <w:sz w:val="24"/>
          <w:szCs w:val="24"/>
        </w:rPr>
        <w:t>Tourism Review, 75</w:t>
      </w:r>
      <w:r w:rsidR="00F265E6">
        <w:rPr>
          <w:sz w:val="24"/>
          <w:szCs w:val="24"/>
        </w:rPr>
        <w:t xml:space="preserve">(3), </w:t>
      </w:r>
      <w:r w:rsidR="00F265E6" w:rsidRPr="00F265E6">
        <w:rPr>
          <w:sz w:val="24"/>
          <w:szCs w:val="24"/>
        </w:rPr>
        <w:t>511-531</w:t>
      </w:r>
      <w:r w:rsidR="00F265E6">
        <w:rPr>
          <w:sz w:val="24"/>
          <w:szCs w:val="24"/>
        </w:rPr>
        <w:t>.</w:t>
      </w:r>
    </w:p>
    <w:p w14:paraId="192060AA" w14:textId="03F4E3DB" w:rsidR="00446050" w:rsidRPr="00F35E64" w:rsidRDefault="00446050" w:rsidP="00261CBF">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Swain, M.R., &amp; Haka, S.F. (2000). Effects of information load on capital budgeting decisions. </w:t>
      </w:r>
      <w:r w:rsidRPr="00F35E64">
        <w:rPr>
          <w:rFonts w:cstheme="minorHAnsi"/>
          <w:bCs/>
          <w:i/>
          <w:iCs/>
          <w:sz w:val="24"/>
          <w:szCs w:val="24"/>
        </w:rPr>
        <w:t xml:space="preserve">Behavioral Research in Accounting, 12, </w:t>
      </w:r>
      <w:r w:rsidRPr="00F35E64">
        <w:rPr>
          <w:rFonts w:cstheme="minorHAnsi"/>
          <w:bCs/>
          <w:sz w:val="24"/>
          <w:szCs w:val="24"/>
        </w:rPr>
        <w:t>171-198.</w:t>
      </w:r>
    </w:p>
    <w:p w14:paraId="042C0AB6" w14:textId="77777777" w:rsidR="00261CBF" w:rsidRPr="00F35E64" w:rsidRDefault="00A0179A" w:rsidP="00261CBF">
      <w:pPr>
        <w:autoSpaceDE w:val="0"/>
        <w:autoSpaceDN w:val="0"/>
        <w:adjustRightInd w:val="0"/>
        <w:spacing w:after="0" w:line="360" w:lineRule="auto"/>
        <w:ind w:left="567" w:hanging="567"/>
        <w:rPr>
          <w:rFonts w:cstheme="minorHAnsi"/>
          <w:bCs/>
          <w:sz w:val="24"/>
          <w:szCs w:val="24"/>
        </w:rPr>
      </w:pPr>
      <w:r w:rsidRPr="00F35E64">
        <w:rPr>
          <w:rFonts w:cstheme="minorHAnsi"/>
          <w:bCs/>
          <w:sz w:val="24"/>
          <w:szCs w:val="24"/>
        </w:rPr>
        <w:t xml:space="preserve">Sweller, J., van Merrienboer, J.G., &amp; Paas, F.G.W.C. (1998). Cognitive architecture and instructional design. </w:t>
      </w:r>
      <w:r w:rsidRPr="00F35E64">
        <w:rPr>
          <w:rFonts w:cstheme="minorHAnsi"/>
          <w:bCs/>
          <w:i/>
          <w:iCs/>
          <w:sz w:val="24"/>
          <w:szCs w:val="24"/>
        </w:rPr>
        <w:t>Educational Psychology Review, 10</w:t>
      </w:r>
      <w:r w:rsidRPr="00F35E64">
        <w:rPr>
          <w:rFonts w:cstheme="minorHAnsi"/>
          <w:bCs/>
          <w:sz w:val="24"/>
          <w:szCs w:val="24"/>
        </w:rPr>
        <w:t>, 251-296.</w:t>
      </w:r>
    </w:p>
    <w:p w14:paraId="2F082609" w14:textId="602EF2F8" w:rsidR="00672A4E" w:rsidRPr="00F35E64" w:rsidRDefault="00672A4E" w:rsidP="00261CBF">
      <w:pPr>
        <w:autoSpaceDE w:val="0"/>
        <w:autoSpaceDN w:val="0"/>
        <w:adjustRightInd w:val="0"/>
        <w:spacing w:after="0" w:line="360" w:lineRule="auto"/>
        <w:ind w:left="567" w:hanging="567"/>
        <w:rPr>
          <w:rFonts w:cstheme="minorHAnsi"/>
          <w:bCs/>
          <w:sz w:val="24"/>
          <w:szCs w:val="24"/>
        </w:rPr>
      </w:pPr>
      <w:r w:rsidRPr="00F35E64">
        <w:rPr>
          <w:rFonts w:cstheme="minorHAnsi"/>
          <w:sz w:val="24"/>
          <w:szCs w:val="24"/>
        </w:rPr>
        <w:t xml:space="preserve">Toma, C., &amp; Picioreanu, I. (2016). The Delphi technique: Methodological considerations and the need for reporting guidelines in medical journals. </w:t>
      </w:r>
      <w:r w:rsidRPr="00F35E64">
        <w:rPr>
          <w:rFonts w:cstheme="minorHAnsi"/>
          <w:i/>
          <w:sz w:val="24"/>
          <w:szCs w:val="24"/>
        </w:rPr>
        <w:t>International Journal of Public Health Research</w:t>
      </w:r>
      <w:r w:rsidRPr="00F35E64">
        <w:rPr>
          <w:rFonts w:cstheme="minorHAnsi"/>
          <w:sz w:val="24"/>
          <w:szCs w:val="24"/>
        </w:rPr>
        <w:t xml:space="preserve">, </w:t>
      </w:r>
      <w:r w:rsidRPr="00F35E64">
        <w:rPr>
          <w:rFonts w:cstheme="minorHAnsi"/>
          <w:i/>
          <w:sz w:val="24"/>
          <w:szCs w:val="24"/>
        </w:rPr>
        <w:t>4</w:t>
      </w:r>
      <w:r w:rsidRPr="00F35E64">
        <w:rPr>
          <w:rFonts w:cstheme="minorHAnsi"/>
          <w:sz w:val="24"/>
          <w:szCs w:val="24"/>
        </w:rPr>
        <w:t>(6), 47-59.</w:t>
      </w:r>
    </w:p>
    <w:p w14:paraId="67B16315" w14:textId="77777777" w:rsidR="00D54442" w:rsidRDefault="00672A4E" w:rsidP="004A63E6">
      <w:pPr>
        <w:spacing w:line="360" w:lineRule="auto"/>
        <w:ind w:left="567" w:hanging="567"/>
        <w:rPr>
          <w:sz w:val="24"/>
          <w:szCs w:val="24"/>
        </w:rPr>
      </w:pPr>
      <w:r w:rsidRPr="00F35E64">
        <w:rPr>
          <w:rFonts w:cstheme="minorHAnsi"/>
          <w:bCs/>
          <w:sz w:val="24"/>
          <w:szCs w:val="24"/>
        </w:rPr>
        <w:t>Tversky, A. &amp; Kahneman, D. (1974). Judgment under uncertainty: Heuristics and biases. </w:t>
      </w:r>
      <w:r w:rsidRPr="00F35E64">
        <w:rPr>
          <w:rFonts w:cstheme="minorHAnsi"/>
          <w:bCs/>
          <w:i/>
          <w:iCs/>
          <w:sz w:val="24"/>
          <w:szCs w:val="24"/>
        </w:rPr>
        <w:t>Science, 185</w:t>
      </w:r>
      <w:r w:rsidRPr="00F35E64">
        <w:rPr>
          <w:rFonts w:cstheme="minorHAnsi"/>
          <w:bCs/>
          <w:sz w:val="24"/>
          <w:szCs w:val="24"/>
        </w:rPr>
        <w:t>, 1124–1131. </w:t>
      </w:r>
      <w:r w:rsidR="00D54442">
        <w:rPr>
          <w:sz w:val="24"/>
          <w:szCs w:val="24"/>
        </w:rPr>
        <w:t>Wright</w:t>
      </w:r>
      <w:r w:rsidR="00F265E6">
        <w:rPr>
          <w:sz w:val="24"/>
          <w:szCs w:val="24"/>
        </w:rPr>
        <w:t>, G.</w:t>
      </w:r>
      <w:r w:rsidR="00D54442">
        <w:rPr>
          <w:sz w:val="24"/>
          <w:szCs w:val="24"/>
        </w:rPr>
        <w:t xml:space="preserve"> &amp; Ayton</w:t>
      </w:r>
      <w:r w:rsidR="00F265E6">
        <w:rPr>
          <w:sz w:val="24"/>
          <w:szCs w:val="24"/>
        </w:rPr>
        <w:t>, P.</w:t>
      </w:r>
      <w:r w:rsidR="00D54442">
        <w:rPr>
          <w:sz w:val="24"/>
          <w:szCs w:val="24"/>
        </w:rPr>
        <w:t xml:space="preserve"> (1988)</w:t>
      </w:r>
      <w:r w:rsidR="00F265E6">
        <w:rPr>
          <w:sz w:val="24"/>
          <w:szCs w:val="24"/>
        </w:rPr>
        <w:t xml:space="preserve">. Decision time, subjective probability, and task difficulty. </w:t>
      </w:r>
      <w:r w:rsidR="00F265E6">
        <w:rPr>
          <w:i/>
          <w:sz w:val="24"/>
          <w:szCs w:val="24"/>
        </w:rPr>
        <w:t>Memory &amp; Cognition, 16</w:t>
      </w:r>
      <w:r w:rsidR="00F265E6">
        <w:rPr>
          <w:sz w:val="24"/>
          <w:szCs w:val="24"/>
        </w:rPr>
        <w:t>,  176</w:t>
      </w:r>
      <w:r w:rsidR="00435977">
        <w:rPr>
          <w:sz w:val="24"/>
          <w:szCs w:val="24"/>
        </w:rPr>
        <w:t>-185.</w:t>
      </w:r>
    </w:p>
    <w:p w14:paraId="1C37D5D3" w14:textId="02A51307" w:rsidR="00BE624B" w:rsidRPr="00F265E6" w:rsidRDefault="00B90BA3" w:rsidP="00B90BA3">
      <w:pPr>
        <w:spacing w:line="360" w:lineRule="auto"/>
        <w:ind w:left="567" w:hanging="567"/>
        <w:rPr>
          <w:sz w:val="24"/>
          <w:szCs w:val="24"/>
        </w:rPr>
        <w:sectPr w:rsidR="00BE624B" w:rsidRPr="00F265E6">
          <w:footerReference w:type="default" r:id="rId16"/>
          <w:pgSz w:w="11906" w:h="16838"/>
          <w:pgMar w:top="1440" w:right="1440" w:bottom="1440" w:left="1440" w:header="708" w:footer="708" w:gutter="0"/>
          <w:cols w:space="708"/>
          <w:docGrid w:linePitch="360"/>
        </w:sectPr>
      </w:pPr>
      <w:r w:rsidRPr="00B90BA3">
        <w:rPr>
          <w:sz w:val="24"/>
          <w:szCs w:val="24"/>
        </w:rPr>
        <w:lastRenderedPageBreak/>
        <w:t xml:space="preserve">Witkin, B.R., </w:t>
      </w:r>
      <w:r>
        <w:rPr>
          <w:sz w:val="24"/>
          <w:szCs w:val="24"/>
        </w:rPr>
        <w:t xml:space="preserve">&amp; </w:t>
      </w:r>
      <w:r w:rsidRPr="00B90BA3">
        <w:rPr>
          <w:sz w:val="24"/>
          <w:szCs w:val="24"/>
        </w:rPr>
        <w:t>Altschuld, J.W.</w:t>
      </w:r>
      <w:r>
        <w:rPr>
          <w:sz w:val="24"/>
          <w:szCs w:val="24"/>
        </w:rPr>
        <w:t xml:space="preserve"> (</w:t>
      </w:r>
      <w:r w:rsidRPr="00B90BA3">
        <w:rPr>
          <w:sz w:val="24"/>
          <w:szCs w:val="24"/>
        </w:rPr>
        <w:t>1995</w:t>
      </w:r>
      <w:r>
        <w:rPr>
          <w:sz w:val="24"/>
          <w:szCs w:val="24"/>
        </w:rPr>
        <w:t>)</w:t>
      </w:r>
      <w:r w:rsidRPr="00B90BA3">
        <w:rPr>
          <w:sz w:val="24"/>
          <w:szCs w:val="24"/>
        </w:rPr>
        <w:t>. Planning and Conducting Needs Assessments: A</w:t>
      </w:r>
      <w:r>
        <w:rPr>
          <w:sz w:val="24"/>
          <w:szCs w:val="24"/>
        </w:rPr>
        <w:t xml:space="preserve"> </w:t>
      </w:r>
      <w:r w:rsidRPr="00B90BA3">
        <w:rPr>
          <w:sz w:val="24"/>
          <w:szCs w:val="24"/>
        </w:rPr>
        <w:t>Practical Guide. Thousand Oaks, CA.</w:t>
      </w:r>
      <w:r>
        <w:rPr>
          <w:sz w:val="24"/>
          <w:szCs w:val="24"/>
        </w:rPr>
        <w:t xml:space="preserve">: </w:t>
      </w:r>
      <w:r w:rsidRPr="00B90BA3">
        <w:rPr>
          <w:sz w:val="24"/>
          <w:szCs w:val="24"/>
        </w:rPr>
        <w:t>Sage</w:t>
      </w:r>
      <w:r>
        <w:rPr>
          <w:sz w:val="24"/>
          <w:szCs w:val="24"/>
        </w:rPr>
        <w:t>.</w:t>
      </w:r>
      <w:r w:rsidRPr="00B90BA3">
        <w:rPr>
          <w:sz w:val="24"/>
          <w:szCs w:val="24"/>
        </w:rPr>
        <w:t xml:space="preserve"> </w:t>
      </w:r>
    </w:p>
    <w:p w14:paraId="6284F620" w14:textId="5AA567DB" w:rsidR="00AD6DB2" w:rsidRPr="00F35E64" w:rsidRDefault="0058328D" w:rsidP="00211B87">
      <w:pPr>
        <w:spacing w:line="360" w:lineRule="auto"/>
        <w:jc w:val="center"/>
        <w:rPr>
          <w:b/>
          <w:sz w:val="24"/>
          <w:szCs w:val="24"/>
        </w:rPr>
      </w:pPr>
      <w:r w:rsidRPr="00F35E64">
        <w:rPr>
          <w:b/>
          <w:sz w:val="24"/>
          <w:szCs w:val="24"/>
        </w:rPr>
        <w:lastRenderedPageBreak/>
        <w:t>Appendix 1</w:t>
      </w:r>
      <w:r w:rsidR="00AD6DB2" w:rsidRPr="00F35E64">
        <w:rPr>
          <w:b/>
          <w:sz w:val="24"/>
          <w:szCs w:val="24"/>
        </w:rPr>
        <w:t xml:space="preserve"> – Forecasting Questions</w:t>
      </w:r>
    </w:p>
    <w:p w14:paraId="15E5B00D" w14:textId="77777777" w:rsidR="00A452B2" w:rsidRPr="00F35E64" w:rsidRDefault="00A452B2" w:rsidP="00211B87">
      <w:p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19 questions were pre-tested for spread of answers and quality of rationales given. The following 10 questions were chosen for use in the study.</w:t>
      </w:r>
    </w:p>
    <w:p w14:paraId="279F96A7" w14:textId="77777777" w:rsidR="00A452B2" w:rsidRPr="00F35E64" w:rsidRDefault="00A452B2" w:rsidP="00211B87">
      <w:pPr>
        <w:spacing w:after="0" w:line="360" w:lineRule="auto"/>
        <w:rPr>
          <w:rFonts w:eastAsia="Times New Roman" w:cstheme="minorHAnsi"/>
          <w:bCs/>
          <w:color w:val="000000"/>
          <w:kern w:val="36"/>
          <w:sz w:val="24"/>
          <w:szCs w:val="24"/>
          <w:lang w:eastAsia="en-GB"/>
        </w:rPr>
      </w:pPr>
    </w:p>
    <w:p w14:paraId="30634A6D"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 xml:space="preserve">Kim Jong Un will publicly announce that North Korea will give up its nuclear weapons. </w:t>
      </w:r>
    </w:p>
    <w:p w14:paraId="6C2B158E"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The UK Prime Minister Theresa May will face a vote of 'no confidence' in the House of Commons.</w:t>
      </w:r>
    </w:p>
    <w:p w14:paraId="4BE6E03F"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The personal details of over 1,000 customers will be stolen from a UK bank or financial-service provider.</w:t>
      </w:r>
    </w:p>
    <w:p w14:paraId="7335ADDF"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 xml:space="preserve">The UK will expel one or more Russian diplomats. </w:t>
      </w:r>
    </w:p>
    <w:p w14:paraId="6D5C2DCF"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 xml:space="preserve">A category 5 hurricane (most dangerous) will make landfall on the US mainland. </w:t>
      </w:r>
    </w:p>
    <w:p w14:paraId="04564A53"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 xml:space="preserve">China and the US will begin trade talks designed to de-escalate the trade war. </w:t>
      </w:r>
    </w:p>
    <w:p w14:paraId="7D6E09D2"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An African country will announce that it is prepared to set up a processing centre for migrants to the EU.</w:t>
      </w:r>
    </w:p>
    <w:p w14:paraId="017BBBEC"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Russian President Vladimir Putin will send troops into territory belonging to another country (other than Syria).</w:t>
      </w:r>
    </w:p>
    <w:p w14:paraId="02E4FF51" w14:textId="77777777"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The Israeli army will kill more than 10 Palestinians.</w:t>
      </w:r>
    </w:p>
    <w:p w14:paraId="26236AD8" w14:textId="41F458DC" w:rsidR="00A452B2" w:rsidRPr="00F35E64" w:rsidRDefault="00A452B2" w:rsidP="00211B87">
      <w:pPr>
        <w:pStyle w:val="ListParagraph"/>
        <w:numPr>
          <w:ilvl w:val="0"/>
          <w:numId w:val="7"/>
        </w:numPr>
        <w:spacing w:after="0" w:line="360" w:lineRule="auto"/>
        <w:rPr>
          <w:rFonts w:eastAsia="Times New Roman" w:cstheme="minorHAnsi"/>
          <w:color w:val="000000"/>
          <w:kern w:val="36"/>
          <w:sz w:val="24"/>
          <w:szCs w:val="24"/>
          <w:lang w:eastAsia="en-GB"/>
        </w:rPr>
      </w:pPr>
      <w:r w:rsidRPr="00F35E64">
        <w:rPr>
          <w:rFonts w:eastAsia="Times New Roman" w:cstheme="minorHAnsi"/>
          <w:color w:val="000000"/>
          <w:kern w:val="36"/>
          <w:sz w:val="24"/>
          <w:szCs w:val="24"/>
          <w:lang w:eastAsia="en-GB"/>
        </w:rPr>
        <w:t xml:space="preserve">Twenty or more people will die from </w:t>
      </w:r>
      <w:r w:rsidR="00830C0F">
        <w:rPr>
          <w:rFonts w:eastAsia="Times New Roman" w:cstheme="minorHAnsi"/>
          <w:color w:val="000000"/>
          <w:kern w:val="36"/>
          <w:sz w:val="24"/>
          <w:szCs w:val="24"/>
          <w:lang w:eastAsia="en-GB"/>
        </w:rPr>
        <w:t>E</w:t>
      </w:r>
      <w:r w:rsidRPr="00F35E64">
        <w:rPr>
          <w:rFonts w:eastAsia="Times New Roman" w:cstheme="minorHAnsi"/>
          <w:color w:val="000000"/>
          <w:kern w:val="36"/>
          <w:sz w:val="24"/>
          <w:szCs w:val="24"/>
          <w:lang w:eastAsia="en-GB"/>
        </w:rPr>
        <w:t>bola in Africa.</w:t>
      </w:r>
    </w:p>
    <w:p w14:paraId="06C72F31" w14:textId="226A0D45" w:rsidR="0058328D" w:rsidRPr="00F35E64" w:rsidRDefault="0058328D" w:rsidP="00211B87">
      <w:pPr>
        <w:spacing w:line="360" w:lineRule="auto"/>
        <w:jc w:val="both"/>
        <w:rPr>
          <w:b/>
          <w:sz w:val="24"/>
          <w:szCs w:val="24"/>
        </w:rPr>
        <w:sectPr w:rsidR="0058328D" w:rsidRPr="00F35E64">
          <w:pgSz w:w="11906" w:h="16838"/>
          <w:pgMar w:top="1440" w:right="1440" w:bottom="1440" w:left="1440" w:header="708" w:footer="708" w:gutter="0"/>
          <w:cols w:space="708"/>
          <w:docGrid w:linePitch="360"/>
        </w:sectPr>
      </w:pPr>
    </w:p>
    <w:p w14:paraId="0F1FFB27" w14:textId="7A354385" w:rsidR="006E54D4" w:rsidRPr="00F35E64" w:rsidRDefault="0058328D" w:rsidP="00211B87">
      <w:pPr>
        <w:spacing w:line="360" w:lineRule="auto"/>
        <w:jc w:val="center"/>
        <w:rPr>
          <w:b/>
          <w:sz w:val="24"/>
          <w:szCs w:val="24"/>
        </w:rPr>
      </w:pPr>
      <w:r w:rsidRPr="00F35E64">
        <w:rPr>
          <w:b/>
          <w:sz w:val="24"/>
          <w:szCs w:val="24"/>
        </w:rPr>
        <w:lastRenderedPageBreak/>
        <w:t xml:space="preserve">Appendix </w:t>
      </w:r>
      <w:r w:rsidR="00FA397F" w:rsidRPr="00F35E64">
        <w:rPr>
          <w:b/>
          <w:sz w:val="24"/>
          <w:szCs w:val="24"/>
        </w:rPr>
        <w:t>2</w:t>
      </w:r>
      <w:r w:rsidR="006E54D4" w:rsidRPr="00F35E64">
        <w:rPr>
          <w:b/>
          <w:sz w:val="24"/>
          <w:szCs w:val="24"/>
        </w:rPr>
        <w:t xml:space="preserve"> – NASA-Task Load Index (TLX)</w:t>
      </w:r>
    </w:p>
    <w:p w14:paraId="47FFA364" w14:textId="3C2444A2" w:rsidR="006E54D4" w:rsidRPr="00BD5B65" w:rsidRDefault="006E54D4" w:rsidP="00211B87">
      <w:pPr>
        <w:spacing w:line="360" w:lineRule="auto"/>
        <w:rPr>
          <w:b/>
          <w:sz w:val="24"/>
          <w:szCs w:val="24"/>
        </w:rPr>
      </w:pPr>
      <w:r w:rsidRPr="00BD5B65">
        <w:rPr>
          <w:rFonts w:ascii="Arial" w:eastAsia="Times New Roman" w:hAnsi="Arial" w:cs="Arial"/>
          <w:bCs/>
          <w:noProof/>
          <w:color w:val="000000"/>
          <w:kern w:val="36"/>
          <w:sz w:val="24"/>
          <w:szCs w:val="24"/>
          <w:lang w:eastAsia="en-GB"/>
        </w:rPr>
        <w:drawing>
          <wp:inline distT="0" distB="0" distL="0" distR="0" wp14:anchorId="5669BF2F" wp14:editId="507D2674">
            <wp:extent cx="6076950" cy="7950665"/>
            <wp:effectExtent l="0" t="0" r="0" b="0"/>
            <wp:docPr id="1" name="Picture 1" descr="Image shows the NASA Task Load Index Form. The description reads : &quot;Hart and Staveland's NASA Task Load Index (TLX) method assesses work load on five 7-point scales. Increments of high, medium and low estimates for each point result in 21 gradations on the scales&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shows the NASA Task Load Index Form. The description reads : &quot;Hart and Staveland's NASA Task Load Index (TLX) method assesses work load on five 7-point scales. Increments of high, medium and low estimates for each point result in 21 gradations on the scales&quot;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79553" cy="7954071"/>
                    </a:xfrm>
                    <a:prstGeom prst="rect">
                      <a:avLst/>
                    </a:prstGeom>
                    <a:noFill/>
                    <a:ln>
                      <a:noFill/>
                    </a:ln>
                  </pic:spPr>
                </pic:pic>
              </a:graphicData>
            </a:graphic>
          </wp:inline>
        </w:drawing>
      </w:r>
    </w:p>
    <w:p w14:paraId="728A8223" w14:textId="77777777" w:rsidR="006E54D4" w:rsidRPr="00BD5B65" w:rsidRDefault="006E54D4" w:rsidP="00211B87">
      <w:pPr>
        <w:spacing w:line="360" w:lineRule="auto"/>
        <w:jc w:val="center"/>
        <w:rPr>
          <w:b/>
          <w:sz w:val="24"/>
          <w:szCs w:val="24"/>
        </w:rPr>
      </w:pPr>
    </w:p>
    <w:p w14:paraId="1BC49CDD" w14:textId="58F2B805" w:rsidR="006E54D4" w:rsidRPr="00BD5B65" w:rsidRDefault="006E54D4" w:rsidP="00211B87">
      <w:pPr>
        <w:spacing w:line="360" w:lineRule="auto"/>
        <w:rPr>
          <w:b/>
          <w:sz w:val="24"/>
          <w:szCs w:val="24"/>
        </w:rPr>
        <w:sectPr w:rsidR="006E54D4" w:rsidRPr="00BD5B65">
          <w:pgSz w:w="11906" w:h="16838"/>
          <w:pgMar w:top="1440" w:right="1440" w:bottom="1440" w:left="1440" w:header="708" w:footer="708" w:gutter="0"/>
          <w:cols w:space="708"/>
          <w:docGrid w:linePitch="360"/>
        </w:sectPr>
      </w:pPr>
    </w:p>
    <w:p w14:paraId="2512C051" w14:textId="686C2C44" w:rsidR="00F8738E" w:rsidRPr="00BD5B65" w:rsidRDefault="00F8738E" w:rsidP="00211B87">
      <w:pPr>
        <w:spacing w:line="360" w:lineRule="auto"/>
        <w:jc w:val="center"/>
        <w:rPr>
          <w:b/>
          <w:bCs/>
          <w:sz w:val="24"/>
          <w:szCs w:val="24"/>
        </w:rPr>
      </w:pPr>
      <w:r w:rsidRPr="00BD5B65">
        <w:rPr>
          <w:b/>
          <w:sz w:val="24"/>
          <w:szCs w:val="24"/>
        </w:rPr>
        <w:lastRenderedPageBreak/>
        <w:t xml:space="preserve">Appendix </w:t>
      </w:r>
      <w:r w:rsidR="00FA397F" w:rsidRPr="00BD5B65">
        <w:rPr>
          <w:b/>
          <w:sz w:val="24"/>
          <w:szCs w:val="24"/>
        </w:rPr>
        <w:t>3</w:t>
      </w:r>
      <w:r w:rsidRPr="00BD5B65">
        <w:rPr>
          <w:b/>
          <w:sz w:val="24"/>
          <w:szCs w:val="24"/>
        </w:rPr>
        <w:t xml:space="preserve">: </w:t>
      </w:r>
      <w:r w:rsidRPr="00BD5B65">
        <w:rPr>
          <w:b/>
          <w:bCs/>
          <w:sz w:val="24"/>
          <w:szCs w:val="24"/>
        </w:rPr>
        <w:t>Satisfaction self-report questions</w:t>
      </w:r>
    </w:p>
    <w:p w14:paraId="5B68B3E6" w14:textId="77777777" w:rsidR="00F8738E" w:rsidRPr="00BD5B65" w:rsidRDefault="00F8738E" w:rsidP="00211B87">
      <w:pPr>
        <w:spacing w:line="360" w:lineRule="auto"/>
        <w:rPr>
          <w:sz w:val="24"/>
          <w:szCs w:val="24"/>
        </w:rPr>
      </w:pPr>
    </w:p>
    <w:p w14:paraId="5ACA5B8A" w14:textId="77777777" w:rsidR="00F8738E" w:rsidRPr="00BD5B65" w:rsidRDefault="00F8738E" w:rsidP="00211B87">
      <w:pPr>
        <w:spacing w:line="360" w:lineRule="auto"/>
        <w:rPr>
          <w:b/>
          <w:i/>
          <w:sz w:val="24"/>
          <w:szCs w:val="24"/>
        </w:rPr>
      </w:pPr>
      <w:r w:rsidRPr="00BD5B65">
        <w:rPr>
          <w:b/>
          <w:i/>
          <w:sz w:val="24"/>
          <w:szCs w:val="24"/>
        </w:rPr>
        <w:t>Questions</w:t>
      </w:r>
    </w:p>
    <w:p w14:paraId="2026A6EF" w14:textId="77777777" w:rsidR="00F8738E" w:rsidRPr="00BD5B65" w:rsidRDefault="00F8738E" w:rsidP="00211B87">
      <w:pPr>
        <w:numPr>
          <w:ilvl w:val="0"/>
          <w:numId w:val="2"/>
        </w:numPr>
        <w:spacing w:line="360" w:lineRule="auto"/>
        <w:rPr>
          <w:sz w:val="24"/>
          <w:szCs w:val="24"/>
        </w:rPr>
      </w:pPr>
      <w:r w:rsidRPr="00BD5B65">
        <w:rPr>
          <w:sz w:val="24"/>
          <w:szCs w:val="24"/>
        </w:rPr>
        <w:t xml:space="preserve">This group was too small (in number of members) for best results on the task it was trying to do. </w:t>
      </w:r>
    </w:p>
    <w:p w14:paraId="05DEE496" w14:textId="77777777" w:rsidR="00F8738E" w:rsidRPr="00BD5B65" w:rsidRDefault="00F8738E" w:rsidP="00211B87">
      <w:pPr>
        <w:numPr>
          <w:ilvl w:val="0"/>
          <w:numId w:val="2"/>
        </w:numPr>
        <w:spacing w:line="360" w:lineRule="auto"/>
        <w:rPr>
          <w:sz w:val="24"/>
          <w:szCs w:val="24"/>
        </w:rPr>
      </w:pPr>
      <w:r w:rsidRPr="00BD5B65">
        <w:rPr>
          <w:sz w:val="24"/>
          <w:szCs w:val="24"/>
        </w:rPr>
        <w:t xml:space="preserve">This group was too large (in number of members) for best results on the task it was trying to do. </w:t>
      </w:r>
    </w:p>
    <w:p w14:paraId="52F40617" w14:textId="77777777" w:rsidR="00F8738E" w:rsidRPr="00BD5B65" w:rsidRDefault="00F8738E" w:rsidP="00211B87">
      <w:pPr>
        <w:numPr>
          <w:ilvl w:val="0"/>
          <w:numId w:val="2"/>
        </w:numPr>
        <w:spacing w:line="360" w:lineRule="auto"/>
        <w:rPr>
          <w:sz w:val="24"/>
          <w:szCs w:val="24"/>
        </w:rPr>
      </w:pPr>
      <w:r w:rsidRPr="00BD5B65">
        <w:rPr>
          <w:sz w:val="24"/>
          <w:szCs w:val="24"/>
        </w:rPr>
        <w:t xml:space="preserve">My group was creative on this task. </w:t>
      </w:r>
    </w:p>
    <w:p w14:paraId="769A71A6" w14:textId="77777777" w:rsidR="00F8738E" w:rsidRPr="00BD5B65" w:rsidRDefault="00F8738E" w:rsidP="00211B87">
      <w:pPr>
        <w:numPr>
          <w:ilvl w:val="0"/>
          <w:numId w:val="2"/>
        </w:numPr>
        <w:spacing w:line="360" w:lineRule="auto"/>
        <w:rPr>
          <w:sz w:val="24"/>
          <w:szCs w:val="24"/>
        </w:rPr>
      </w:pPr>
      <w:r w:rsidRPr="00BD5B65">
        <w:rPr>
          <w:sz w:val="24"/>
          <w:szCs w:val="24"/>
        </w:rPr>
        <w:t>*The other group members’ answers were helpful for completing my revised answers.</w:t>
      </w:r>
    </w:p>
    <w:p w14:paraId="1E06F095" w14:textId="77777777" w:rsidR="00F8738E" w:rsidRPr="00BD5B65" w:rsidRDefault="00F8738E" w:rsidP="00211B87">
      <w:pPr>
        <w:numPr>
          <w:ilvl w:val="0"/>
          <w:numId w:val="2"/>
        </w:numPr>
        <w:spacing w:line="360" w:lineRule="auto"/>
        <w:rPr>
          <w:sz w:val="24"/>
          <w:szCs w:val="24"/>
        </w:rPr>
      </w:pPr>
      <w:r w:rsidRPr="00BD5B65">
        <w:rPr>
          <w:sz w:val="24"/>
          <w:szCs w:val="24"/>
        </w:rPr>
        <w:t>*I enjoyed working on the task.</w:t>
      </w:r>
    </w:p>
    <w:p w14:paraId="0B484099" w14:textId="77777777" w:rsidR="00F8738E" w:rsidRPr="00BD5B65" w:rsidRDefault="00F8738E" w:rsidP="00211B87">
      <w:pPr>
        <w:numPr>
          <w:ilvl w:val="0"/>
          <w:numId w:val="2"/>
        </w:numPr>
        <w:spacing w:line="360" w:lineRule="auto"/>
        <w:rPr>
          <w:sz w:val="24"/>
          <w:szCs w:val="24"/>
        </w:rPr>
      </w:pPr>
      <w:r w:rsidRPr="00BD5B65">
        <w:rPr>
          <w:sz w:val="24"/>
          <w:szCs w:val="24"/>
        </w:rPr>
        <w:t>I had enough time to work on the task (7-point Likert scale from Too little to Too Much).</w:t>
      </w:r>
    </w:p>
    <w:p w14:paraId="6DE2F775" w14:textId="77777777" w:rsidR="00F8738E" w:rsidRPr="00BD5B65" w:rsidRDefault="00F8738E" w:rsidP="00211B87">
      <w:pPr>
        <w:numPr>
          <w:ilvl w:val="0"/>
          <w:numId w:val="2"/>
        </w:numPr>
        <w:spacing w:line="360" w:lineRule="auto"/>
        <w:rPr>
          <w:sz w:val="24"/>
          <w:szCs w:val="24"/>
        </w:rPr>
      </w:pPr>
      <w:r w:rsidRPr="00BD5B65">
        <w:rPr>
          <w:sz w:val="24"/>
          <w:szCs w:val="24"/>
        </w:rPr>
        <w:t xml:space="preserve">I was interested in the questions. </w:t>
      </w:r>
    </w:p>
    <w:p w14:paraId="373C4774" w14:textId="77777777" w:rsidR="00F8738E" w:rsidRPr="00BD5B65" w:rsidRDefault="00F8738E" w:rsidP="00211B87">
      <w:pPr>
        <w:numPr>
          <w:ilvl w:val="0"/>
          <w:numId w:val="2"/>
        </w:numPr>
        <w:spacing w:line="360" w:lineRule="auto"/>
        <w:rPr>
          <w:sz w:val="24"/>
          <w:szCs w:val="24"/>
        </w:rPr>
      </w:pPr>
      <w:r w:rsidRPr="00BD5B65">
        <w:rPr>
          <w:sz w:val="24"/>
          <w:szCs w:val="24"/>
        </w:rPr>
        <w:t>*How would you rate this process, as a way of making forecasts? (7-point Likert scale from Very Poor to Excellent).</w:t>
      </w:r>
    </w:p>
    <w:p w14:paraId="1E8E0209" w14:textId="77777777" w:rsidR="00F8738E" w:rsidRPr="00BD5B65" w:rsidRDefault="00F8738E" w:rsidP="00211B87">
      <w:pPr>
        <w:numPr>
          <w:ilvl w:val="0"/>
          <w:numId w:val="2"/>
        </w:numPr>
        <w:spacing w:line="360" w:lineRule="auto"/>
        <w:rPr>
          <w:sz w:val="24"/>
          <w:szCs w:val="24"/>
        </w:rPr>
      </w:pPr>
      <w:r w:rsidRPr="00BD5B65">
        <w:rPr>
          <w:sz w:val="24"/>
          <w:szCs w:val="24"/>
        </w:rPr>
        <w:t xml:space="preserve">How much influence did the group have on your personal, final ideas about what would be good answers to the questions? (A great deal of influence, considerable influence, moderate influence, little influence, almost no influence). </w:t>
      </w:r>
    </w:p>
    <w:p w14:paraId="48F0E564" w14:textId="77777777" w:rsidR="00F8738E" w:rsidRPr="00BD5B65" w:rsidRDefault="00F8738E" w:rsidP="00211B87">
      <w:pPr>
        <w:spacing w:line="360" w:lineRule="auto"/>
        <w:rPr>
          <w:b/>
          <w:sz w:val="24"/>
          <w:szCs w:val="24"/>
        </w:rPr>
      </w:pPr>
    </w:p>
    <w:p w14:paraId="5C9D0A2A" w14:textId="77777777" w:rsidR="00F8738E" w:rsidRPr="00BD5B65" w:rsidRDefault="00F8738E" w:rsidP="00211B87">
      <w:pPr>
        <w:spacing w:line="360" w:lineRule="auto"/>
        <w:rPr>
          <w:b/>
          <w:i/>
          <w:sz w:val="24"/>
          <w:szCs w:val="24"/>
        </w:rPr>
      </w:pPr>
      <w:r w:rsidRPr="00BD5B65">
        <w:rPr>
          <w:b/>
          <w:i/>
          <w:sz w:val="24"/>
          <w:szCs w:val="24"/>
        </w:rPr>
        <w:t>Notes</w:t>
      </w:r>
    </w:p>
    <w:p w14:paraId="0F9BC920" w14:textId="77777777" w:rsidR="00F8738E" w:rsidRPr="00BD5B65" w:rsidRDefault="00F8738E" w:rsidP="00211B87">
      <w:pPr>
        <w:numPr>
          <w:ilvl w:val="0"/>
          <w:numId w:val="3"/>
        </w:numPr>
        <w:spacing w:line="360" w:lineRule="auto"/>
        <w:rPr>
          <w:sz w:val="24"/>
          <w:szCs w:val="24"/>
        </w:rPr>
      </w:pPr>
      <w:r w:rsidRPr="00BD5B65">
        <w:rPr>
          <w:sz w:val="24"/>
          <w:szCs w:val="24"/>
        </w:rPr>
        <w:t>The above list is a selection of self-report questions adapted from Hackman and Vidmar (1970). Each item (apa</w:t>
      </w:r>
      <w:r w:rsidR="00333172" w:rsidRPr="00BD5B65">
        <w:rPr>
          <w:sz w:val="24"/>
          <w:szCs w:val="24"/>
        </w:rPr>
        <w:t>rt from numbers 6, 8 and 9</w:t>
      </w:r>
      <w:r w:rsidRPr="00BD5B65">
        <w:rPr>
          <w:sz w:val="24"/>
          <w:szCs w:val="24"/>
        </w:rPr>
        <w:t>) is answered using a seven-point Likert-type scale anchored at the ends with “not at all true” and “very true”.</w:t>
      </w:r>
    </w:p>
    <w:p w14:paraId="667F7843" w14:textId="06E8163E" w:rsidR="00F8738E" w:rsidRPr="00BD5B65" w:rsidRDefault="00B6072A" w:rsidP="00211B87">
      <w:pPr>
        <w:numPr>
          <w:ilvl w:val="0"/>
          <w:numId w:val="3"/>
        </w:numPr>
        <w:spacing w:line="360" w:lineRule="auto"/>
        <w:rPr>
          <w:sz w:val="24"/>
          <w:szCs w:val="24"/>
        </w:rPr>
      </w:pPr>
      <w:r w:rsidRPr="00BD5B65">
        <w:rPr>
          <w:sz w:val="24"/>
          <w:szCs w:val="24"/>
        </w:rPr>
        <w:t>Three</w:t>
      </w:r>
      <w:r w:rsidR="00F8738E" w:rsidRPr="00BD5B65">
        <w:rPr>
          <w:sz w:val="24"/>
          <w:szCs w:val="24"/>
        </w:rPr>
        <w:t xml:space="preserve"> additional items </w:t>
      </w:r>
      <w:r w:rsidR="00333172" w:rsidRPr="00BD5B65">
        <w:rPr>
          <w:sz w:val="24"/>
          <w:szCs w:val="24"/>
        </w:rPr>
        <w:t>were added (marked *). Numbers 5 and 8</w:t>
      </w:r>
      <w:r w:rsidR="00F8738E" w:rsidRPr="00BD5B65">
        <w:rPr>
          <w:sz w:val="24"/>
          <w:szCs w:val="24"/>
        </w:rPr>
        <w:t xml:space="preserve"> are adapted from Boje </w:t>
      </w:r>
      <w:r w:rsidR="009034D2">
        <w:rPr>
          <w:sz w:val="24"/>
          <w:szCs w:val="24"/>
        </w:rPr>
        <w:t>and</w:t>
      </w:r>
      <w:r w:rsidR="00F8738E" w:rsidRPr="00BD5B65">
        <w:rPr>
          <w:sz w:val="24"/>
          <w:szCs w:val="24"/>
        </w:rPr>
        <w:t xml:space="preserve"> Murnaghan (1982).</w:t>
      </w:r>
    </w:p>
    <w:p w14:paraId="43357F8D" w14:textId="77777777" w:rsidR="00F8738E" w:rsidRPr="00BD5B65" w:rsidRDefault="00F8738E" w:rsidP="00211B87">
      <w:pPr>
        <w:spacing w:line="360" w:lineRule="auto"/>
        <w:rPr>
          <w:sz w:val="24"/>
          <w:szCs w:val="24"/>
        </w:rPr>
      </w:pPr>
    </w:p>
    <w:sectPr w:rsidR="00F8738E" w:rsidRPr="00BD5B6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21C7B" w14:textId="77777777" w:rsidR="00E72C96" w:rsidRDefault="00E72C96" w:rsidP="00A86687">
      <w:pPr>
        <w:spacing w:after="0" w:line="240" w:lineRule="auto"/>
      </w:pPr>
      <w:r>
        <w:separator/>
      </w:r>
    </w:p>
  </w:endnote>
  <w:endnote w:type="continuationSeparator" w:id="0">
    <w:p w14:paraId="213084AA" w14:textId="77777777" w:rsidR="00E72C96" w:rsidRDefault="00E72C96" w:rsidP="00A86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149216"/>
      <w:docPartObj>
        <w:docPartGallery w:val="Page Numbers (Bottom of Page)"/>
        <w:docPartUnique/>
      </w:docPartObj>
    </w:sdtPr>
    <w:sdtEndPr>
      <w:rPr>
        <w:noProof/>
      </w:rPr>
    </w:sdtEndPr>
    <w:sdtContent>
      <w:p w14:paraId="5A9362C4" w14:textId="4D486C7D" w:rsidR="00513057" w:rsidRDefault="005130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12DE0F" w14:textId="77777777" w:rsidR="00513057" w:rsidRDefault="00513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A718" w14:textId="77777777" w:rsidR="00E72C96" w:rsidRDefault="00E72C96" w:rsidP="00A86687">
      <w:pPr>
        <w:spacing w:after="0" w:line="240" w:lineRule="auto"/>
      </w:pPr>
      <w:r>
        <w:separator/>
      </w:r>
    </w:p>
  </w:footnote>
  <w:footnote w:type="continuationSeparator" w:id="0">
    <w:p w14:paraId="233CBB2C" w14:textId="77777777" w:rsidR="00E72C96" w:rsidRDefault="00E72C96" w:rsidP="00A86687">
      <w:pPr>
        <w:spacing w:after="0" w:line="240" w:lineRule="auto"/>
      </w:pPr>
      <w:r>
        <w:continuationSeparator/>
      </w:r>
    </w:p>
  </w:footnote>
  <w:footnote w:id="1">
    <w:p w14:paraId="70178E61" w14:textId="18EB1CB9" w:rsidR="00513057" w:rsidRDefault="00513057">
      <w:pPr>
        <w:pStyle w:val="FootnoteText"/>
      </w:pPr>
      <w:r>
        <w:rPr>
          <w:rStyle w:val="FootnoteReference"/>
        </w:rPr>
        <w:footnoteRef/>
      </w:r>
      <w:r>
        <w:t xml:space="preserve"> This item is reverse-coded in the main NASA-TLX (a higher score indicates a lower perception of successful performance and so the scores were reversed for the purposes of this analysis]. </w:t>
      </w:r>
    </w:p>
  </w:footnote>
  <w:footnote w:id="2">
    <w:p w14:paraId="44465487" w14:textId="2F6C8EE6" w:rsidR="00513057" w:rsidRDefault="00513057">
      <w:pPr>
        <w:pStyle w:val="FootnoteText"/>
      </w:pPr>
      <w:r>
        <w:rPr>
          <w:rStyle w:val="FootnoteReference"/>
        </w:rPr>
        <w:footnoteRef/>
      </w:r>
      <w:r>
        <w:t xml:space="preserve"> Care must be taken when analysing single items such as the NASA-TLX subscales, since these are ordinal data. However, Norman (2010) argues that ANOVA can be used, on the grounds that it is robust to non-normality.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4F5B"/>
    <w:multiLevelType w:val="hybridMultilevel"/>
    <w:tmpl w:val="B0DEBCBA"/>
    <w:lvl w:ilvl="0" w:tplc="92C283F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8F7B6C"/>
    <w:multiLevelType w:val="hybridMultilevel"/>
    <w:tmpl w:val="06228D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9900B6"/>
    <w:multiLevelType w:val="hybridMultilevel"/>
    <w:tmpl w:val="EC10D2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F273FF"/>
    <w:multiLevelType w:val="hybridMultilevel"/>
    <w:tmpl w:val="6C08031A"/>
    <w:lvl w:ilvl="0" w:tplc="E8245C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F22705"/>
    <w:multiLevelType w:val="hybridMultilevel"/>
    <w:tmpl w:val="1F00B776"/>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77F7456"/>
    <w:multiLevelType w:val="hybridMultilevel"/>
    <w:tmpl w:val="E8A24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686681"/>
    <w:multiLevelType w:val="hybridMultilevel"/>
    <w:tmpl w:val="0FB843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04D2FCD"/>
    <w:multiLevelType w:val="hybridMultilevel"/>
    <w:tmpl w:val="E6447D44"/>
    <w:lvl w:ilvl="0" w:tplc="939E7D9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1E4FA1"/>
    <w:multiLevelType w:val="hybridMultilevel"/>
    <w:tmpl w:val="F182AF48"/>
    <w:lvl w:ilvl="0" w:tplc="A50A12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4A10B7"/>
    <w:multiLevelType w:val="hybridMultilevel"/>
    <w:tmpl w:val="3DDA4FDA"/>
    <w:lvl w:ilvl="0" w:tplc="3E4AF76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7229D"/>
    <w:multiLevelType w:val="hybridMultilevel"/>
    <w:tmpl w:val="B036AB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9644A57"/>
    <w:multiLevelType w:val="hybridMultilevel"/>
    <w:tmpl w:val="998038D4"/>
    <w:lvl w:ilvl="0" w:tplc="7778B4CC">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D2956C5"/>
    <w:multiLevelType w:val="hybridMultilevel"/>
    <w:tmpl w:val="5158F75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3AA6D4D"/>
    <w:multiLevelType w:val="hybridMultilevel"/>
    <w:tmpl w:val="0ED43D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D8197C"/>
    <w:multiLevelType w:val="hybridMultilevel"/>
    <w:tmpl w:val="DA765BF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4D92631"/>
    <w:multiLevelType w:val="hybridMultilevel"/>
    <w:tmpl w:val="BCF6E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7D2BA4"/>
    <w:multiLevelType w:val="hybridMultilevel"/>
    <w:tmpl w:val="B9FED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FE42D2"/>
    <w:multiLevelType w:val="hybridMultilevel"/>
    <w:tmpl w:val="CDE20422"/>
    <w:lvl w:ilvl="0" w:tplc="28F20FC2">
      <w:numFmt w:val="bullet"/>
      <w:lvlText w:val="-"/>
      <w:lvlJc w:val="left"/>
      <w:pPr>
        <w:ind w:left="360" w:hanging="360"/>
      </w:pPr>
      <w:rPr>
        <w:rFonts w:ascii="Calibri" w:eastAsiaTheme="minorHAnsi" w:hAnsi="Calibri" w:cs="Calibri" w:hint="default"/>
        <w:i/>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1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1"/>
  </w:num>
  <w:num w:numId="5">
    <w:abstractNumId w:val="4"/>
  </w:num>
  <w:num w:numId="6">
    <w:abstractNumId w:val="6"/>
  </w:num>
  <w:num w:numId="7">
    <w:abstractNumId w:val="2"/>
  </w:num>
  <w:num w:numId="8">
    <w:abstractNumId w:val="7"/>
  </w:num>
  <w:num w:numId="9">
    <w:abstractNumId w:val="1"/>
  </w:num>
  <w:num w:numId="10">
    <w:abstractNumId w:val="15"/>
  </w:num>
  <w:num w:numId="11">
    <w:abstractNumId w:val="0"/>
  </w:num>
  <w:num w:numId="12">
    <w:abstractNumId w:val="13"/>
  </w:num>
  <w:num w:numId="13">
    <w:abstractNumId w:val="9"/>
  </w:num>
  <w:num w:numId="14">
    <w:abstractNumId w:val="3"/>
  </w:num>
  <w:num w:numId="15">
    <w:abstractNumId w:val="8"/>
  </w:num>
  <w:num w:numId="16">
    <w:abstractNumId w:val="5"/>
  </w:num>
  <w:num w:numId="17">
    <w:abstractNumId w:val="1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98B"/>
    <w:rsid w:val="00006D11"/>
    <w:rsid w:val="00014E50"/>
    <w:rsid w:val="00023664"/>
    <w:rsid w:val="00025A65"/>
    <w:rsid w:val="00034F10"/>
    <w:rsid w:val="00035715"/>
    <w:rsid w:val="0003763A"/>
    <w:rsid w:val="00053314"/>
    <w:rsid w:val="000717DB"/>
    <w:rsid w:val="0007272F"/>
    <w:rsid w:val="00074D56"/>
    <w:rsid w:val="00076BF9"/>
    <w:rsid w:val="00084FFF"/>
    <w:rsid w:val="00085BD3"/>
    <w:rsid w:val="0008668E"/>
    <w:rsid w:val="000934DC"/>
    <w:rsid w:val="00094F20"/>
    <w:rsid w:val="0009766B"/>
    <w:rsid w:val="000A6A8B"/>
    <w:rsid w:val="000B2FB6"/>
    <w:rsid w:val="000B4DBB"/>
    <w:rsid w:val="000C175C"/>
    <w:rsid w:val="000C7F3F"/>
    <w:rsid w:val="000D073B"/>
    <w:rsid w:val="000D2E5F"/>
    <w:rsid w:val="000E46EF"/>
    <w:rsid w:val="000E4861"/>
    <w:rsid w:val="000F09C3"/>
    <w:rsid w:val="001003FD"/>
    <w:rsid w:val="00104155"/>
    <w:rsid w:val="001060C1"/>
    <w:rsid w:val="0011358E"/>
    <w:rsid w:val="001145C3"/>
    <w:rsid w:val="001201F1"/>
    <w:rsid w:val="001237CD"/>
    <w:rsid w:val="0012543B"/>
    <w:rsid w:val="00126A13"/>
    <w:rsid w:val="001369AA"/>
    <w:rsid w:val="00137A4C"/>
    <w:rsid w:val="00143865"/>
    <w:rsid w:val="00145901"/>
    <w:rsid w:val="00147745"/>
    <w:rsid w:val="001505AE"/>
    <w:rsid w:val="00152243"/>
    <w:rsid w:val="0015368F"/>
    <w:rsid w:val="001560CD"/>
    <w:rsid w:val="00160067"/>
    <w:rsid w:val="00173C97"/>
    <w:rsid w:val="00173FB0"/>
    <w:rsid w:val="001761D6"/>
    <w:rsid w:val="00176EEA"/>
    <w:rsid w:val="001829D3"/>
    <w:rsid w:val="00185DD9"/>
    <w:rsid w:val="001874AC"/>
    <w:rsid w:val="00196567"/>
    <w:rsid w:val="001B02AE"/>
    <w:rsid w:val="001B5109"/>
    <w:rsid w:val="001C167F"/>
    <w:rsid w:val="001D09F3"/>
    <w:rsid w:val="001D1052"/>
    <w:rsid w:val="001D1F89"/>
    <w:rsid w:val="001D2157"/>
    <w:rsid w:val="001D38E6"/>
    <w:rsid w:val="001E1221"/>
    <w:rsid w:val="001E1532"/>
    <w:rsid w:val="001E33D3"/>
    <w:rsid w:val="001E3D44"/>
    <w:rsid w:val="001F244B"/>
    <w:rsid w:val="001F698D"/>
    <w:rsid w:val="001F6D37"/>
    <w:rsid w:val="0020002C"/>
    <w:rsid w:val="002000AA"/>
    <w:rsid w:val="00211B87"/>
    <w:rsid w:val="002324D5"/>
    <w:rsid w:val="00235C7E"/>
    <w:rsid w:val="00236DA8"/>
    <w:rsid w:val="002413DE"/>
    <w:rsid w:val="00247EA5"/>
    <w:rsid w:val="0026062B"/>
    <w:rsid w:val="00261BF6"/>
    <w:rsid w:val="00261CBF"/>
    <w:rsid w:val="00264A84"/>
    <w:rsid w:val="00273D8B"/>
    <w:rsid w:val="0028464B"/>
    <w:rsid w:val="00290D61"/>
    <w:rsid w:val="002976A9"/>
    <w:rsid w:val="002A1B6E"/>
    <w:rsid w:val="002A29D5"/>
    <w:rsid w:val="002B0324"/>
    <w:rsid w:val="002B1154"/>
    <w:rsid w:val="002D4223"/>
    <w:rsid w:val="002E2F0E"/>
    <w:rsid w:val="002E7064"/>
    <w:rsid w:val="00301C3C"/>
    <w:rsid w:val="00307E9A"/>
    <w:rsid w:val="0031288E"/>
    <w:rsid w:val="00312E9D"/>
    <w:rsid w:val="00317C25"/>
    <w:rsid w:val="00322A2E"/>
    <w:rsid w:val="00332F88"/>
    <w:rsid w:val="00333172"/>
    <w:rsid w:val="00333C9D"/>
    <w:rsid w:val="00345196"/>
    <w:rsid w:val="00345AE4"/>
    <w:rsid w:val="0034692E"/>
    <w:rsid w:val="00353139"/>
    <w:rsid w:val="00357EB5"/>
    <w:rsid w:val="00361A70"/>
    <w:rsid w:val="00366EE1"/>
    <w:rsid w:val="00371E63"/>
    <w:rsid w:val="00381984"/>
    <w:rsid w:val="00385609"/>
    <w:rsid w:val="00386BE5"/>
    <w:rsid w:val="00387139"/>
    <w:rsid w:val="003907B2"/>
    <w:rsid w:val="00393D77"/>
    <w:rsid w:val="00395132"/>
    <w:rsid w:val="003A246C"/>
    <w:rsid w:val="003A493E"/>
    <w:rsid w:val="003C5775"/>
    <w:rsid w:val="003D5D16"/>
    <w:rsid w:val="003E1D29"/>
    <w:rsid w:val="003E2711"/>
    <w:rsid w:val="003E2D07"/>
    <w:rsid w:val="003E3769"/>
    <w:rsid w:val="003F3ADE"/>
    <w:rsid w:val="003F622D"/>
    <w:rsid w:val="003F6982"/>
    <w:rsid w:val="003F7786"/>
    <w:rsid w:val="00405A5A"/>
    <w:rsid w:val="004114B8"/>
    <w:rsid w:val="0041248A"/>
    <w:rsid w:val="0041562E"/>
    <w:rsid w:val="004160F8"/>
    <w:rsid w:val="0041681D"/>
    <w:rsid w:val="004204C8"/>
    <w:rsid w:val="00424A45"/>
    <w:rsid w:val="00424F2A"/>
    <w:rsid w:val="00426F60"/>
    <w:rsid w:val="00431659"/>
    <w:rsid w:val="00433088"/>
    <w:rsid w:val="00435977"/>
    <w:rsid w:val="00436844"/>
    <w:rsid w:val="00437E49"/>
    <w:rsid w:val="00441747"/>
    <w:rsid w:val="00442F41"/>
    <w:rsid w:val="0044390C"/>
    <w:rsid w:val="00446050"/>
    <w:rsid w:val="004469E2"/>
    <w:rsid w:val="00447A96"/>
    <w:rsid w:val="00451A95"/>
    <w:rsid w:val="00452B6E"/>
    <w:rsid w:val="004823A7"/>
    <w:rsid w:val="0048307B"/>
    <w:rsid w:val="00483BF6"/>
    <w:rsid w:val="0049033E"/>
    <w:rsid w:val="00494AAF"/>
    <w:rsid w:val="004A0CBD"/>
    <w:rsid w:val="004A0DC8"/>
    <w:rsid w:val="004A61D1"/>
    <w:rsid w:val="004A63E6"/>
    <w:rsid w:val="004A72F6"/>
    <w:rsid w:val="004A74D7"/>
    <w:rsid w:val="004B6930"/>
    <w:rsid w:val="004B6A3C"/>
    <w:rsid w:val="004C2386"/>
    <w:rsid w:val="004C5FD0"/>
    <w:rsid w:val="004C756E"/>
    <w:rsid w:val="004D1F0A"/>
    <w:rsid w:val="004D6984"/>
    <w:rsid w:val="004E0685"/>
    <w:rsid w:val="004E0B6E"/>
    <w:rsid w:val="004E52A3"/>
    <w:rsid w:val="004F0436"/>
    <w:rsid w:val="004F498F"/>
    <w:rsid w:val="004F5890"/>
    <w:rsid w:val="004F5BB6"/>
    <w:rsid w:val="00503603"/>
    <w:rsid w:val="00513057"/>
    <w:rsid w:val="00515D02"/>
    <w:rsid w:val="0051698B"/>
    <w:rsid w:val="00520BAA"/>
    <w:rsid w:val="00521312"/>
    <w:rsid w:val="00522761"/>
    <w:rsid w:val="00552638"/>
    <w:rsid w:val="00554651"/>
    <w:rsid w:val="00563784"/>
    <w:rsid w:val="005723C4"/>
    <w:rsid w:val="0058328D"/>
    <w:rsid w:val="005837B6"/>
    <w:rsid w:val="00585476"/>
    <w:rsid w:val="005878B6"/>
    <w:rsid w:val="005926CB"/>
    <w:rsid w:val="00593607"/>
    <w:rsid w:val="005A14D7"/>
    <w:rsid w:val="005A67FC"/>
    <w:rsid w:val="005A70A4"/>
    <w:rsid w:val="005A795D"/>
    <w:rsid w:val="005B478B"/>
    <w:rsid w:val="005B77D4"/>
    <w:rsid w:val="005C4E1A"/>
    <w:rsid w:val="005D64FC"/>
    <w:rsid w:val="005D7F93"/>
    <w:rsid w:val="005E7705"/>
    <w:rsid w:val="005F06DA"/>
    <w:rsid w:val="005F559A"/>
    <w:rsid w:val="006012F0"/>
    <w:rsid w:val="0060235C"/>
    <w:rsid w:val="00610662"/>
    <w:rsid w:val="0061164D"/>
    <w:rsid w:val="00627AF0"/>
    <w:rsid w:val="0063174A"/>
    <w:rsid w:val="0063729F"/>
    <w:rsid w:val="0064044D"/>
    <w:rsid w:val="006423D9"/>
    <w:rsid w:val="0064299F"/>
    <w:rsid w:val="006476B2"/>
    <w:rsid w:val="00651081"/>
    <w:rsid w:val="00651AB3"/>
    <w:rsid w:val="00657329"/>
    <w:rsid w:val="006629B6"/>
    <w:rsid w:val="0066382F"/>
    <w:rsid w:val="00665702"/>
    <w:rsid w:val="00670CDF"/>
    <w:rsid w:val="00672A4E"/>
    <w:rsid w:val="00673C45"/>
    <w:rsid w:val="00675FD4"/>
    <w:rsid w:val="00676843"/>
    <w:rsid w:val="006815B0"/>
    <w:rsid w:val="006A4099"/>
    <w:rsid w:val="006A4D42"/>
    <w:rsid w:val="006B1763"/>
    <w:rsid w:val="006C1040"/>
    <w:rsid w:val="006C1073"/>
    <w:rsid w:val="006E2E38"/>
    <w:rsid w:val="006E465E"/>
    <w:rsid w:val="006E54D4"/>
    <w:rsid w:val="00703C32"/>
    <w:rsid w:val="00703E99"/>
    <w:rsid w:val="00712892"/>
    <w:rsid w:val="00712DBC"/>
    <w:rsid w:val="007130EE"/>
    <w:rsid w:val="00713571"/>
    <w:rsid w:val="007135CE"/>
    <w:rsid w:val="00716F85"/>
    <w:rsid w:val="0072304E"/>
    <w:rsid w:val="007230F3"/>
    <w:rsid w:val="007268EB"/>
    <w:rsid w:val="0072739A"/>
    <w:rsid w:val="007337D7"/>
    <w:rsid w:val="007358F5"/>
    <w:rsid w:val="00745F9F"/>
    <w:rsid w:val="0074689E"/>
    <w:rsid w:val="00752D97"/>
    <w:rsid w:val="00755FF3"/>
    <w:rsid w:val="00756F1E"/>
    <w:rsid w:val="007622B6"/>
    <w:rsid w:val="00762700"/>
    <w:rsid w:val="00763EC0"/>
    <w:rsid w:val="007739C9"/>
    <w:rsid w:val="007773E5"/>
    <w:rsid w:val="0078622F"/>
    <w:rsid w:val="007870AB"/>
    <w:rsid w:val="00790E51"/>
    <w:rsid w:val="00796547"/>
    <w:rsid w:val="007A17C8"/>
    <w:rsid w:val="007B47EE"/>
    <w:rsid w:val="007B5837"/>
    <w:rsid w:val="007D06F5"/>
    <w:rsid w:val="007D3D2B"/>
    <w:rsid w:val="007D5F59"/>
    <w:rsid w:val="007D7A9F"/>
    <w:rsid w:val="007E71F8"/>
    <w:rsid w:val="007F2FB6"/>
    <w:rsid w:val="00802470"/>
    <w:rsid w:val="00805C7F"/>
    <w:rsid w:val="00810A9F"/>
    <w:rsid w:val="0081124A"/>
    <w:rsid w:val="00813BE2"/>
    <w:rsid w:val="00814D74"/>
    <w:rsid w:val="008172A6"/>
    <w:rsid w:val="00817AF2"/>
    <w:rsid w:val="00830C0F"/>
    <w:rsid w:val="008322DE"/>
    <w:rsid w:val="00833488"/>
    <w:rsid w:val="008428CB"/>
    <w:rsid w:val="008530E3"/>
    <w:rsid w:val="0085544F"/>
    <w:rsid w:val="008569D5"/>
    <w:rsid w:val="00857DE1"/>
    <w:rsid w:val="00861958"/>
    <w:rsid w:val="00861EB4"/>
    <w:rsid w:val="008651B2"/>
    <w:rsid w:val="008729B8"/>
    <w:rsid w:val="00874114"/>
    <w:rsid w:val="00875DA5"/>
    <w:rsid w:val="00880350"/>
    <w:rsid w:val="00880375"/>
    <w:rsid w:val="00887695"/>
    <w:rsid w:val="00890C5B"/>
    <w:rsid w:val="00891BD1"/>
    <w:rsid w:val="00895BCC"/>
    <w:rsid w:val="008A1166"/>
    <w:rsid w:val="008A1AE2"/>
    <w:rsid w:val="008B228B"/>
    <w:rsid w:val="008B3B34"/>
    <w:rsid w:val="008C2146"/>
    <w:rsid w:val="008C255F"/>
    <w:rsid w:val="008C3ED0"/>
    <w:rsid w:val="008D0A9A"/>
    <w:rsid w:val="008D0DC0"/>
    <w:rsid w:val="008D41D2"/>
    <w:rsid w:val="008D42D5"/>
    <w:rsid w:val="008D77D3"/>
    <w:rsid w:val="008D7FBD"/>
    <w:rsid w:val="008F2A32"/>
    <w:rsid w:val="008F5B62"/>
    <w:rsid w:val="009034D2"/>
    <w:rsid w:val="00903BF3"/>
    <w:rsid w:val="00916C20"/>
    <w:rsid w:val="009231BE"/>
    <w:rsid w:val="00923390"/>
    <w:rsid w:val="009241A7"/>
    <w:rsid w:val="00926E73"/>
    <w:rsid w:val="009305EB"/>
    <w:rsid w:val="00930DBC"/>
    <w:rsid w:val="009324B7"/>
    <w:rsid w:val="00934601"/>
    <w:rsid w:val="009431E4"/>
    <w:rsid w:val="00951584"/>
    <w:rsid w:val="00953355"/>
    <w:rsid w:val="009577B5"/>
    <w:rsid w:val="00961D91"/>
    <w:rsid w:val="009650EF"/>
    <w:rsid w:val="00967E40"/>
    <w:rsid w:val="009840B8"/>
    <w:rsid w:val="00990B32"/>
    <w:rsid w:val="00993827"/>
    <w:rsid w:val="009A3B25"/>
    <w:rsid w:val="009B4320"/>
    <w:rsid w:val="009C4BD1"/>
    <w:rsid w:val="009C521C"/>
    <w:rsid w:val="009C6914"/>
    <w:rsid w:val="009D1D5B"/>
    <w:rsid w:val="009D334C"/>
    <w:rsid w:val="009D41A6"/>
    <w:rsid w:val="009D49A8"/>
    <w:rsid w:val="009E008F"/>
    <w:rsid w:val="009E3564"/>
    <w:rsid w:val="009E640E"/>
    <w:rsid w:val="009F08D0"/>
    <w:rsid w:val="009F28AF"/>
    <w:rsid w:val="00A0179A"/>
    <w:rsid w:val="00A12E9E"/>
    <w:rsid w:val="00A13902"/>
    <w:rsid w:val="00A17115"/>
    <w:rsid w:val="00A21470"/>
    <w:rsid w:val="00A2501C"/>
    <w:rsid w:val="00A44940"/>
    <w:rsid w:val="00A452B2"/>
    <w:rsid w:val="00A55341"/>
    <w:rsid w:val="00A75315"/>
    <w:rsid w:val="00A77D82"/>
    <w:rsid w:val="00A83827"/>
    <w:rsid w:val="00A842DB"/>
    <w:rsid w:val="00A86687"/>
    <w:rsid w:val="00A95EF9"/>
    <w:rsid w:val="00A97CF5"/>
    <w:rsid w:val="00AA3A31"/>
    <w:rsid w:val="00AA7C2A"/>
    <w:rsid w:val="00AC05D8"/>
    <w:rsid w:val="00AC7E37"/>
    <w:rsid w:val="00AD3726"/>
    <w:rsid w:val="00AD4DA7"/>
    <w:rsid w:val="00AD6DB2"/>
    <w:rsid w:val="00AE550F"/>
    <w:rsid w:val="00AF1029"/>
    <w:rsid w:val="00AF1258"/>
    <w:rsid w:val="00AF4DA9"/>
    <w:rsid w:val="00AF5466"/>
    <w:rsid w:val="00AF5C86"/>
    <w:rsid w:val="00AF63E9"/>
    <w:rsid w:val="00B033AF"/>
    <w:rsid w:val="00B04252"/>
    <w:rsid w:val="00B04EF7"/>
    <w:rsid w:val="00B104BC"/>
    <w:rsid w:val="00B10FC2"/>
    <w:rsid w:val="00B171EF"/>
    <w:rsid w:val="00B24D9F"/>
    <w:rsid w:val="00B2698B"/>
    <w:rsid w:val="00B2740E"/>
    <w:rsid w:val="00B43F97"/>
    <w:rsid w:val="00B6072A"/>
    <w:rsid w:val="00B61100"/>
    <w:rsid w:val="00B627FE"/>
    <w:rsid w:val="00B6312D"/>
    <w:rsid w:val="00B6519D"/>
    <w:rsid w:val="00B653B9"/>
    <w:rsid w:val="00B748C3"/>
    <w:rsid w:val="00B77E37"/>
    <w:rsid w:val="00B8100A"/>
    <w:rsid w:val="00B90995"/>
    <w:rsid w:val="00B90BA3"/>
    <w:rsid w:val="00B95FFD"/>
    <w:rsid w:val="00BA28E8"/>
    <w:rsid w:val="00BB0353"/>
    <w:rsid w:val="00BB1412"/>
    <w:rsid w:val="00BC399C"/>
    <w:rsid w:val="00BC7261"/>
    <w:rsid w:val="00BC74E3"/>
    <w:rsid w:val="00BD3DBE"/>
    <w:rsid w:val="00BD5B65"/>
    <w:rsid w:val="00BE3718"/>
    <w:rsid w:val="00BE49D0"/>
    <w:rsid w:val="00BE624B"/>
    <w:rsid w:val="00BE7DB6"/>
    <w:rsid w:val="00BF0C1C"/>
    <w:rsid w:val="00BF0D62"/>
    <w:rsid w:val="00C025B5"/>
    <w:rsid w:val="00C04B05"/>
    <w:rsid w:val="00C10239"/>
    <w:rsid w:val="00C10BBD"/>
    <w:rsid w:val="00C10FBA"/>
    <w:rsid w:val="00C15326"/>
    <w:rsid w:val="00C33AC1"/>
    <w:rsid w:val="00C3426D"/>
    <w:rsid w:val="00C35339"/>
    <w:rsid w:val="00C45A2D"/>
    <w:rsid w:val="00C47456"/>
    <w:rsid w:val="00C47993"/>
    <w:rsid w:val="00C56EA2"/>
    <w:rsid w:val="00C61C9E"/>
    <w:rsid w:val="00C62F6A"/>
    <w:rsid w:val="00C67E8E"/>
    <w:rsid w:val="00C70F5E"/>
    <w:rsid w:val="00C71BF8"/>
    <w:rsid w:val="00C737E8"/>
    <w:rsid w:val="00C85B53"/>
    <w:rsid w:val="00C872FF"/>
    <w:rsid w:val="00C903BC"/>
    <w:rsid w:val="00C91C6F"/>
    <w:rsid w:val="00C94275"/>
    <w:rsid w:val="00C96E26"/>
    <w:rsid w:val="00CA5550"/>
    <w:rsid w:val="00CB7F0B"/>
    <w:rsid w:val="00CC1FAA"/>
    <w:rsid w:val="00CC4EA3"/>
    <w:rsid w:val="00CC5CE4"/>
    <w:rsid w:val="00CD0382"/>
    <w:rsid w:val="00CD7966"/>
    <w:rsid w:val="00CE35A6"/>
    <w:rsid w:val="00D07E72"/>
    <w:rsid w:val="00D33D0D"/>
    <w:rsid w:val="00D42AEF"/>
    <w:rsid w:val="00D43A16"/>
    <w:rsid w:val="00D54442"/>
    <w:rsid w:val="00D56473"/>
    <w:rsid w:val="00D70E63"/>
    <w:rsid w:val="00D70FCF"/>
    <w:rsid w:val="00D71890"/>
    <w:rsid w:val="00D73A57"/>
    <w:rsid w:val="00D73B13"/>
    <w:rsid w:val="00D76EB8"/>
    <w:rsid w:val="00D826D1"/>
    <w:rsid w:val="00D82BE9"/>
    <w:rsid w:val="00D84571"/>
    <w:rsid w:val="00D87A27"/>
    <w:rsid w:val="00D910C3"/>
    <w:rsid w:val="00D91FED"/>
    <w:rsid w:val="00D93611"/>
    <w:rsid w:val="00DA0D4F"/>
    <w:rsid w:val="00DB05A2"/>
    <w:rsid w:val="00DC0738"/>
    <w:rsid w:val="00DC36A5"/>
    <w:rsid w:val="00DC438F"/>
    <w:rsid w:val="00DD3E2A"/>
    <w:rsid w:val="00DD419F"/>
    <w:rsid w:val="00DD58C7"/>
    <w:rsid w:val="00DD6612"/>
    <w:rsid w:val="00DD6C7B"/>
    <w:rsid w:val="00DE223A"/>
    <w:rsid w:val="00DE24C6"/>
    <w:rsid w:val="00DF48C8"/>
    <w:rsid w:val="00DF7734"/>
    <w:rsid w:val="00E015DF"/>
    <w:rsid w:val="00E0233A"/>
    <w:rsid w:val="00E07B4E"/>
    <w:rsid w:val="00E12791"/>
    <w:rsid w:val="00E176CF"/>
    <w:rsid w:val="00E17ABD"/>
    <w:rsid w:val="00E208FF"/>
    <w:rsid w:val="00E22C04"/>
    <w:rsid w:val="00E30646"/>
    <w:rsid w:val="00E41B01"/>
    <w:rsid w:val="00E60257"/>
    <w:rsid w:val="00E63EA6"/>
    <w:rsid w:val="00E67093"/>
    <w:rsid w:val="00E67749"/>
    <w:rsid w:val="00E722CF"/>
    <w:rsid w:val="00E72C96"/>
    <w:rsid w:val="00E77ADA"/>
    <w:rsid w:val="00E8339C"/>
    <w:rsid w:val="00E90BEE"/>
    <w:rsid w:val="00E97BB2"/>
    <w:rsid w:val="00EA0AFB"/>
    <w:rsid w:val="00EA2769"/>
    <w:rsid w:val="00EA3203"/>
    <w:rsid w:val="00EA4A16"/>
    <w:rsid w:val="00EB03DA"/>
    <w:rsid w:val="00EB269E"/>
    <w:rsid w:val="00EB67F9"/>
    <w:rsid w:val="00EC039F"/>
    <w:rsid w:val="00EC0488"/>
    <w:rsid w:val="00ED0391"/>
    <w:rsid w:val="00ED24A8"/>
    <w:rsid w:val="00ED4983"/>
    <w:rsid w:val="00ED4B9C"/>
    <w:rsid w:val="00EE0555"/>
    <w:rsid w:val="00EE20D0"/>
    <w:rsid w:val="00EE404C"/>
    <w:rsid w:val="00EE5F98"/>
    <w:rsid w:val="00EE6006"/>
    <w:rsid w:val="00EF0864"/>
    <w:rsid w:val="00EF183C"/>
    <w:rsid w:val="00F2091B"/>
    <w:rsid w:val="00F251DE"/>
    <w:rsid w:val="00F25AC5"/>
    <w:rsid w:val="00F265E6"/>
    <w:rsid w:val="00F35E64"/>
    <w:rsid w:val="00F44410"/>
    <w:rsid w:val="00F62548"/>
    <w:rsid w:val="00F719B0"/>
    <w:rsid w:val="00F72613"/>
    <w:rsid w:val="00F83847"/>
    <w:rsid w:val="00F86495"/>
    <w:rsid w:val="00F8738E"/>
    <w:rsid w:val="00FA143F"/>
    <w:rsid w:val="00FA3658"/>
    <w:rsid w:val="00FA397F"/>
    <w:rsid w:val="00FB273C"/>
    <w:rsid w:val="00FB2A1B"/>
    <w:rsid w:val="00FB4D7A"/>
    <w:rsid w:val="00FB4F53"/>
    <w:rsid w:val="00FC07EF"/>
    <w:rsid w:val="00FC4832"/>
    <w:rsid w:val="00FC6D5C"/>
    <w:rsid w:val="00FD2BD8"/>
    <w:rsid w:val="00FD4F3F"/>
    <w:rsid w:val="00FD5F81"/>
    <w:rsid w:val="00FE78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3858"/>
  <w15:chartTrackingRefBased/>
  <w15:docId w15:val="{AD6E2142-4E81-45B4-808B-4883A919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6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66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6687"/>
    <w:rPr>
      <w:sz w:val="20"/>
      <w:szCs w:val="20"/>
    </w:rPr>
  </w:style>
  <w:style w:type="character" w:styleId="FootnoteReference">
    <w:name w:val="footnote reference"/>
    <w:basedOn w:val="DefaultParagraphFont"/>
    <w:uiPriority w:val="99"/>
    <w:semiHidden/>
    <w:unhideWhenUsed/>
    <w:rsid w:val="00A86687"/>
    <w:rPr>
      <w:vertAlign w:val="superscript"/>
    </w:rPr>
  </w:style>
  <w:style w:type="character" w:styleId="CommentReference">
    <w:name w:val="annotation reference"/>
    <w:basedOn w:val="DefaultParagraphFont"/>
    <w:unhideWhenUsed/>
    <w:rsid w:val="009577B5"/>
    <w:rPr>
      <w:sz w:val="16"/>
      <w:szCs w:val="16"/>
    </w:rPr>
  </w:style>
  <w:style w:type="paragraph" w:styleId="CommentText">
    <w:name w:val="annotation text"/>
    <w:basedOn w:val="Normal"/>
    <w:link w:val="CommentTextChar"/>
    <w:uiPriority w:val="99"/>
    <w:semiHidden/>
    <w:unhideWhenUsed/>
    <w:rsid w:val="009577B5"/>
    <w:pPr>
      <w:spacing w:line="240" w:lineRule="auto"/>
    </w:pPr>
    <w:rPr>
      <w:sz w:val="20"/>
      <w:szCs w:val="20"/>
    </w:rPr>
  </w:style>
  <w:style w:type="character" w:customStyle="1" w:styleId="CommentTextChar">
    <w:name w:val="Comment Text Char"/>
    <w:basedOn w:val="DefaultParagraphFont"/>
    <w:link w:val="CommentText"/>
    <w:uiPriority w:val="99"/>
    <w:semiHidden/>
    <w:rsid w:val="009577B5"/>
    <w:rPr>
      <w:sz w:val="20"/>
      <w:szCs w:val="20"/>
    </w:rPr>
  </w:style>
  <w:style w:type="paragraph" w:styleId="BalloonText">
    <w:name w:val="Balloon Text"/>
    <w:basedOn w:val="Normal"/>
    <w:link w:val="BalloonTextChar"/>
    <w:uiPriority w:val="99"/>
    <w:semiHidden/>
    <w:unhideWhenUsed/>
    <w:rsid w:val="00957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7B5"/>
    <w:rPr>
      <w:rFonts w:ascii="Segoe UI" w:hAnsi="Segoe UI" w:cs="Segoe UI"/>
      <w:sz w:val="18"/>
      <w:szCs w:val="18"/>
    </w:rPr>
  </w:style>
  <w:style w:type="paragraph" w:styleId="ListParagraph">
    <w:name w:val="List Paragraph"/>
    <w:basedOn w:val="Normal"/>
    <w:uiPriority w:val="34"/>
    <w:qFormat/>
    <w:rsid w:val="00DB05A2"/>
    <w:pPr>
      <w:ind w:left="720"/>
      <w:contextualSpacing/>
    </w:pPr>
  </w:style>
  <w:style w:type="paragraph" w:styleId="CommentSubject">
    <w:name w:val="annotation subject"/>
    <w:basedOn w:val="CommentText"/>
    <w:next w:val="CommentText"/>
    <w:link w:val="CommentSubjectChar"/>
    <w:uiPriority w:val="99"/>
    <w:semiHidden/>
    <w:unhideWhenUsed/>
    <w:rsid w:val="007E71F8"/>
    <w:rPr>
      <w:b/>
      <w:bCs/>
    </w:rPr>
  </w:style>
  <w:style w:type="character" w:customStyle="1" w:styleId="CommentSubjectChar">
    <w:name w:val="Comment Subject Char"/>
    <w:basedOn w:val="CommentTextChar"/>
    <w:link w:val="CommentSubject"/>
    <w:uiPriority w:val="99"/>
    <w:semiHidden/>
    <w:rsid w:val="007E71F8"/>
    <w:rPr>
      <w:b/>
      <w:bCs/>
      <w:sz w:val="20"/>
      <w:szCs w:val="20"/>
    </w:rPr>
  </w:style>
  <w:style w:type="paragraph" w:styleId="Revision">
    <w:name w:val="Revision"/>
    <w:hidden/>
    <w:uiPriority w:val="99"/>
    <w:semiHidden/>
    <w:rsid w:val="00E12791"/>
    <w:pPr>
      <w:spacing w:after="0" w:line="240" w:lineRule="auto"/>
    </w:pPr>
  </w:style>
  <w:style w:type="character" w:styleId="Hyperlink">
    <w:name w:val="Hyperlink"/>
    <w:basedOn w:val="DefaultParagraphFont"/>
    <w:uiPriority w:val="99"/>
    <w:unhideWhenUsed/>
    <w:rsid w:val="00393D77"/>
    <w:rPr>
      <w:color w:val="0563C1" w:themeColor="hyperlink"/>
      <w:u w:val="single"/>
    </w:rPr>
  </w:style>
  <w:style w:type="character" w:styleId="UnresolvedMention">
    <w:name w:val="Unresolved Mention"/>
    <w:basedOn w:val="DefaultParagraphFont"/>
    <w:uiPriority w:val="99"/>
    <w:semiHidden/>
    <w:unhideWhenUsed/>
    <w:rsid w:val="00393D77"/>
    <w:rPr>
      <w:color w:val="605E5C"/>
      <w:shd w:val="clear" w:color="auto" w:fill="E1DFDD"/>
    </w:rPr>
  </w:style>
  <w:style w:type="paragraph" w:styleId="Header">
    <w:name w:val="header"/>
    <w:basedOn w:val="Normal"/>
    <w:link w:val="HeaderChar"/>
    <w:uiPriority w:val="99"/>
    <w:unhideWhenUsed/>
    <w:rsid w:val="00A017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79A"/>
  </w:style>
  <w:style w:type="paragraph" w:styleId="Footer">
    <w:name w:val="footer"/>
    <w:basedOn w:val="Normal"/>
    <w:link w:val="FooterChar"/>
    <w:uiPriority w:val="99"/>
    <w:unhideWhenUsed/>
    <w:rsid w:val="00A017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79A"/>
  </w:style>
  <w:style w:type="paragraph" w:customStyle="1" w:styleId="Index">
    <w:name w:val="Index"/>
    <w:basedOn w:val="Normal"/>
    <w:rsid w:val="008C255F"/>
    <w:pPr>
      <w:suppressLineNumbers/>
      <w:suppressAutoHyphens/>
      <w:autoSpaceDN w:val="0"/>
      <w:textAlignment w:val="baseline"/>
    </w:pPr>
    <w:rPr>
      <w:rFonts w:ascii="Calibri" w:eastAsia="SimSun" w:hAnsi="Calibri" w:cs="Arial"/>
      <w:kern w:val="3"/>
    </w:rPr>
  </w:style>
  <w:style w:type="paragraph" w:customStyle="1" w:styleId="Default">
    <w:name w:val="Default"/>
    <w:rsid w:val="00712D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AF63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124375">
      <w:bodyDiv w:val="1"/>
      <w:marLeft w:val="0"/>
      <w:marRight w:val="0"/>
      <w:marTop w:val="0"/>
      <w:marBottom w:val="0"/>
      <w:divBdr>
        <w:top w:val="none" w:sz="0" w:space="0" w:color="auto"/>
        <w:left w:val="none" w:sz="0" w:space="0" w:color="auto"/>
        <w:bottom w:val="none" w:sz="0" w:space="0" w:color="auto"/>
        <w:right w:val="none" w:sz="0" w:space="0" w:color="auto"/>
      </w:divBdr>
    </w:div>
    <w:div w:id="561907947">
      <w:bodyDiv w:val="1"/>
      <w:marLeft w:val="0"/>
      <w:marRight w:val="0"/>
      <w:marTop w:val="0"/>
      <w:marBottom w:val="0"/>
      <w:divBdr>
        <w:top w:val="none" w:sz="0" w:space="0" w:color="auto"/>
        <w:left w:val="none" w:sz="0" w:space="0" w:color="auto"/>
        <w:bottom w:val="none" w:sz="0" w:space="0" w:color="auto"/>
        <w:right w:val="none" w:sz="0" w:space="0" w:color="auto"/>
      </w:divBdr>
    </w:div>
    <w:div w:id="599604406">
      <w:bodyDiv w:val="1"/>
      <w:marLeft w:val="0"/>
      <w:marRight w:val="0"/>
      <w:marTop w:val="0"/>
      <w:marBottom w:val="0"/>
      <w:divBdr>
        <w:top w:val="none" w:sz="0" w:space="0" w:color="auto"/>
        <w:left w:val="none" w:sz="0" w:space="0" w:color="auto"/>
        <w:bottom w:val="none" w:sz="0" w:space="0" w:color="auto"/>
        <w:right w:val="none" w:sz="0" w:space="0" w:color="auto"/>
      </w:divBdr>
    </w:div>
    <w:div w:id="166967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hdl.handle.net/11035/3079"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hdl.handle.net/11035/6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4FEF9-6C4E-4F28-97BA-8D13DEE83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7154</Words>
  <Characters>40783</Characters>
  <Application>Microsoft Office Word</Application>
  <DocSecurity>4</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Belton</dc:creator>
  <cp:keywords/>
  <dc:description/>
  <cp:lastModifiedBy>Walker, Ian</cp:lastModifiedBy>
  <cp:revision>2</cp:revision>
  <cp:lastPrinted>2021-03-07T16:53:00Z</cp:lastPrinted>
  <dcterms:created xsi:type="dcterms:W3CDTF">2021-06-09T10:50:00Z</dcterms:created>
  <dcterms:modified xsi:type="dcterms:W3CDTF">2021-06-09T10:50:00Z</dcterms:modified>
</cp:coreProperties>
</file>