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E8DEC" w14:textId="6F24E790" w:rsidR="00C52E89" w:rsidRPr="00512EB4" w:rsidRDefault="00C52E89" w:rsidP="00512EB4">
      <w:pPr>
        <w:spacing w:line="276" w:lineRule="auto"/>
        <w:rPr>
          <w:b/>
          <w:bCs/>
          <w:sz w:val="24"/>
        </w:rPr>
      </w:pPr>
      <w:r w:rsidRPr="00512EB4">
        <w:rPr>
          <w:b/>
          <w:bCs/>
          <w:sz w:val="24"/>
        </w:rPr>
        <w:t xml:space="preserve">Title: </w:t>
      </w:r>
      <w:r w:rsidR="00CF4963" w:rsidRPr="00CF4963">
        <w:rPr>
          <w:b/>
          <w:bCs/>
          <w:sz w:val="24"/>
        </w:rPr>
        <w:t>Comparison of vaccine-induced thrombotic events between ChAdOx1 nCoV-19 and Ad26.COV.2.S vaccines</w:t>
      </w:r>
    </w:p>
    <w:p w14:paraId="62C7615C" w14:textId="77777777" w:rsidR="00C52E89" w:rsidRPr="00512EB4" w:rsidRDefault="00C52E89" w:rsidP="00512EB4">
      <w:pPr>
        <w:spacing w:line="276" w:lineRule="auto"/>
        <w:rPr>
          <w:b/>
          <w:bCs/>
          <w:sz w:val="24"/>
        </w:rPr>
      </w:pPr>
    </w:p>
    <w:p w14:paraId="15EF0355" w14:textId="77777777" w:rsidR="00C52E89" w:rsidRPr="00512EB4" w:rsidRDefault="00C52E89" w:rsidP="00512EB4">
      <w:pPr>
        <w:wordWrap/>
        <w:spacing w:line="276" w:lineRule="auto"/>
        <w:jc w:val="center"/>
        <w:rPr>
          <w:rFonts w:eastAsia="Times New Roman"/>
          <w:sz w:val="24"/>
          <w:lang w:val="en-CA" w:eastAsia="ar-SA"/>
        </w:rPr>
      </w:pPr>
      <w:r w:rsidRPr="00512EB4">
        <w:rPr>
          <w:rFonts w:eastAsia="Times New Roman"/>
          <w:sz w:val="24"/>
          <w:lang w:val="en-CA" w:eastAsia="ar-SA"/>
        </w:rPr>
        <w:t>Jimin Hwang</w:t>
      </w:r>
      <w:r w:rsidRPr="00512EB4">
        <w:rPr>
          <w:rFonts w:eastAsia="Times New Roman"/>
          <w:sz w:val="24"/>
          <w:vertAlign w:val="superscript"/>
          <w:lang w:val="en-CA" w:eastAsia="ar-SA"/>
        </w:rPr>
        <w:t>1</w:t>
      </w:r>
      <w:r w:rsidRPr="00512EB4">
        <w:rPr>
          <w:sz w:val="24"/>
        </w:rPr>
        <w:t>†</w:t>
      </w:r>
      <w:r w:rsidRPr="00512EB4">
        <w:rPr>
          <w:sz w:val="24"/>
          <w:lang w:val="en-CA"/>
        </w:rPr>
        <w:t xml:space="preserve">, </w:t>
      </w:r>
      <w:r w:rsidRPr="00512EB4">
        <w:rPr>
          <w:sz w:val="24"/>
        </w:rPr>
        <w:t>Se Bee Lee</w:t>
      </w:r>
      <w:r w:rsidRPr="00512EB4">
        <w:rPr>
          <w:rFonts w:eastAsia="Times New Roman"/>
          <w:sz w:val="24"/>
          <w:vertAlign w:val="superscript"/>
          <w:lang w:eastAsia="ar-SA"/>
        </w:rPr>
        <w:t>2</w:t>
      </w:r>
      <w:r w:rsidRPr="00512EB4">
        <w:rPr>
          <w:sz w:val="24"/>
        </w:rPr>
        <w:t>†</w:t>
      </w:r>
      <w:r w:rsidRPr="00512EB4">
        <w:rPr>
          <w:sz w:val="24"/>
          <w:lang w:val="en-CA"/>
        </w:rPr>
        <w:t xml:space="preserve">, </w:t>
      </w:r>
      <w:r w:rsidRPr="00512EB4">
        <w:rPr>
          <w:sz w:val="24"/>
        </w:rPr>
        <w:t>Seung Won Lee</w:t>
      </w:r>
      <w:r w:rsidRPr="00512EB4">
        <w:rPr>
          <w:rFonts w:eastAsia="Times New Roman"/>
          <w:sz w:val="24"/>
          <w:vertAlign w:val="superscript"/>
          <w:lang w:val="en-CA" w:eastAsia="ar-SA"/>
        </w:rPr>
        <w:t>3</w:t>
      </w:r>
      <w:r w:rsidRPr="00512EB4">
        <w:rPr>
          <w:sz w:val="24"/>
        </w:rPr>
        <w:t>†, Min Ho Lee</w:t>
      </w:r>
      <w:r w:rsidRPr="00512EB4">
        <w:rPr>
          <w:rFonts w:eastAsia="Times New Roman"/>
          <w:sz w:val="24"/>
          <w:vertAlign w:val="superscript"/>
          <w:lang w:val="en-CA" w:eastAsia="ar-SA"/>
        </w:rPr>
        <w:t>4</w:t>
      </w:r>
      <w:r w:rsidRPr="00512EB4">
        <w:rPr>
          <w:sz w:val="24"/>
        </w:rPr>
        <w:t xml:space="preserve">, </w:t>
      </w:r>
      <w:r w:rsidRPr="00512EB4">
        <w:rPr>
          <w:rFonts w:eastAsia="Times New Roman"/>
          <w:sz w:val="24"/>
          <w:lang w:val="en-CA" w:eastAsia="ar-SA"/>
        </w:rPr>
        <w:t>Ai Koyanagi</w:t>
      </w:r>
      <w:r w:rsidRPr="00512EB4">
        <w:rPr>
          <w:rFonts w:eastAsia="Times New Roman"/>
          <w:sz w:val="24"/>
          <w:vertAlign w:val="superscript"/>
          <w:lang w:val="en-CA" w:eastAsia="ar-SA"/>
        </w:rPr>
        <w:t>5,6</w:t>
      </w:r>
      <w:r w:rsidRPr="00512EB4">
        <w:rPr>
          <w:rFonts w:eastAsia="Times New Roman"/>
          <w:sz w:val="24"/>
          <w:lang w:val="en-CA" w:eastAsia="ar-SA"/>
        </w:rPr>
        <w:t xml:space="preserve">, </w:t>
      </w:r>
      <w:r w:rsidRPr="00512EB4">
        <w:rPr>
          <w:rFonts w:eastAsia="Times New Roman"/>
          <w:sz w:val="24"/>
          <w:lang w:val="en-CA" w:eastAsia="ar-SA"/>
        </w:rPr>
        <w:br/>
        <w:t>Louis Jacob</w:t>
      </w:r>
      <w:r w:rsidRPr="00512EB4">
        <w:rPr>
          <w:rFonts w:eastAsia="Times New Roman"/>
          <w:sz w:val="24"/>
          <w:vertAlign w:val="superscript"/>
          <w:lang w:val="en-CA" w:eastAsia="ar-SA"/>
        </w:rPr>
        <w:t>5,7,8</w:t>
      </w:r>
      <w:r w:rsidRPr="00512EB4">
        <w:rPr>
          <w:rFonts w:eastAsia="Times New Roman"/>
          <w:sz w:val="24"/>
          <w:lang w:val="en-CA" w:eastAsia="ar-SA"/>
        </w:rPr>
        <w:t xml:space="preserve">, </w:t>
      </w:r>
      <w:proofErr w:type="spellStart"/>
      <w:r w:rsidRPr="00512EB4">
        <w:rPr>
          <w:rFonts w:eastAsia="Times New Roman"/>
          <w:sz w:val="24"/>
          <w:lang w:val="en-CA" w:eastAsia="ar-SA"/>
        </w:rPr>
        <w:t>Kalthoum</w:t>
      </w:r>
      <w:proofErr w:type="spellEnd"/>
      <w:r w:rsidRPr="00512EB4">
        <w:rPr>
          <w:rFonts w:eastAsia="Times New Roman"/>
          <w:sz w:val="24"/>
          <w:lang w:val="en-CA" w:eastAsia="ar-SA"/>
        </w:rPr>
        <w:t xml:space="preserve"> Tizaoui</w:t>
      </w:r>
      <w:r w:rsidRPr="00512EB4">
        <w:rPr>
          <w:rFonts w:eastAsia="Times New Roman"/>
          <w:sz w:val="24"/>
          <w:vertAlign w:val="superscript"/>
          <w:lang w:val="en-CA" w:eastAsia="ar-SA"/>
        </w:rPr>
        <w:t>9</w:t>
      </w:r>
      <w:r w:rsidRPr="00512EB4">
        <w:rPr>
          <w:rFonts w:eastAsia="Times New Roman"/>
          <w:sz w:val="24"/>
          <w:lang w:val="en-CA" w:eastAsia="ar-SA"/>
        </w:rPr>
        <w:t>, Dong Keon Yon</w:t>
      </w:r>
      <w:r w:rsidRPr="00512EB4">
        <w:rPr>
          <w:rFonts w:eastAsia="Times New Roman"/>
          <w:sz w:val="24"/>
          <w:vertAlign w:val="superscript"/>
          <w:lang w:val="en-CA" w:eastAsia="ar-SA"/>
        </w:rPr>
        <w:t>10</w:t>
      </w:r>
      <w:r w:rsidRPr="00512EB4">
        <w:rPr>
          <w:b/>
          <w:sz w:val="24"/>
        </w:rPr>
        <w:t>*</w:t>
      </w:r>
      <w:r w:rsidRPr="00512EB4">
        <w:rPr>
          <w:rFonts w:eastAsia="Times New Roman"/>
          <w:sz w:val="24"/>
          <w:lang w:val="en-CA" w:eastAsia="ar-SA"/>
        </w:rPr>
        <w:t xml:space="preserve">, </w:t>
      </w:r>
      <w:r w:rsidRPr="00512EB4">
        <w:rPr>
          <w:rFonts w:eastAsia="Times New Roman"/>
          <w:sz w:val="24"/>
          <w:lang w:eastAsia="ar-SA"/>
        </w:rPr>
        <w:t>Jae Il Shin</w:t>
      </w:r>
      <w:r w:rsidRPr="00512EB4">
        <w:rPr>
          <w:rFonts w:eastAsia="Times New Roman"/>
          <w:sz w:val="24"/>
          <w:vertAlign w:val="superscript"/>
          <w:lang w:eastAsia="ar-SA"/>
        </w:rPr>
        <w:t>11</w:t>
      </w:r>
      <w:r w:rsidRPr="00512EB4">
        <w:rPr>
          <w:b/>
          <w:sz w:val="24"/>
        </w:rPr>
        <w:t>*</w:t>
      </w:r>
      <w:r w:rsidRPr="00512EB4">
        <w:rPr>
          <w:rFonts w:eastAsia="Times New Roman"/>
          <w:sz w:val="24"/>
          <w:lang w:eastAsia="ar-SA"/>
        </w:rPr>
        <w:t xml:space="preserve">, </w:t>
      </w:r>
      <w:r w:rsidRPr="00512EB4">
        <w:rPr>
          <w:rFonts w:eastAsia="Times New Roman"/>
          <w:sz w:val="24"/>
          <w:lang w:val="en-CA" w:eastAsia="ar-SA"/>
        </w:rPr>
        <w:t>Lee Smith</w:t>
      </w:r>
      <w:r w:rsidRPr="00512EB4">
        <w:rPr>
          <w:rFonts w:eastAsia="Times New Roman"/>
          <w:sz w:val="24"/>
          <w:vertAlign w:val="superscript"/>
          <w:lang w:val="en-CA" w:eastAsia="ar-SA"/>
        </w:rPr>
        <w:t>12</w:t>
      </w:r>
    </w:p>
    <w:p w14:paraId="005DD25E" w14:textId="77777777" w:rsidR="000E59E9" w:rsidRDefault="000E59E9" w:rsidP="00512EB4">
      <w:pPr>
        <w:spacing w:line="276" w:lineRule="auto"/>
        <w:rPr>
          <w:sz w:val="21"/>
          <w:szCs w:val="21"/>
        </w:rPr>
      </w:pPr>
    </w:p>
    <w:p w14:paraId="0D5F7F7E" w14:textId="1154E18F" w:rsidR="00C52E89" w:rsidRPr="00512EB4" w:rsidRDefault="00C52E89" w:rsidP="00512EB4">
      <w:pPr>
        <w:spacing w:line="276" w:lineRule="auto"/>
        <w:rPr>
          <w:sz w:val="21"/>
          <w:szCs w:val="21"/>
        </w:rPr>
      </w:pPr>
      <w:r w:rsidRPr="00512EB4">
        <w:rPr>
          <w:sz w:val="21"/>
          <w:szCs w:val="21"/>
        </w:rPr>
        <w:t xml:space="preserve">1. Department of Epidemiology, Johns Hopkins Bloomberg School of Public Health, Baltimore, USA </w:t>
      </w:r>
    </w:p>
    <w:p w14:paraId="23AAAD50" w14:textId="77777777" w:rsidR="00C52E89" w:rsidRPr="00512EB4" w:rsidRDefault="00C52E89" w:rsidP="00512EB4">
      <w:pPr>
        <w:spacing w:line="276" w:lineRule="auto"/>
        <w:rPr>
          <w:sz w:val="21"/>
          <w:szCs w:val="21"/>
        </w:rPr>
      </w:pPr>
      <w:r w:rsidRPr="00512EB4">
        <w:rPr>
          <w:sz w:val="21"/>
          <w:szCs w:val="21"/>
        </w:rPr>
        <w:t>2. Ulsan University College of Medicine, Seoul, Republic of Korea</w:t>
      </w:r>
    </w:p>
    <w:p w14:paraId="65C793CD" w14:textId="77777777" w:rsidR="00C52E89" w:rsidRPr="00512EB4" w:rsidRDefault="00C52E89" w:rsidP="00512EB4">
      <w:pPr>
        <w:spacing w:line="276" w:lineRule="auto"/>
        <w:rPr>
          <w:sz w:val="21"/>
          <w:szCs w:val="21"/>
        </w:rPr>
      </w:pPr>
      <w:r w:rsidRPr="00512EB4">
        <w:rPr>
          <w:sz w:val="21"/>
          <w:szCs w:val="21"/>
        </w:rPr>
        <w:t>3. Department of Data Science, Sejong University College of Software Convergence, Seoul, South Korea</w:t>
      </w:r>
    </w:p>
    <w:p w14:paraId="347E1317" w14:textId="77777777" w:rsidR="00C52E89" w:rsidRPr="00512EB4" w:rsidRDefault="00C52E89" w:rsidP="00512EB4">
      <w:pPr>
        <w:spacing w:line="276" w:lineRule="auto"/>
        <w:rPr>
          <w:sz w:val="21"/>
          <w:szCs w:val="21"/>
        </w:rPr>
      </w:pPr>
      <w:r w:rsidRPr="00512EB4">
        <w:rPr>
          <w:sz w:val="21"/>
          <w:szCs w:val="21"/>
        </w:rPr>
        <w:t>4. Yonsei University College of Medicine, Seoul, Republic of Korea</w:t>
      </w:r>
    </w:p>
    <w:p w14:paraId="63AF173F" w14:textId="77777777" w:rsidR="00C52E89" w:rsidRPr="00512EB4" w:rsidRDefault="00C52E89" w:rsidP="00512EB4">
      <w:pPr>
        <w:spacing w:line="276" w:lineRule="auto"/>
        <w:rPr>
          <w:sz w:val="21"/>
          <w:szCs w:val="21"/>
          <w:lang w:val="fr-FR"/>
        </w:rPr>
      </w:pPr>
      <w:r w:rsidRPr="00512EB4">
        <w:rPr>
          <w:sz w:val="21"/>
          <w:szCs w:val="21"/>
          <w:lang w:val="fr-FR"/>
        </w:rPr>
        <w:t xml:space="preserve">5. Parc </w:t>
      </w:r>
      <w:proofErr w:type="spellStart"/>
      <w:r w:rsidRPr="00512EB4">
        <w:rPr>
          <w:sz w:val="21"/>
          <w:szCs w:val="21"/>
          <w:lang w:val="fr-FR"/>
        </w:rPr>
        <w:t>Sanitari</w:t>
      </w:r>
      <w:proofErr w:type="spellEnd"/>
      <w:r w:rsidRPr="00512EB4">
        <w:rPr>
          <w:sz w:val="21"/>
          <w:szCs w:val="21"/>
          <w:lang w:val="fr-FR"/>
        </w:rPr>
        <w:t xml:space="preserve"> Sant Joan de </w:t>
      </w:r>
      <w:proofErr w:type="spellStart"/>
      <w:r w:rsidRPr="00512EB4">
        <w:rPr>
          <w:sz w:val="21"/>
          <w:szCs w:val="21"/>
          <w:lang w:val="fr-FR"/>
        </w:rPr>
        <w:t>Deu</w:t>
      </w:r>
      <w:proofErr w:type="spellEnd"/>
      <w:r w:rsidRPr="00512EB4">
        <w:rPr>
          <w:sz w:val="21"/>
          <w:szCs w:val="21"/>
          <w:lang w:val="fr-FR"/>
        </w:rPr>
        <w:t xml:space="preserve">/CIBERSAM, </w:t>
      </w:r>
      <w:proofErr w:type="spellStart"/>
      <w:r w:rsidRPr="00512EB4">
        <w:rPr>
          <w:sz w:val="21"/>
          <w:szCs w:val="21"/>
          <w:lang w:val="fr-FR"/>
        </w:rPr>
        <w:t>Universitat</w:t>
      </w:r>
      <w:proofErr w:type="spellEnd"/>
      <w:r w:rsidRPr="00512EB4">
        <w:rPr>
          <w:sz w:val="21"/>
          <w:szCs w:val="21"/>
          <w:lang w:val="fr-FR"/>
        </w:rPr>
        <w:t xml:space="preserve"> de Barcelona, </w:t>
      </w:r>
      <w:proofErr w:type="spellStart"/>
      <w:r w:rsidRPr="00512EB4">
        <w:rPr>
          <w:sz w:val="21"/>
          <w:szCs w:val="21"/>
          <w:lang w:val="fr-FR"/>
        </w:rPr>
        <w:t>Fundacio</w:t>
      </w:r>
      <w:proofErr w:type="spellEnd"/>
      <w:r w:rsidRPr="00512EB4">
        <w:rPr>
          <w:sz w:val="21"/>
          <w:szCs w:val="21"/>
          <w:lang w:val="fr-FR"/>
        </w:rPr>
        <w:t xml:space="preserve"> Sant Joan de </w:t>
      </w:r>
      <w:proofErr w:type="spellStart"/>
      <w:r w:rsidRPr="00512EB4">
        <w:rPr>
          <w:sz w:val="21"/>
          <w:szCs w:val="21"/>
          <w:lang w:val="fr-FR"/>
        </w:rPr>
        <w:t>Deu</w:t>
      </w:r>
      <w:proofErr w:type="spellEnd"/>
      <w:r w:rsidRPr="00512EB4">
        <w:rPr>
          <w:sz w:val="21"/>
          <w:szCs w:val="21"/>
          <w:lang w:val="fr-FR"/>
        </w:rPr>
        <w:t xml:space="preserve">, Sant </w:t>
      </w:r>
      <w:proofErr w:type="spellStart"/>
      <w:r w:rsidRPr="00512EB4">
        <w:rPr>
          <w:sz w:val="21"/>
          <w:szCs w:val="21"/>
          <w:lang w:val="fr-FR"/>
        </w:rPr>
        <w:t>Boi</w:t>
      </w:r>
      <w:proofErr w:type="spellEnd"/>
      <w:r w:rsidRPr="00512EB4">
        <w:rPr>
          <w:sz w:val="21"/>
          <w:szCs w:val="21"/>
          <w:lang w:val="fr-FR"/>
        </w:rPr>
        <w:t xml:space="preserve"> de Llobregat, Barcelona, Spain</w:t>
      </w:r>
    </w:p>
    <w:p w14:paraId="4F1BA713" w14:textId="77777777" w:rsidR="00C52E89" w:rsidRPr="00512EB4" w:rsidRDefault="00C52E89" w:rsidP="00512EB4">
      <w:pPr>
        <w:spacing w:line="276" w:lineRule="auto"/>
        <w:rPr>
          <w:sz w:val="21"/>
          <w:szCs w:val="21"/>
        </w:rPr>
      </w:pPr>
      <w:r w:rsidRPr="00512EB4">
        <w:rPr>
          <w:sz w:val="21"/>
          <w:szCs w:val="21"/>
        </w:rPr>
        <w:t xml:space="preserve">6. ICREA, Pg. </w:t>
      </w:r>
      <w:proofErr w:type="spellStart"/>
      <w:r w:rsidRPr="00512EB4">
        <w:rPr>
          <w:sz w:val="21"/>
          <w:szCs w:val="21"/>
        </w:rPr>
        <w:t>Lluis</w:t>
      </w:r>
      <w:proofErr w:type="spellEnd"/>
      <w:r w:rsidRPr="00512EB4">
        <w:rPr>
          <w:sz w:val="21"/>
          <w:szCs w:val="21"/>
        </w:rPr>
        <w:t xml:space="preserve"> </w:t>
      </w:r>
      <w:proofErr w:type="spellStart"/>
      <w:r w:rsidRPr="00512EB4">
        <w:rPr>
          <w:sz w:val="21"/>
          <w:szCs w:val="21"/>
        </w:rPr>
        <w:t>Companys</w:t>
      </w:r>
      <w:proofErr w:type="spellEnd"/>
      <w:r w:rsidRPr="00512EB4">
        <w:rPr>
          <w:sz w:val="21"/>
          <w:szCs w:val="21"/>
        </w:rPr>
        <w:t xml:space="preserve"> 23, Barcelona, Spain</w:t>
      </w:r>
    </w:p>
    <w:p w14:paraId="72E55FE9" w14:textId="77777777" w:rsidR="00C52E89" w:rsidRPr="00512EB4" w:rsidRDefault="00C52E89" w:rsidP="00512EB4">
      <w:pPr>
        <w:spacing w:line="276" w:lineRule="auto"/>
        <w:rPr>
          <w:sz w:val="21"/>
          <w:szCs w:val="21"/>
        </w:rPr>
      </w:pPr>
      <w:r w:rsidRPr="00512EB4">
        <w:rPr>
          <w:sz w:val="21"/>
          <w:szCs w:val="21"/>
        </w:rPr>
        <w:t xml:space="preserve">7. Centro de </w:t>
      </w:r>
      <w:proofErr w:type="spellStart"/>
      <w:r w:rsidRPr="00512EB4">
        <w:rPr>
          <w:sz w:val="21"/>
          <w:szCs w:val="21"/>
        </w:rPr>
        <w:t>Investigación</w:t>
      </w:r>
      <w:proofErr w:type="spellEnd"/>
      <w:r w:rsidRPr="00512EB4">
        <w:rPr>
          <w:sz w:val="21"/>
          <w:szCs w:val="21"/>
        </w:rPr>
        <w:t xml:space="preserve"> </w:t>
      </w:r>
      <w:proofErr w:type="spellStart"/>
      <w:r w:rsidRPr="00512EB4">
        <w:rPr>
          <w:sz w:val="21"/>
          <w:szCs w:val="21"/>
        </w:rPr>
        <w:t>Biomédica</w:t>
      </w:r>
      <w:proofErr w:type="spellEnd"/>
      <w:r w:rsidRPr="00512EB4">
        <w:rPr>
          <w:sz w:val="21"/>
          <w:szCs w:val="21"/>
        </w:rPr>
        <w:t xml:space="preserve"> </w:t>
      </w:r>
      <w:proofErr w:type="spellStart"/>
      <w:r w:rsidRPr="00512EB4">
        <w:rPr>
          <w:sz w:val="21"/>
          <w:szCs w:val="21"/>
        </w:rPr>
        <w:t>en</w:t>
      </w:r>
      <w:proofErr w:type="spellEnd"/>
      <w:r w:rsidRPr="00512EB4">
        <w:rPr>
          <w:sz w:val="21"/>
          <w:szCs w:val="21"/>
        </w:rPr>
        <w:t xml:space="preserve"> Red de </w:t>
      </w:r>
      <w:proofErr w:type="spellStart"/>
      <w:r w:rsidRPr="00512EB4">
        <w:rPr>
          <w:sz w:val="21"/>
          <w:szCs w:val="21"/>
        </w:rPr>
        <w:t>Salud</w:t>
      </w:r>
      <w:proofErr w:type="spellEnd"/>
      <w:r w:rsidRPr="00512EB4">
        <w:rPr>
          <w:sz w:val="21"/>
          <w:szCs w:val="21"/>
        </w:rPr>
        <w:t xml:space="preserve"> Mental (CIBERSAM), Madrid, Spain</w:t>
      </w:r>
    </w:p>
    <w:p w14:paraId="649D6FF1" w14:textId="77777777" w:rsidR="00C52E89" w:rsidRPr="00512EB4" w:rsidRDefault="00C52E89" w:rsidP="00512EB4">
      <w:pPr>
        <w:spacing w:line="276" w:lineRule="auto"/>
        <w:rPr>
          <w:sz w:val="21"/>
          <w:szCs w:val="21"/>
        </w:rPr>
      </w:pPr>
      <w:r w:rsidRPr="00512EB4">
        <w:rPr>
          <w:sz w:val="21"/>
          <w:szCs w:val="21"/>
        </w:rPr>
        <w:t>8. Faculty of Medicine, University of Versailles Saint-Quentin-</w:t>
      </w:r>
      <w:proofErr w:type="spellStart"/>
      <w:r w:rsidRPr="00512EB4">
        <w:rPr>
          <w:sz w:val="21"/>
          <w:szCs w:val="21"/>
        </w:rPr>
        <w:t>en</w:t>
      </w:r>
      <w:proofErr w:type="spellEnd"/>
      <w:r w:rsidRPr="00512EB4">
        <w:rPr>
          <w:sz w:val="21"/>
          <w:szCs w:val="21"/>
        </w:rPr>
        <w:t xml:space="preserve">-Yvelines, </w:t>
      </w:r>
      <w:proofErr w:type="spellStart"/>
      <w:r w:rsidRPr="00512EB4">
        <w:rPr>
          <w:sz w:val="21"/>
          <w:szCs w:val="21"/>
        </w:rPr>
        <w:t>Montigny</w:t>
      </w:r>
      <w:proofErr w:type="spellEnd"/>
      <w:r w:rsidRPr="00512EB4">
        <w:rPr>
          <w:sz w:val="21"/>
          <w:szCs w:val="21"/>
        </w:rPr>
        <w:t>-</w:t>
      </w:r>
      <w:proofErr w:type="spellStart"/>
      <w:r w:rsidRPr="00512EB4">
        <w:rPr>
          <w:sz w:val="21"/>
          <w:szCs w:val="21"/>
        </w:rPr>
        <w:t>ly</w:t>
      </w:r>
      <w:proofErr w:type="spellEnd"/>
      <w:r w:rsidRPr="00512EB4">
        <w:rPr>
          <w:sz w:val="21"/>
          <w:szCs w:val="21"/>
        </w:rPr>
        <w:t>-Bretonneux, France</w:t>
      </w:r>
    </w:p>
    <w:p w14:paraId="06DC6BF6" w14:textId="77777777" w:rsidR="00C52E89" w:rsidRPr="00512EB4" w:rsidRDefault="00C52E89" w:rsidP="00512EB4">
      <w:pPr>
        <w:spacing w:line="276" w:lineRule="auto"/>
        <w:rPr>
          <w:sz w:val="21"/>
          <w:szCs w:val="21"/>
        </w:rPr>
      </w:pPr>
      <w:r w:rsidRPr="00512EB4">
        <w:rPr>
          <w:sz w:val="21"/>
          <w:szCs w:val="21"/>
        </w:rPr>
        <w:t xml:space="preserve">9. Department of Basic Sciences, Medicine Faculty of Tunis, Tunis El </w:t>
      </w:r>
      <w:proofErr w:type="spellStart"/>
      <w:r w:rsidRPr="00512EB4">
        <w:rPr>
          <w:sz w:val="21"/>
          <w:szCs w:val="21"/>
        </w:rPr>
        <w:t>Manar</w:t>
      </w:r>
      <w:proofErr w:type="spellEnd"/>
      <w:r w:rsidRPr="00512EB4">
        <w:rPr>
          <w:sz w:val="21"/>
          <w:szCs w:val="21"/>
        </w:rPr>
        <w:t xml:space="preserve"> University, Tunis, Tunisia</w:t>
      </w:r>
    </w:p>
    <w:p w14:paraId="51267610" w14:textId="77777777" w:rsidR="00C52E89" w:rsidRPr="00512EB4" w:rsidRDefault="00C52E89" w:rsidP="00512EB4">
      <w:pPr>
        <w:spacing w:line="276" w:lineRule="auto"/>
        <w:rPr>
          <w:sz w:val="21"/>
          <w:szCs w:val="21"/>
        </w:rPr>
      </w:pPr>
      <w:r w:rsidRPr="00512EB4">
        <w:rPr>
          <w:sz w:val="21"/>
          <w:szCs w:val="21"/>
        </w:rPr>
        <w:t>10. Department of Pediatrics, Seoul National University Hospital, Seoul National University College of Medicine, Seoul, South Korea</w:t>
      </w:r>
    </w:p>
    <w:p w14:paraId="4B8C1868" w14:textId="77777777" w:rsidR="00C52E89" w:rsidRPr="00512EB4" w:rsidRDefault="00C52E89" w:rsidP="00512EB4">
      <w:pPr>
        <w:spacing w:line="276" w:lineRule="auto"/>
        <w:rPr>
          <w:sz w:val="21"/>
          <w:szCs w:val="21"/>
        </w:rPr>
      </w:pPr>
      <w:r w:rsidRPr="00512EB4">
        <w:rPr>
          <w:sz w:val="21"/>
          <w:szCs w:val="21"/>
        </w:rPr>
        <w:t>11. Department of Pediatrics, Yonsei University College of Medicine, Seoul, Republic of Korea</w:t>
      </w:r>
    </w:p>
    <w:p w14:paraId="58912A64" w14:textId="77777777" w:rsidR="00C52E89" w:rsidRPr="00512EB4" w:rsidRDefault="00C52E89" w:rsidP="00512EB4">
      <w:pPr>
        <w:spacing w:line="276" w:lineRule="auto"/>
        <w:rPr>
          <w:sz w:val="21"/>
          <w:szCs w:val="21"/>
        </w:rPr>
      </w:pPr>
      <w:r w:rsidRPr="00512EB4">
        <w:rPr>
          <w:sz w:val="21"/>
          <w:szCs w:val="21"/>
        </w:rPr>
        <w:t>12. The Cambridge Centre for Sport and Exercise Sciences, Anglia Ruskin University, Cambridge, UK</w:t>
      </w:r>
    </w:p>
    <w:p w14:paraId="54142BA6" w14:textId="77777777" w:rsidR="00C52E89" w:rsidRPr="00512EB4" w:rsidRDefault="00C52E89" w:rsidP="00512EB4">
      <w:pPr>
        <w:spacing w:line="276" w:lineRule="auto"/>
        <w:rPr>
          <w:sz w:val="21"/>
          <w:szCs w:val="21"/>
        </w:rPr>
      </w:pPr>
      <w:r w:rsidRPr="00512EB4">
        <w:rPr>
          <w:sz w:val="21"/>
          <w:szCs w:val="21"/>
        </w:rPr>
        <w:t>† Co-first authors</w:t>
      </w:r>
    </w:p>
    <w:p w14:paraId="24DB59AC" w14:textId="77777777" w:rsidR="00C52E89" w:rsidRPr="00512EB4" w:rsidRDefault="00C52E89" w:rsidP="00512EB4">
      <w:pPr>
        <w:spacing w:line="276" w:lineRule="auto"/>
        <w:rPr>
          <w:szCs w:val="20"/>
        </w:rPr>
      </w:pPr>
    </w:p>
    <w:p w14:paraId="0E0BD136" w14:textId="77777777" w:rsidR="00C52E89" w:rsidRPr="00512EB4" w:rsidRDefault="00C52E89" w:rsidP="00512EB4">
      <w:pPr>
        <w:spacing w:line="276" w:lineRule="auto"/>
      </w:pPr>
      <w:r w:rsidRPr="00512EB4">
        <w:rPr>
          <w:b/>
        </w:rPr>
        <w:t>*Corresponding Authors:</w:t>
      </w:r>
    </w:p>
    <w:p w14:paraId="7665C128" w14:textId="77777777" w:rsidR="00C52E89" w:rsidRPr="00512EB4" w:rsidRDefault="00C52E89" w:rsidP="00512EB4">
      <w:pPr>
        <w:spacing w:line="276" w:lineRule="auto"/>
      </w:pPr>
      <w:r w:rsidRPr="00512EB4">
        <w:t xml:space="preserve">Jae Il Shin, M.D., Ph.D. </w:t>
      </w:r>
    </w:p>
    <w:p w14:paraId="38B012BE" w14:textId="77777777" w:rsidR="00C52E89" w:rsidRPr="00512EB4" w:rsidRDefault="00C52E89" w:rsidP="00512EB4">
      <w:pPr>
        <w:spacing w:line="276" w:lineRule="auto"/>
      </w:pPr>
      <w:r w:rsidRPr="00512EB4">
        <w:t>Address: 50 Yonsei-</w:t>
      </w:r>
      <w:proofErr w:type="spellStart"/>
      <w:r w:rsidRPr="00512EB4">
        <w:t>ro</w:t>
      </w:r>
      <w:proofErr w:type="spellEnd"/>
      <w:r w:rsidRPr="00512EB4">
        <w:t xml:space="preserve">, </w:t>
      </w:r>
      <w:proofErr w:type="spellStart"/>
      <w:r w:rsidRPr="00512EB4">
        <w:t>Seodaemun-gu</w:t>
      </w:r>
      <w:proofErr w:type="spellEnd"/>
      <w:r w:rsidRPr="00512EB4">
        <w:t>, C.P.O. Box 8044, Department of Pediatrics, Yonsei University College of Medicine, Seoul 120-752, Republic of Korea</w:t>
      </w:r>
    </w:p>
    <w:p w14:paraId="55CBDC90" w14:textId="77777777" w:rsidR="00C52E89" w:rsidRPr="00512EB4" w:rsidRDefault="00C52E89" w:rsidP="00512EB4">
      <w:pPr>
        <w:spacing w:line="276" w:lineRule="auto"/>
      </w:pPr>
      <w:r w:rsidRPr="00512EB4">
        <w:t xml:space="preserve">Tel: +82-2-2228-2050; Fax: +82-2-393-9118; E-mail: </w:t>
      </w:r>
      <w:hyperlink r:id="rId8" w:history="1">
        <w:r w:rsidRPr="00512EB4">
          <w:rPr>
            <w:rStyle w:val="Hyperlink"/>
          </w:rPr>
          <w:t>shinji@yuhs.ac</w:t>
        </w:r>
      </w:hyperlink>
      <w:r w:rsidRPr="00512EB4">
        <w:br/>
      </w:r>
    </w:p>
    <w:p w14:paraId="08D95C7A" w14:textId="77777777" w:rsidR="00C52E89" w:rsidRPr="00512EB4" w:rsidRDefault="00C52E89" w:rsidP="00512EB4">
      <w:pPr>
        <w:wordWrap/>
        <w:spacing w:line="276" w:lineRule="auto"/>
        <w:rPr>
          <w:rStyle w:val="Hyperlink"/>
          <w:lang w:eastAsia="en-US"/>
        </w:rPr>
      </w:pPr>
      <w:r w:rsidRPr="00512EB4">
        <w:t>Dong Keon Yon, MD, FACAAI</w:t>
      </w:r>
      <w:r w:rsidRPr="00512EB4">
        <w:br/>
      </w:r>
      <w:r w:rsidRPr="00512EB4">
        <w:rPr>
          <w:lang w:eastAsia="en-US"/>
        </w:rPr>
        <w:t xml:space="preserve">Department of Pediatrics, </w:t>
      </w:r>
      <w:r w:rsidRPr="00512EB4">
        <w:rPr>
          <w:color w:val="000000"/>
          <w:lang w:eastAsia="en-US"/>
        </w:rPr>
        <w:t>Seoul National University College of Medicine</w:t>
      </w:r>
      <w:r w:rsidRPr="00512EB4">
        <w:rPr>
          <w:color w:val="000000"/>
        </w:rPr>
        <w:t>,</w:t>
      </w:r>
      <w:r w:rsidRPr="00512EB4">
        <w:rPr>
          <w:lang w:eastAsia="en-US"/>
        </w:rPr>
        <w:t xml:space="preserve"> 103 </w:t>
      </w:r>
      <w:proofErr w:type="spellStart"/>
      <w:r w:rsidRPr="00512EB4">
        <w:rPr>
          <w:lang w:eastAsia="en-US"/>
        </w:rPr>
        <w:t>Daehak-ro</w:t>
      </w:r>
      <w:proofErr w:type="spellEnd"/>
      <w:r w:rsidRPr="00512EB4">
        <w:rPr>
          <w:lang w:eastAsia="en-US"/>
        </w:rPr>
        <w:t xml:space="preserve">, </w:t>
      </w:r>
      <w:proofErr w:type="spellStart"/>
      <w:r w:rsidRPr="00512EB4">
        <w:rPr>
          <w:lang w:eastAsia="en-US"/>
        </w:rPr>
        <w:t>Jongno-gu</w:t>
      </w:r>
      <w:proofErr w:type="spellEnd"/>
      <w:r w:rsidRPr="00512EB4">
        <w:rPr>
          <w:lang w:eastAsia="en-US"/>
        </w:rPr>
        <w:t>, Se</w:t>
      </w:r>
      <w:r w:rsidRPr="00512EB4">
        <w:t>oul</w:t>
      </w:r>
      <w:r w:rsidRPr="00512EB4">
        <w:rPr>
          <w:lang w:eastAsia="en-US"/>
        </w:rPr>
        <w:t xml:space="preserve">, </w:t>
      </w:r>
      <w:r w:rsidRPr="00512EB4">
        <w:t>03080</w:t>
      </w:r>
      <w:r w:rsidRPr="00512EB4">
        <w:rPr>
          <w:lang w:eastAsia="en-US"/>
        </w:rPr>
        <w:t xml:space="preserve">, </w:t>
      </w:r>
      <w:r w:rsidRPr="00512EB4">
        <w:t xml:space="preserve">South </w:t>
      </w:r>
      <w:r w:rsidRPr="00512EB4">
        <w:rPr>
          <w:lang w:eastAsia="en-US"/>
        </w:rPr>
        <w:t xml:space="preserve">Korea </w:t>
      </w:r>
      <w:r w:rsidRPr="00512EB4">
        <w:br/>
      </w:r>
      <w:r w:rsidRPr="00512EB4">
        <w:rPr>
          <w:lang w:eastAsia="en-US"/>
        </w:rPr>
        <w:t xml:space="preserve">Tel: +82-2-6935-2476; Fax: +82-504-478-0201; Email: </w:t>
      </w:r>
      <w:hyperlink r:id="rId9" w:history="1">
        <w:r w:rsidRPr="00512EB4">
          <w:rPr>
            <w:rStyle w:val="Hyperlink"/>
            <w:lang w:eastAsia="en-US"/>
          </w:rPr>
          <w:t>yonkkang@gmail.com</w:t>
        </w:r>
      </w:hyperlink>
    </w:p>
    <w:p w14:paraId="15BD77D5" w14:textId="77777777" w:rsidR="00C52E89" w:rsidRPr="00512EB4" w:rsidRDefault="00C52E89" w:rsidP="00512EB4">
      <w:pPr>
        <w:spacing w:line="276" w:lineRule="auto"/>
        <w:rPr>
          <w:b/>
          <w:bCs/>
          <w:sz w:val="24"/>
        </w:rPr>
      </w:pPr>
    </w:p>
    <w:p w14:paraId="20AAF31C" w14:textId="77777777" w:rsidR="00C52E89" w:rsidRPr="00512EB4" w:rsidRDefault="00C52E89" w:rsidP="00512EB4">
      <w:pPr>
        <w:spacing w:line="276" w:lineRule="auto"/>
        <w:jc w:val="left"/>
        <w:rPr>
          <w:color w:val="000000"/>
        </w:rPr>
      </w:pPr>
      <w:r w:rsidRPr="00512EB4">
        <w:rPr>
          <w:b/>
          <w:bCs/>
          <w:color w:val="000000"/>
        </w:rPr>
        <w:t>Funding Statement:</w:t>
      </w:r>
      <w:r w:rsidRPr="00512EB4">
        <w:rPr>
          <w:color w:val="000000"/>
        </w:rPr>
        <w:t xml:space="preserve"> This research did not receive any specific grant from funding agencies in the public, commercial, or not-for-profit sector.</w:t>
      </w:r>
    </w:p>
    <w:p w14:paraId="593D2CA5" w14:textId="77777777" w:rsidR="00C52E89" w:rsidRPr="00512EB4" w:rsidRDefault="00C52E89" w:rsidP="00512EB4">
      <w:pPr>
        <w:spacing w:line="276" w:lineRule="auto"/>
        <w:rPr>
          <w:b/>
          <w:bCs/>
          <w:sz w:val="24"/>
        </w:rPr>
      </w:pPr>
    </w:p>
    <w:p w14:paraId="1AE6ADFB" w14:textId="77777777" w:rsidR="00C52E89" w:rsidRPr="00512EB4" w:rsidRDefault="00C52E89" w:rsidP="00512EB4">
      <w:pPr>
        <w:widowControl/>
        <w:wordWrap/>
        <w:autoSpaceDN/>
        <w:spacing w:line="276" w:lineRule="auto"/>
        <w:rPr>
          <w:rFonts w:eastAsia="Times New Roman"/>
          <w:b/>
          <w:color w:val="000000"/>
        </w:rPr>
      </w:pPr>
    </w:p>
    <w:p w14:paraId="1EAD2936" w14:textId="77777777" w:rsidR="00C52E89" w:rsidRPr="00512EB4" w:rsidRDefault="00C52E89" w:rsidP="007D24EA">
      <w:r w:rsidRPr="007D24EA">
        <w:rPr>
          <w:b/>
          <w:bCs/>
        </w:rPr>
        <w:t>Conflict of Interest:</w:t>
      </w:r>
      <w:r w:rsidRPr="00512EB4">
        <w:t xml:space="preserve"> None.</w:t>
      </w:r>
    </w:p>
    <w:p w14:paraId="7412CAD7" w14:textId="77777777" w:rsidR="00C52E89" w:rsidRPr="00512EB4" w:rsidRDefault="00C52E89" w:rsidP="00512EB4">
      <w:pPr>
        <w:widowControl/>
        <w:wordWrap/>
        <w:autoSpaceDN/>
        <w:spacing w:line="276" w:lineRule="auto"/>
        <w:rPr>
          <w:rFonts w:eastAsia="Times New Roman"/>
          <w:b/>
          <w:color w:val="000000"/>
        </w:rPr>
      </w:pPr>
    </w:p>
    <w:p w14:paraId="669C32C2" w14:textId="77777777" w:rsidR="00C52E89" w:rsidRPr="00512EB4" w:rsidRDefault="00C52E89" w:rsidP="00512EB4">
      <w:pPr>
        <w:spacing w:line="276" w:lineRule="auto"/>
        <w:jc w:val="left"/>
      </w:pPr>
    </w:p>
    <w:p w14:paraId="77C28919" w14:textId="77777777" w:rsidR="00C52E89" w:rsidRPr="00512EB4" w:rsidRDefault="00C52E89" w:rsidP="009A32FA">
      <w:r w:rsidRPr="00512EB4">
        <w:t xml:space="preserve">This manuscript has been reviewed and approved by all authors. </w:t>
      </w:r>
    </w:p>
    <w:p w14:paraId="7D126FD3" w14:textId="77777777" w:rsidR="00C52E89" w:rsidRPr="00512EB4" w:rsidRDefault="00C52E89" w:rsidP="00512EB4">
      <w:pPr>
        <w:pStyle w:val="EndNoteBibliography"/>
        <w:spacing w:after="0" w:line="276" w:lineRule="auto"/>
        <w:rPr>
          <w:rFonts w:ascii="Times New Roman" w:hAnsi="Times New Roman" w:cs="Times New Roman"/>
          <w:noProof w:val="0"/>
        </w:rPr>
      </w:pPr>
    </w:p>
    <w:p w14:paraId="7F64547A" w14:textId="77777777" w:rsidR="008D1D3C" w:rsidRDefault="008D1D3C">
      <w:pPr>
        <w:widowControl/>
        <w:wordWrap/>
        <w:autoSpaceDE/>
        <w:autoSpaceDN/>
        <w:jc w:val="left"/>
        <w:rPr>
          <w:b/>
          <w:bCs/>
        </w:rPr>
      </w:pPr>
      <w:r>
        <w:rPr>
          <w:b/>
          <w:bCs/>
        </w:rPr>
        <w:br w:type="page"/>
      </w:r>
    </w:p>
    <w:p w14:paraId="117F4155" w14:textId="2E7CA8CC" w:rsidR="000D54C7" w:rsidRDefault="000D54C7" w:rsidP="007D24EA">
      <w:pPr>
        <w:pStyle w:val="Heading1"/>
      </w:pPr>
      <w:r>
        <w:lastRenderedPageBreak/>
        <w:t>Abstract</w:t>
      </w:r>
    </w:p>
    <w:p w14:paraId="4455461A" w14:textId="778F9C76" w:rsidR="000D54C7" w:rsidRPr="00512EB4" w:rsidRDefault="00454270" w:rsidP="000D54C7">
      <w:pPr>
        <w:wordWrap/>
        <w:snapToGrid w:val="0"/>
        <w:spacing w:line="276" w:lineRule="auto"/>
      </w:pPr>
      <w:r>
        <w:t>C</w:t>
      </w:r>
      <w:r w:rsidR="000D54C7" w:rsidRPr="00512EB4">
        <w:t xml:space="preserve">erebral venous thromboses (CVT) </w:t>
      </w:r>
      <w:r>
        <w:t xml:space="preserve">events have been reported after </w:t>
      </w:r>
      <w:r w:rsidR="000D54C7" w:rsidRPr="00512EB4">
        <w:t>vaccination</w:t>
      </w:r>
      <w:r>
        <w:t xml:space="preserve"> with adenoviral COVID-19 vector vaccines. This study aimed to compare the clinical presentations and courses of vaccine-induced thrombotic thrombocytopenia (VITT) between the two adenoviral vector vaccines, </w:t>
      </w:r>
      <w:r w:rsidRPr="00512EB4">
        <w:t>Ad26.COV.2.S</w:t>
      </w:r>
      <w:r>
        <w:t xml:space="preserve"> (</w:t>
      </w:r>
      <w:r w:rsidRPr="00512EB4">
        <w:t>Janssen/Johnson &amp; Johnson</w:t>
      </w:r>
      <w:r>
        <w:t>)</w:t>
      </w:r>
      <w:r w:rsidRPr="00512EB4">
        <w:t xml:space="preserve"> and ChAdOx1 nCoV-19</w:t>
      </w:r>
      <w:r>
        <w:t xml:space="preserve"> (</w:t>
      </w:r>
      <w:proofErr w:type="gramStart"/>
      <w:r w:rsidRPr="00512EB4">
        <w:t>Astra-Zeneca</w:t>
      </w:r>
      <w:proofErr w:type="gramEnd"/>
      <w:r>
        <w:t xml:space="preserve">). </w:t>
      </w:r>
      <w:r w:rsidR="00E75BC4">
        <w:rPr>
          <w:bCs/>
        </w:rPr>
        <w:t>We</w:t>
      </w:r>
      <w:r w:rsidR="0006161D" w:rsidRPr="00512EB4">
        <w:rPr>
          <w:bCs/>
        </w:rPr>
        <w:t xml:space="preserve"> found that CVT after </w:t>
      </w:r>
      <w:r w:rsidR="0006161D" w:rsidRPr="00512EB4">
        <w:t xml:space="preserve">Ad26.COV.2.S </w:t>
      </w:r>
      <w:r w:rsidR="0006161D" w:rsidRPr="00512EB4">
        <w:rPr>
          <w:bCs/>
        </w:rPr>
        <w:t xml:space="preserve">vaccination presents later with similar symptoms compared to CVT after administration of </w:t>
      </w:r>
      <w:r w:rsidR="0006161D" w:rsidRPr="00512EB4">
        <w:t>ChAdOx1 nCoV-19</w:t>
      </w:r>
      <w:r w:rsidR="0006161D" w:rsidRPr="00512EB4">
        <w:rPr>
          <w:bCs/>
        </w:rPr>
        <w:t xml:space="preserve">, albeit with more thrombosis and intracerebral hemorrhage, lower D-dimer and </w:t>
      </w:r>
      <w:proofErr w:type="spellStart"/>
      <w:r w:rsidR="0006161D" w:rsidRPr="00512EB4">
        <w:rPr>
          <w:bCs/>
        </w:rPr>
        <w:t>aPTT</w:t>
      </w:r>
      <w:proofErr w:type="spellEnd"/>
      <w:r w:rsidR="0006161D" w:rsidRPr="00512EB4">
        <w:rPr>
          <w:bCs/>
        </w:rPr>
        <w:t xml:space="preserve"> levels but similar mortality.</w:t>
      </w:r>
      <w:r w:rsidR="00604747">
        <w:rPr>
          <w:bCs/>
        </w:rPr>
        <w:t xml:space="preserve"> These findings could help guide </w:t>
      </w:r>
      <w:r w:rsidR="00872EC5">
        <w:rPr>
          <w:bCs/>
        </w:rPr>
        <w:t xml:space="preserve">clinical assessment and </w:t>
      </w:r>
      <w:r w:rsidR="00604747">
        <w:rPr>
          <w:bCs/>
        </w:rPr>
        <w:t xml:space="preserve">management of CVT after </w:t>
      </w:r>
      <w:r w:rsidR="00126F60">
        <w:rPr>
          <w:bCs/>
        </w:rPr>
        <w:t xml:space="preserve">COVID-19 </w:t>
      </w:r>
      <w:r w:rsidR="00604747">
        <w:rPr>
          <w:bCs/>
        </w:rPr>
        <w:t>vaccination.</w:t>
      </w:r>
    </w:p>
    <w:p w14:paraId="3B56D7BF" w14:textId="6DC3F4F6" w:rsidR="000D54C7" w:rsidRDefault="000D54C7" w:rsidP="00512EB4">
      <w:pPr>
        <w:wordWrap/>
        <w:snapToGrid w:val="0"/>
        <w:spacing w:line="276" w:lineRule="auto"/>
        <w:rPr>
          <w:b/>
          <w:bCs/>
        </w:rPr>
      </w:pPr>
    </w:p>
    <w:p w14:paraId="211F9C17" w14:textId="2003F38D" w:rsidR="00277DD8" w:rsidRDefault="00712452" w:rsidP="00277DD8">
      <w:pPr>
        <w:widowControl/>
        <w:wordWrap/>
        <w:autoSpaceDN/>
        <w:spacing w:line="276" w:lineRule="auto"/>
        <w:rPr>
          <w:rFonts w:eastAsia="Gulim"/>
          <w:bCs/>
          <w:kern w:val="0"/>
        </w:rPr>
      </w:pPr>
      <w:r w:rsidRPr="00512EB4">
        <w:rPr>
          <w:rFonts w:eastAsia="Times New Roman"/>
          <w:b/>
          <w:color w:val="000000"/>
        </w:rPr>
        <w:t xml:space="preserve">Keywords: </w:t>
      </w:r>
      <w:r w:rsidRPr="00512EB4">
        <w:rPr>
          <w:rFonts w:eastAsia="Gulim"/>
          <w:bCs/>
          <w:kern w:val="0"/>
        </w:rPr>
        <w:t>vaccine-induced thrombotic thrombocytopenia, thrombotic thrombocytopenia syndrome, adenoviral vector vaccine, COVID-19 vaccine, cerebral venous thrombosi</w:t>
      </w:r>
      <w:r w:rsidR="00277DD8">
        <w:rPr>
          <w:rFonts w:eastAsia="Gulim"/>
          <w:bCs/>
          <w:kern w:val="0"/>
        </w:rPr>
        <w:t>s.</w:t>
      </w:r>
    </w:p>
    <w:p w14:paraId="52A32331" w14:textId="77777777" w:rsidR="00277DD8" w:rsidRPr="00277DD8" w:rsidRDefault="00277DD8" w:rsidP="00277DD8">
      <w:pPr>
        <w:widowControl/>
        <w:wordWrap/>
        <w:autoSpaceDN/>
        <w:spacing w:line="276" w:lineRule="auto"/>
        <w:rPr>
          <w:rFonts w:eastAsia="Gulim"/>
          <w:bCs/>
          <w:kern w:val="0"/>
        </w:rPr>
      </w:pPr>
    </w:p>
    <w:p w14:paraId="2A56B664" w14:textId="5882FBC8" w:rsidR="00C52E89" w:rsidRPr="00277DD8" w:rsidRDefault="002273B8" w:rsidP="00277DD8">
      <w:pPr>
        <w:pStyle w:val="Heading1"/>
        <w:numPr>
          <w:ilvl w:val="0"/>
          <w:numId w:val="2"/>
        </w:numPr>
        <w:rPr>
          <w:sz w:val="22"/>
        </w:rPr>
      </w:pPr>
      <w:r w:rsidRPr="00277DD8">
        <w:t>Introduction</w:t>
      </w:r>
    </w:p>
    <w:p w14:paraId="5B9FE99A" w14:textId="48146F00" w:rsidR="00C52E89" w:rsidRPr="00512EB4" w:rsidRDefault="00C52E89" w:rsidP="00512EB4">
      <w:pPr>
        <w:wordWrap/>
        <w:snapToGrid w:val="0"/>
        <w:spacing w:line="276" w:lineRule="auto"/>
      </w:pPr>
      <w:r w:rsidRPr="00512EB4">
        <w:t>Reports of rare thrombotic events such as cerebral venous thromboses (CVT) have been accumulating after COVID-19 vaccination</w:t>
      </w:r>
      <w:r w:rsidRPr="00512EB4">
        <w:fldChar w:fldCharType="begin"/>
      </w:r>
      <w:r w:rsidRPr="00512EB4">
        <w:instrText xml:space="preserve"> ADDIN ZOTERO_ITEM CSL_CITATION {"citationID":"GXr4oOBz","properties":{"formattedCitation":"\\super 1\\uc0\\u8211{}5\\nosupersub{}","plainCitation":"1–5","noteIndex":0},"citationItems":[{"id":174,"uris":["http://zotero.org/users/7335484/items/TURCZDPM"],"uri":["http://zotero.org/users/7335484/items/TURCZDPM"],"itemData":{"id":174,"type":"article-journal","abstract":"BACKGROUND: Several cases of unusual thrombotic events and thrombocytopenia have developed after vaccination with the recombinant adenoviral vector encoding the spike protein antigen of severe acute respiratory syndrome coronavirus 2 (SARS-CoV-2) (ChAdOx1 nCov-19, AstraZeneca). More data were needed on the pathogenesis of this unusual clotting disorder.\nMETHODS: We assessed the clinical and laboratory features of 11 patients in Germany and Austria in whom thrombosis or thrombocytopenia had developed after vaccination with ChAdOx1 nCov-19. We used a standard enzyme-linked immunosorbent assay to detect platelet factor 4 (PF4)-heparin antibodies and a modified (PF4-enhanced) platelet-activation test to detect platelet-activating antibodies under various reaction conditions. Included in this testing were samples from patients who had blood samples referred for investigation of vaccine-associated thrombotic events, with 28 testing positive on a screening PF4-heparin immunoassay.\nRESULTS: Of the 11 original patients, 9 were women, with a median age of 36 years (range, 22 to 49). Beginning 5 to 16 days after vaccination, the patients presented with one or more thrombotic events, with the exception of 1 patient, who presented with fatal intracranial hemorrhage. Of the patients with one or more thrombotic events, 9 had cerebral venous thrombosis, 3 had splanchnic-vein thrombosis, 3 had pulmonary embolism, and 4 had other thromboses; of these patients, 6 died. Five patients had disseminated intravascular coagulation. None of the patients had received heparin before symptom onset. All 28 patients who tested positive for antibodies against PF4-heparin tested positive on the platelet-activation assay in the presence of PF4 independent of heparin. Platelet activation was inhibited by high levels of heparin, Fc receptor-blocking monoclonal antibody, and immune globulin (10 mg per milliliter). Additional studies with PF4 or PF4-heparin affinity purified antibodies in 2 patients confirmed PF4-dependent platelet activation.\nCONCLUSIONS: Vaccination with ChAdOx1 nCov-19 can result in the rare development of immune thrombotic thrombocytopenia mediated by platelet-activating antibodies against PF4, which clinically mimics autoimmune heparin-induced thrombocytopenia. (Funded by the German Research Foundation.).","container-title":"The New England Journal of Medicine","DOI":"10.1056/NEJMoa2104840","ISSN":"1533-4406","journalAbbreviation":"N Engl J Med","language":"eng","note":"PMID: 33835769","source":"PubMed","title":"Thrombotic Thrombocytopenia after ChAdOx1 nCov-19 Vaccination","author":[{"family":"Greinacher","given":"Andreas"},{"family":"Thiele","given":"Thomas"},{"family":"Warkentin","given":"Theodore E."},{"family":"Weisser","given":"Karin"},{"family":"Kyrle","given":"Paul A."},{"family":"Eichinger","given":"Sabine"}],"issued":{"date-parts":[["2021",4,9]]}}},{"id":274,"uris":["http://zotero.org/users/7335484/items/S4PWEUPK"],"uri":["http://zotero.org/users/7335484/items/S4PWEUPK"],"itemData":{"id":274,"type":"article-journal","abstract":"BACKGROUND: The mainstay of control of the coronavirus disease 2019 (Covid-19) pandemic is vaccination against severe acute respiratory syndrome coronavirus 2 (SARS-CoV-2). Within a year, several vaccines have been developed and millions of doses delivered. Reporting of adverse events is a critical postmarketing activity.\nMETHODS: We report findings in 23 patients who presented with thrombosis and thrombocytopenia 6 to 24 days after receiving the first dose of the ChAdOx1 nCoV-19 vaccine (AstraZeneca). On the basis of their clinical and laboratory features, we identify a novel underlying mechanism and address the therapeutic implications.\nRESULTS: In the absence of previous prothrombotic medical conditions, 22 patients presented with acute thrombocytopenia and thrombosis, primarily cerebral venous thrombosis, and 1 patient presented with isolated thrombocytopenia and a hemorrhagic phenotype. All the patients had low or normal fibrinogen levels and elevated d-dimer levels at presentation. No evidence of thrombophilia or causative precipitants was identified. Testing for antibodies to platelet factor 4 (PF4) was positive in 21 patients, negative in 1 patient, and equivocal in 1 patient. On the basis of the pathophysiological features observed in these patients, we recommend that treatment with platelet transfusions be avoided because of the risk of progression in thrombotic symptoms and that the administration of a nonheparin anticoagulant agent and intravenous immune globulin be considered for the first occurrence of these symptoms.\nCONCLUSIONS: Vaccination against SARS-CoV-2 remains critical for control of the Covid-19 pandemic. A pathogenic PF4-dependent syndrome, unrelated to the use of heparin therapy, can occur after the administration of the ChAdOx1 nCoV-19 vaccine. Rapid identification of this rare syndrome is important because of the therapeutic implications.","container-title":"The New England Journal of Medicine","DOI":"10.1056/NEJMoa2105385","ISSN":"1533-4406","journalAbbreviation":"N Engl J Med","language":"eng","note":"PMID: 33861525","source":"PubMed","title":"Pathologic Antibodies to Platelet Factor 4 after ChAdOx1 nCoV-19 Vaccination","author":[{"family":"Scully","given":"Marie"},{"family":"Singh","given":"Deepak"},{"family":"Lown","given":"Robert"},{"family":"Poles","given":"Anthony"},{"family":"Solomon","given":"Tom"},{"family":"Levi","given":"Marcel"},{"family":"Goldblatt","given":"David"},{"family":"Kotoucek","given":"Pavel"},{"family":"Thomas","given":"William"},{"family":"Lester","given":"William"}],"issued":{"date-parts":[["2021",4,16]]}}},{"id":176,"uris":["http://zotero.org/users/7335484/items/G63M8YK6"],"uri":["http://zotero.org/users/7335484/items/G63M8YK6"],"itemData":{"id":176,"type":"article-journal","abstract":"We report findings in five patients who presented with venous thrombosis and thrombocytopenia 7 to 10 days after receiving the first dose of the ChAdOx1 nCoV-19 adenoviral vector vaccine against coronavirus disease 2019 (Covid-19). The patients were health care workers who were 32 to 54 years of age. All the patients had high levels of antibodies to platelet factor 4-polyanion complexes; however, they had had no previous exposure to heparin. Because the five cases occurred in a population of more than 130,000 vaccinated persons, we propose that they represent a rare vaccine-related variant of spontaneous heparin-induced thrombocytopenia that we refer to as vaccine-induced immune thrombotic thrombocytopenia.","container-title":"The New England Journal of Medicine","DOI":"10.1056/NEJMoa2104882","ISSN":"1533-4406","journalAbbreviation":"N Engl J Med","language":"eng","note":"PMID: 33835768","source":"PubMed","title":"Thrombosis and Thrombocytopenia after ChAdOx1 nCoV-19 Vaccination","author":[{"family":"Schultz","given":"Nina H."},{"family":"Sørvoll","given":"Ingvild H."},{"family":"Michelsen","given":"Annika E."},{"family":"Munthe","given":"Ludvig A."},{"family":"Lund-Johansen","given":"Fridtjof"},{"family":"Ahlen","given":"Maria T."},{"family":"Wiedmann","given":"Markus"},{"family":"Aamodt","given":"Anne-Hege"},{"family":"Skattør","given":"Thor H."},{"family":"Tjønnfjord","given":"Geir E."},{"family":"Holme","given":"Pål A."}],"issued":{"date-parts":[["2021",4,9]]}}},{"id":257,"uris":["http://zotero.org/users/7335484/items/TXTW57E2"],"uri":["http://zotero.org/users/7335484/items/TXTW57E2"],"itemData":{"id":257,"type":"article-journal","abstract":"We report five cases of prothrombotic immune thrombocytopenia after exposure to the ChAdOx1 vaccine (AZD1222, Vaxzevria) against severe acute respiratory syndrome coronavirus 2 (SARS-CoV-2). Patients presented 5 to 11 days after first vaccination. The spectrum of clinical manifestations included cerebral venous sinus thrombosis (CVST), splanchnic vein thrombosis (SVT), arterial cerebral thromboembolism, and thrombotic microangiopathy (TMA). All patients had thrombocytopenia and markedly elevated D-Dimer. Autoantibodies against platelet factor 4 (PF4) were detected in all patients although they had never been exposed to heparin. Immunoglobulin from patient sera bound to healthy donor platelets in an AZD1222-dependant manner, suppressed by heparin. Aggregation of healthy donor platelets by patient sera was demonstrated in the presence of buffer or AZD1222 and was also suppressed by heparin. Anticoagulation alone or in combination with eculizumab or intravenous immunoglobulin (IVIG) resolved the pathology in three patients. Two patients had thromboembolic events despite anticoagulation at a time when platelets were increasing after IVIG. In summary, an unexpected autoimmune prothrombotic disorder is described after vaccination with AZD1222. It is characterized by thrombocytopenia and anti-PF4 antibodies binding to platelets in AZD1222-dependent manner. Initial clinical experience suggests a risk of unusual and severe thromboembolic events.","container-title":"Blood","DOI":"10.1182/blood.2021011958","ISSN":"1528-0020","journalAbbreviation":"Blood","language":"eng","note":"PMID: 33909050","source":"PubMed","title":"Prothrombotic immune thrombocytopenia after COVID-19 vaccine","author":[{"family":"Tiede","given":"Andreas"},{"family":"Sachs","given":"Ulrich J."},{"family":"Czwalinna","given":"Andreas"},{"family":"Werwitzke","given":"Sonja"},{"family":"Bikker","given":"Rolf"},{"family":"Krauss","given":"Joachim K."},{"family":"Donnerstag","given":"Frank Gf"},{"family":"Weißenborn","given":"Karin"},{"family":"Höglinger","given":"Günter U."},{"family":"Maasoumy","given":"Benjamin"},{"family":"Wedemeyer","given":"Heiner"},{"family":"Ganser","given":"Arnold"}],"issued":{"date-parts":[["2021",4,28]]}}},{"id":236,"uris":["http://zotero.org/users/7335484/items/IBLHHTEI"],"uri":["http://zotero.org/users/7335484/items/IBLHHTEI"],"itemData":{"id":236,"type":"article-journal","abstract":"Importance: Cerebral venous sinus thrombosis (CVST) with thrombocytopenia, a rare and serious condition, has been described in Europe following receipt of the ChAdOx1 nCoV-19 vaccine (Oxford/AstraZeneca), which uses a chimpanzee adenoviral vector. A mechanism similar to autoimmune heparin-induced thrombocytopenia (HIT) has been proposed. In the US, the Ad26.COV2.S COVID-19 vaccine (Janssen/Johnson &amp; Johnson), which uses a human adenoviral vector, received Emergency Use Authorization (EUA) on February 27, 2021. By April 12, 2021, approximately 7 million Ad26.COV2.S vaccine doses had been given in the US, and 6 cases of CVST with thrombocytopenia had been identified among the recipients, resulting in a temporary national pause in vaccination with this product on April 13, 2021.\nObjective: To describe reports of CVST with thrombocytopenia following Ad26.COV2.S vaccine receipt.\nDesign, Setting, and Participants: Case series of 12 US patients with CVST and thrombocytopenia following use of Ad26.COV2.S vaccine under EUA reported to the Vaccine Adverse Event Reporting System (VAERS) from March 2 to April 21, 2021 (with follow-up reported through April 21, 2021).\nExposures: Receipt of Ad26.COV2.S vaccine.\nMain Outcomes and Measures: Clinical course, imaging, laboratory tests, and outcomes after CVST diagnosis obtained from VAERS reports, medical record review, and discussion with clinicians.\nResults: Patients' ages ranged from 18 to younger than 60 years; all were White women, reported from 11 states. Seven patients had at least 1 CVST risk factor, including obesity (n = 6), hypothyroidism (n = 1), and oral contraceptive use (n = 1); none had documented prior heparin exposure. Time from Ad26.COV2.S vaccination to symptom onset ranged from 6 to 15 days. Eleven patients initially presented with headache; 1 patient initially presented with back pain and later developed headache. Of the 12 patients with CVST, 7 also had intracerebral hemorrhage; 8 had non-CVST thromboses. After diagnosis of CVST, 6 patients initially received heparin treatment. Platelet nadir ranged from 9 ×103/µL to 127 ×103/µL. All 11 patients tested for the heparin-platelet factor 4 HIT antibody by enzyme-linked immunosorbent assay (ELISA) screening had positive results. All patients were hospitalized (10 in an intensive care unit [ICU]). As of April 21, 2021, outcomes were death (n = 3), continued ICU care (n = 3), continued non-ICU hospitalization (n = 2), and discharged home (n = 4).\nConclusions and Relevance: The initial 12 US cases of CVST with thrombocytopenia after Ad26.COV2.S vaccination represent serious events. This case series may inform clinical guidance as Ad26.COV2.S vaccination resumes in the US as well as investigations into the potential relationship between Ad26.COV2.S vaccine and CVST with thrombocytopenia.","container-title":"JAMA","DOI":"10.1001/jama.2021.7517","ISSN":"1538-3598","journalAbbreviation":"JAMA","language":"eng","note":"PMID: 33929487","source":"PubMed","title":"US Case Reports of Cerebral Venous Sinus Thrombosis With Thrombocytopenia After Ad26.COV2.S Vaccination, March 2 to April 21, 2021","author":[{"family":"See","given":"Isaac"},{"family":"Su","given":"John R."},{"family":"Lale","given":"Allison"},{"family":"Woo","given":"Emily Jane"},{"family":"Guh","given":"Alice Y."},{"family":"Shimabukuro","given":"Tom T."},{"family":"Streiff","given":"Michael B."},{"family":"Rao","given":"Agam K."},{"family":"Wheeler","given":"Allison P."},{"family":"Beavers","given":"Suzanne F."},{"family":"Durbin","given":"Anna P."},{"family":"Edwards","given":"Kathryn"},{"family":"Miller","given":"Elaine"},{"family":"Harrington","given":"Theresa A."},{"family":"Mba-Jonas","given":"Adamma"},{"family":"Nair","given":"Narayan"},{"family":"Nguyen","given":"Duong T."},{"family":"Talaat","given":"Kawsar R."},{"family":"Urrutia","given":"Victor C."},{"family":"Walker","given":"Shannon C."},{"family":"Creech","given":"C. Buddy"},{"family":"Clark","given":"Thomas A."},{"family":"DeStefano","given":"Frank"},{"family":"Broder","given":"Karen R."}],"issued":{"date-parts":[["2021",4,30]]}}}],"schema":"https://github.com/citation-style-language/schema/raw/master/csl-citation.json"} </w:instrText>
      </w:r>
      <w:r w:rsidRPr="00512EB4">
        <w:fldChar w:fldCharType="separate"/>
      </w:r>
      <w:r w:rsidRPr="00512EB4">
        <w:rPr>
          <w:vertAlign w:val="superscript"/>
        </w:rPr>
        <w:t>1–5</w:t>
      </w:r>
      <w:r w:rsidRPr="00512EB4">
        <w:fldChar w:fldCharType="end"/>
      </w:r>
      <w:r w:rsidRPr="00512EB4">
        <w:t>. Severe vaccine-induced thrombotic thrombocytopenia (VITT) following vaccine administration was initially reported after ChAdOx1 nCoV-19 vaccination (Astra-Zeneca)</w:t>
      </w:r>
      <w:r w:rsidRPr="00512EB4">
        <w:fldChar w:fldCharType="begin"/>
      </w:r>
      <w:r w:rsidRPr="00512EB4">
        <w:instrText xml:space="preserve"> ADDIN ZOTERO_ITEM CSL_CITATION {"citationID":"VNQ0juFY","properties":{"formattedCitation":"\\super 1\\uc0\\u8211{}4\\nosupersub{}","plainCitation":"1–4","noteIndex":0},"citationItems":[{"id":174,"uris":["http://zotero.org/users/7335484/items/TURCZDPM"],"uri":["http://zotero.org/users/7335484/items/TURCZDPM"],"itemData":{"id":174,"type":"article-journal","abstract":"BACKGROUND: Several cases of unusual thrombotic events and thrombocytopenia have developed after vaccination with the recombinant adenoviral vector encoding the spike protein antigen of severe acute respiratory syndrome coronavirus 2 (SARS-CoV-2) (ChAdOx1 nCov-19, AstraZeneca). More data were needed on the pathogenesis of this unusual clotting disorder.\nMETHODS: We assessed the clinical and laboratory features of 11 patients in Germany and Austria in whom thrombosis or thrombocytopenia had developed after vaccination with ChAdOx1 nCov-19. We used a standard enzyme-linked immunosorbent assay to detect platelet factor 4 (PF4)-heparin antibodies and a modified (PF4-enhanced) platelet-activation test to detect platelet-activating antibodies under various reaction conditions. Included in this testing were samples from patients who had blood samples referred for investigation of vaccine-associated thrombotic events, with 28 testing positive on a screening PF4-heparin immunoassay.\nRESULTS: Of the 11 original patients, 9 were women, with a median age of 36 years (range, 22 to 49). Beginning 5 to 16 days after vaccination, the patients presented with one or more thrombotic events, with the exception of 1 patient, who presented with fatal intracranial hemorrhage. Of the patients with one or more thrombotic events, 9 had cerebral venous thrombosis, 3 had splanchnic-vein thrombosis, 3 had pulmonary embolism, and 4 had other thromboses; of these patients, 6 died. Five patients had disseminated intravascular coagulation. None of the patients had received heparin before symptom onset. All 28 patients who tested positive for antibodies against PF4-heparin tested positive on the platelet-activation assay in the presence of PF4 independent of heparin. Platelet activation was inhibited by high levels of heparin, Fc receptor-blocking monoclonal antibody, and immune globulin (10 mg per milliliter). Additional studies with PF4 or PF4-heparin affinity purified antibodies in 2 patients confirmed PF4-dependent platelet activation.\nCONCLUSIONS: Vaccination with ChAdOx1 nCov-19 can result in the rare development of immune thrombotic thrombocytopenia mediated by platelet-activating antibodies against PF4, which clinically mimics autoimmune heparin-induced thrombocytopenia. (Funded by the German Research Foundation.).","container-title":"The New England Journal of Medicine","DOI":"10.1056/NEJMoa2104840","ISSN":"1533-4406","journalAbbreviation":"N Engl J Med","language":"eng","note":"PMID: 33835769","source":"PubMed","title":"Thrombotic Thrombocytopenia after ChAdOx1 nCov-19 Vaccination","author":[{"family":"Greinacher","given":"Andreas"},{"family":"Thiele","given":"Thomas"},{"family":"Warkentin","given":"Theodore E."},{"family":"Weisser","given":"Karin"},{"family":"Kyrle","given":"Paul A."},{"family":"Eichinger","given":"Sabine"}],"issued":{"date-parts":[["2021",4,9]]}}},{"id":274,"uris":["http://zotero.org/users/7335484/items/S4PWEUPK"],"uri":["http://zotero.org/users/7335484/items/S4PWEUPK"],"itemData":{"id":274,"type":"article-journal","abstract":"BACKGROUND: The mainstay of control of the coronavirus disease 2019 (Covid-19) pandemic is vaccination against severe acute respiratory syndrome coronavirus 2 (SARS-CoV-2). Within a year, several vaccines have been developed and millions of doses delivered. Reporting of adverse events is a critical postmarketing activity.\nMETHODS: We report findings in 23 patients who presented with thrombosis and thrombocytopenia 6 to 24 days after receiving the first dose of the ChAdOx1 nCoV-19 vaccine (AstraZeneca). On the basis of their clinical and laboratory features, we identify a novel underlying mechanism and address the therapeutic implications.\nRESULTS: In the absence of previous prothrombotic medical conditions, 22 patients presented with acute thrombocytopenia and thrombosis, primarily cerebral venous thrombosis, and 1 patient presented with isolated thrombocytopenia and a hemorrhagic phenotype. All the patients had low or normal fibrinogen levels and elevated d-dimer levels at presentation. No evidence of thrombophilia or causative precipitants was identified. Testing for antibodies to platelet factor 4 (PF4) was positive in 21 patients, negative in 1 patient, and equivocal in 1 patient. On the basis of the pathophysiological features observed in these patients, we recommend that treatment with platelet transfusions be avoided because of the risk of progression in thrombotic symptoms and that the administration of a nonheparin anticoagulant agent and intravenous immune globulin be considered for the first occurrence of these symptoms.\nCONCLUSIONS: Vaccination against SARS-CoV-2 remains critical for control of the Covid-19 pandemic. A pathogenic PF4-dependent syndrome, unrelated to the use of heparin therapy, can occur after the administration of the ChAdOx1 nCoV-19 vaccine. Rapid identification of this rare syndrome is important because of the therapeutic implications.","container-title":"The New England Journal of Medicine","DOI":"10.1056/NEJMoa2105385","ISSN":"1533-4406","journalAbbreviation":"N Engl J Med","language":"eng","note":"PMID: 33861525","source":"PubMed","title":"Pathologic Antibodies to Platelet Factor 4 after ChAdOx1 nCoV-19 Vaccination","author":[{"family":"Scully","given":"Marie"},{"family":"Singh","given":"Deepak"},{"family":"Lown","given":"Robert"},{"family":"Poles","given":"Anthony"},{"family":"Solomon","given":"Tom"},{"family":"Levi","given":"Marcel"},{"family":"Goldblatt","given":"David"},{"family":"Kotoucek","given":"Pavel"},{"family":"Thomas","given":"William"},{"family":"Lester","given":"William"}],"issued":{"date-parts":[["2021",4,16]]}}},{"id":176,"uris":["http://zotero.org/users/7335484/items/G63M8YK6"],"uri":["http://zotero.org/users/7335484/items/G63M8YK6"],"itemData":{"id":176,"type":"article-journal","abstract":"We report findings in five patients who presented with venous thrombosis and thrombocytopenia 7 to 10 days after receiving the first dose of the ChAdOx1 nCoV-19 adenoviral vector vaccine against coronavirus disease 2019 (Covid-19). The patients were health care workers who were 32 to 54 years of age. All the patients had high levels of antibodies to platelet factor 4-polyanion complexes; however, they had had no previous exposure to heparin. Because the five cases occurred in a population of more than 130,000 vaccinated persons, we propose that they represent a rare vaccine-related variant of spontaneous heparin-induced thrombocytopenia that we refer to as vaccine-induced immune thrombotic thrombocytopenia.","container-title":"The New England Journal of Medicine","DOI":"10.1056/NEJMoa2104882","ISSN":"1533-4406","journalAbbreviation":"N Engl J Med","language":"eng","note":"PMID: 33835768","source":"PubMed","title":"Thrombosis and Thrombocytopenia after ChAdOx1 nCoV-19 Vaccination","author":[{"family":"Schultz","given":"Nina H."},{"family":"Sørvoll","given":"Ingvild H."},{"family":"Michelsen","given":"Annika E."},{"family":"Munthe","given":"Ludvig A."},{"family":"Lund-Johansen","given":"Fridtjof"},{"family":"Ahlen","given":"Maria T."},{"family":"Wiedmann","given":"Markus"},{"family":"Aamodt","given":"Anne-Hege"},{"family":"Skattør","given":"Thor H."},{"family":"Tjønnfjord","given":"Geir E."},{"family":"Holme","given":"Pål A."}],"issued":{"date-parts":[["2021",4,9]]}}},{"id":257,"uris":["http://zotero.org/users/7335484/items/TXTW57E2"],"uri":["http://zotero.org/users/7335484/items/TXTW57E2"],"itemData":{"id":257,"type":"article-journal","abstract":"We report five cases of prothrombotic immune thrombocytopenia after exposure to the ChAdOx1 vaccine (AZD1222, Vaxzevria) against severe acute respiratory syndrome coronavirus 2 (SARS-CoV-2). Patients presented 5 to 11 days after first vaccination. The spectrum of clinical manifestations included cerebral venous sinus thrombosis (CVST), splanchnic vein thrombosis (SVT), arterial cerebral thromboembolism, and thrombotic microangiopathy (TMA). All patients had thrombocytopenia and markedly elevated D-Dimer. Autoantibodies against platelet factor 4 (PF4) were detected in all patients although they had never been exposed to heparin. Immunoglobulin from patient sera bound to healthy donor platelets in an AZD1222-dependant manner, suppressed by heparin. Aggregation of healthy donor platelets by patient sera was demonstrated in the presence of buffer or AZD1222 and was also suppressed by heparin. Anticoagulation alone or in combination with eculizumab or intravenous immunoglobulin (IVIG) resolved the pathology in three patients. Two patients had thromboembolic events despite anticoagulation at a time when platelets were increasing after IVIG. In summary, an unexpected autoimmune prothrombotic disorder is described after vaccination with AZD1222. It is characterized by thrombocytopenia and anti-PF4 antibodies binding to platelets in AZD1222-dependent manner. Initial clinical experience suggests a risk of unusual and severe thromboembolic events.","container-title":"Blood","DOI":"10.1182/blood.2021011958","ISSN":"1528-0020","journalAbbreviation":"Blood","language":"eng","note":"PMID: 33909050","source":"PubMed","title":"Prothrombotic immune thrombocytopenia after COVID-19 vaccine","author":[{"family":"Tiede","given":"Andreas"},{"family":"Sachs","given":"Ulrich J."},{"family":"Czwalinna","given":"Andreas"},{"family":"Werwitzke","given":"Sonja"},{"family":"Bikker","given":"Rolf"},{"family":"Krauss","given":"Joachim K."},{"family":"Donnerstag","given":"Frank Gf"},{"family":"Weißenborn","given":"Karin"},{"family":"Höglinger","given":"Günter U."},{"family":"Maasoumy","given":"Benjamin"},{"family":"Wedemeyer","given":"Heiner"},{"family":"Ganser","given":"Arnold"}],"issued":{"date-parts":[["2021",4,28]]}}}],"schema":"https://github.com/citation-style-language/schema/raw/master/csl-citation.json"} </w:instrText>
      </w:r>
      <w:r w:rsidRPr="00512EB4">
        <w:fldChar w:fldCharType="separate"/>
      </w:r>
      <w:r w:rsidRPr="00512EB4">
        <w:rPr>
          <w:vertAlign w:val="superscript"/>
        </w:rPr>
        <w:t>1–4</w:t>
      </w:r>
      <w:r w:rsidRPr="00512EB4">
        <w:fldChar w:fldCharType="end"/>
      </w:r>
      <w:r w:rsidRPr="00512EB4">
        <w:t>, causing the European Medicine Agency (EMA) to issue a report on March 18, 2021</w:t>
      </w:r>
      <w:r w:rsidRPr="00512EB4">
        <w:fldChar w:fldCharType="begin"/>
      </w:r>
      <w:r w:rsidRPr="00512EB4">
        <w:instrText xml:space="preserve"> ADDIN ZOTERO_ITEM CSL_CITATION {"citationID":"PyS0kFkc","properties":{"formattedCitation":"\\super 6\\nosupersub{}","plainCitation":"6","noteIndex":0},"citationItems":[{"id":168,"uris":["http://zotero.org/users/7335484/items/5E457Y6G"],"uri":["http://zotero.org/users/7335484/items/5E457Y6G"],"itemData":{"id":168,"type":"webpage","abstract":"AstraZeneca’s COVID-19 vaccine: EMA finds possible link to very rare cases of unusual blood clots with low platelets","container-title":"European Medicines Agency","genre":"Text","language":"en","title":"AstraZeneca’s COVID-19 vaccine: EMA finds possible link to very rare cases of unusual blood clots with low platelets","title-short":"AstraZeneca’s COVID-19 vaccine","URL":"https://www.ema.europa.eu/en/news/astrazenecas-covid-19-vaccine-ema-finds-possible-link-very-rare-cases-unusual-blood-clots-low-blood","author":[{"family":"European Medicines Agency","given":""}],"accessed":{"date-parts":[["2021",4,29]]},"issued":{"date-parts":[["2021",4,6]]}}}],"schema":"https://github.com/citation-style-language/schema/raw/master/csl-citation.json"} </w:instrText>
      </w:r>
      <w:r w:rsidRPr="00512EB4">
        <w:fldChar w:fldCharType="separate"/>
      </w:r>
      <w:r w:rsidRPr="00512EB4">
        <w:rPr>
          <w:vertAlign w:val="superscript"/>
        </w:rPr>
        <w:t>6</w:t>
      </w:r>
      <w:r w:rsidRPr="00512EB4">
        <w:fldChar w:fldCharType="end"/>
      </w:r>
      <w:r w:rsidRPr="00512EB4">
        <w:t>. In the meantime, reports of CVT after another adenoviral vector-based vaccine, the Ad26.COV.2.S vaccine (Janssen/Johnson &amp; Johnson), resulted in the US Food and Drug Administration (FDA) recommending a pause in the use of the Ad26.COV.2.S vaccine as well</w:t>
      </w:r>
      <w:r w:rsidRPr="00512EB4">
        <w:fldChar w:fldCharType="begin"/>
      </w:r>
      <w:r w:rsidRPr="00512EB4">
        <w:instrText xml:space="preserve"> ADDIN ZOTERO_ITEM CSL_CITATION {"citationID":"v6pOADkH","properties":{"formattedCitation":"\\super 7\\nosupersub{}","plainCitation":"7","noteIndex":0},"citationItems":[{"id":276,"uris":["http://zotero.org/users/7335484/items/R4N6MBQE"],"uri":["http://zotero.org/users/7335484/items/R4N6MBQE"],"itemData":{"id":276,"type":"webpage","abstract":"CDC and FDA Statement on Johnson &amp; Johnson COVID-19 Vaccine","container-title":"FDA","language":"en","note":"publisher: FDA","title":"Joint CDC and FDA Statement on Johnson &amp; Johnson COVID-19 Vaccine","URL":"https://www.fda.gov/news-events/press-announcements/joint-cdc-and-fda-statement-johnson-johnson-covid-19-vaccine","author":[{"family":"Commissioner","given":"Office","dropping-particle":"of the"}],"accessed":{"date-parts":[["2021",5,14]]},"issued":{"date-parts":[["2021",4,13]]}}}],"schema":"https://github.com/citation-style-language/schema/raw/master/csl-citation.json"} </w:instrText>
      </w:r>
      <w:r w:rsidRPr="00512EB4">
        <w:fldChar w:fldCharType="separate"/>
      </w:r>
      <w:r w:rsidRPr="00512EB4">
        <w:rPr>
          <w:vertAlign w:val="superscript"/>
        </w:rPr>
        <w:t>7</w:t>
      </w:r>
      <w:r w:rsidRPr="00512EB4">
        <w:fldChar w:fldCharType="end"/>
      </w:r>
      <w:r w:rsidRPr="00512EB4">
        <w:t>. Although the clinical course of VITT has been postulated to be similar to autoimmune heparin-induced thrombocytopenia</w:t>
      </w:r>
      <w:r w:rsidRPr="00512EB4">
        <w:fldChar w:fldCharType="begin"/>
      </w:r>
      <w:r w:rsidRPr="00512EB4">
        <w:instrText xml:space="preserve"> ADDIN ZOTERO_ITEM CSL_CITATION {"citationID":"Vw4baRny","properties":{"formattedCitation":"\\super 1,2,5\\nosupersub{}","plainCitation":"1,2,5","noteIndex":0},"citationItems":[{"id":174,"uris":["http://zotero.org/users/7335484/items/TURCZDPM"],"uri":["http://zotero.org/users/7335484/items/TURCZDPM"],"itemData":{"id":174,"type":"article-journal","abstract":"BACKGROUND: Several cases of unusual thrombotic events and thrombocytopenia have developed after vaccination with the recombinant adenoviral vector encoding the spike protein antigen of severe acute respiratory syndrome coronavirus 2 (SARS-CoV-2) (ChAdOx1 nCov-19, AstraZeneca). More data were needed on the pathogenesis of this unusual clotting disorder.\nMETHODS: We assessed the clinical and laboratory features of 11 patients in Germany and Austria in whom thrombosis or thrombocytopenia had developed after vaccination with ChAdOx1 nCov-19. We used a standard enzyme-linked immunosorbent assay to detect platelet factor 4 (PF4)-heparin antibodies and a modified (PF4-enhanced) platelet-activation test to detect platelet-activating antibodies under various reaction conditions. Included in this testing were samples from patients who had blood samples referred for investigation of vaccine-associated thrombotic events, with 28 testing positive on a screening PF4-heparin immunoassay.\nRESULTS: Of the 11 original patients, 9 were women, with a median age of 36 years (range, 22 to 49). Beginning 5 to 16 days after vaccination, the patients presented with one or more thrombotic events, with the exception of 1 patient, who presented with fatal intracranial hemorrhage. Of the patients with one or more thrombotic events, 9 had cerebral venous thrombosis, 3 had splanchnic-vein thrombosis, 3 had pulmonary embolism, and 4 had other thromboses; of these patients, 6 died. Five patients had disseminated intravascular coagulation. None of the patients had received heparin before symptom onset. All 28 patients who tested positive for antibodies against PF4-heparin tested positive on the platelet-activation assay in the presence of PF4 independent of heparin. Platelet activation was inhibited by high levels of heparin, Fc receptor-blocking monoclonal antibody, and immune globulin (10 mg per milliliter). Additional studies with PF4 or PF4-heparin affinity purified antibodies in 2 patients confirmed PF4-dependent platelet activation.\nCONCLUSIONS: Vaccination with ChAdOx1 nCov-19 can result in the rare development of immune thrombotic thrombocytopenia mediated by platelet-activating antibodies against PF4, which clinically mimics autoimmune heparin-induced thrombocytopenia. (Funded by the German Research Foundation.).","container-title":"The New England Journal of Medicine","DOI":"10.1056/NEJMoa2104840","ISSN":"1533-4406","journalAbbreviation":"N Engl J Med","language":"eng","note":"PMID: 33835769","source":"PubMed","title":"Thrombotic Thrombocytopenia after ChAdOx1 nCov-19 Vaccination","author":[{"family":"Greinacher","given":"Andreas"},{"family":"Thiele","given":"Thomas"},{"family":"Warkentin","given":"Theodore E."},{"family":"Weisser","given":"Karin"},{"family":"Kyrle","given":"Paul A."},{"family":"Eichinger","given":"Sabine"}],"issued":{"date-parts":[["2021",4,9]]}}},{"id":274,"uris":["http://zotero.org/users/7335484/items/S4PWEUPK"],"uri":["http://zotero.org/users/7335484/items/S4PWEUPK"],"itemData":{"id":274,"type":"article-journal","abstract":"BACKGROUND: The mainstay of control of the coronavirus disease 2019 (Covid-19) pandemic is vaccination against severe acute respiratory syndrome coronavirus 2 (SARS-CoV-2). Within a year, several vaccines have been developed and millions of doses delivered. Reporting of adverse events is a critical postmarketing activity.\nMETHODS: We report findings in 23 patients who presented with thrombosis and thrombocytopenia 6 to 24 days after receiving the first dose of the ChAdOx1 nCoV-19 vaccine (AstraZeneca). On the basis of their clinical and laboratory features, we identify a novel underlying mechanism and address the therapeutic implications.\nRESULTS: In the absence of previous prothrombotic medical conditions, 22 patients presented with acute thrombocytopenia and thrombosis, primarily cerebral venous thrombosis, and 1 patient presented with isolated thrombocytopenia and a hemorrhagic phenotype. All the patients had low or normal fibrinogen levels and elevated d-dimer levels at presentation. No evidence of thrombophilia or causative precipitants was identified. Testing for antibodies to platelet factor 4 (PF4) was positive in 21 patients, negative in 1 patient, and equivocal in 1 patient. On the basis of the pathophysiological features observed in these patients, we recommend that treatment with platelet transfusions be avoided because of the risk of progression in thrombotic symptoms and that the administration of a nonheparin anticoagulant agent and intravenous immune globulin be considered for the first occurrence of these symptoms.\nCONCLUSIONS: Vaccination against SARS-CoV-2 remains critical for control of the Covid-19 pandemic. A pathogenic PF4-dependent syndrome, unrelated to the use of heparin therapy, can occur after the administration of the ChAdOx1 nCoV-19 vaccine. Rapid identification of this rare syndrome is important because of the therapeutic implications.","container-title":"The New England Journal of Medicine","DOI":"10.1056/NEJMoa2105385","ISSN":"1533-4406","journalAbbreviation":"N Engl J Med","language":"eng","note":"PMID: 33861525","source":"PubMed","title":"Pathologic Antibodies to Platelet Factor 4 after ChAdOx1 nCoV-19 Vaccination","author":[{"family":"Scully","given":"Marie"},{"family":"Singh","given":"Deepak"},{"family":"Lown","given":"Robert"},{"family":"Poles","given":"Anthony"},{"family":"Solomon","given":"Tom"},{"family":"Levi","given":"Marcel"},{"family":"Goldblatt","given":"David"},{"family":"Kotoucek","given":"Pavel"},{"family":"Thomas","given":"William"},{"family":"Lester","given":"William"}],"issued":{"date-parts":[["2021",4,16]]}}},{"id":236,"uris":["http://zotero.org/users/7335484/items/IBLHHTEI"],"uri":["http://zotero.org/users/7335484/items/IBLHHTEI"],"itemData":{"id":236,"type":"article-journal","abstract":"Importance: Cerebral venous sinus thrombosis (CVST) with thrombocytopenia, a rare and serious condition, has been described in Europe following receipt of the ChAdOx1 nCoV-19 vaccine (Oxford/AstraZeneca), which uses a chimpanzee adenoviral vector. A mechanism similar to autoimmune heparin-induced thrombocytopenia (HIT) has been proposed. In the US, the Ad26.COV2.S COVID-19 vaccine (Janssen/Johnson &amp; Johnson), which uses a human adenoviral vector, received Emergency Use Authorization (EUA) on February 27, 2021. By April 12, 2021, approximately 7 million Ad26.COV2.S vaccine doses had been given in the US, and 6 cases of CVST with thrombocytopenia had been identified among the recipients, resulting in a temporary national pause in vaccination with this product on April 13, 2021.\nObjective: To describe reports of CVST with thrombocytopenia following Ad26.COV2.S vaccine receipt.\nDesign, Setting, and Participants: Case series of 12 US patients with CVST and thrombocytopenia following use of Ad26.COV2.S vaccine under EUA reported to the Vaccine Adverse Event Reporting System (VAERS) from March 2 to April 21, 2021 (with follow-up reported through April 21, 2021).\nExposures: Receipt of Ad26.COV2.S vaccine.\nMain Outcomes and Measures: Clinical course, imaging, laboratory tests, and outcomes after CVST diagnosis obtained from VAERS reports, medical record review, and discussion with clinicians.\nResults: Patients' ages ranged from 18 to younger than 60 years; all were White women, reported from 11 states. Seven patients had at least 1 CVST risk factor, including obesity (n = 6), hypothyroidism (n = 1), and oral contraceptive use (n = 1); none had documented prior heparin exposure. Time from Ad26.COV2.S vaccination to symptom onset ranged from 6 to 15 days. Eleven patients initially presented with headache; 1 patient initially presented with back pain and later developed headache. Of the 12 patients with CVST, 7 also had intracerebral hemorrhage; 8 had non-CVST thromboses. After diagnosis of CVST, 6 patients initially received heparin treatment. Platelet nadir ranged from 9 ×103/µL to 127 ×103/µL. All 11 patients tested for the heparin-platelet factor 4 HIT antibody by enzyme-linked immunosorbent assay (ELISA) screening had positive results. All patients were hospitalized (10 in an intensive care unit [ICU]). As of April 21, 2021, outcomes were death (n = 3), continued ICU care (n = 3), continued non-ICU hospitalization (n = 2), and discharged home (n = 4).\nConclusions and Relevance: The initial 12 US cases of CVST with thrombocytopenia after Ad26.COV2.S vaccination represent serious events. This case series may inform clinical guidance as Ad26.COV2.S vaccination resumes in the US as well as investigations into the potential relationship between Ad26.COV2.S vaccine and CVST with thrombocytopenia.","container-title":"JAMA","DOI":"10.1001/jama.2021.7517","ISSN":"1538-3598","journalAbbreviation":"JAMA","language":"eng","note":"PMID: 33929487","source":"PubMed","title":"US Case Reports of Cerebral Venous Sinus Thrombosis With Thrombocytopenia After Ad26.COV2.S Vaccination, March 2 to April 21, 2021","author":[{"family":"See","given":"Isaac"},{"family":"Su","given":"John R."},{"family":"Lale","given":"Allison"},{"family":"Woo","given":"Emily Jane"},{"family":"Guh","given":"Alice Y."},{"family":"Shimabukuro","given":"Tom T."},{"family":"Streiff","given":"Michael B."},{"family":"Rao","given":"Agam K."},{"family":"Wheeler","given":"Allison P."},{"family":"Beavers","given":"Suzanne F."},{"family":"Durbin","given":"Anna P."},{"family":"Edwards","given":"Kathryn"},{"family":"Miller","given":"Elaine"},{"family":"Harrington","given":"Theresa A."},{"family":"Mba-Jonas","given":"Adamma"},{"family":"Nair","given":"Narayan"},{"family":"Nguyen","given":"Duong T."},{"family":"Talaat","given":"Kawsar R."},{"family":"Urrutia","given":"Victor C."},{"family":"Walker","given":"Shannon C."},{"family":"Creech","given":"C. Buddy"},{"family":"Clark","given":"Thomas A."},{"family":"DeStefano","given":"Frank"},{"family":"Broder","given":"Karen R."}],"issued":{"date-parts":[["2021",4,30]]}}}],"schema":"https://github.com/citation-style-language/schema/raw/master/csl-citation.json"} </w:instrText>
      </w:r>
      <w:r w:rsidRPr="00512EB4">
        <w:fldChar w:fldCharType="separate"/>
      </w:r>
      <w:r w:rsidRPr="00512EB4">
        <w:rPr>
          <w:vertAlign w:val="superscript"/>
        </w:rPr>
        <w:t>1,2,5</w:t>
      </w:r>
      <w:r w:rsidRPr="00512EB4">
        <w:fldChar w:fldCharType="end"/>
      </w:r>
      <w:r w:rsidRPr="00512EB4">
        <w:t>, the exact pathogenesis of VITT ha</w:t>
      </w:r>
      <w:r w:rsidRPr="00512EB4">
        <w:rPr>
          <w:rFonts w:eastAsia="Yu Mincho"/>
          <w:lang w:val="es-ES" w:eastAsia="ja-JP"/>
        </w:rPr>
        <w:t xml:space="preserve">s </w:t>
      </w:r>
      <w:r w:rsidRPr="00512EB4">
        <w:t>not been fully elucidated, nor whether there are any differences in VITT events after the two adenoviral vector-based vaccines. Therefore, this study aimed to perform a rapid review to compare the clinical presentations of CVT cases between Ad26.COV.2.S and ChAdOx1 nCoV-19</w:t>
      </w:r>
      <w:r w:rsidR="008A4CF1">
        <w:t xml:space="preserve"> </w:t>
      </w:r>
      <w:r w:rsidRPr="00512EB4">
        <w:t>vaccines.</w:t>
      </w:r>
    </w:p>
    <w:p w14:paraId="20D19988" w14:textId="77777777" w:rsidR="00C52E89" w:rsidRPr="00512EB4" w:rsidRDefault="00C52E89" w:rsidP="00512EB4">
      <w:pPr>
        <w:wordWrap/>
        <w:snapToGrid w:val="0"/>
        <w:spacing w:line="276" w:lineRule="auto"/>
      </w:pPr>
    </w:p>
    <w:p w14:paraId="23FBAF0E" w14:textId="71B169B6" w:rsidR="00C52E89" w:rsidRPr="008C4832" w:rsidRDefault="00C52E89" w:rsidP="008C4832">
      <w:pPr>
        <w:pStyle w:val="ListParagraph"/>
        <w:numPr>
          <w:ilvl w:val="0"/>
          <w:numId w:val="2"/>
        </w:numPr>
        <w:wordWrap/>
        <w:snapToGrid w:val="0"/>
        <w:spacing w:line="276" w:lineRule="auto"/>
        <w:ind w:leftChars="0"/>
        <w:outlineLvl w:val="0"/>
        <w:rPr>
          <w:b/>
          <w:bCs/>
        </w:rPr>
      </w:pPr>
      <w:r w:rsidRPr="008C4832">
        <w:rPr>
          <w:b/>
          <w:bCs/>
        </w:rPr>
        <w:t>Methods</w:t>
      </w:r>
    </w:p>
    <w:p w14:paraId="09776BDB" w14:textId="7AA5106E" w:rsidR="00C52E89" w:rsidRPr="008C4832" w:rsidRDefault="00C52E89" w:rsidP="008C4832">
      <w:pPr>
        <w:pStyle w:val="ListParagraph"/>
        <w:numPr>
          <w:ilvl w:val="1"/>
          <w:numId w:val="2"/>
        </w:numPr>
        <w:wordWrap/>
        <w:snapToGrid w:val="0"/>
        <w:spacing w:line="276" w:lineRule="auto"/>
        <w:ind w:leftChars="0"/>
        <w:outlineLvl w:val="0"/>
        <w:rPr>
          <w:i/>
        </w:rPr>
      </w:pPr>
      <w:r w:rsidRPr="008C4832">
        <w:rPr>
          <w:i/>
        </w:rPr>
        <w:t>Study design and data source</w:t>
      </w:r>
    </w:p>
    <w:p w14:paraId="457153C6" w14:textId="157A9F7E" w:rsidR="00C52E89" w:rsidRPr="00512EB4" w:rsidRDefault="00C52E89" w:rsidP="00512EB4">
      <w:pPr>
        <w:wordWrap/>
        <w:snapToGrid w:val="0"/>
        <w:spacing w:line="276" w:lineRule="auto"/>
      </w:pPr>
      <w:r w:rsidRPr="00512EB4">
        <w:t xml:space="preserve">We conducted a rapid review to capture case reports of VITT after adenoviral </w:t>
      </w:r>
      <w:proofErr w:type="gramStart"/>
      <w:r w:rsidRPr="00512EB4">
        <w:t>vector-based</w:t>
      </w:r>
      <w:proofErr w:type="gramEnd"/>
      <w:r w:rsidRPr="00512EB4">
        <w:t xml:space="preserve"> COVID vaccine administration. We searched PubMed </w:t>
      </w:r>
      <w:proofErr w:type="spellStart"/>
      <w:r w:rsidRPr="00512EB4">
        <w:t>ePubs</w:t>
      </w:r>
      <w:proofErr w:type="spellEnd"/>
      <w:r w:rsidRPr="00512EB4">
        <w:t xml:space="preserve">, Scopus, Embase, and Web of Science databases to include articles published up to </w:t>
      </w:r>
      <w:proofErr w:type="gramStart"/>
      <w:r w:rsidRPr="00512EB4">
        <w:t>April 28, 2021, and</w:t>
      </w:r>
      <w:proofErr w:type="gramEnd"/>
      <w:r w:rsidRPr="00512EB4">
        <w:t xml:space="preserve"> related to COVID-19 vaccine-associated CVT after adenoviral vector-based COVID-19 vaccine administration. Case series with more than five cases were considered. We only included cases with CVT documented by clinical and radiologic findings after vaccination with the ChAdOx1 nCoV-19 or Ad26.COV.2.S vaccine. After reviewing individual abstracts and full texts, we identified 5 case series that met the inclusion criteria for this systematic review</w:t>
      </w:r>
      <w:r w:rsidRPr="00512EB4">
        <w:rPr>
          <w:vertAlign w:val="superscript"/>
        </w:rPr>
        <w:t>1–5</w:t>
      </w:r>
      <w:r w:rsidRPr="00512EB4">
        <w:t>.</w:t>
      </w:r>
      <w:r w:rsidR="006924F6">
        <w:t xml:space="preserve"> Laboratory measurements presented were either those obtained at time of admission or peak/nadir values.</w:t>
      </w:r>
    </w:p>
    <w:p w14:paraId="27A7BB02" w14:textId="77777777" w:rsidR="00C52E89" w:rsidRPr="00512EB4" w:rsidRDefault="00C52E89" w:rsidP="00512EB4">
      <w:pPr>
        <w:wordWrap/>
        <w:snapToGrid w:val="0"/>
        <w:spacing w:line="276" w:lineRule="auto"/>
      </w:pPr>
    </w:p>
    <w:p w14:paraId="68BDFAAA" w14:textId="628ADE66" w:rsidR="00C52E89" w:rsidRPr="008C4832" w:rsidRDefault="00C52E89" w:rsidP="008C4832">
      <w:pPr>
        <w:pStyle w:val="ListParagraph"/>
        <w:numPr>
          <w:ilvl w:val="1"/>
          <w:numId w:val="2"/>
        </w:numPr>
        <w:wordWrap/>
        <w:snapToGrid w:val="0"/>
        <w:spacing w:line="276" w:lineRule="auto"/>
        <w:ind w:leftChars="0"/>
        <w:outlineLvl w:val="0"/>
        <w:rPr>
          <w:i/>
        </w:rPr>
      </w:pPr>
      <w:r w:rsidRPr="008C4832">
        <w:rPr>
          <w:i/>
        </w:rPr>
        <w:t>Statistical analysis</w:t>
      </w:r>
    </w:p>
    <w:p w14:paraId="5B463BC6" w14:textId="77777777" w:rsidR="00C52E89" w:rsidRPr="00512EB4" w:rsidRDefault="00C52E89" w:rsidP="00512EB4">
      <w:pPr>
        <w:wordWrap/>
        <w:snapToGrid w:val="0"/>
        <w:spacing w:line="276" w:lineRule="auto"/>
      </w:pPr>
      <w:r w:rsidRPr="00512EB4">
        <w:t>Basic demographic and clinical information were presented as the median and interquartile range (IQR) for continuous variables and the percentage for categorical variables. Variables were compared with the Mann-Whitney U-test for continuous variables and Fisher’s exact test for categorical variables. Statistical significance was defined as two-tailed p&lt;0.05. Statistical analyses were performed with R version 4.0.4 (R Core Team, Vienna, Austria).</w:t>
      </w:r>
    </w:p>
    <w:p w14:paraId="307009FA" w14:textId="77777777" w:rsidR="00C52E89" w:rsidRPr="00512EB4" w:rsidRDefault="00C52E89" w:rsidP="00512EB4">
      <w:pPr>
        <w:wordWrap/>
        <w:snapToGrid w:val="0"/>
        <w:spacing w:line="276" w:lineRule="auto"/>
      </w:pPr>
    </w:p>
    <w:p w14:paraId="553B76A3" w14:textId="23C155DF" w:rsidR="00C52E89" w:rsidRPr="008C4832" w:rsidRDefault="00C52E89" w:rsidP="008C4832">
      <w:pPr>
        <w:pStyle w:val="ListParagraph"/>
        <w:numPr>
          <w:ilvl w:val="0"/>
          <w:numId w:val="2"/>
        </w:numPr>
        <w:wordWrap/>
        <w:snapToGrid w:val="0"/>
        <w:spacing w:line="276" w:lineRule="auto"/>
        <w:ind w:leftChars="0"/>
        <w:outlineLvl w:val="0"/>
        <w:rPr>
          <w:b/>
        </w:rPr>
      </w:pPr>
      <w:r w:rsidRPr="008C4832">
        <w:rPr>
          <w:b/>
        </w:rPr>
        <w:t>Results</w:t>
      </w:r>
    </w:p>
    <w:p w14:paraId="65433B9B" w14:textId="092B423F" w:rsidR="00C52E89" w:rsidRPr="00512EB4" w:rsidRDefault="00C52E89" w:rsidP="00512EB4">
      <w:pPr>
        <w:wordWrap/>
        <w:snapToGrid w:val="0"/>
        <w:spacing w:line="276" w:lineRule="auto"/>
      </w:pPr>
      <w:r w:rsidRPr="00512EB4">
        <w:t xml:space="preserve">Demographic and clinical characteristics of 40 patients (ChAdOx1 nCoV-19, n=28; Ad26.COV.2.S, </w:t>
      </w:r>
      <w:r w:rsidRPr="00512EB4">
        <w:lastRenderedPageBreak/>
        <w:t>n=12) are shown in Table 1</w:t>
      </w:r>
      <w:r w:rsidR="006924F6">
        <w:t xml:space="preserve"> and Supplementary Table S1</w:t>
      </w:r>
      <w:r w:rsidRPr="00512EB4">
        <w:t xml:space="preserve">. Patients who received the Ad26.COV.2.S vaccine tended to have clinical manifestations later than those administered ChAdOx1 nCoV-19, with a median of 16 days post-vaccination compared to 10 days (p=0.004). D-dimer levels were significantly lower in the Ad26.COV.2.S group (16.3 vs. 74.2 times the upper limit of normal, p=0.036), and </w:t>
      </w:r>
      <w:proofErr w:type="spellStart"/>
      <w:r w:rsidRPr="00512EB4">
        <w:t>aPTT</w:t>
      </w:r>
      <w:proofErr w:type="spellEnd"/>
      <w:r w:rsidRPr="00512EB4">
        <w:t xml:space="preserve"> levels were also lower in the Ad26.COV.2.S group with borderline significance (28.0 vs. 34.0 sec, p=0.086). Other clinical characteristics were similar, with no significant differences in age or sex distribution, platelet counts, prothrombin time, fibrinogen levels. In both groups, almost all patients had positive tests for HIT antibody enzyme-linked immunosorbent assay (ELISA) (96.0% vs. 100.0%, p=1.000). However, while 92.9% of patients administered ChAdOx1 nCoV-19 had positive platelet function tests, only 11.1% had positive tests in the Ad26.COV.2.S group (p&lt;0.001).</w:t>
      </w:r>
    </w:p>
    <w:p w14:paraId="5F5294D4" w14:textId="77777777" w:rsidR="00C52E89" w:rsidRPr="00512EB4" w:rsidRDefault="00C52E89" w:rsidP="00512EB4">
      <w:pPr>
        <w:wordWrap/>
        <w:snapToGrid w:val="0"/>
        <w:spacing w:line="276" w:lineRule="auto"/>
      </w:pPr>
    </w:p>
    <w:p w14:paraId="7E247BF4" w14:textId="0BFD837B" w:rsidR="00C52E89" w:rsidRPr="00512EB4" w:rsidRDefault="00C52E89" w:rsidP="00512EB4">
      <w:pPr>
        <w:wordWrap/>
        <w:snapToGrid w:val="0"/>
        <w:spacing w:line="276" w:lineRule="auto"/>
      </w:pPr>
      <w:r w:rsidRPr="00512EB4">
        <w:t>Interestingly, patients with CVT after Ad26.COV.2.S administration were more likely to also have intracerebral hemorrhage (58.3% vs. 17.9%, p=0.021). They were also more likely to have additional thrombosis other than CVT, with borderline significance (66.7% vs. 32.1%, p=0.063). Notably, patients with CVT after Ad26.COV.2.S administration were more likely to also have internal jugular vein (IJV) thrombosis (2.2% vs. 50%, p&lt;0.001). However, there was no statistically significant difference in mortality (25.0% vs. 56.5%, p=0.152). There were no significant differences in presenting symptoms, most commonly being headache, visual disturbance, hemiparesis, and fever.</w:t>
      </w:r>
    </w:p>
    <w:p w14:paraId="58B431E8" w14:textId="77777777" w:rsidR="00C52E89" w:rsidRPr="00512EB4" w:rsidRDefault="00C52E89" w:rsidP="00512EB4">
      <w:pPr>
        <w:wordWrap/>
        <w:snapToGrid w:val="0"/>
        <w:spacing w:line="276" w:lineRule="auto"/>
      </w:pPr>
    </w:p>
    <w:p w14:paraId="13EB6B46" w14:textId="6FBF939E" w:rsidR="00C52E89" w:rsidRPr="008C4832" w:rsidRDefault="00C52E89" w:rsidP="008C4832">
      <w:pPr>
        <w:pStyle w:val="ListParagraph"/>
        <w:numPr>
          <w:ilvl w:val="0"/>
          <w:numId w:val="2"/>
        </w:numPr>
        <w:wordWrap/>
        <w:snapToGrid w:val="0"/>
        <w:spacing w:line="276" w:lineRule="auto"/>
        <w:ind w:leftChars="0"/>
        <w:outlineLvl w:val="0"/>
        <w:rPr>
          <w:b/>
        </w:rPr>
      </w:pPr>
      <w:r w:rsidRPr="008C4832">
        <w:rPr>
          <w:b/>
        </w:rPr>
        <w:t>Discussion</w:t>
      </w:r>
    </w:p>
    <w:p w14:paraId="497F15AD" w14:textId="77777777" w:rsidR="00C52E89" w:rsidRPr="00512EB4" w:rsidRDefault="00C52E89" w:rsidP="00512EB4">
      <w:pPr>
        <w:wordWrap/>
        <w:snapToGrid w:val="0"/>
        <w:spacing w:line="276" w:lineRule="auto"/>
      </w:pPr>
      <w:r w:rsidRPr="00512EB4">
        <w:t xml:space="preserve">The current study is the first to directly compare CVT profiles after COVID-19 vaccine administration between the two adenoviral vector-based vaccines, Ad26.COV.2.S and ChAdOx1 nCoV-19. Although the main presenting symptoms were similar, with the majority reporting headaches and neurologic manifestations, patients who received Ad26.COV.2.S tended to present CVT later, with a median time to admission of 16 days post-vaccination compared to 10 days after ChAdOx1 nCoV-19. Therefore, it is essential to educate patients to be vigilant for neurologic symptoms for a longer period after Ad26.COV.2 vaccination. </w:t>
      </w:r>
    </w:p>
    <w:p w14:paraId="2B6F5EFF" w14:textId="77777777" w:rsidR="00C52E89" w:rsidRPr="00512EB4" w:rsidRDefault="00C52E89" w:rsidP="00512EB4">
      <w:pPr>
        <w:wordWrap/>
        <w:snapToGrid w:val="0"/>
        <w:spacing w:line="276" w:lineRule="auto"/>
      </w:pPr>
    </w:p>
    <w:p w14:paraId="6A9C2B9C" w14:textId="77777777" w:rsidR="00C52E89" w:rsidRPr="00512EB4" w:rsidRDefault="00C52E89" w:rsidP="00512EB4">
      <w:pPr>
        <w:wordWrap/>
        <w:snapToGrid w:val="0"/>
        <w:spacing w:line="276" w:lineRule="auto"/>
      </w:pPr>
      <w:r w:rsidRPr="00512EB4">
        <w:t xml:space="preserve">Patients with CVT after the Ad26.COV.2.S vaccine had lower D-dimer and </w:t>
      </w:r>
      <w:proofErr w:type="spellStart"/>
      <w:r w:rsidRPr="00512EB4">
        <w:t>aPTT</w:t>
      </w:r>
      <w:proofErr w:type="spellEnd"/>
      <w:r w:rsidRPr="00512EB4">
        <w:t xml:space="preserve"> levels, even though there was a greater likelihood of other thrombosis or intracerebral hemorrhage in this group. From the findings of our study, it can be inferred that the Ad26.COV.2.S vaccine, even with a seemingly adverse radiologic profile, has a milder, more insidious clinical course. This could be due to the differential immunogenic profiles of ChAdOx1 nCoV-19 and Ad26.COV.2.S vaccines in stimulating interferon-gamma levels, which is a known mediator in diffuse intravascular coagulation</w:t>
      </w:r>
      <w:r w:rsidRPr="00512EB4">
        <w:fldChar w:fldCharType="begin"/>
      </w:r>
      <w:r w:rsidRPr="00512EB4">
        <w:instrText xml:space="preserve"> ADDIN ZOTERO_ITEM CSL_CITATION {"citationID":"kEyyyVJF","properties":{"formattedCitation":"\\super 8\\uc0\\u8211{}10\\nosupersub{}","plainCitation":"8–10","noteIndex":0},"citationItems":[{"id":289,"uris":["http://zotero.org/users/7335484/items/MKXWU7LT"],"uri":["http://zotero.org/users/7335484/items/MKXWU7LT"],"itemData":{"id":289,"type":"article-journal","abstract":"Severe acute respiratory syndrome coronavirus 2 (SARS-CoV-2), the causative agent of Coronavirus Disease 2019 (COVID-19), has caused a global pandemic, and safe, effective vaccines are urgently needed1. Strong, Th1-skewed T cell responses can drive protective humoral and cell-mediated immune responses2 and might reduce the potential for disease enhancement3. Cytotoxic T cells clear virus-infected host cells and contribute to control of infection4. Studies of patients infected with SARS-CoV-2 have suggested a protective role for both humoral and cell-mediated immune responses in recovery from COVID-19 (refs. 5,6). ChAdOx1 nCoV-19 (AZD1222) is a candidate SARS-CoV-2 vaccine comprising a replication-deficient simian adenovirus expressing full-length SARS-CoV-2 spike protein. We recently reported preliminary safety and immunogenicity data from a phase 1/2 trial of the ChAdOx1 nCoV-19 vaccine (NCT04400838)7 given as either a one- or two-dose regimen. The vaccine was tolerated, with induction of neutralizing antibodies and antigen-specific T cells against the SARS-CoV-2 spike protein. Here we describe, in detail, exploratory analyses of the immune responses in adults, aged 18-55 years, up to 8 weeks after vaccination with a single dose of ChAdOx1 nCoV-19 in this trial, demonstrating an induction of a Th1-biased response characterized by interferon-γ and tumor necrosis factor-α cytokine secretion by CD4+ T cells and antibody production predominantly of IgG1 and IgG3 subclasses. CD8+ T cells, of monofunctional, polyfunctional and cytotoxic phenotypes, were also induced. Taken together, these results suggest a favorable immune profile induced by ChAdOx1 nCoV-19 vaccine, supporting the progression of this vaccine candidate to ongoing phase 2/3 trials to assess vaccine efficacy.","container-title":"Nature Medicine","DOI":"10.1038/s41591-020-01194-5","ISSN":"1546-170X","issue":"2","journalAbbreviation":"Nat Med","language":"eng","note":"PMID: 33335323","page":"270-278","source":"PubMed","title":"T cell and antibody responses induced by a single dose of ChAdOx1 nCoV-19 (AZD1222) vaccine in a phase 1/2 clinical trial","volume":"27","author":[{"family":"Ewer","given":"Katie J."},{"family":"Barrett","given":"Jordan R."},{"family":"Belij-Rammerstorfer","given":"Sandra"},{"family":"Sharpe","given":"Hannah"},{"family":"Makinson","given":"Rebecca"},{"family":"Morter","given":"Richard"},{"family":"Flaxman","given":"Amy"},{"family":"Wright","given":"Daniel"},{"family":"Bellamy","given":"Duncan"},{"family":"Bittaye","given":"Mustapha"},{"family":"Dold","given":"Christina"},{"family":"Provine","given":"Nicholas M."},{"family":"Aboagye","given":"Jeremy"},{"family":"Fowler","given":"Jamie"},{"family":"Silk","given":"Sarah E."},{"family":"Alderson","given":"Jennifer"},{"family":"Aley","given":"Parvinder K."},{"family":"Angus","given":"Brian"},{"family":"Berrie","given":"Eleanor"},{"family":"Bibi","given":"Sagida"},{"family":"Cicconi","given":"Paola"},{"family":"Clutterbuck","given":"Elizabeth A."},{"family":"Chelysheva","given":"Irina"},{"family":"Folegatti","given":"Pedro M."},{"family":"Fuskova","given":"Michelle"},{"family":"Green","given":"Catherine M."},{"family":"Jenkin","given":"Daniel"},{"family":"Kerridge","given":"Simon"},{"family":"Lawrie","given":"Alison"},{"family":"Minassian","given":"Angela M."},{"family":"Moore","given":"Maria"},{"family":"Mujadidi","given":"Yama"},{"family":"Plested","given":"Emma"},{"family":"Poulton","given":"Ian"},{"family":"Ramasamy","given":"Maheshi N."},{"family":"Robinson","given":"Hannah"},{"family":"Song","given":"Rinn"},{"family":"Snape","given":"Matthew D."},{"family":"Tarrant","given":"Richard"},{"family":"Voysey","given":"Merryn"},{"family":"Watson","given":"Marion E. E."},{"family":"Douglas","given":"Alexander D."},{"family":"Hill","given":"Adrian V. S."},{"family":"Gilbert","given":"Sarah C."},{"family":"Pollard","given":"Andrew J."},{"family":"Lambe","given":"Teresa"},{"literal":"Oxford COVID Vaccine Trial Group"}],"issued":{"date-parts":[["2021",2]]}}},{"id":284,"uris":["http://zotero.org/users/7335484/items/ANMJ45YB"],"uri":["http://zotero.org/users/7335484/items/ANMJ45YB"],"itemData":{"id":284,"type":"article-journal","abstract":"Importance: Control of the global COVID-19 pandemic will require the development and deployment of safe and effective vaccines.\nObjective: To evaluate the immunogenicity of the Ad26.COV2.S vaccine (Janssen/Johnson &amp; Johnson) in humans, including the kinetics, magnitude, and phenotype of SARS-CoV-2 spike-specific humoral and cellular immune responses.\nDesign, Setting, and Participants: Twenty-five participants were enrolled from July 29, 2020, to August 7, 2020, and the follow-up for this day 71 interim analysis was completed on October 3, 2020; follow-up to assess durability will continue for 2 years. This study was conducted at a single clinical site in Boston, Massachusetts, as part of a randomized, double-blind, placebo-controlled phase 1 clinical trial of Ad26.COV2.S.\nInterventions: Participants were randomized to receive 1 or 2 intramuscular injections with 5 × 1010 viral particles or 1 × 1011 viral particles of Ad26.COV2.S vaccine or placebo administered on day 1 and day 57 (5 participants in each group).\nMain Outcomes and Measures: Humoral immune responses included binding and neutralizing antibody responses at multiple time points following immunization. Cellular immune responses included immunospot-based and intracellular cytokine staining assays to measure T-cell responses.\nResults: Twenty-five participants were randomized (median age, 42; age range, 22-52; 52% women, 44% male, 4% undifferentiated), and all completed the trial through the day 71 interim end point. Binding and neutralizing antibodies emerged rapidly by day 8 after initial immunization in 90% and 25% of vaccine recipients, respectively. By day 57, binding and neutralizing antibodies were detected in 100% of vaccine recipients after a single immunization. On day 71, the geometric mean titers of spike-specific binding antibodies were 2432 to 5729 and the geometric mean titers of neutralizing antibodies were 242 to 449 in the vaccinated groups. A variety of antibody subclasses, Fc receptor binding properties, and antiviral functions were induced. CD4+ and CD8+ T-cell responses were induced.\nConclusion and Relevance: In this phase 1 study, a single immunization with Ad26.COV2.S induced rapid binding and neutralization antibody responses as well as cellular immune responses. Two phase 3 clinical trials are currently underway to determine the efficacy of the Ad26.COV2.S vaccine.\nTrial Registration: ClinicalTrials.gov Identifier: NCT04436276.","container-title":"JAMA","DOI":"10.1001/jama.2021.3645","ISSN":"1538-3598","issue":"15","journalAbbreviation":"JAMA","language":"eng","note":"PMID: 33704352\nPMCID: PMC7953339","page":"1535-1544","source":"PubMed","title":"Immunogenicity of the Ad26.COV2.S Vaccine for COVID-19","volume":"325","author":[{"family":"Stephenson","given":"Kathryn E."},{"family":"Le Gars","given":"Mathieu"},{"family":"Sadoff","given":"Jerald"},{"family":"Groot","given":"Anne Marit","non-dropping-particle":"de"},{"family":"Heerwegh","given":"Dirk"},{"family":"Truyers","given":"Carla"},{"family":"Atyeo","given":"Caroline"},{"family":"Loos","given":"Carolin"},{"family":"Chandrashekar","given":"Abishek"},{"family":"McMahan","given":"Katherine"},{"family":"Tostanoski","given":"Lisa H."},{"family":"Yu","given":"Jingyou"},{"family":"Gebre","given":"Makda S."},{"family":"Jacob-Dolan","given":"Catherine"},{"family":"Li","given":"Zhenfeng"},{"family":"Patel","given":"Shivani"},{"family":"Peter","given":"Lauren"},{"family":"Liu","given":"Jinyan"},{"family":"Borducchi","given":"Erica N."},{"family":"Nkolola","given":"Joseph P."},{"family":"Souza","given":"Morgana"},{"family":"Tan","given":"Chen Sabrina"},{"family":"Zash","given":"Rebecca"},{"family":"Julg","given":"Boris"},{"family":"Nathavitharana","given":"Ruvandhi R."},{"family":"Shapiro","given":"Roger L."},{"family":"Azim","given":"Ahmed Abdul"},{"family":"Alonso","given":"Carolyn D."},{"family":"Jaegle","given":"Kate"},{"family":"Ansel","given":"Jessica L."},{"family":"Kanjilal","given":"Diane G."},{"family":"Guiney","given":"Caitlin J."},{"family":"Bradshaw","given":"Connor"},{"family":"Tyler","given":"Anna"},{"family":"Makoni","given":"Tatenda"},{"family":"Yanosick","given":"Katherine E."},{"family":"Seaman","given":"Michael S."},{"family":"Lauffenburger","given":"Douglas A."},{"family":"Alter","given":"Galit"},{"family":"Struyf","given":"Frank"},{"family":"Douoguih","given":"Macaya"},{"family":"Van Hoof","given":"Johan"},{"family":"Schuitemaker","given":"Hanneke"},{"family":"Barouch","given":"Dan H."}],"issued":{"date-parts":[["2021",4,20]]}}},{"id":287,"uris":["http://zotero.org/users/7335484/items/5UNKZX8E"],"uri":["http://zotero.org/users/7335484/items/5UNKZX8E"],"itemData":{"id":287,"type":"article-journal","abstract":"Bacterial factors stimulate the release of tissue factor as well as proinflammatory and antiinflammatory cytokines. TNF augments inflammation, TNF and IFN-gamma induce coagulation, and IL-1beta induces coagulation and fibrinolysis. IL-8 augments synergistic inflammation and coagulation. IL-6 augments coagulation and inhibits fibrinolysis. IL-10 inhibits inflammatory process and inhibits fibrinolysis. IL-4, IL-13, and TGF-beta act for anticoagulation. Administration of IL-2, G-CSF or IFN-gamma has been reported to have side effect of induction of coagulation. IL-12 induces coagulation first and fibrinolysis later. On the other, tissue factor induces proinflammatory (except TNF) and antiinflammatory cytokines, and thrombin enhances inflammation. Patients who died of SIRS/sepsis have been complicated with hypercoagulopathy and impaired fibrinolysis correlated with increased IL-10 production. Inhibition of IL-10 production or administration of fiblynolitic agents may be useful. Recently, activated protein C (APC) which has antiinflammatory effect has been paid attention in the treatment of SIRS/sepsis.","container-title":"Nihon Rinsho. Japanese Journal of Clinical Medicine","ISSN":"0047-1852","issue":"12","journalAbbreviation":"Nihon Rinsho","language":"jpn","note":"PMID: 15597792","page":"2253-2261","source":"PubMed","title":"[Correlation between intravascular coagulation/fibrinolysis system and cytokines]","volume":"62","author":[{"family":"Shinozawa","given":"Yotaro"},{"family":"Xie","given":"Xiao Qi"},{"family":"Endo","given":"Tomoyuki"},{"family":"Takuma","given":"Kiyotsugu"},{"family":"Koike","given":"Kaoru"}],"issued":{"date-parts":[["2004",12]]}}}],"schema":"https://github.com/citation-style-language/schema/raw/master/csl-citation.json"} </w:instrText>
      </w:r>
      <w:r w:rsidRPr="00512EB4">
        <w:fldChar w:fldCharType="separate"/>
      </w:r>
      <w:r w:rsidRPr="00512EB4">
        <w:rPr>
          <w:vertAlign w:val="superscript"/>
        </w:rPr>
        <w:t>8–10</w:t>
      </w:r>
      <w:r w:rsidRPr="00512EB4">
        <w:fldChar w:fldCharType="end"/>
      </w:r>
      <w:r w:rsidRPr="00512EB4">
        <w:t>.</w:t>
      </w:r>
    </w:p>
    <w:p w14:paraId="0441EAC0" w14:textId="77777777" w:rsidR="00C52E89" w:rsidRPr="00512EB4" w:rsidRDefault="00C52E89" w:rsidP="00512EB4">
      <w:pPr>
        <w:wordWrap/>
        <w:snapToGrid w:val="0"/>
        <w:spacing w:line="276" w:lineRule="auto"/>
      </w:pPr>
    </w:p>
    <w:p w14:paraId="6FD76A84" w14:textId="77777777" w:rsidR="00C52E89" w:rsidRPr="00512EB4" w:rsidRDefault="00C52E89" w:rsidP="00512EB4">
      <w:pPr>
        <w:wordWrap/>
        <w:snapToGrid w:val="0"/>
        <w:spacing w:line="276" w:lineRule="auto"/>
      </w:pPr>
      <w:r w:rsidRPr="00512EB4">
        <w:t>Even though the mortality of patients with CVT after Ad26.COV.2.S administration was 25.0%, lower than the 56.5% from cases after ChAdOx1 nCoV-19, there was no statistically significant difference. However, as the sample size was relatively small, additional data for higher statistical power is required to better assess differences in mortality.</w:t>
      </w:r>
    </w:p>
    <w:p w14:paraId="361E2E95" w14:textId="77777777" w:rsidR="00C52E89" w:rsidRPr="00512EB4" w:rsidRDefault="00C52E89" w:rsidP="00512EB4">
      <w:pPr>
        <w:wordWrap/>
        <w:snapToGrid w:val="0"/>
        <w:spacing w:line="276" w:lineRule="auto"/>
      </w:pPr>
    </w:p>
    <w:p w14:paraId="032A7E62" w14:textId="77777777" w:rsidR="00D44C5B" w:rsidRDefault="00C52E89" w:rsidP="00512EB4">
      <w:pPr>
        <w:wordWrap/>
        <w:snapToGrid w:val="0"/>
        <w:spacing w:line="276" w:lineRule="auto"/>
      </w:pPr>
      <w:r w:rsidRPr="00512EB4">
        <w:t>We found that anti-PF4/heparin antibodies were overwhelmingly present in most patients with either vaccine, whereas the platelet function assay results were strikingly different between the Ad26.COV.2.S and ChAdOx1 nCoV-19</w:t>
      </w:r>
      <w:r w:rsidR="00E942BD">
        <w:t xml:space="preserve"> </w:t>
      </w:r>
      <w:r w:rsidRPr="00512EB4">
        <w:t>vaccines. Typically, anti-PF4/heparin ELISA is regarded as a sensitive screening tool, but platelet function assays are the gold standard for the diagnosis of heparin-induced thrombocytopenia</w:t>
      </w:r>
      <w:r w:rsidRPr="00512EB4">
        <w:fldChar w:fldCharType="begin"/>
      </w:r>
      <w:r w:rsidRPr="00512EB4">
        <w:instrText xml:space="preserve"> ADDIN ZOTERO_ITEM CSL_CITATION {"citationID":"vqNDyTc9","properties":{"formattedCitation":"\\super 11,12\\nosupersub{}","plainCitation":"11,12","noteIndex":0},"citationItems":[{"id":281,"uris":["http://zotero.org/users/7335484/items/RR35CW53"],"uri":["http://zotero.org/users/7335484/items/RR35CW53"],"itemData":{"id":281,"type":"article-journal","abstract":"A rapid and accurate diagnosis in patients with suspected heparin-induced thrombocytopenia (HIT) is essential for patient management but remains challenging. Current HIT diagnosis ideally relies on a combination of clinical information, immunoassay and functional assay results. Platelet activation assays or functional assays detect HIT antibodies that are more clinically significant. Several functional assays have been developed and evaluated in the literature. They differ in the activation endpoint studied; the technique or technology used; the platelet donor selection; the platelet suspension (washed platelets, platelet rich plasma or whole blood); the patient sample (serum or plasma); and the heparin used (type and concentrations). Inconsistencies in controls performed and associated results interpretation are common. Thresholds and performances are determined differently among papers. Functional assays suffer from interlaboratory variability. This lack of standardization limits the evaluation and the accessibility of functional assays in laboratories. In the present article, we review all the current activation endpoints, techniques and methodologies of functional assays developed for HIT diagnosis.","container-title":"Molecules (Basel, Switzerland)","DOI":"10.3390/molecules22040617","ISSN":"1420-3049","issue":"4","journalAbbreviation":"Molecules","language":"eng","note":"PMID: 28398258\nPMCID: PMC6153750","source":"PubMed","title":"Functional Assays in the Diagnosis of Heparin-Induced Thrombocytopenia: A Review","title-short":"Functional Assays in the Diagnosis of Heparin-Induced Thrombocytopenia","volume":"22","author":[{"family":"Minet","given":"Valentine"},{"family":"Dogné","given":"Jean-Michel"},{"family":"Mullier","given":"François"}],"issued":{"date-parts":[["2017",4,11]]}}},{"id":278,"uris":["http://zotero.org/users/7335484/items/E67EKVZ4"],"uri":["http://zotero.org/users/7335484/items/E67EKVZ4"],"itemData":{"id":278,"type":"article-journal","abstract":"Heparin-induced thrombocytopenia (HIT) is a recognized clinical entity in patients receiving unfractionated heparin and low-molecular weight heparin. Currently, diagnosing HIT includes the combination of a physician's clinical suspicion based on a clinical scoring system and a series of laboratory tests. In the present article, we discuss challenges in suspecting and diagnosing HIT in consideration of the turnaround time of available tests and recent advances in techniques and methodologies of newer immunoassays and functional assays.","container-title":"Journal of Blood Medicine","DOI":"10.2147/JBM.S232648","ISSN":"1179-2736","journalAbbreviation":"J Blood Med","language":"eng","note":"PMID: 32884385\nPMCID: PMC7443028","page":"267-277","source":"PubMed","title":"Current Perspectives on Diagnostic Assays and Anti-PF4 Antibodies for the Diagnosis of Heparin-Induced Thrombocytopenia","volume":"11","author":[{"family":"Sahu","given":"Kamal K."},{"family":"Jindal","given":"Vishal"},{"family":"Anderson","given":"Joseph"},{"family":"Siddiqui","given":"Ahmad D."},{"family":"Jaiyesimi","given":"Ishmael A."}],"issued":{"date-parts":[["2020"]]}}}],"schema":"https://github.com/citation-style-language/schema/raw/master/csl-citation.json"} </w:instrText>
      </w:r>
      <w:r w:rsidRPr="00512EB4">
        <w:fldChar w:fldCharType="separate"/>
      </w:r>
      <w:r w:rsidRPr="00512EB4">
        <w:rPr>
          <w:vertAlign w:val="superscript"/>
        </w:rPr>
        <w:t>11,12</w:t>
      </w:r>
      <w:r w:rsidRPr="00512EB4">
        <w:fldChar w:fldCharType="end"/>
      </w:r>
      <w:r w:rsidRPr="00512EB4">
        <w:t>. The discrepancy of anti-PF4/heparin ELISA and platelet function tests adds a question mark regarding the previously hypothesized heparin-induced thrombocytopenia -like mechanism. The results also need to be interpreted with caution, however, as platelet function tests tend to vary by testing center, and different testing methods were used between studies</w:t>
      </w:r>
      <w:r w:rsidRPr="00512EB4">
        <w:fldChar w:fldCharType="begin"/>
      </w:r>
      <w:r w:rsidRPr="00512EB4">
        <w:instrText xml:space="preserve"> ADDIN ZOTERO_ITEM CSL_CITATION {"citationID":"c3jg8sig","properties":{"formattedCitation":"\\super 1\\uc0\\u8211{}3,5\\nosupersub{}","plainCitation":"1–3,5","noteIndex":0},"citationItems":[{"id":174,"uris":["http://zotero.org/users/7335484/items/TURCZDPM"],"uri":["http://zotero.org/users/7335484/items/TURCZDPM"],"itemData":{"id":174,"type":"article-journal","abstract":"BACKGROUND: Several cases of unusual thrombotic events and thrombocytopenia have developed after vaccination with the recombinant adenoviral vector encoding the spike protein antigen of severe acute respiratory syndrome coronavirus 2 (SARS-CoV-2) (ChAdOx1 nCov-19, AstraZeneca). More data were needed on the pathogenesis of this unusual clotting disorder.\nMETHODS: We assessed the clinical and laboratory features of 11 patients in Germany and Austria in whom thrombosis or thrombocytopenia had developed after vaccination with ChAdOx1 nCov-19. We used a standard enzyme-linked immunosorbent assay to detect platelet factor 4 (PF4)-heparin antibodies and a modified (PF4-enhanced) platelet-activation test to detect platelet-activating antibodies under various reaction conditions. Included in this testing were samples from patients who had blood samples referred for investigation of vaccine-associated thrombotic events, with 28 testing positive on a screening PF4-heparin immunoassay.\nRESULTS: Of the 11 original patients, 9 were women, with a median age of 36 years (range, 22 to 49). Beginning 5 to 16 days after vaccination, the patients presented with one or more thrombotic events, with the exception of 1 patient, who presented with fatal intracranial hemorrhage. Of the patients with one or more thrombotic events, 9 had cerebral venous thrombosis, 3 had splanchnic-vein thrombosis, 3 had pulmonary embolism, and 4 had other thromboses; of these patients, 6 died. Five patients had disseminated intravascular coagulation. None of the patients had received heparin before symptom onset. All 28 patients who tested positive for antibodies against PF4-heparin tested positive on the platelet-activation assay in the presence of PF4 independent of heparin. Platelet activation was inhibited by high levels of heparin, Fc receptor-blocking monoclonal antibody, and immune globulin (10 mg per milliliter). Additional studies with PF4 or PF4-heparin affinity purified antibodies in 2 patients confirmed PF4-dependent platelet activation.\nCONCLUSIONS: Vaccination with ChAdOx1 nCov-19 can result in the rare development of immune thrombotic thrombocytopenia mediated by platelet-activating antibodies against PF4, which clinically mimics autoimmune heparin-induced thrombocytopenia. (Funded by the German Research Foundation.).","container-title":"The New England Journal of Medicine","DOI":"10.1056/NEJMoa2104840","ISSN":"1533-4406","journalAbbreviation":"N Engl J Med","language":"eng","note":"PMID: 33835769","source":"PubMed","title":"Thrombotic Thrombocytopenia after ChAdOx1 nCov-19 Vaccination","author":[{"family":"Greinacher","given":"Andreas"},{"family":"Thiele","given":"Thomas"},{"family":"Warkentin","given":"Theodore E."},{"family":"Weisser","given":"Karin"},{"family":"Kyrle","given":"Paul A."},{"family":"Eichinger","given":"Sabine"}],"issued":{"date-parts":[["2021",4,9]]}}},{"id":274,"uris":["http://zotero.org/users/7335484/items/S4PWEUPK"],"uri":["http://zotero.org/users/7335484/items/S4PWEUPK"],"itemData":{"id":274,"type":"article-journal","abstract":"BACKGROUND: The mainstay of control of the coronavirus disease 2019 (Covid-19) pandemic is vaccination against severe acute respiratory syndrome coronavirus 2 (SARS-CoV-2). Within a year, several vaccines have been developed and millions of doses delivered. Reporting of adverse events is a critical postmarketing activity.\nMETHODS: We report findings in 23 patients who presented with thrombosis and thrombocytopenia 6 to 24 days after receiving the first dose of the ChAdOx1 nCoV-19 vaccine (AstraZeneca). On the basis of their clinical and laboratory features, we identify a novel underlying mechanism and address the therapeutic implications.\nRESULTS: In the absence of previous prothrombotic medical conditions, 22 patients presented with acute thrombocytopenia and thrombosis, primarily cerebral venous thrombosis, and 1 patient presented with isolated thrombocytopenia and a hemorrhagic phenotype. All the patients had low or normal fibrinogen levels and elevated d-dimer levels at presentation. No evidence of thrombophilia or causative precipitants was identified. Testing for antibodies to platelet factor 4 (PF4) was positive in 21 patients, negative in 1 patient, and equivocal in 1 patient. On the basis of the pathophysiological features observed in these patients, we recommend that treatment with platelet transfusions be avoided because of the risk of progression in thrombotic symptoms and that the administration of a nonheparin anticoagulant agent and intravenous immune globulin be considered for the first occurrence of these symptoms.\nCONCLUSIONS: Vaccination against SARS-CoV-2 remains critical for control of the Covid-19 pandemic. A pathogenic PF4-dependent syndrome, unrelated to the use of heparin therapy, can occur after the administration of the ChAdOx1 nCoV-19 vaccine. Rapid identification of this rare syndrome is important because of the therapeutic implications.","container-title":"The New England Journal of Medicine","DOI":"10.1056/NEJMoa2105385","ISSN":"1533-4406","journalAbbreviation":"N Engl J Med","language":"eng","note":"PMID: 33861525","source":"PubMed","title":"Pathologic Antibodies to Platelet Factor 4 after ChAdOx1 nCoV-19 Vaccination","author":[{"family":"Scully","given":"Marie"},{"family":"Singh","given":"Deepak"},{"family":"Lown","given":"Robert"},{"family":"Poles","given":"Anthony"},{"family":"Solomon","given":"Tom"},{"family":"Levi","given":"Marcel"},{"family":"Goldblatt","given":"David"},{"family":"Kotoucek","given":"Pavel"},{"family":"Thomas","given":"William"},{"family":"Lester","given":"William"}],"issued":{"date-parts":[["2021",4,16]]}}},{"id":176,"uris":["http://zotero.org/users/7335484/items/G63M8YK6"],"uri":["http://zotero.org/users/7335484/items/G63M8YK6"],"itemData":{"id":176,"type":"article-journal","abstract":"We report findings in five patients who presented with venous thrombosis and thrombocytopenia 7 to 10 days after receiving the first dose of the ChAdOx1 nCoV-19 adenoviral vector vaccine against coronavirus disease 2019 (Covid-19). The patients were health care workers who were 32 to 54 years of age. All the patients had high levels of antibodies to platelet factor 4-polyanion complexes; however, they had had no previous exposure to heparin. Because the five cases occurred in a population of more than 130,000 vaccinated persons, we propose that they represent a rare vaccine-related variant of spontaneous heparin-induced thrombocytopenia that we refer to as vaccine-induced immune thrombotic thrombocytopenia.","container-title":"The New England Journal of Medicine","DOI":"10.1056/NEJMoa2104882","ISSN":"1533-4406","journalAbbreviation":"N Engl J Med","language":"eng","note":"PMID: 33835768","source":"PubMed","title":"Thrombosis and Thrombocytopenia after ChAdOx1 nCoV-19 Vaccination","author":[{"family":"Schultz","given":"Nina H."},{"family":"Sørvoll","given":"Ingvild H."},{"family":"Michelsen","given":"Annika E."},{"family":"Munthe","given":"Ludvig A."},{"family":"Lund-Johansen","given":"Fridtjof"},{"family":"Ahlen","given":"Maria T."},{"family":"Wiedmann","given":"Markus"},{"family":"Aamodt","given":"Anne-Hege"},{"family":"Skattør","given":"Thor H."},{"family":"Tjønnfjord","given":"Geir E."},{"family":"Holme","given":"Pål A."}],"issued":{"date-parts":[["2021",4,9]]}}},{"id":236,"uris":["http://zotero.org/users/7335484/items/IBLHHTEI"],"uri":["http://zotero.org/users/7335484/items/IBLHHTEI"],"itemData":{"id":236,"type":"article-journal","abstract":"Importance: Cerebral venous sinus thrombosis (CVST) with thrombocytopenia, a rare and serious condition, has been described in Europe following receipt of the ChAdOx1 nCoV-19 vaccine (Oxford/AstraZeneca), which uses a chimpanzee adenoviral vector. A mechanism similar to autoimmune heparin-induced thrombocytopenia (HIT) has been proposed. In the US, the Ad26.COV2.S COVID-19 vaccine (Janssen/Johnson &amp; Johnson), which uses a human adenoviral vector, received Emergency Use Authorization (EUA) on February 27, 2021. By April 12, 2021, approximately 7 million Ad26.COV2.S vaccine doses had been given in the US, and 6 cases of CVST with thrombocytopenia had been identified among the recipients, resulting in a temporary national pause in vaccination with this product on April 13, 2021.\nObjective: To describe reports of CVST with thrombocytopenia following Ad26.COV2.S vaccine receipt.\nDesign, Setting, and Participants: Case series of 12 US patients with CVST and thrombocytopenia following use of Ad26.COV2.S vaccine under EUA reported to the Vaccine Adverse Event Reporting System (VAERS) from March 2 to April 21, 2021 (with follow-up reported through April 21, 2021).\nExposures: Receipt of Ad26.COV2.S vaccine.\nMain Outcomes and Measures: Clinical course, imaging, laboratory tests, and outcomes after CVST diagnosis obtained from VAERS reports, medical record review, and discussion with clinicians.\nResults: Patients' ages ranged from 18 to younger than 60 years; all were White women, reported from 11 states. Seven patients had at least 1 CVST risk factor, including obesity (n = 6), hypothyroidism (n = 1), and oral contraceptive use (n = 1); none had documented prior heparin exposure. Time from Ad26.COV2.S vaccination to symptom onset ranged from 6 to 15 days. Eleven patients initially presented with headache; 1 patient initially presented with back pain and later developed headache. Of the 12 patients with CVST, 7 also had intracerebral hemorrhage; 8 had non-CVST thromboses. After diagnosis of CVST, 6 patients initially received heparin treatment. Platelet nadir ranged from 9 ×103/µL to 127 ×103/µL. All 11 patients tested for the heparin-platelet factor 4 HIT antibody by enzyme-linked immunosorbent assay (ELISA) screening had positive results. All patients were hospitalized (10 in an intensive care unit [ICU]). As of April 21, 2021, outcomes were death (n = 3), continued ICU care (n = 3), continued non-ICU hospitalization (n = 2), and discharged home (n = 4).\nConclusions and Relevance: The initial 12 US cases of CVST with thrombocytopenia after Ad26.COV2.S vaccination represent serious events. This case series may inform clinical guidance as Ad26.COV2.S vaccination resumes in the US as well as investigations into the potential relationship between Ad26.COV2.S vaccine and CVST with thrombocytopenia.","container-title":"JAMA","DOI":"10.1001/jama.2021.7517","ISSN":"1538-3598","journalAbbreviation":"JAMA","language":"eng","note":"PMID: 33929487","source":"PubMed","title":"US Case Reports of Cerebral Venous Sinus Thrombosis With Thrombocytopenia After Ad26.COV2.S Vaccination, March 2 to April 21, 2021","author":[{"family":"See","given":"Isaac"},{"family":"Su","given":"John R."},{"family":"Lale","given":"Allison"},{"family":"Woo","given":"Emily Jane"},{"family":"Guh","given":"Alice Y."},{"family":"Shimabukuro","given":"Tom T."},{"family":"Streiff","given":"Michael B."},{"family":"Rao","given":"Agam K."},{"family":"Wheeler","given":"Allison P."},{"family":"Beavers","given":"Suzanne F."},{"family":"Durbin","given":"Anna P."},{"family":"Edwards","given":"Kathryn"},{"family":"Miller","given":"Elaine"},{"family":"Harrington","given":"Theresa A."},{"family":"Mba-Jonas","given":"Adamma"},{"family":"Nair","given":"Narayan"},{"family":"Nguyen","given":"Duong T."},{"family":"Talaat","given":"Kawsar R."},{"family":"Urrutia","given":"Victor C."},{"family":"Walker","given":"Shannon C."},{"family":"Creech","given":"C. Buddy"},{"family":"Clark","given":"Thomas A."},{"family":"DeStefano","given":"Frank"},{"family":"Broder","given":"Karen R."}],"issued":{"date-parts":[["2021",4,30]]}}}],"schema":"https://github.com/citation-style-language/schema/raw/master/csl-citation.json"} </w:instrText>
      </w:r>
      <w:r w:rsidRPr="00512EB4">
        <w:fldChar w:fldCharType="separate"/>
      </w:r>
      <w:r w:rsidRPr="00512EB4">
        <w:rPr>
          <w:vertAlign w:val="superscript"/>
        </w:rPr>
        <w:t>1–3,5</w:t>
      </w:r>
      <w:r w:rsidRPr="00512EB4">
        <w:fldChar w:fldCharType="end"/>
      </w:r>
      <w:r w:rsidRPr="00512EB4">
        <w:t xml:space="preserve">. </w:t>
      </w:r>
    </w:p>
    <w:p w14:paraId="133CB64E" w14:textId="77777777" w:rsidR="00D44C5B" w:rsidRDefault="00D44C5B" w:rsidP="00512EB4">
      <w:pPr>
        <w:wordWrap/>
        <w:snapToGrid w:val="0"/>
        <w:spacing w:line="276" w:lineRule="auto"/>
      </w:pPr>
    </w:p>
    <w:p w14:paraId="3EEDE1DF" w14:textId="195DF7DE" w:rsidR="00C52E89" w:rsidRPr="00512EB4" w:rsidRDefault="008F0731" w:rsidP="00512EB4">
      <w:pPr>
        <w:wordWrap/>
        <w:snapToGrid w:val="0"/>
        <w:spacing w:line="276" w:lineRule="auto"/>
      </w:pPr>
      <w:r>
        <w:t xml:space="preserve">There are some limitations to our study. First, the sample size was small, considering the relatively recent, rare nature of VITT. Second, cases of CVT after Ad26.COV.2.S vaccination were based in the United States, whereas cases associated with ChAdOx1 nCoV-19 were all based in Europe, which may have contributed to differences in management. Lastly, as this study was a systematic review of case reports, the timing of laboratory measurements differed </w:t>
      </w:r>
      <w:r w:rsidR="00765E21">
        <w:t>between</w:t>
      </w:r>
      <w:r>
        <w:t xml:space="preserve"> studies. Therefore, i</w:t>
      </w:r>
      <w:r w:rsidR="00C52E89" w:rsidRPr="00512EB4">
        <w:t xml:space="preserve">t should be stated that our study is intended to provide descriptive information for future, more definitive studies, and not to confirm any hypothesis. However, </w:t>
      </w:r>
      <w:r w:rsidR="00C52E89" w:rsidRPr="00512EB4">
        <w:rPr>
          <w:bCs/>
        </w:rPr>
        <w:t xml:space="preserve">understanding these different characteristics between vaccines could help guide further investigations and clinical management as both </w:t>
      </w:r>
      <w:r w:rsidR="00C52E89" w:rsidRPr="00512EB4">
        <w:t>Ad26.COV.2.S and ChAdOx1 nCoV-19 vaccines</w:t>
      </w:r>
      <w:r w:rsidR="00C52E89" w:rsidRPr="00512EB4">
        <w:rPr>
          <w:bCs/>
        </w:rPr>
        <w:t xml:space="preserve"> are being distributed worldwide.</w:t>
      </w:r>
    </w:p>
    <w:p w14:paraId="46FEF663" w14:textId="77777777" w:rsidR="00C52E89" w:rsidRPr="00512EB4" w:rsidRDefault="00C52E89" w:rsidP="00512EB4">
      <w:pPr>
        <w:wordWrap/>
        <w:snapToGrid w:val="0"/>
        <w:spacing w:line="276" w:lineRule="auto"/>
      </w:pPr>
    </w:p>
    <w:p w14:paraId="3E3F0DA8" w14:textId="1F36B8A3" w:rsidR="00C52E89" w:rsidRPr="008C4832" w:rsidRDefault="00C52E89" w:rsidP="008C4832">
      <w:pPr>
        <w:pStyle w:val="ListParagraph"/>
        <w:numPr>
          <w:ilvl w:val="0"/>
          <w:numId w:val="2"/>
        </w:numPr>
        <w:wordWrap/>
        <w:snapToGrid w:val="0"/>
        <w:spacing w:line="276" w:lineRule="auto"/>
        <w:ind w:leftChars="0"/>
        <w:outlineLvl w:val="0"/>
        <w:rPr>
          <w:b/>
        </w:rPr>
      </w:pPr>
      <w:r w:rsidRPr="008C4832">
        <w:rPr>
          <w:b/>
        </w:rPr>
        <w:t>Conclusion</w:t>
      </w:r>
      <w:r w:rsidR="008C4832">
        <w:rPr>
          <w:b/>
        </w:rPr>
        <w:t>s</w:t>
      </w:r>
    </w:p>
    <w:p w14:paraId="13FBA9C5" w14:textId="77777777" w:rsidR="00C52E89" w:rsidRPr="00512EB4" w:rsidRDefault="00C52E89" w:rsidP="00512EB4">
      <w:pPr>
        <w:wordWrap/>
        <w:snapToGrid w:val="0"/>
        <w:spacing w:line="276" w:lineRule="auto"/>
      </w:pPr>
      <w:r w:rsidRPr="00512EB4">
        <w:rPr>
          <w:bCs/>
        </w:rPr>
        <w:t xml:space="preserve">This study found that CVT after </w:t>
      </w:r>
      <w:r w:rsidRPr="00512EB4">
        <w:t xml:space="preserve">Ad26.COV.2.S </w:t>
      </w:r>
      <w:r w:rsidRPr="00512EB4">
        <w:rPr>
          <w:bCs/>
        </w:rPr>
        <w:t xml:space="preserve">vaccination presents later with similar symptoms compared to CVT after administration of </w:t>
      </w:r>
      <w:r w:rsidRPr="00512EB4">
        <w:t>ChAdOx1 nCoV-19</w:t>
      </w:r>
      <w:r w:rsidRPr="00512EB4">
        <w:rPr>
          <w:bCs/>
        </w:rPr>
        <w:t xml:space="preserve">, albeit with more thrombosis and intracerebral hemorrhage, lower D-dimer and </w:t>
      </w:r>
      <w:proofErr w:type="spellStart"/>
      <w:r w:rsidRPr="00512EB4">
        <w:rPr>
          <w:bCs/>
        </w:rPr>
        <w:t>aPTT</w:t>
      </w:r>
      <w:proofErr w:type="spellEnd"/>
      <w:r w:rsidRPr="00512EB4">
        <w:rPr>
          <w:bCs/>
        </w:rPr>
        <w:t xml:space="preserve"> levels but similar mortality. </w:t>
      </w:r>
      <w:r w:rsidRPr="00512EB4">
        <w:t>Understanding</w:t>
      </w:r>
      <w:r w:rsidRPr="00512EB4">
        <w:rPr>
          <w:bCs/>
        </w:rPr>
        <w:t xml:space="preserve"> different characteristics between vaccines could help guide future clinical management of VITT.</w:t>
      </w:r>
    </w:p>
    <w:p w14:paraId="4AE6E4F4" w14:textId="77777777" w:rsidR="005606E5" w:rsidRDefault="005606E5" w:rsidP="00512EB4">
      <w:pPr>
        <w:wordWrap/>
        <w:snapToGrid w:val="0"/>
        <w:spacing w:line="276" w:lineRule="auto"/>
        <w:rPr>
          <w:b/>
        </w:rPr>
      </w:pPr>
    </w:p>
    <w:p w14:paraId="5262D038" w14:textId="36EA05A2" w:rsidR="00C52E89" w:rsidRPr="00512EB4" w:rsidRDefault="00C52E89" w:rsidP="00512EB4">
      <w:pPr>
        <w:wordWrap/>
        <w:snapToGrid w:val="0"/>
        <w:spacing w:line="276" w:lineRule="auto"/>
      </w:pPr>
      <w:r w:rsidRPr="00512EB4">
        <w:rPr>
          <w:b/>
        </w:rPr>
        <w:t>Acknowledgments</w:t>
      </w:r>
    </w:p>
    <w:p w14:paraId="33DAC724" w14:textId="4766ED78" w:rsidR="00C52E89" w:rsidRPr="00512EB4" w:rsidRDefault="00C52E89" w:rsidP="00512EB4">
      <w:pPr>
        <w:wordWrap/>
        <w:snapToGrid w:val="0"/>
        <w:spacing w:line="276" w:lineRule="auto"/>
      </w:pPr>
      <w:r w:rsidRPr="00512EB4">
        <w:t xml:space="preserve">We thank Elena </w:t>
      </w:r>
      <w:proofErr w:type="spellStart"/>
      <w:r w:rsidRPr="00512EB4">
        <w:t>Dragioti</w:t>
      </w:r>
      <w:proofErr w:type="spellEnd"/>
      <w:r w:rsidRPr="00512EB4">
        <w:t xml:space="preserve"> and Joaquim </w:t>
      </w:r>
      <w:proofErr w:type="spellStart"/>
      <w:r w:rsidRPr="00512EB4">
        <w:t>Radua</w:t>
      </w:r>
      <w:proofErr w:type="spellEnd"/>
      <w:r w:rsidRPr="00512EB4">
        <w:t xml:space="preserve"> for </w:t>
      </w:r>
      <w:r w:rsidR="003E7A8C">
        <w:t>their valuable discussions and feedback.</w:t>
      </w:r>
      <w:r w:rsidRPr="00512EB4">
        <w:t xml:space="preserve"> </w:t>
      </w:r>
    </w:p>
    <w:p w14:paraId="590F410D" w14:textId="77777777" w:rsidR="00C52E89" w:rsidRPr="00512EB4" w:rsidRDefault="00C52E89" w:rsidP="00512EB4">
      <w:pPr>
        <w:wordWrap/>
        <w:snapToGrid w:val="0"/>
        <w:spacing w:line="276" w:lineRule="auto"/>
      </w:pPr>
    </w:p>
    <w:p w14:paraId="393F8789" w14:textId="77777777" w:rsidR="00C52E89" w:rsidRPr="00512EB4" w:rsidRDefault="00C52E89" w:rsidP="00512EB4">
      <w:pPr>
        <w:wordWrap/>
        <w:snapToGrid w:val="0"/>
        <w:spacing w:line="276" w:lineRule="auto"/>
        <w:outlineLvl w:val="0"/>
        <w:rPr>
          <w:b/>
          <w:bCs/>
        </w:rPr>
      </w:pPr>
      <w:r w:rsidRPr="00512EB4">
        <w:rPr>
          <w:b/>
          <w:bCs/>
        </w:rPr>
        <w:t>References</w:t>
      </w:r>
    </w:p>
    <w:p w14:paraId="553F5741" w14:textId="77777777" w:rsidR="00C52E89" w:rsidRPr="00512EB4" w:rsidRDefault="00C52E89" w:rsidP="00512EB4">
      <w:pPr>
        <w:pStyle w:val="Bibliography"/>
        <w:spacing w:line="276" w:lineRule="auto"/>
      </w:pPr>
      <w:r w:rsidRPr="00512EB4">
        <w:fldChar w:fldCharType="begin"/>
      </w:r>
      <w:r w:rsidRPr="00512EB4">
        <w:instrText xml:space="preserve"> ADDIN ZOTERO_BIBL {"uncited":[],"omitted":[],"custom":[]} CSL_BIBLIOGRAPHY </w:instrText>
      </w:r>
      <w:r w:rsidRPr="00512EB4">
        <w:fldChar w:fldCharType="separate"/>
      </w:r>
      <w:r w:rsidRPr="00512EB4">
        <w:t xml:space="preserve">1. </w:t>
      </w:r>
      <w:r w:rsidRPr="00512EB4">
        <w:tab/>
        <w:t xml:space="preserve">Greinacher A, Thiele T, Warkentin TE, Weisser K, Kyrle PA, Eichinger S. Thrombotic Thrombocytopenia after ChAdOx1 nCov-19 Vaccination. </w:t>
      </w:r>
      <w:r w:rsidRPr="00512EB4">
        <w:rPr>
          <w:i/>
          <w:iCs/>
        </w:rPr>
        <w:t>N Engl J Med</w:t>
      </w:r>
      <w:r w:rsidRPr="00512EB4">
        <w:t>. Published online April 9, 2021. doi:10.1056/NEJMoa2104840</w:t>
      </w:r>
    </w:p>
    <w:p w14:paraId="7A033333" w14:textId="77777777" w:rsidR="00C52E89" w:rsidRPr="00512EB4" w:rsidRDefault="00C52E89" w:rsidP="00512EB4">
      <w:pPr>
        <w:pStyle w:val="Bibliography"/>
        <w:spacing w:line="276" w:lineRule="auto"/>
      </w:pPr>
      <w:r w:rsidRPr="00512EB4">
        <w:t xml:space="preserve">2. </w:t>
      </w:r>
      <w:r w:rsidRPr="00512EB4">
        <w:tab/>
        <w:t xml:space="preserve">Scully M, Singh D, Lown R, et al. Pathologic Antibodies to Platelet Factor 4 after ChAdOx1 nCoV-19 Vaccination. </w:t>
      </w:r>
      <w:r w:rsidRPr="00512EB4">
        <w:rPr>
          <w:i/>
          <w:iCs/>
        </w:rPr>
        <w:t>N Engl J Med</w:t>
      </w:r>
      <w:r w:rsidRPr="00512EB4">
        <w:t>. Published online April 16, 2021. doi:10.1056/NEJMoa2105385</w:t>
      </w:r>
    </w:p>
    <w:p w14:paraId="67D01C84" w14:textId="77777777" w:rsidR="00C52E89" w:rsidRPr="00512EB4" w:rsidRDefault="00C52E89" w:rsidP="00512EB4">
      <w:pPr>
        <w:pStyle w:val="Bibliography"/>
        <w:spacing w:line="276" w:lineRule="auto"/>
      </w:pPr>
      <w:r w:rsidRPr="00512EB4">
        <w:t xml:space="preserve">3. </w:t>
      </w:r>
      <w:r w:rsidRPr="00512EB4">
        <w:tab/>
        <w:t xml:space="preserve">Schultz NH, Sørvoll IH, Michelsen AE, et al. Thrombosis and Thrombocytopenia after ChAdOx1 nCoV-19 Vaccination. </w:t>
      </w:r>
      <w:r w:rsidRPr="00512EB4">
        <w:rPr>
          <w:i/>
          <w:iCs/>
        </w:rPr>
        <w:t>N Engl J Med</w:t>
      </w:r>
      <w:r w:rsidRPr="00512EB4">
        <w:t>. Published online April 9, 2021. doi:10.1056/NEJMoa2104882</w:t>
      </w:r>
    </w:p>
    <w:p w14:paraId="35E2F0DC" w14:textId="77777777" w:rsidR="00C52E89" w:rsidRPr="00512EB4" w:rsidRDefault="00C52E89" w:rsidP="00512EB4">
      <w:pPr>
        <w:pStyle w:val="Bibliography"/>
        <w:spacing w:line="276" w:lineRule="auto"/>
      </w:pPr>
      <w:r w:rsidRPr="00512EB4">
        <w:t xml:space="preserve">4. </w:t>
      </w:r>
      <w:r w:rsidRPr="00512EB4">
        <w:tab/>
        <w:t xml:space="preserve">Tiede A, Sachs UJ, Czwalinna A, et al. Prothrombotic immune thrombocytopenia after COVID-19 vaccine. </w:t>
      </w:r>
      <w:r w:rsidRPr="00512EB4">
        <w:rPr>
          <w:i/>
          <w:iCs/>
        </w:rPr>
        <w:t>Blood</w:t>
      </w:r>
      <w:r w:rsidRPr="00512EB4">
        <w:t>. Published online April 28, 2021. doi:10.1182/blood.2021011958</w:t>
      </w:r>
    </w:p>
    <w:p w14:paraId="5E3EF9E4" w14:textId="77777777" w:rsidR="00C52E89" w:rsidRPr="00512EB4" w:rsidRDefault="00C52E89" w:rsidP="00512EB4">
      <w:pPr>
        <w:pStyle w:val="Bibliography"/>
        <w:spacing w:line="276" w:lineRule="auto"/>
      </w:pPr>
      <w:r w:rsidRPr="00512EB4">
        <w:t xml:space="preserve">5. </w:t>
      </w:r>
      <w:r w:rsidRPr="00512EB4">
        <w:tab/>
        <w:t xml:space="preserve">See I, Su JR, Lale A, et al. US Case Reports of Cerebral Venous Sinus Thrombosis With Thrombocytopenia After Ad26.COV2.S Vaccination, March 2 to April 21, 2021. </w:t>
      </w:r>
      <w:r w:rsidRPr="00512EB4">
        <w:rPr>
          <w:i/>
          <w:iCs/>
        </w:rPr>
        <w:t>JAMA</w:t>
      </w:r>
      <w:r w:rsidRPr="00512EB4">
        <w:t>. Published online April 30, 2021. doi:10.1001/jama.2021.7517</w:t>
      </w:r>
    </w:p>
    <w:p w14:paraId="31059518" w14:textId="77777777" w:rsidR="00C52E89" w:rsidRPr="00512EB4" w:rsidRDefault="00C52E89" w:rsidP="00512EB4">
      <w:pPr>
        <w:pStyle w:val="Bibliography"/>
        <w:spacing w:line="276" w:lineRule="auto"/>
      </w:pPr>
      <w:r w:rsidRPr="00512EB4">
        <w:t xml:space="preserve">6. </w:t>
      </w:r>
      <w:r w:rsidRPr="00512EB4">
        <w:tab/>
        <w:t>European Medicines Agency. AstraZeneca’s COVID-19 vaccine: EMA finds possible link to very rare cases of unusual blood clots with low platelets. European Medicines Agency. Published April 6, 2021. Accessed April 29, 2021. https://www.ema.europa.eu/en/news/astrazenecas-covid-19-vaccine-ema-finds-possible-link-very-rare-cases-unusual-blood-clots-low-blood</w:t>
      </w:r>
    </w:p>
    <w:p w14:paraId="3E357776" w14:textId="77777777" w:rsidR="00C52E89" w:rsidRPr="00512EB4" w:rsidRDefault="00C52E89" w:rsidP="00512EB4">
      <w:pPr>
        <w:pStyle w:val="Bibliography"/>
        <w:spacing w:line="276" w:lineRule="auto"/>
      </w:pPr>
      <w:r w:rsidRPr="00512EB4">
        <w:t xml:space="preserve">7. </w:t>
      </w:r>
      <w:r w:rsidRPr="00512EB4">
        <w:tab/>
        <w:t>Commissioner O of the. Joint CDC and FDA Statement on Johnson &amp; Johnson COVID-19 Vaccine. FDA. Published April 13, 2021. Accessed May 14, 2021. https://www.fda.gov/news-events/press-announcements/joint-cdc-and-fda-statement-johnson-johnson-covid-19-vaccine</w:t>
      </w:r>
    </w:p>
    <w:p w14:paraId="2434B71F" w14:textId="77777777" w:rsidR="00C52E89" w:rsidRPr="00512EB4" w:rsidRDefault="00C52E89" w:rsidP="00512EB4">
      <w:pPr>
        <w:pStyle w:val="Bibliography"/>
        <w:spacing w:line="276" w:lineRule="auto"/>
      </w:pPr>
      <w:r w:rsidRPr="00512EB4">
        <w:t xml:space="preserve">8. </w:t>
      </w:r>
      <w:r w:rsidRPr="00512EB4">
        <w:tab/>
        <w:t xml:space="preserve">Ewer KJ, Barrett JR, Belij-Rammerstorfer S, et al. T cell and antibody responses induced by a single dose of ChAdOx1 nCoV-19 (AZD1222) vaccine in a phase 1/2 clinical trial. </w:t>
      </w:r>
      <w:r w:rsidRPr="00512EB4">
        <w:rPr>
          <w:i/>
          <w:iCs/>
        </w:rPr>
        <w:t>Nat Med</w:t>
      </w:r>
      <w:r w:rsidRPr="00512EB4">
        <w:t>. 2021;27(2):270-278. doi:10.1038/s41591-020-01194-5</w:t>
      </w:r>
    </w:p>
    <w:p w14:paraId="1561DE28" w14:textId="77777777" w:rsidR="00C52E89" w:rsidRPr="00512EB4" w:rsidRDefault="00C52E89" w:rsidP="00512EB4">
      <w:pPr>
        <w:pStyle w:val="Bibliography"/>
        <w:spacing w:line="276" w:lineRule="auto"/>
      </w:pPr>
      <w:r w:rsidRPr="00512EB4">
        <w:t xml:space="preserve">9. </w:t>
      </w:r>
      <w:r w:rsidRPr="00512EB4">
        <w:tab/>
        <w:t xml:space="preserve">Stephenson KE, Le Gars M, Sadoff J, et al. Immunogenicity of the Ad26.COV2.S Vaccine for COVID-19. </w:t>
      </w:r>
      <w:r w:rsidRPr="00512EB4">
        <w:rPr>
          <w:i/>
          <w:iCs/>
        </w:rPr>
        <w:t>JAMA</w:t>
      </w:r>
      <w:r w:rsidRPr="00512EB4">
        <w:t>. 2021;325(15):1535-1544. doi:10.1001/jama.2021.3645</w:t>
      </w:r>
    </w:p>
    <w:p w14:paraId="6694595B" w14:textId="77777777" w:rsidR="00C52E89" w:rsidRPr="00512EB4" w:rsidRDefault="00C52E89" w:rsidP="00512EB4">
      <w:pPr>
        <w:pStyle w:val="Bibliography"/>
        <w:spacing w:line="276" w:lineRule="auto"/>
      </w:pPr>
      <w:r w:rsidRPr="00512EB4">
        <w:t xml:space="preserve">10. Shinozawa Y, Xie XQ, Endo T, Takuma K, Koike K. [Correlation between intravascular coagulation/fibrinolysis system and cytokines]. </w:t>
      </w:r>
      <w:r w:rsidRPr="00512EB4">
        <w:rPr>
          <w:i/>
          <w:iCs/>
        </w:rPr>
        <w:t>Nihon Rinsho</w:t>
      </w:r>
      <w:r w:rsidRPr="00512EB4">
        <w:t>. 2004;62(12):2253-2261.</w:t>
      </w:r>
    </w:p>
    <w:p w14:paraId="6434D412" w14:textId="77777777" w:rsidR="00C52E89" w:rsidRPr="00512EB4" w:rsidRDefault="00C52E89" w:rsidP="00512EB4">
      <w:pPr>
        <w:pStyle w:val="Bibliography"/>
        <w:spacing w:line="276" w:lineRule="auto"/>
      </w:pPr>
      <w:r w:rsidRPr="00512EB4">
        <w:lastRenderedPageBreak/>
        <w:t xml:space="preserve">11. </w:t>
      </w:r>
      <w:r w:rsidRPr="00512EB4">
        <w:tab/>
        <w:t xml:space="preserve">Minet V, Dogné J-M, Mullier F. Functional Assays in the Diagnosis of Heparin-Induced Thrombocytopenia: A Review. </w:t>
      </w:r>
      <w:r w:rsidRPr="00512EB4">
        <w:rPr>
          <w:i/>
          <w:iCs/>
        </w:rPr>
        <w:t>Molecules</w:t>
      </w:r>
      <w:r w:rsidRPr="00512EB4">
        <w:t>. 2017;22(4). doi:10.3390/molecules22040617</w:t>
      </w:r>
    </w:p>
    <w:p w14:paraId="59B8927A" w14:textId="77777777" w:rsidR="00C52E89" w:rsidRPr="00512EB4" w:rsidRDefault="00C52E89" w:rsidP="00512EB4">
      <w:pPr>
        <w:pStyle w:val="Bibliography"/>
        <w:spacing w:line="276" w:lineRule="auto"/>
      </w:pPr>
      <w:r w:rsidRPr="00512EB4">
        <w:t xml:space="preserve">12. Sahu KK, Jindal V, Anderson J, Siddiqui AD, Jaiyesimi IA. Current Perspectives on Diagnostic Assays and Anti-PF4 Antibodies for the Diagnosis of Heparin-Induced Thrombocytopenia. </w:t>
      </w:r>
      <w:r w:rsidRPr="00512EB4">
        <w:rPr>
          <w:i/>
          <w:iCs/>
        </w:rPr>
        <w:t>J Blood Med</w:t>
      </w:r>
      <w:r w:rsidRPr="00512EB4">
        <w:t>. 2020;11:267-277. doi:10.2147/JBM.S232648</w:t>
      </w:r>
    </w:p>
    <w:p w14:paraId="695E46D8" w14:textId="658714C5" w:rsidR="00C52E89" w:rsidRDefault="00C52E89" w:rsidP="009A5636">
      <w:pPr>
        <w:widowControl/>
        <w:wordWrap/>
        <w:autoSpaceDE/>
        <w:autoSpaceDN/>
        <w:snapToGrid w:val="0"/>
        <w:spacing w:line="276" w:lineRule="auto"/>
        <w:rPr>
          <w:rFonts w:eastAsia="Dotum"/>
          <w:b/>
          <w:sz w:val="28"/>
        </w:rPr>
        <w:sectPr w:rsidR="00C52E89" w:rsidSect="00C52E89">
          <w:pgSz w:w="11906" w:h="16838" w:code="9"/>
          <w:pgMar w:top="1440" w:right="1440" w:bottom="1440" w:left="1440" w:header="851" w:footer="992" w:gutter="0"/>
          <w:cols w:space="425"/>
          <w:docGrid w:linePitch="360"/>
        </w:sectPr>
      </w:pPr>
      <w:r w:rsidRPr="00512EB4">
        <w:fldChar w:fldCharType="end"/>
      </w:r>
    </w:p>
    <w:p w14:paraId="723970D4" w14:textId="77777777" w:rsidR="009D6D91" w:rsidRPr="00BC5364" w:rsidRDefault="009D6D91" w:rsidP="00BC5364">
      <w:pPr>
        <w:pStyle w:val="Heading1"/>
        <w:rPr>
          <w:rFonts w:eastAsia="Dotum"/>
          <w:sz w:val="28"/>
          <w:szCs w:val="28"/>
        </w:rPr>
      </w:pPr>
      <w:r w:rsidRPr="00BC5364">
        <w:rPr>
          <w:rFonts w:eastAsia="Dotum"/>
          <w:sz w:val="28"/>
          <w:szCs w:val="28"/>
        </w:rPr>
        <w:lastRenderedPageBreak/>
        <w:t xml:space="preserve">Tables </w:t>
      </w:r>
      <w:r w:rsidRPr="00BC5364">
        <w:rPr>
          <w:rFonts w:eastAsia="Dotum"/>
          <w:sz w:val="28"/>
          <w:szCs w:val="28"/>
        </w:rPr>
        <w:tab/>
      </w:r>
    </w:p>
    <w:p w14:paraId="19F71525" w14:textId="55383748" w:rsidR="00C424C9" w:rsidRPr="002E5CA1" w:rsidRDefault="00C424C9" w:rsidP="00C424C9">
      <w:pPr>
        <w:widowControl/>
        <w:wordWrap/>
        <w:autoSpaceDE/>
        <w:autoSpaceDN/>
        <w:spacing w:after="160" w:line="259" w:lineRule="auto"/>
        <w:rPr>
          <w:rFonts w:eastAsia="Dotum"/>
          <w:b/>
          <w:sz w:val="24"/>
        </w:rPr>
      </w:pPr>
      <w:r w:rsidRPr="002E5CA1">
        <w:rPr>
          <w:rFonts w:eastAsia="Dotum"/>
          <w:b/>
          <w:sz w:val="24"/>
        </w:rPr>
        <w:t xml:space="preserve">Table </w:t>
      </w:r>
      <w:r>
        <w:rPr>
          <w:rFonts w:eastAsia="Dotum"/>
          <w:b/>
          <w:sz w:val="24"/>
        </w:rPr>
        <w:t>1</w:t>
      </w:r>
      <w:r w:rsidRPr="002E5CA1">
        <w:rPr>
          <w:rFonts w:eastAsia="Dotum"/>
          <w:b/>
          <w:sz w:val="24"/>
        </w:rPr>
        <w:t xml:space="preserve">. </w:t>
      </w:r>
      <w:r>
        <w:rPr>
          <w:rFonts w:eastAsia="Dotum"/>
          <w:b/>
          <w:sz w:val="24"/>
        </w:rPr>
        <w:t xml:space="preserve">Different clinical characteristics </w:t>
      </w:r>
      <w:r w:rsidRPr="002E5CA1">
        <w:rPr>
          <w:rFonts w:eastAsia="Dotum"/>
          <w:b/>
          <w:sz w:val="24"/>
        </w:rPr>
        <w:t xml:space="preserve">of </w:t>
      </w:r>
      <w:r w:rsidRPr="000238B9">
        <w:rPr>
          <w:rFonts w:eastAsia="Dotum"/>
          <w:b/>
          <w:sz w:val="24"/>
        </w:rPr>
        <w:t xml:space="preserve">patients with </w:t>
      </w:r>
      <w:r>
        <w:rPr>
          <w:rFonts w:eastAsia="Dotum"/>
          <w:b/>
          <w:sz w:val="24"/>
        </w:rPr>
        <w:t>CVT after COVID-19 vaccination according to vaccine type.</w:t>
      </w:r>
    </w:p>
    <w:tbl>
      <w:tblPr>
        <w:tblW w:w="15320" w:type="dxa"/>
        <w:tblCellMar>
          <w:left w:w="99" w:type="dxa"/>
          <w:right w:w="99" w:type="dxa"/>
        </w:tblCellMar>
        <w:tblLook w:val="04A0" w:firstRow="1" w:lastRow="0" w:firstColumn="1" w:lastColumn="0" w:noHBand="0" w:noVBand="1"/>
      </w:tblPr>
      <w:tblGrid>
        <w:gridCol w:w="4950"/>
        <w:gridCol w:w="2563"/>
        <w:gridCol w:w="3402"/>
        <w:gridCol w:w="3402"/>
        <w:gridCol w:w="1003"/>
      </w:tblGrid>
      <w:tr w:rsidR="00C424C9" w:rsidRPr="0052027F" w14:paraId="4A1A554A" w14:textId="77777777" w:rsidTr="007F0334">
        <w:trPr>
          <w:trHeight w:val="296"/>
        </w:trPr>
        <w:tc>
          <w:tcPr>
            <w:tcW w:w="4950" w:type="dxa"/>
            <w:vMerge w:val="restart"/>
            <w:tcBorders>
              <w:top w:val="single" w:sz="12" w:space="0" w:color="auto"/>
              <w:left w:val="nil"/>
              <w:bottom w:val="single" w:sz="12" w:space="0" w:color="auto"/>
              <w:right w:val="nil"/>
            </w:tcBorders>
            <w:shd w:val="clear" w:color="auto" w:fill="auto"/>
            <w:vAlign w:val="center"/>
            <w:hideMark/>
          </w:tcPr>
          <w:p w14:paraId="36F2E9CF" w14:textId="77777777" w:rsidR="00C424C9" w:rsidRPr="0052027F" w:rsidRDefault="00C424C9" w:rsidP="007F0334">
            <w:pPr>
              <w:widowControl/>
              <w:wordWrap/>
              <w:autoSpaceDE/>
              <w:autoSpaceDN/>
              <w:jc w:val="left"/>
              <w:rPr>
                <w:rFonts w:eastAsia="Malgun Gothic"/>
                <w:b/>
                <w:bCs/>
                <w:color w:val="000000"/>
                <w:kern w:val="0"/>
                <w:szCs w:val="20"/>
              </w:rPr>
            </w:pPr>
            <w:r w:rsidRPr="0052027F">
              <w:rPr>
                <w:rFonts w:eastAsia="Malgun Gothic"/>
                <w:b/>
                <w:bCs/>
                <w:color w:val="000000"/>
                <w:kern w:val="0"/>
                <w:szCs w:val="20"/>
              </w:rPr>
              <w:t>Characteristic</w:t>
            </w:r>
          </w:p>
        </w:tc>
        <w:tc>
          <w:tcPr>
            <w:tcW w:w="2563" w:type="dxa"/>
            <w:tcBorders>
              <w:top w:val="single" w:sz="12" w:space="0" w:color="auto"/>
              <w:left w:val="nil"/>
              <w:bottom w:val="nil"/>
              <w:right w:val="nil"/>
            </w:tcBorders>
          </w:tcPr>
          <w:p w14:paraId="20007AF9"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Total </w:t>
            </w:r>
            <w:r w:rsidRPr="0052027F">
              <w:rPr>
                <w:rFonts w:eastAsia="Malgun Gothic"/>
                <w:b/>
                <w:bCs/>
                <w:color w:val="000000"/>
                <w:kern w:val="0"/>
                <w:szCs w:val="20"/>
              </w:rPr>
              <w:br/>
              <w:t>(n=40)</w:t>
            </w:r>
          </w:p>
        </w:tc>
        <w:tc>
          <w:tcPr>
            <w:tcW w:w="3402" w:type="dxa"/>
            <w:tcBorders>
              <w:top w:val="single" w:sz="12" w:space="0" w:color="auto"/>
              <w:left w:val="nil"/>
              <w:bottom w:val="nil"/>
              <w:right w:val="nil"/>
            </w:tcBorders>
            <w:vAlign w:val="center"/>
          </w:tcPr>
          <w:p w14:paraId="4D7A74F4"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ChAdOx1 nCoV-19 / </w:t>
            </w:r>
            <w:proofErr w:type="gramStart"/>
            <w:r w:rsidRPr="0052027F">
              <w:rPr>
                <w:rFonts w:eastAsia="Malgun Gothic"/>
                <w:b/>
                <w:bCs/>
                <w:color w:val="000000"/>
                <w:kern w:val="0"/>
                <w:szCs w:val="20"/>
              </w:rPr>
              <w:t>Astra-Zeneca</w:t>
            </w:r>
            <w:proofErr w:type="gramEnd"/>
            <w:r w:rsidRPr="0052027F">
              <w:rPr>
                <w:rFonts w:eastAsia="Malgun Gothic"/>
                <w:b/>
                <w:bCs/>
                <w:color w:val="000000"/>
                <w:kern w:val="0"/>
                <w:szCs w:val="20"/>
              </w:rPr>
              <w:t xml:space="preserve"> (n=28)</w:t>
            </w:r>
          </w:p>
        </w:tc>
        <w:tc>
          <w:tcPr>
            <w:tcW w:w="3402" w:type="dxa"/>
            <w:tcBorders>
              <w:top w:val="single" w:sz="12" w:space="0" w:color="auto"/>
              <w:left w:val="nil"/>
              <w:bottom w:val="nil"/>
              <w:right w:val="nil"/>
            </w:tcBorders>
            <w:vAlign w:val="center"/>
          </w:tcPr>
          <w:p w14:paraId="6DE58DF4"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Ad26.COV.2.S / Janssen </w:t>
            </w:r>
            <w:r w:rsidRPr="0052027F">
              <w:rPr>
                <w:rFonts w:eastAsia="Malgun Gothic"/>
                <w:b/>
                <w:bCs/>
                <w:color w:val="000000"/>
                <w:kern w:val="0"/>
                <w:szCs w:val="20"/>
              </w:rPr>
              <w:br/>
              <w:t>(n=12)</w:t>
            </w:r>
          </w:p>
        </w:tc>
        <w:tc>
          <w:tcPr>
            <w:tcW w:w="1003" w:type="dxa"/>
            <w:tcBorders>
              <w:top w:val="single" w:sz="12" w:space="0" w:color="auto"/>
              <w:left w:val="nil"/>
              <w:bottom w:val="nil"/>
              <w:right w:val="nil"/>
            </w:tcBorders>
          </w:tcPr>
          <w:p w14:paraId="1A83B743" w14:textId="77777777" w:rsidR="00C424C9" w:rsidRPr="0052027F" w:rsidRDefault="00C424C9" w:rsidP="007F0334">
            <w:pPr>
              <w:widowControl/>
              <w:wordWrap/>
              <w:autoSpaceDE/>
              <w:autoSpaceDN/>
              <w:jc w:val="center"/>
              <w:rPr>
                <w:rFonts w:eastAsia="Malgun Gothic"/>
                <w:b/>
                <w:bCs/>
                <w:color w:val="000000"/>
                <w:kern w:val="0"/>
                <w:szCs w:val="20"/>
              </w:rPr>
            </w:pPr>
          </w:p>
        </w:tc>
      </w:tr>
      <w:tr w:rsidR="00C424C9" w:rsidRPr="0052027F" w14:paraId="7D3AEF8C" w14:textId="77777777" w:rsidTr="007F0334">
        <w:trPr>
          <w:trHeight w:val="296"/>
        </w:trPr>
        <w:tc>
          <w:tcPr>
            <w:tcW w:w="4950" w:type="dxa"/>
            <w:vMerge/>
            <w:tcBorders>
              <w:top w:val="single" w:sz="8" w:space="0" w:color="000000"/>
              <w:left w:val="nil"/>
              <w:bottom w:val="single" w:sz="12" w:space="0" w:color="auto"/>
              <w:right w:val="nil"/>
            </w:tcBorders>
            <w:vAlign w:val="center"/>
            <w:hideMark/>
          </w:tcPr>
          <w:p w14:paraId="6F46CA74" w14:textId="77777777" w:rsidR="00C424C9" w:rsidRPr="0052027F" w:rsidRDefault="00C424C9" w:rsidP="007F0334">
            <w:pPr>
              <w:widowControl/>
              <w:wordWrap/>
              <w:autoSpaceDE/>
              <w:autoSpaceDN/>
              <w:jc w:val="left"/>
              <w:rPr>
                <w:rFonts w:eastAsia="Malgun Gothic"/>
                <w:b/>
                <w:bCs/>
                <w:color w:val="000000"/>
                <w:kern w:val="0"/>
                <w:szCs w:val="20"/>
              </w:rPr>
            </w:pPr>
          </w:p>
        </w:tc>
        <w:tc>
          <w:tcPr>
            <w:tcW w:w="2563" w:type="dxa"/>
            <w:tcBorders>
              <w:top w:val="single" w:sz="8" w:space="0" w:color="000000"/>
              <w:left w:val="nil"/>
              <w:bottom w:val="single" w:sz="12" w:space="0" w:color="auto"/>
              <w:right w:val="nil"/>
            </w:tcBorders>
          </w:tcPr>
          <w:p w14:paraId="09D1A46D"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Number of patients (%) /</w:t>
            </w:r>
            <w:r w:rsidRPr="0052027F">
              <w:rPr>
                <w:rFonts w:eastAsia="Malgun Gothic"/>
                <w:b/>
                <w:bCs/>
                <w:color w:val="000000"/>
                <w:kern w:val="0"/>
                <w:szCs w:val="20"/>
              </w:rPr>
              <w:br/>
              <w:t>Median [IQR]</w:t>
            </w:r>
          </w:p>
        </w:tc>
        <w:tc>
          <w:tcPr>
            <w:tcW w:w="3402" w:type="dxa"/>
            <w:tcBorders>
              <w:top w:val="single" w:sz="8" w:space="0" w:color="000000"/>
              <w:left w:val="nil"/>
              <w:bottom w:val="single" w:sz="12" w:space="0" w:color="auto"/>
              <w:right w:val="nil"/>
            </w:tcBorders>
            <w:vAlign w:val="center"/>
          </w:tcPr>
          <w:p w14:paraId="4A9DACCF"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Number of patients (%) /</w:t>
            </w:r>
            <w:r w:rsidRPr="0052027F">
              <w:rPr>
                <w:rFonts w:eastAsia="Malgun Gothic"/>
                <w:b/>
                <w:bCs/>
                <w:color w:val="000000"/>
                <w:kern w:val="0"/>
                <w:szCs w:val="20"/>
              </w:rPr>
              <w:br/>
              <w:t>Median [IQR]</w:t>
            </w:r>
          </w:p>
        </w:tc>
        <w:tc>
          <w:tcPr>
            <w:tcW w:w="3402" w:type="dxa"/>
            <w:tcBorders>
              <w:top w:val="single" w:sz="8" w:space="0" w:color="000000"/>
              <w:left w:val="nil"/>
              <w:bottom w:val="single" w:sz="12" w:space="0" w:color="auto"/>
              <w:right w:val="nil"/>
            </w:tcBorders>
            <w:vAlign w:val="center"/>
          </w:tcPr>
          <w:p w14:paraId="1DFB586B"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b/>
                <w:bCs/>
                <w:color w:val="000000"/>
                <w:kern w:val="0"/>
                <w:szCs w:val="20"/>
              </w:rPr>
              <w:t xml:space="preserve">Number of patients (%) / </w:t>
            </w:r>
            <w:r w:rsidRPr="0052027F">
              <w:rPr>
                <w:rFonts w:eastAsia="Malgun Gothic"/>
                <w:b/>
                <w:bCs/>
                <w:color w:val="000000"/>
                <w:kern w:val="0"/>
                <w:szCs w:val="20"/>
              </w:rPr>
              <w:br/>
              <w:t>Median [IQR]</w:t>
            </w:r>
          </w:p>
        </w:tc>
        <w:tc>
          <w:tcPr>
            <w:tcW w:w="1003" w:type="dxa"/>
            <w:tcBorders>
              <w:left w:val="nil"/>
              <w:bottom w:val="single" w:sz="12" w:space="0" w:color="auto"/>
              <w:right w:val="nil"/>
            </w:tcBorders>
          </w:tcPr>
          <w:p w14:paraId="4E7BC4D5"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P-value</w:t>
            </w:r>
          </w:p>
        </w:tc>
      </w:tr>
      <w:tr w:rsidR="00C424C9" w:rsidRPr="0052027F" w14:paraId="6C56E228" w14:textId="77777777" w:rsidTr="007F0334">
        <w:trPr>
          <w:trHeight w:val="242"/>
        </w:trPr>
        <w:tc>
          <w:tcPr>
            <w:tcW w:w="4950" w:type="dxa"/>
            <w:tcBorders>
              <w:top w:val="single" w:sz="12" w:space="0" w:color="auto"/>
              <w:left w:val="nil"/>
            </w:tcBorders>
            <w:shd w:val="clear" w:color="auto" w:fill="auto"/>
            <w:vAlign w:val="center"/>
          </w:tcPr>
          <w:p w14:paraId="5904DBB3" w14:textId="77777777" w:rsidR="00C424C9" w:rsidRPr="00CE420A" w:rsidRDefault="00C424C9" w:rsidP="007F0334">
            <w:pPr>
              <w:widowControl/>
              <w:wordWrap/>
              <w:autoSpaceDE/>
              <w:autoSpaceDN/>
              <w:rPr>
                <w:rFonts w:eastAsia="Malgun Gothic"/>
                <w:b/>
                <w:bCs/>
                <w:color w:val="000000"/>
                <w:kern w:val="0"/>
                <w:szCs w:val="20"/>
              </w:rPr>
            </w:pPr>
            <w:r w:rsidRPr="00CE420A">
              <w:rPr>
                <w:rFonts w:eastAsia="Malgun Gothic"/>
                <w:b/>
                <w:bCs/>
                <w:color w:val="000000"/>
                <w:kern w:val="0"/>
                <w:szCs w:val="20"/>
              </w:rPr>
              <w:t>Days to admission</w:t>
            </w:r>
          </w:p>
        </w:tc>
        <w:tc>
          <w:tcPr>
            <w:tcW w:w="2563" w:type="dxa"/>
            <w:tcBorders>
              <w:top w:val="single" w:sz="12" w:space="0" w:color="auto"/>
            </w:tcBorders>
          </w:tcPr>
          <w:p w14:paraId="2A6D3606"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11.0 [9.0; 16.0]</w:t>
            </w:r>
          </w:p>
        </w:tc>
        <w:tc>
          <w:tcPr>
            <w:tcW w:w="3402" w:type="dxa"/>
            <w:tcBorders>
              <w:top w:val="single" w:sz="12" w:space="0" w:color="auto"/>
            </w:tcBorders>
            <w:vAlign w:val="center"/>
          </w:tcPr>
          <w:p w14:paraId="3ABE4F69"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10.0 [8.0; 13.5]</w:t>
            </w:r>
          </w:p>
        </w:tc>
        <w:tc>
          <w:tcPr>
            <w:tcW w:w="3402" w:type="dxa"/>
            <w:tcBorders>
              <w:top w:val="single" w:sz="12" w:space="0" w:color="auto"/>
            </w:tcBorders>
            <w:vAlign w:val="center"/>
          </w:tcPr>
          <w:p w14:paraId="31F930B5"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16.0 [12.0;18.0]</w:t>
            </w:r>
          </w:p>
        </w:tc>
        <w:tc>
          <w:tcPr>
            <w:tcW w:w="1003" w:type="dxa"/>
            <w:tcBorders>
              <w:top w:val="single" w:sz="12" w:space="0" w:color="auto"/>
              <w:right w:val="nil"/>
            </w:tcBorders>
            <w:vAlign w:val="center"/>
          </w:tcPr>
          <w:p w14:paraId="3FCE671F"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0.004</w:t>
            </w:r>
          </w:p>
        </w:tc>
      </w:tr>
      <w:tr w:rsidR="00C424C9" w:rsidRPr="0052027F" w14:paraId="3F6F746A" w14:textId="77777777" w:rsidTr="007F0334">
        <w:trPr>
          <w:trHeight w:val="242"/>
        </w:trPr>
        <w:tc>
          <w:tcPr>
            <w:tcW w:w="4950" w:type="dxa"/>
            <w:tcBorders>
              <w:left w:val="nil"/>
            </w:tcBorders>
            <w:shd w:val="clear" w:color="auto" w:fill="auto"/>
            <w:vAlign w:val="center"/>
            <w:hideMark/>
          </w:tcPr>
          <w:p w14:paraId="5C2F06D3" w14:textId="609CFD99" w:rsidR="00C424C9" w:rsidRPr="00CE420A" w:rsidRDefault="00C424C9" w:rsidP="007F0334">
            <w:pPr>
              <w:widowControl/>
              <w:wordWrap/>
              <w:autoSpaceDE/>
              <w:autoSpaceDN/>
              <w:rPr>
                <w:rFonts w:eastAsia="Malgun Gothic"/>
                <w:b/>
                <w:bCs/>
                <w:color w:val="000000"/>
                <w:kern w:val="0"/>
                <w:szCs w:val="20"/>
              </w:rPr>
            </w:pPr>
            <w:r w:rsidRPr="00CE420A">
              <w:rPr>
                <w:rFonts w:eastAsia="Malgun Gothic"/>
                <w:b/>
                <w:bCs/>
                <w:color w:val="000000"/>
                <w:kern w:val="0"/>
                <w:szCs w:val="20"/>
              </w:rPr>
              <w:t>D-dimer (ratio to upper limit of normal range)</w:t>
            </w:r>
          </w:p>
        </w:tc>
        <w:tc>
          <w:tcPr>
            <w:tcW w:w="2563" w:type="dxa"/>
          </w:tcPr>
          <w:p w14:paraId="1325B4E1"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52.0 [15.7; 124.7]</w:t>
            </w:r>
          </w:p>
        </w:tc>
        <w:tc>
          <w:tcPr>
            <w:tcW w:w="3402" w:type="dxa"/>
            <w:vAlign w:val="center"/>
          </w:tcPr>
          <w:p w14:paraId="2898E89E"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74.2 [32.6; 140.0]</w:t>
            </w:r>
          </w:p>
        </w:tc>
        <w:tc>
          <w:tcPr>
            <w:tcW w:w="3402" w:type="dxa"/>
            <w:vAlign w:val="center"/>
          </w:tcPr>
          <w:p w14:paraId="0D20B6D0"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16.3 [12.2; 61.7]</w:t>
            </w:r>
          </w:p>
        </w:tc>
        <w:tc>
          <w:tcPr>
            <w:tcW w:w="1003" w:type="dxa"/>
            <w:tcBorders>
              <w:right w:val="nil"/>
            </w:tcBorders>
            <w:vAlign w:val="center"/>
          </w:tcPr>
          <w:p w14:paraId="3B1212FE"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0.036</w:t>
            </w:r>
          </w:p>
        </w:tc>
      </w:tr>
      <w:tr w:rsidR="00C424C9" w:rsidRPr="0052027F" w14:paraId="4770EFB2" w14:textId="77777777" w:rsidTr="007F0334">
        <w:trPr>
          <w:trHeight w:val="242"/>
        </w:trPr>
        <w:tc>
          <w:tcPr>
            <w:tcW w:w="4950" w:type="dxa"/>
            <w:tcBorders>
              <w:left w:val="nil"/>
            </w:tcBorders>
            <w:shd w:val="clear" w:color="auto" w:fill="auto"/>
            <w:vAlign w:val="center"/>
            <w:hideMark/>
          </w:tcPr>
          <w:p w14:paraId="31D1CDB1" w14:textId="77777777" w:rsidR="00C424C9" w:rsidRPr="00CE420A" w:rsidRDefault="00C424C9" w:rsidP="007F0334">
            <w:pPr>
              <w:widowControl/>
              <w:wordWrap/>
              <w:autoSpaceDE/>
              <w:autoSpaceDN/>
              <w:rPr>
                <w:rFonts w:eastAsia="Malgun Gothic"/>
                <w:b/>
                <w:bCs/>
                <w:color w:val="000000"/>
                <w:kern w:val="0"/>
                <w:szCs w:val="20"/>
              </w:rPr>
            </w:pPr>
            <w:r w:rsidRPr="00CE420A">
              <w:rPr>
                <w:rFonts w:eastAsia="Malgun Gothic"/>
                <w:b/>
                <w:bCs/>
                <w:color w:val="000000"/>
                <w:kern w:val="0"/>
                <w:szCs w:val="20"/>
              </w:rPr>
              <w:t>Functional HIT assay positive</w:t>
            </w:r>
          </w:p>
        </w:tc>
        <w:tc>
          <w:tcPr>
            <w:tcW w:w="2563" w:type="dxa"/>
          </w:tcPr>
          <w:p w14:paraId="58CCC834"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14/23 (60.9%)</w:t>
            </w:r>
          </w:p>
        </w:tc>
        <w:tc>
          <w:tcPr>
            <w:tcW w:w="3402" w:type="dxa"/>
            <w:vAlign w:val="center"/>
          </w:tcPr>
          <w:p w14:paraId="432968FA"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13/14 (92.9%)</w:t>
            </w:r>
          </w:p>
        </w:tc>
        <w:tc>
          <w:tcPr>
            <w:tcW w:w="3402" w:type="dxa"/>
            <w:vAlign w:val="center"/>
          </w:tcPr>
          <w:p w14:paraId="26AD22DA"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1/9 (11.1%)</w:t>
            </w:r>
          </w:p>
        </w:tc>
        <w:tc>
          <w:tcPr>
            <w:tcW w:w="1003" w:type="dxa"/>
            <w:tcBorders>
              <w:right w:val="nil"/>
            </w:tcBorders>
            <w:vAlign w:val="center"/>
          </w:tcPr>
          <w:p w14:paraId="5B1ECB7A"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&lt; 0.001</w:t>
            </w:r>
          </w:p>
        </w:tc>
      </w:tr>
      <w:tr w:rsidR="00C424C9" w:rsidRPr="0052027F" w14:paraId="48D3D329" w14:textId="77777777" w:rsidTr="007F0334">
        <w:trPr>
          <w:trHeight w:val="242"/>
        </w:trPr>
        <w:tc>
          <w:tcPr>
            <w:tcW w:w="4950" w:type="dxa"/>
            <w:tcBorders>
              <w:left w:val="nil"/>
            </w:tcBorders>
            <w:shd w:val="clear" w:color="auto" w:fill="auto"/>
            <w:vAlign w:val="center"/>
          </w:tcPr>
          <w:p w14:paraId="52A85A7A" w14:textId="77777777" w:rsidR="00C424C9" w:rsidRPr="00CE420A" w:rsidRDefault="00C424C9" w:rsidP="007F0334">
            <w:pPr>
              <w:widowControl/>
              <w:wordWrap/>
              <w:autoSpaceDE/>
              <w:autoSpaceDN/>
              <w:rPr>
                <w:rFonts w:eastAsia="Malgun Gothic"/>
                <w:b/>
                <w:bCs/>
                <w:color w:val="000000"/>
                <w:kern w:val="0"/>
                <w:szCs w:val="20"/>
              </w:rPr>
            </w:pPr>
            <w:r w:rsidRPr="00CE420A">
              <w:rPr>
                <w:rFonts w:eastAsia="Malgun Gothic"/>
                <w:b/>
                <w:bCs/>
                <w:color w:val="000000"/>
                <w:kern w:val="0"/>
                <w:szCs w:val="20"/>
              </w:rPr>
              <w:t>Presence of intracerebral hemorrhage</w:t>
            </w:r>
          </w:p>
        </w:tc>
        <w:tc>
          <w:tcPr>
            <w:tcW w:w="2563" w:type="dxa"/>
          </w:tcPr>
          <w:p w14:paraId="1FA3D9DB"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12/40 (30.0%)</w:t>
            </w:r>
          </w:p>
        </w:tc>
        <w:tc>
          <w:tcPr>
            <w:tcW w:w="3402" w:type="dxa"/>
            <w:vAlign w:val="center"/>
          </w:tcPr>
          <w:p w14:paraId="6BE970BC"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5/28 (17.9%)</w:t>
            </w:r>
          </w:p>
        </w:tc>
        <w:tc>
          <w:tcPr>
            <w:tcW w:w="3402" w:type="dxa"/>
            <w:vAlign w:val="center"/>
          </w:tcPr>
          <w:p w14:paraId="7596D5C1"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7/12 (58.3%)</w:t>
            </w:r>
          </w:p>
        </w:tc>
        <w:tc>
          <w:tcPr>
            <w:tcW w:w="1003" w:type="dxa"/>
            <w:tcBorders>
              <w:right w:val="nil"/>
            </w:tcBorders>
            <w:vAlign w:val="center"/>
          </w:tcPr>
          <w:p w14:paraId="369337E3" w14:textId="77777777" w:rsidR="00C424C9" w:rsidRPr="0052027F" w:rsidRDefault="00C424C9" w:rsidP="007F0334">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0.021</w:t>
            </w:r>
          </w:p>
        </w:tc>
      </w:tr>
      <w:tr w:rsidR="00C424C9" w:rsidRPr="0052027F" w14:paraId="720E1D35" w14:textId="77777777" w:rsidTr="007F0334">
        <w:trPr>
          <w:trHeight w:val="277"/>
        </w:trPr>
        <w:tc>
          <w:tcPr>
            <w:tcW w:w="4950" w:type="dxa"/>
            <w:tcBorders>
              <w:left w:val="nil"/>
              <w:bottom w:val="single" w:sz="12" w:space="0" w:color="000000"/>
            </w:tcBorders>
            <w:shd w:val="clear" w:color="auto" w:fill="auto"/>
            <w:vAlign w:val="center"/>
          </w:tcPr>
          <w:p w14:paraId="0158A19E" w14:textId="77777777" w:rsidR="00C424C9" w:rsidRPr="00CE420A" w:rsidRDefault="00C424C9" w:rsidP="007F0334">
            <w:pPr>
              <w:widowControl/>
              <w:wordWrap/>
              <w:autoSpaceDE/>
              <w:autoSpaceDN/>
              <w:rPr>
                <w:rFonts w:eastAsia="Malgun Gothic"/>
                <w:b/>
                <w:bCs/>
                <w:color w:val="000000"/>
                <w:kern w:val="0"/>
                <w:szCs w:val="20"/>
              </w:rPr>
            </w:pPr>
            <w:r w:rsidRPr="00CE420A">
              <w:rPr>
                <w:rFonts w:eastAsia="Malgun Gothic"/>
                <w:b/>
                <w:bCs/>
                <w:color w:val="000000"/>
                <w:kern w:val="0"/>
                <w:szCs w:val="20"/>
              </w:rPr>
              <w:t>Internal jugular vein thrombosis</w:t>
            </w:r>
          </w:p>
        </w:tc>
        <w:tc>
          <w:tcPr>
            <w:tcW w:w="2563" w:type="dxa"/>
            <w:tcBorders>
              <w:bottom w:val="single" w:sz="12" w:space="0" w:color="000000"/>
            </w:tcBorders>
            <w:vAlign w:val="center"/>
          </w:tcPr>
          <w:p w14:paraId="403CD615"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7 (12.3%)</w:t>
            </w:r>
          </w:p>
        </w:tc>
        <w:tc>
          <w:tcPr>
            <w:tcW w:w="3402" w:type="dxa"/>
            <w:tcBorders>
              <w:bottom w:val="single" w:sz="12" w:space="0" w:color="000000"/>
            </w:tcBorders>
            <w:vAlign w:val="center"/>
          </w:tcPr>
          <w:p w14:paraId="78EDB97F"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bottom w:val="single" w:sz="12" w:space="0" w:color="000000"/>
            </w:tcBorders>
            <w:vAlign w:val="center"/>
          </w:tcPr>
          <w:p w14:paraId="52F22895"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color w:val="000000"/>
                <w:kern w:val="0"/>
                <w:szCs w:val="20"/>
              </w:rPr>
              <w:t>6 (50.0%)</w:t>
            </w:r>
          </w:p>
        </w:tc>
        <w:tc>
          <w:tcPr>
            <w:tcW w:w="1003" w:type="dxa"/>
            <w:tcBorders>
              <w:bottom w:val="single" w:sz="12" w:space="0" w:color="000000"/>
              <w:right w:val="nil"/>
            </w:tcBorders>
            <w:vAlign w:val="center"/>
          </w:tcPr>
          <w:p w14:paraId="2F0BC840" w14:textId="77777777" w:rsidR="00C424C9" w:rsidRPr="0052027F" w:rsidRDefault="00C424C9" w:rsidP="007F0334">
            <w:pPr>
              <w:widowControl/>
              <w:wordWrap/>
              <w:autoSpaceDE/>
              <w:autoSpaceDN/>
              <w:jc w:val="center"/>
              <w:rPr>
                <w:rFonts w:eastAsia="Malgun Gothic"/>
                <w:color w:val="000000"/>
                <w:kern w:val="0"/>
                <w:szCs w:val="20"/>
              </w:rPr>
            </w:pPr>
            <w:r w:rsidRPr="0052027F">
              <w:rPr>
                <w:rFonts w:eastAsia="Malgun Gothic"/>
                <w:b/>
                <w:bCs/>
                <w:color w:val="000000"/>
                <w:kern w:val="0"/>
                <w:szCs w:val="20"/>
              </w:rPr>
              <w:t>&lt; 0.001</w:t>
            </w:r>
          </w:p>
        </w:tc>
      </w:tr>
    </w:tbl>
    <w:p w14:paraId="228371EB" w14:textId="77777777" w:rsidR="00C424C9" w:rsidRPr="009D6D91" w:rsidRDefault="00C424C9" w:rsidP="00C424C9">
      <w:pPr>
        <w:spacing w:line="276" w:lineRule="auto"/>
        <w:rPr>
          <w:rFonts w:eastAsia="나눔바른고딕"/>
          <w:color w:val="000000"/>
          <w:kern w:val="0"/>
          <w:sz w:val="18"/>
          <w:szCs w:val="18"/>
        </w:rPr>
      </w:pPr>
      <w:r>
        <w:rPr>
          <w:rFonts w:eastAsia="Malgun Gothic"/>
          <w:color w:val="000000"/>
          <w:kern w:val="0"/>
          <w:sz w:val="18"/>
          <w:szCs w:val="18"/>
        </w:rPr>
        <w:t>IQR: interquartile range; HIT: heparin-induced thrombocytopenia</w:t>
      </w:r>
    </w:p>
    <w:p w14:paraId="0CF0D65C" w14:textId="27B5FAFF" w:rsidR="009D6D91" w:rsidRDefault="009D6D91" w:rsidP="00F97EC6">
      <w:pPr>
        <w:widowControl/>
        <w:wordWrap/>
        <w:autoSpaceDE/>
        <w:autoSpaceDN/>
        <w:spacing w:after="160" w:line="259" w:lineRule="auto"/>
        <w:rPr>
          <w:rFonts w:eastAsia="나눔바른고딕"/>
          <w:color w:val="000000"/>
          <w:kern w:val="0"/>
          <w:sz w:val="18"/>
          <w:szCs w:val="18"/>
        </w:rPr>
      </w:pPr>
    </w:p>
    <w:p w14:paraId="7730C265"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249E8E0F"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71BCA88B"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6D9AC731"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65D895D0"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40F845DF"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0F9D58C7"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226378D3"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5D1F08C6"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0AA070C5"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4812EB11"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18D0B92E"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1A5CD090"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75B9D649"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755EB4A3"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4D44D6D0"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64F1BE4E"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291EA0E3" w14:textId="77777777" w:rsidR="003A31B2" w:rsidRDefault="003A31B2" w:rsidP="00F97EC6">
      <w:pPr>
        <w:widowControl/>
        <w:wordWrap/>
        <w:autoSpaceDE/>
        <w:autoSpaceDN/>
        <w:spacing w:after="160" w:line="259" w:lineRule="auto"/>
        <w:rPr>
          <w:rFonts w:eastAsia="나눔바른고딕"/>
          <w:color w:val="000000"/>
          <w:kern w:val="0"/>
          <w:sz w:val="18"/>
          <w:szCs w:val="18"/>
        </w:rPr>
      </w:pPr>
    </w:p>
    <w:p w14:paraId="7F680F15" w14:textId="77777777" w:rsidR="003A31B2" w:rsidRPr="00BC5364" w:rsidRDefault="003A31B2" w:rsidP="00BC5364">
      <w:pPr>
        <w:pStyle w:val="Heading1"/>
        <w:rPr>
          <w:rFonts w:eastAsia="Dotum"/>
          <w:sz w:val="28"/>
          <w:szCs w:val="28"/>
        </w:rPr>
      </w:pPr>
      <w:r w:rsidRPr="00BC5364">
        <w:rPr>
          <w:rFonts w:eastAsia="Dotum"/>
          <w:sz w:val="28"/>
          <w:szCs w:val="28"/>
        </w:rPr>
        <w:t>Supplementary Tables</w:t>
      </w:r>
      <w:r w:rsidRPr="00BC5364">
        <w:rPr>
          <w:rFonts w:eastAsia="Dotum"/>
          <w:sz w:val="28"/>
          <w:szCs w:val="28"/>
        </w:rPr>
        <w:tab/>
      </w:r>
    </w:p>
    <w:p w14:paraId="561785F3" w14:textId="77777777" w:rsidR="003A31B2" w:rsidRPr="002E5CA1" w:rsidRDefault="003A31B2" w:rsidP="003A31B2">
      <w:pPr>
        <w:widowControl/>
        <w:wordWrap/>
        <w:autoSpaceDE/>
        <w:autoSpaceDN/>
        <w:spacing w:after="160" w:line="259" w:lineRule="auto"/>
        <w:rPr>
          <w:rFonts w:eastAsia="Dotum"/>
          <w:b/>
          <w:sz w:val="24"/>
        </w:rPr>
      </w:pPr>
      <w:r>
        <w:rPr>
          <w:rFonts w:eastAsia="Dotum"/>
          <w:b/>
          <w:sz w:val="24"/>
        </w:rPr>
        <w:t xml:space="preserve">Supplementary </w:t>
      </w:r>
      <w:r w:rsidRPr="002E5CA1">
        <w:rPr>
          <w:rFonts w:eastAsia="Dotum"/>
          <w:b/>
          <w:sz w:val="24"/>
        </w:rPr>
        <w:t xml:space="preserve">Table </w:t>
      </w:r>
      <w:r>
        <w:rPr>
          <w:rFonts w:eastAsia="Dotum"/>
          <w:b/>
          <w:sz w:val="24"/>
        </w:rPr>
        <w:t>S1</w:t>
      </w:r>
      <w:r w:rsidRPr="002E5CA1">
        <w:rPr>
          <w:rFonts w:eastAsia="Dotum"/>
          <w:b/>
          <w:sz w:val="24"/>
        </w:rPr>
        <w:t xml:space="preserve">. </w:t>
      </w:r>
      <w:r>
        <w:rPr>
          <w:rFonts w:eastAsia="Dotum"/>
          <w:b/>
          <w:sz w:val="24"/>
        </w:rPr>
        <w:t>Demographic and clinical characteristics</w:t>
      </w:r>
      <w:r w:rsidRPr="00D05DC3">
        <w:rPr>
          <w:rFonts w:eastAsia="Dotum"/>
          <w:b/>
          <w:sz w:val="24"/>
        </w:rPr>
        <w:t xml:space="preserve"> </w:t>
      </w:r>
      <w:r w:rsidRPr="002E5CA1">
        <w:rPr>
          <w:rFonts w:eastAsia="Dotum"/>
          <w:b/>
          <w:sz w:val="24"/>
        </w:rPr>
        <w:t xml:space="preserve">of </w:t>
      </w:r>
      <w:r w:rsidRPr="000238B9">
        <w:rPr>
          <w:rFonts w:eastAsia="Dotum"/>
          <w:b/>
          <w:sz w:val="24"/>
        </w:rPr>
        <w:t xml:space="preserve">patients with </w:t>
      </w:r>
      <w:r>
        <w:rPr>
          <w:rFonts w:eastAsia="Dotum"/>
          <w:b/>
          <w:sz w:val="24"/>
        </w:rPr>
        <w:t>CVT after COVID-19 vaccination according to vaccine type.</w:t>
      </w:r>
    </w:p>
    <w:tbl>
      <w:tblPr>
        <w:tblW w:w="15320" w:type="dxa"/>
        <w:tblCellMar>
          <w:left w:w="99" w:type="dxa"/>
          <w:right w:w="99" w:type="dxa"/>
        </w:tblCellMar>
        <w:tblLook w:val="04A0" w:firstRow="1" w:lastRow="0" w:firstColumn="1" w:lastColumn="0" w:noHBand="0" w:noVBand="1"/>
      </w:tblPr>
      <w:tblGrid>
        <w:gridCol w:w="4770"/>
        <w:gridCol w:w="2743"/>
        <w:gridCol w:w="3402"/>
        <w:gridCol w:w="3402"/>
        <w:gridCol w:w="1003"/>
      </w:tblGrid>
      <w:tr w:rsidR="003A31B2" w:rsidRPr="0052027F" w14:paraId="71368AEB" w14:textId="77777777" w:rsidTr="005F0211">
        <w:trPr>
          <w:trHeight w:val="296"/>
        </w:trPr>
        <w:tc>
          <w:tcPr>
            <w:tcW w:w="4770" w:type="dxa"/>
            <w:vMerge w:val="restart"/>
            <w:tcBorders>
              <w:top w:val="single" w:sz="12" w:space="0" w:color="auto"/>
              <w:left w:val="nil"/>
              <w:bottom w:val="single" w:sz="12" w:space="0" w:color="auto"/>
              <w:right w:val="nil"/>
            </w:tcBorders>
            <w:shd w:val="clear" w:color="auto" w:fill="auto"/>
            <w:vAlign w:val="center"/>
            <w:hideMark/>
          </w:tcPr>
          <w:p w14:paraId="5F7A95B7" w14:textId="77777777" w:rsidR="003A31B2" w:rsidRPr="0052027F" w:rsidRDefault="003A31B2" w:rsidP="005F0211">
            <w:pPr>
              <w:widowControl/>
              <w:wordWrap/>
              <w:autoSpaceDE/>
              <w:autoSpaceDN/>
              <w:jc w:val="left"/>
              <w:rPr>
                <w:rFonts w:eastAsia="Malgun Gothic"/>
                <w:b/>
                <w:bCs/>
                <w:color w:val="000000"/>
                <w:kern w:val="0"/>
                <w:szCs w:val="20"/>
              </w:rPr>
            </w:pPr>
            <w:r w:rsidRPr="0052027F">
              <w:rPr>
                <w:rFonts w:eastAsia="Malgun Gothic"/>
                <w:b/>
                <w:bCs/>
                <w:color w:val="000000"/>
                <w:kern w:val="0"/>
                <w:szCs w:val="20"/>
              </w:rPr>
              <w:t>Characteristic</w:t>
            </w:r>
          </w:p>
        </w:tc>
        <w:tc>
          <w:tcPr>
            <w:tcW w:w="2743" w:type="dxa"/>
            <w:tcBorders>
              <w:top w:val="single" w:sz="12" w:space="0" w:color="auto"/>
              <w:left w:val="nil"/>
              <w:bottom w:val="nil"/>
              <w:right w:val="nil"/>
            </w:tcBorders>
          </w:tcPr>
          <w:p w14:paraId="7CCE7088"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Total </w:t>
            </w:r>
            <w:r w:rsidRPr="0052027F">
              <w:rPr>
                <w:rFonts w:eastAsia="Malgun Gothic"/>
                <w:b/>
                <w:bCs/>
                <w:color w:val="000000"/>
                <w:kern w:val="0"/>
                <w:szCs w:val="20"/>
              </w:rPr>
              <w:br/>
              <w:t>(n=40)</w:t>
            </w:r>
          </w:p>
        </w:tc>
        <w:tc>
          <w:tcPr>
            <w:tcW w:w="3402" w:type="dxa"/>
            <w:tcBorders>
              <w:top w:val="single" w:sz="12" w:space="0" w:color="auto"/>
              <w:left w:val="nil"/>
              <w:bottom w:val="nil"/>
              <w:right w:val="nil"/>
            </w:tcBorders>
            <w:vAlign w:val="center"/>
          </w:tcPr>
          <w:p w14:paraId="16C0168F"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ChAdOx1 nCoV-19 / </w:t>
            </w:r>
            <w:proofErr w:type="gramStart"/>
            <w:r w:rsidRPr="0052027F">
              <w:rPr>
                <w:rFonts w:eastAsia="Malgun Gothic"/>
                <w:b/>
                <w:bCs/>
                <w:color w:val="000000"/>
                <w:kern w:val="0"/>
                <w:szCs w:val="20"/>
              </w:rPr>
              <w:t>Astra-Zeneca</w:t>
            </w:r>
            <w:proofErr w:type="gramEnd"/>
            <w:r w:rsidRPr="0052027F">
              <w:rPr>
                <w:rFonts w:eastAsia="Malgun Gothic"/>
                <w:b/>
                <w:bCs/>
                <w:color w:val="000000"/>
                <w:kern w:val="0"/>
                <w:szCs w:val="20"/>
              </w:rPr>
              <w:t xml:space="preserve"> (n=28)</w:t>
            </w:r>
          </w:p>
        </w:tc>
        <w:tc>
          <w:tcPr>
            <w:tcW w:w="3402" w:type="dxa"/>
            <w:tcBorders>
              <w:top w:val="single" w:sz="12" w:space="0" w:color="auto"/>
              <w:left w:val="nil"/>
              <w:bottom w:val="nil"/>
              <w:right w:val="nil"/>
            </w:tcBorders>
            <w:vAlign w:val="center"/>
          </w:tcPr>
          <w:p w14:paraId="622E16E2"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 xml:space="preserve">Ad26.COV.2.S / Janssen </w:t>
            </w:r>
            <w:r w:rsidRPr="0052027F">
              <w:rPr>
                <w:rFonts w:eastAsia="Malgun Gothic"/>
                <w:b/>
                <w:bCs/>
                <w:color w:val="000000"/>
                <w:kern w:val="0"/>
                <w:szCs w:val="20"/>
              </w:rPr>
              <w:br/>
              <w:t>(n=12)</w:t>
            </w:r>
          </w:p>
        </w:tc>
        <w:tc>
          <w:tcPr>
            <w:tcW w:w="1003" w:type="dxa"/>
            <w:tcBorders>
              <w:top w:val="single" w:sz="12" w:space="0" w:color="auto"/>
              <w:left w:val="nil"/>
              <w:bottom w:val="nil"/>
              <w:right w:val="nil"/>
            </w:tcBorders>
          </w:tcPr>
          <w:p w14:paraId="1D30B904" w14:textId="77777777" w:rsidR="003A31B2" w:rsidRPr="0052027F" w:rsidRDefault="003A31B2" w:rsidP="005F0211">
            <w:pPr>
              <w:widowControl/>
              <w:wordWrap/>
              <w:autoSpaceDE/>
              <w:autoSpaceDN/>
              <w:jc w:val="center"/>
              <w:rPr>
                <w:rFonts w:eastAsia="Malgun Gothic"/>
                <w:b/>
                <w:bCs/>
                <w:color w:val="000000"/>
                <w:kern w:val="0"/>
                <w:szCs w:val="20"/>
              </w:rPr>
            </w:pPr>
          </w:p>
        </w:tc>
      </w:tr>
      <w:tr w:rsidR="003A31B2" w:rsidRPr="0052027F" w14:paraId="6B5BB9B4" w14:textId="77777777" w:rsidTr="005F0211">
        <w:trPr>
          <w:trHeight w:val="296"/>
        </w:trPr>
        <w:tc>
          <w:tcPr>
            <w:tcW w:w="4770" w:type="dxa"/>
            <w:vMerge/>
            <w:tcBorders>
              <w:top w:val="single" w:sz="8" w:space="0" w:color="000000"/>
              <w:left w:val="nil"/>
              <w:bottom w:val="single" w:sz="12" w:space="0" w:color="auto"/>
              <w:right w:val="nil"/>
            </w:tcBorders>
            <w:vAlign w:val="center"/>
            <w:hideMark/>
          </w:tcPr>
          <w:p w14:paraId="547C499D" w14:textId="77777777" w:rsidR="003A31B2" w:rsidRPr="0052027F" w:rsidRDefault="003A31B2" w:rsidP="005F0211">
            <w:pPr>
              <w:widowControl/>
              <w:wordWrap/>
              <w:autoSpaceDE/>
              <w:autoSpaceDN/>
              <w:jc w:val="left"/>
              <w:rPr>
                <w:rFonts w:eastAsia="Malgun Gothic"/>
                <w:b/>
                <w:bCs/>
                <w:color w:val="000000"/>
                <w:kern w:val="0"/>
                <w:szCs w:val="20"/>
              </w:rPr>
            </w:pPr>
          </w:p>
        </w:tc>
        <w:tc>
          <w:tcPr>
            <w:tcW w:w="2743" w:type="dxa"/>
            <w:tcBorders>
              <w:top w:val="single" w:sz="8" w:space="0" w:color="000000"/>
              <w:left w:val="nil"/>
              <w:bottom w:val="single" w:sz="12" w:space="0" w:color="auto"/>
              <w:right w:val="nil"/>
            </w:tcBorders>
          </w:tcPr>
          <w:p w14:paraId="3F20E9C5"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Number of patients (%) /</w:t>
            </w:r>
            <w:r w:rsidRPr="0052027F">
              <w:rPr>
                <w:rFonts w:eastAsia="Malgun Gothic"/>
                <w:b/>
                <w:bCs/>
                <w:color w:val="000000"/>
                <w:kern w:val="0"/>
                <w:szCs w:val="20"/>
              </w:rPr>
              <w:br/>
              <w:t>Median [IQR]</w:t>
            </w:r>
          </w:p>
        </w:tc>
        <w:tc>
          <w:tcPr>
            <w:tcW w:w="3402" w:type="dxa"/>
            <w:tcBorders>
              <w:top w:val="single" w:sz="8" w:space="0" w:color="000000"/>
              <w:left w:val="nil"/>
              <w:bottom w:val="single" w:sz="12" w:space="0" w:color="auto"/>
              <w:right w:val="nil"/>
            </w:tcBorders>
            <w:vAlign w:val="center"/>
          </w:tcPr>
          <w:p w14:paraId="6CB50D52"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Number of patients (%) /</w:t>
            </w:r>
            <w:r w:rsidRPr="0052027F">
              <w:rPr>
                <w:rFonts w:eastAsia="Malgun Gothic"/>
                <w:b/>
                <w:bCs/>
                <w:color w:val="000000"/>
                <w:kern w:val="0"/>
                <w:szCs w:val="20"/>
              </w:rPr>
              <w:br/>
              <w:t>Median [IQR]</w:t>
            </w:r>
          </w:p>
        </w:tc>
        <w:tc>
          <w:tcPr>
            <w:tcW w:w="3402" w:type="dxa"/>
            <w:tcBorders>
              <w:top w:val="single" w:sz="8" w:space="0" w:color="000000"/>
              <w:left w:val="nil"/>
              <w:bottom w:val="single" w:sz="12" w:space="0" w:color="auto"/>
              <w:right w:val="nil"/>
            </w:tcBorders>
            <w:vAlign w:val="center"/>
          </w:tcPr>
          <w:p w14:paraId="78CCEC0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 xml:space="preserve">Number of patients (%) / </w:t>
            </w:r>
            <w:r w:rsidRPr="0052027F">
              <w:rPr>
                <w:rFonts w:eastAsia="Malgun Gothic"/>
                <w:b/>
                <w:bCs/>
                <w:color w:val="000000"/>
                <w:kern w:val="0"/>
                <w:szCs w:val="20"/>
              </w:rPr>
              <w:br/>
              <w:t>Median [IQR]</w:t>
            </w:r>
          </w:p>
        </w:tc>
        <w:tc>
          <w:tcPr>
            <w:tcW w:w="1003" w:type="dxa"/>
            <w:tcBorders>
              <w:left w:val="nil"/>
              <w:bottom w:val="single" w:sz="12" w:space="0" w:color="auto"/>
              <w:right w:val="nil"/>
            </w:tcBorders>
          </w:tcPr>
          <w:p w14:paraId="68890397"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P-value</w:t>
            </w:r>
          </w:p>
        </w:tc>
      </w:tr>
      <w:tr w:rsidR="003A31B2" w:rsidRPr="0052027F" w14:paraId="317488E4" w14:textId="77777777" w:rsidTr="005F0211">
        <w:trPr>
          <w:trHeight w:val="242"/>
        </w:trPr>
        <w:tc>
          <w:tcPr>
            <w:tcW w:w="4770" w:type="dxa"/>
            <w:tcBorders>
              <w:top w:val="single" w:sz="12" w:space="0" w:color="auto"/>
              <w:left w:val="nil"/>
              <w:bottom w:val="single" w:sz="4" w:space="0" w:color="auto"/>
              <w:right w:val="nil"/>
            </w:tcBorders>
            <w:shd w:val="clear" w:color="auto" w:fill="auto"/>
            <w:vAlign w:val="center"/>
          </w:tcPr>
          <w:p w14:paraId="38F02647"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Demographic information</w:t>
            </w:r>
          </w:p>
        </w:tc>
        <w:tc>
          <w:tcPr>
            <w:tcW w:w="2743" w:type="dxa"/>
            <w:tcBorders>
              <w:top w:val="single" w:sz="12" w:space="0" w:color="auto"/>
              <w:left w:val="nil"/>
              <w:bottom w:val="single" w:sz="4" w:space="0" w:color="auto"/>
              <w:right w:val="nil"/>
            </w:tcBorders>
          </w:tcPr>
          <w:p w14:paraId="6FF93D3E"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12" w:space="0" w:color="auto"/>
              <w:left w:val="nil"/>
              <w:bottom w:val="single" w:sz="4" w:space="0" w:color="auto"/>
              <w:right w:val="nil"/>
            </w:tcBorders>
            <w:vAlign w:val="center"/>
          </w:tcPr>
          <w:p w14:paraId="47AF705B"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12" w:space="0" w:color="auto"/>
              <w:left w:val="nil"/>
              <w:bottom w:val="single" w:sz="4" w:space="0" w:color="auto"/>
              <w:right w:val="nil"/>
            </w:tcBorders>
            <w:vAlign w:val="center"/>
          </w:tcPr>
          <w:p w14:paraId="30761E37"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single" w:sz="12" w:space="0" w:color="auto"/>
              <w:left w:val="nil"/>
              <w:bottom w:val="single" w:sz="4" w:space="0" w:color="auto"/>
              <w:right w:val="nil"/>
            </w:tcBorders>
            <w:vAlign w:val="center"/>
          </w:tcPr>
          <w:p w14:paraId="3E71DE93"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6D180091" w14:textId="77777777" w:rsidTr="005F0211">
        <w:trPr>
          <w:trHeight w:val="242"/>
        </w:trPr>
        <w:tc>
          <w:tcPr>
            <w:tcW w:w="4770" w:type="dxa"/>
            <w:tcBorders>
              <w:top w:val="single" w:sz="4" w:space="0" w:color="auto"/>
              <w:left w:val="nil"/>
              <w:right w:val="nil"/>
            </w:tcBorders>
            <w:shd w:val="clear" w:color="auto" w:fill="auto"/>
            <w:vAlign w:val="center"/>
          </w:tcPr>
          <w:p w14:paraId="5EB46459"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Age &gt; 60 years</w:t>
            </w:r>
          </w:p>
        </w:tc>
        <w:tc>
          <w:tcPr>
            <w:tcW w:w="2743" w:type="dxa"/>
            <w:tcBorders>
              <w:top w:val="single" w:sz="4" w:space="0" w:color="auto"/>
              <w:left w:val="nil"/>
              <w:right w:val="nil"/>
            </w:tcBorders>
          </w:tcPr>
          <w:p w14:paraId="497A9C2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1/31 (3.2%)</w:t>
            </w:r>
          </w:p>
        </w:tc>
        <w:tc>
          <w:tcPr>
            <w:tcW w:w="3402" w:type="dxa"/>
            <w:tcBorders>
              <w:top w:val="single" w:sz="4" w:space="0" w:color="auto"/>
              <w:left w:val="nil"/>
              <w:right w:val="nil"/>
            </w:tcBorders>
            <w:vAlign w:val="center"/>
          </w:tcPr>
          <w:p w14:paraId="7FC5344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1/19 (5.3%)</w:t>
            </w:r>
          </w:p>
        </w:tc>
        <w:tc>
          <w:tcPr>
            <w:tcW w:w="3402" w:type="dxa"/>
            <w:tcBorders>
              <w:top w:val="single" w:sz="4" w:space="0" w:color="auto"/>
              <w:left w:val="nil"/>
              <w:right w:val="nil"/>
            </w:tcBorders>
            <w:vAlign w:val="center"/>
          </w:tcPr>
          <w:p w14:paraId="4B732C6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0/12 (0.0%)</w:t>
            </w:r>
          </w:p>
        </w:tc>
        <w:tc>
          <w:tcPr>
            <w:tcW w:w="1003" w:type="dxa"/>
            <w:tcBorders>
              <w:top w:val="single" w:sz="4" w:space="0" w:color="auto"/>
              <w:left w:val="nil"/>
              <w:right w:val="nil"/>
            </w:tcBorders>
            <w:vAlign w:val="center"/>
          </w:tcPr>
          <w:p w14:paraId="1C7C716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67E5DF12" w14:textId="77777777" w:rsidTr="005F0211">
        <w:trPr>
          <w:trHeight w:val="242"/>
        </w:trPr>
        <w:tc>
          <w:tcPr>
            <w:tcW w:w="4770" w:type="dxa"/>
            <w:tcBorders>
              <w:left w:val="nil"/>
              <w:right w:val="nil"/>
            </w:tcBorders>
            <w:shd w:val="clear" w:color="auto" w:fill="auto"/>
            <w:vAlign w:val="center"/>
          </w:tcPr>
          <w:p w14:paraId="4CDAADB1"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Age &gt; 40 years</w:t>
            </w:r>
          </w:p>
        </w:tc>
        <w:tc>
          <w:tcPr>
            <w:tcW w:w="2743" w:type="dxa"/>
            <w:tcBorders>
              <w:left w:val="nil"/>
              <w:right w:val="nil"/>
            </w:tcBorders>
          </w:tcPr>
          <w:p w14:paraId="7C46323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13/31 (41.9%)</w:t>
            </w:r>
          </w:p>
        </w:tc>
        <w:tc>
          <w:tcPr>
            <w:tcW w:w="3402" w:type="dxa"/>
            <w:tcBorders>
              <w:left w:val="nil"/>
              <w:right w:val="nil"/>
            </w:tcBorders>
            <w:vAlign w:val="center"/>
          </w:tcPr>
          <w:p w14:paraId="2C0277A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9/19 (47.4%)</w:t>
            </w:r>
          </w:p>
        </w:tc>
        <w:tc>
          <w:tcPr>
            <w:tcW w:w="3402" w:type="dxa"/>
            <w:tcBorders>
              <w:left w:val="nil"/>
              <w:right w:val="nil"/>
            </w:tcBorders>
            <w:vAlign w:val="center"/>
          </w:tcPr>
          <w:p w14:paraId="75B4F05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4/12 (33.3%)</w:t>
            </w:r>
          </w:p>
        </w:tc>
        <w:tc>
          <w:tcPr>
            <w:tcW w:w="1003" w:type="dxa"/>
            <w:tcBorders>
              <w:left w:val="nil"/>
              <w:right w:val="nil"/>
            </w:tcBorders>
            <w:vAlign w:val="center"/>
          </w:tcPr>
          <w:p w14:paraId="3975666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0.484</w:t>
            </w:r>
          </w:p>
        </w:tc>
      </w:tr>
      <w:tr w:rsidR="003A31B2" w:rsidRPr="0052027F" w14:paraId="290FF009" w14:textId="77777777" w:rsidTr="005F0211">
        <w:trPr>
          <w:trHeight w:val="242"/>
        </w:trPr>
        <w:tc>
          <w:tcPr>
            <w:tcW w:w="4770" w:type="dxa"/>
            <w:tcBorders>
              <w:left w:val="nil"/>
              <w:right w:val="nil"/>
            </w:tcBorders>
            <w:shd w:val="clear" w:color="auto" w:fill="auto"/>
            <w:vAlign w:val="center"/>
          </w:tcPr>
          <w:p w14:paraId="78ABA015"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Female</w:t>
            </w:r>
          </w:p>
        </w:tc>
        <w:tc>
          <w:tcPr>
            <w:tcW w:w="2743" w:type="dxa"/>
            <w:tcBorders>
              <w:left w:val="nil"/>
              <w:right w:val="nil"/>
            </w:tcBorders>
          </w:tcPr>
          <w:p w14:paraId="6B29511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27/31 (87.1%)</w:t>
            </w:r>
          </w:p>
        </w:tc>
        <w:tc>
          <w:tcPr>
            <w:tcW w:w="3402" w:type="dxa"/>
            <w:tcBorders>
              <w:left w:val="nil"/>
              <w:right w:val="nil"/>
            </w:tcBorders>
            <w:vAlign w:val="center"/>
          </w:tcPr>
          <w:p w14:paraId="2B17FAB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15/19 (78.9%)</w:t>
            </w:r>
          </w:p>
        </w:tc>
        <w:tc>
          <w:tcPr>
            <w:tcW w:w="3402" w:type="dxa"/>
            <w:tcBorders>
              <w:left w:val="nil"/>
              <w:right w:val="nil"/>
            </w:tcBorders>
            <w:vAlign w:val="center"/>
          </w:tcPr>
          <w:p w14:paraId="51FA8DA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12/12 (100.0%)</w:t>
            </w:r>
          </w:p>
        </w:tc>
        <w:tc>
          <w:tcPr>
            <w:tcW w:w="1003" w:type="dxa"/>
            <w:tcBorders>
              <w:left w:val="nil"/>
              <w:right w:val="nil"/>
            </w:tcBorders>
            <w:vAlign w:val="center"/>
          </w:tcPr>
          <w:p w14:paraId="141948F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0.139</w:t>
            </w:r>
          </w:p>
        </w:tc>
      </w:tr>
      <w:tr w:rsidR="003A31B2" w:rsidRPr="0052027F" w14:paraId="6BA0F764" w14:textId="77777777" w:rsidTr="005F0211">
        <w:trPr>
          <w:trHeight w:val="242"/>
        </w:trPr>
        <w:tc>
          <w:tcPr>
            <w:tcW w:w="4770" w:type="dxa"/>
            <w:tcBorders>
              <w:left w:val="nil"/>
              <w:bottom w:val="single" w:sz="4" w:space="0" w:color="auto"/>
              <w:right w:val="nil"/>
            </w:tcBorders>
            <w:shd w:val="clear" w:color="auto" w:fill="auto"/>
            <w:vAlign w:val="center"/>
          </w:tcPr>
          <w:p w14:paraId="637862BB"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Days to admission*</w:t>
            </w:r>
          </w:p>
        </w:tc>
        <w:tc>
          <w:tcPr>
            <w:tcW w:w="2743" w:type="dxa"/>
            <w:tcBorders>
              <w:left w:val="nil"/>
              <w:bottom w:val="single" w:sz="4" w:space="0" w:color="auto"/>
              <w:right w:val="nil"/>
            </w:tcBorders>
          </w:tcPr>
          <w:p w14:paraId="1C709B7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11.0 [9.0; 16.0]</w:t>
            </w:r>
          </w:p>
        </w:tc>
        <w:tc>
          <w:tcPr>
            <w:tcW w:w="3402" w:type="dxa"/>
            <w:tcBorders>
              <w:left w:val="nil"/>
              <w:bottom w:val="single" w:sz="4" w:space="0" w:color="auto"/>
              <w:right w:val="nil"/>
            </w:tcBorders>
            <w:vAlign w:val="center"/>
          </w:tcPr>
          <w:p w14:paraId="2709F86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 [8.0; 13.5]</w:t>
            </w:r>
          </w:p>
        </w:tc>
        <w:tc>
          <w:tcPr>
            <w:tcW w:w="3402" w:type="dxa"/>
            <w:tcBorders>
              <w:left w:val="nil"/>
              <w:bottom w:val="single" w:sz="4" w:space="0" w:color="auto"/>
              <w:right w:val="nil"/>
            </w:tcBorders>
            <w:vAlign w:val="center"/>
          </w:tcPr>
          <w:p w14:paraId="448B7A2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16.0 [12.0;18.0]</w:t>
            </w:r>
          </w:p>
        </w:tc>
        <w:tc>
          <w:tcPr>
            <w:tcW w:w="1003" w:type="dxa"/>
            <w:tcBorders>
              <w:left w:val="nil"/>
              <w:bottom w:val="single" w:sz="4" w:space="0" w:color="auto"/>
              <w:right w:val="nil"/>
            </w:tcBorders>
            <w:vAlign w:val="center"/>
          </w:tcPr>
          <w:p w14:paraId="35D947B7"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0.004</w:t>
            </w:r>
          </w:p>
        </w:tc>
      </w:tr>
      <w:tr w:rsidR="003A31B2" w:rsidRPr="0052027F" w14:paraId="0A3183AF" w14:textId="77777777" w:rsidTr="005F0211">
        <w:trPr>
          <w:trHeight w:val="242"/>
        </w:trPr>
        <w:tc>
          <w:tcPr>
            <w:tcW w:w="4770" w:type="dxa"/>
            <w:tcBorders>
              <w:top w:val="single" w:sz="4" w:space="0" w:color="auto"/>
              <w:left w:val="nil"/>
              <w:bottom w:val="single" w:sz="4" w:space="0" w:color="auto"/>
              <w:right w:val="nil"/>
            </w:tcBorders>
            <w:shd w:val="clear" w:color="auto" w:fill="auto"/>
            <w:vAlign w:val="center"/>
          </w:tcPr>
          <w:p w14:paraId="193FB536"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Laboratory Findings</w:t>
            </w:r>
          </w:p>
        </w:tc>
        <w:tc>
          <w:tcPr>
            <w:tcW w:w="2743" w:type="dxa"/>
            <w:tcBorders>
              <w:top w:val="single" w:sz="4" w:space="0" w:color="auto"/>
              <w:left w:val="nil"/>
              <w:bottom w:val="single" w:sz="4" w:space="0" w:color="auto"/>
              <w:right w:val="nil"/>
            </w:tcBorders>
          </w:tcPr>
          <w:p w14:paraId="3C179216"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4" w:space="0" w:color="auto"/>
              <w:left w:val="nil"/>
              <w:bottom w:val="single" w:sz="4" w:space="0" w:color="auto"/>
              <w:right w:val="nil"/>
            </w:tcBorders>
            <w:vAlign w:val="center"/>
          </w:tcPr>
          <w:p w14:paraId="6F4C3C0B"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4" w:space="0" w:color="auto"/>
              <w:left w:val="nil"/>
              <w:bottom w:val="single" w:sz="4" w:space="0" w:color="auto"/>
              <w:right w:val="nil"/>
            </w:tcBorders>
            <w:vAlign w:val="center"/>
          </w:tcPr>
          <w:p w14:paraId="5AA85AF8"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single" w:sz="4" w:space="0" w:color="auto"/>
              <w:left w:val="nil"/>
              <w:bottom w:val="single" w:sz="4" w:space="0" w:color="auto"/>
              <w:right w:val="nil"/>
            </w:tcBorders>
            <w:vAlign w:val="center"/>
          </w:tcPr>
          <w:p w14:paraId="07B6C85E"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3DA20618" w14:textId="77777777" w:rsidTr="005F0211">
        <w:trPr>
          <w:trHeight w:val="242"/>
        </w:trPr>
        <w:tc>
          <w:tcPr>
            <w:tcW w:w="4770" w:type="dxa"/>
            <w:tcBorders>
              <w:top w:val="single" w:sz="4" w:space="0" w:color="auto"/>
              <w:left w:val="nil"/>
              <w:right w:val="nil"/>
            </w:tcBorders>
            <w:shd w:val="clear" w:color="auto" w:fill="auto"/>
            <w:vAlign w:val="center"/>
          </w:tcPr>
          <w:p w14:paraId="289599A2"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Platelet count </w:t>
            </w:r>
          </w:p>
        </w:tc>
        <w:tc>
          <w:tcPr>
            <w:tcW w:w="2743" w:type="dxa"/>
            <w:tcBorders>
              <w:top w:val="single" w:sz="4" w:space="0" w:color="auto"/>
              <w:left w:val="nil"/>
              <w:right w:val="nil"/>
            </w:tcBorders>
          </w:tcPr>
          <w:p w14:paraId="0E339327"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22,500 [14,000; 64,500]</w:t>
            </w:r>
          </w:p>
        </w:tc>
        <w:tc>
          <w:tcPr>
            <w:tcW w:w="3402" w:type="dxa"/>
            <w:tcBorders>
              <w:top w:val="single" w:sz="4" w:space="0" w:color="auto"/>
              <w:left w:val="nil"/>
              <w:right w:val="nil"/>
            </w:tcBorders>
            <w:vAlign w:val="center"/>
          </w:tcPr>
          <w:p w14:paraId="6BA0F497"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23,000 [15,000; 62,000]</w:t>
            </w:r>
          </w:p>
        </w:tc>
        <w:tc>
          <w:tcPr>
            <w:tcW w:w="3402" w:type="dxa"/>
            <w:tcBorders>
              <w:top w:val="single" w:sz="4" w:space="0" w:color="auto"/>
              <w:left w:val="nil"/>
              <w:right w:val="nil"/>
            </w:tcBorders>
            <w:vAlign w:val="center"/>
          </w:tcPr>
          <w:p w14:paraId="18D4324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19,000 [12,500; 79,500]</w:t>
            </w:r>
          </w:p>
        </w:tc>
        <w:tc>
          <w:tcPr>
            <w:tcW w:w="1003" w:type="dxa"/>
            <w:tcBorders>
              <w:top w:val="single" w:sz="4" w:space="0" w:color="auto"/>
              <w:left w:val="nil"/>
              <w:right w:val="nil"/>
            </w:tcBorders>
            <w:vAlign w:val="center"/>
          </w:tcPr>
          <w:p w14:paraId="1F98A29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15F64B59" w14:textId="77777777" w:rsidTr="005F0211">
        <w:trPr>
          <w:trHeight w:val="242"/>
        </w:trPr>
        <w:tc>
          <w:tcPr>
            <w:tcW w:w="4770" w:type="dxa"/>
            <w:tcBorders>
              <w:left w:val="nil"/>
              <w:bottom w:val="nil"/>
              <w:right w:val="nil"/>
            </w:tcBorders>
            <w:shd w:val="clear" w:color="auto" w:fill="auto"/>
            <w:vAlign w:val="center"/>
          </w:tcPr>
          <w:p w14:paraId="0BD0AA01"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Platelet count &lt; 25×10</w:t>
            </w:r>
            <w:r w:rsidRPr="0052027F">
              <w:rPr>
                <w:rFonts w:eastAsia="Malgun Gothic"/>
                <w:b/>
                <w:bCs/>
                <w:color w:val="000000"/>
                <w:kern w:val="0"/>
                <w:szCs w:val="20"/>
                <w:vertAlign w:val="superscript"/>
              </w:rPr>
              <w:t>3</w:t>
            </w:r>
            <w:r w:rsidRPr="0052027F">
              <w:rPr>
                <w:rFonts w:eastAsia="Malgun Gothic"/>
                <w:b/>
                <w:bCs/>
                <w:color w:val="000000"/>
                <w:kern w:val="0"/>
                <w:szCs w:val="20"/>
              </w:rPr>
              <w:t>/</w:t>
            </w:r>
            <w:proofErr w:type="spellStart"/>
            <w:r w:rsidRPr="0052027F">
              <w:rPr>
                <w:rFonts w:eastAsia="Malgun Gothic"/>
                <w:b/>
                <w:bCs/>
                <w:color w:val="000000"/>
                <w:kern w:val="0"/>
                <w:szCs w:val="20"/>
              </w:rPr>
              <w:t>μL</w:t>
            </w:r>
            <w:proofErr w:type="spellEnd"/>
          </w:p>
        </w:tc>
        <w:tc>
          <w:tcPr>
            <w:tcW w:w="2743" w:type="dxa"/>
            <w:tcBorders>
              <w:left w:val="nil"/>
              <w:bottom w:val="nil"/>
              <w:right w:val="nil"/>
            </w:tcBorders>
          </w:tcPr>
          <w:p w14:paraId="5F168F5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18/40 (45.0%)</w:t>
            </w:r>
          </w:p>
        </w:tc>
        <w:tc>
          <w:tcPr>
            <w:tcW w:w="3402" w:type="dxa"/>
            <w:tcBorders>
              <w:left w:val="nil"/>
              <w:bottom w:val="nil"/>
              <w:right w:val="nil"/>
            </w:tcBorders>
            <w:vAlign w:val="center"/>
          </w:tcPr>
          <w:p w14:paraId="7F854E5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15/28 (53.6%)</w:t>
            </w:r>
          </w:p>
        </w:tc>
        <w:tc>
          <w:tcPr>
            <w:tcW w:w="3402" w:type="dxa"/>
            <w:tcBorders>
              <w:left w:val="nil"/>
              <w:bottom w:val="nil"/>
              <w:right w:val="nil"/>
            </w:tcBorders>
            <w:vAlign w:val="center"/>
          </w:tcPr>
          <w:p w14:paraId="381C8FF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7/12 (58.3%)</w:t>
            </w:r>
          </w:p>
        </w:tc>
        <w:tc>
          <w:tcPr>
            <w:tcW w:w="1003" w:type="dxa"/>
            <w:tcBorders>
              <w:left w:val="nil"/>
              <w:bottom w:val="nil"/>
              <w:right w:val="nil"/>
            </w:tcBorders>
            <w:vAlign w:val="center"/>
          </w:tcPr>
          <w:p w14:paraId="3ACAED1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0F1E94D8" w14:textId="77777777" w:rsidTr="005F0211">
        <w:trPr>
          <w:trHeight w:val="242"/>
        </w:trPr>
        <w:tc>
          <w:tcPr>
            <w:tcW w:w="4770" w:type="dxa"/>
            <w:tcBorders>
              <w:top w:val="nil"/>
              <w:left w:val="nil"/>
              <w:bottom w:val="nil"/>
              <w:right w:val="nil"/>
            </w:tcBorders>
            <w:shd w:val="clear" w:color="auto" w:fill="auto"/>
            <w:vAlign w:val="center"/>
            <w:hideMark/>
          </w:tcPr>
          <w:p w14:paraId="24B54D75"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PT </w:t>
            </w:r>
          </w:p>
        </w:tc>
        <w:tc>
          <w:tcPr>
            <w:tcW w:w="2743" w:type="dxa"/>
            <w:tcBorders>
              <w:top w:val="nil"/>
              <w:left w:val="nil"/>
              <w:bottom w:val="nil"/>
              <w:right w:val="nil"/>
            </w:tcBorders>
          </w:tcPr>
          <w:p w14:paraId="5A6936DA"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116A2FA0"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31B1CC37"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bottom w:val="nil"/>
              <w:right w:val="nil"/>
            </w:tcBorders>
            <w:vAlign w:val="center"/>
          </w:tcPr>
          <w:p w14:paraId="0CF43193"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051FF7F1" w14:textId="77777777" w:rsidTr="005F0211">
        <w:trPr>
          <w:trHeight w:val="242"/>
        </w:trPr>
        <w:tc>
          <w:tcPr>
            <w:tcW w:w="4770" w:type="dxa"/>
            <w:tcBorders>
              <w:top w:val="nil"/>
              <w:left w:val="nil"/>
              <w:bottom w:val="nil"/>
              <w:right w:val="nil"/>
            </w:tcBorders>
            <w:shd w:val="clear" w:color="auto" w:fill="auto"/>
            <w:vAlign w:val="center"/>
            <w:hideMark/>
          </w:tcPr>
          <w:p w14:paraId="2340DE0A"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PT INR</w:t>
            </w:r>
          </w:p>
        </w:tc>
        <w:tc>
          <w:tcPr>
            <w:tcW w:w="2743" w:type="dxa"/>
            <w:tcBorders>
              <w:top w:val="nil"/>
              <w:left w:val="nil"/>
              <w:bottom w:val="nil"/>
              <w:right w:val="nil"/>
            </w:tcBorders>
          </w:tcPr>
          <w:p w14:paraId="0A92E89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 [1.1; 1.4]</w:t>
            </w:r>
          </w:p>
        </w:tc>
        <w:tc>
          <w:tcPr>
            <w:tcW w:w="3402" w:type="dxa"/>
            <w:tcBorders>
              <w:top w:val="nil"/>
              <w:left w:val="nil"/>
              <w:bottom w:val="nil"/>
              <w:right w:val="nil"/>
            </w:tcBorders>
            <w:vAlign w:val="center"/>
          </w:tcPr>
          <w:p w14:paraId="40F2DE1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 [1.1; 1.4]</w:t>
            </w:r>
          </w:p>
        </w:tc>
        <w:tc>
          <w:tcPr>
            <w:tcW w:w="3402" w:type="dxa"/>
            <w:tcBorders>
              <w:top w:val="nil"/>
              <w:left w:val="nil"/>
              <w:bottom w:val="nil"/>
              <w:right w:val="nil"/>
            </w:tcBorders>
            <w:vAlign w:val="center"/>
          </w:tcPr>
          <w:p w14:paraId="403E4F3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 [1.1; 1.2]</w:t>
            </w:r>
          </w:p>
        </w:tc>
        <w:tc>
          <w:tcPr>
            <w:tcW w:w="1003" w:type="dxa"/>
            <w:tcBorders>
              <w:top w:val="nil"/>
              <w:left w:val="nil"/>
              <w:bottom w:val="nil"/>
              <w:right w:val="nil"/>
            </w:tcBorders>
            <w:vAlign w:val="center"/>
          </w:tcPr>
          <w:p w14:paraId="3172331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0.438</w:t>
            </w:r>
          </w:p>
        </w:tc>
      </w:tr>
      <w:tr w:rsidR="003A31B2" w:rsidRPr="0052027F" w14:paraId="3618E398" w14:textId="77777777" w:rsidTr="005F0211">
        <w:trPr>
          <w:trHeight w:val="242"/>
        </w:trPr>
        <w:tc>
          <w:tcPr>
            <w:tcW w:w="4770" w:type="dxa"/>
            <w:tcBorders>
              <w:top w:val="nil"/>
              <w:left w:val="nil"/>
              <w:bottom w:val="nil"/>
              <w:right w:val="nil"/>
            </w:tcBorders>
            <w:shd w:val="clear" w:color="auto" w:fill="auto"/>
            <w:vAlign w:val="center"/>
            <w:hideMark/>
          </w:tcPr>
          <w:p w14:paraId="36779D90"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PT, abnormal value</w:t>
            </w:r>
            <w:r w:rsidRPr="0052027F">
              <w:rPr>
                <w:rFonts w:eastAsia="Malgun Gothic"/>
                <w:color w:val="000000"/>
                <w:szCs w:val="20"/>
                <w:vertAlign w:val="superscript"/>
              </w:rPr>
              <w:t>†</w:t>
            </w:r>
          </w:p>
        </w:tc>
        <w:tc>
          <w:tcPr>
            <w:tcW w:w="2743" w:type="dxa"/>
            <w:tcBorders>
              <w:top w:val="nil"/>
              <w:left w:val="nil"/>
              <w:bottom w:val="nil"/>
              <w:right w:val="nil"/>
            </w:tcBorders>
          </w:tcPr>
          <w:p w14:paraId="25E45BF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23/34 (67.6%)</w:t>
            </w:r>
          </w:p>
        </w:tc>
        <w:tc>
          <w:tcPr>
            <w:tcW w:w="3402" w:type="dxa"/>
            <w:tcBorders>
              <w:top w:val="nil"/>
              <w:left w:val="nil"/>
              <w:bottom w:val="nil"/>
              <w:right w:val="nil"/>
            </w:tcBorders>
            <w:vAlign w:val="center"/>
          </w:tcPr>
          <w:p w14:paraId="44A873C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16/23 (69.6%)</w:t>
            </w:r>
          </w:p>
        </w:tc>
        <w:tc>
          <w:tcPr>
            <w:tcW w:w="3402" w:type="dxa"/>
            <w:tcBorders>
              <w:top w:val="nil"/>
              <w:left w:val="nil"/>
              <w:bottom w:val="nil"/>
              <w:right w:val="nil"/>
            </w:tcBorders>
            <w:vAlign w:val="center"/>
          </w:tcPr>
          <w:p w14:paraId="0D6EBF3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7/11 (63.6%)</w:t>
            </w:r>
          </w:p>
        </w:tc>
        <w:tc>
          <w:tcPr>
            <w:tcW w:w="1003" w:type="dxa"/>
            <w:tcBorders>
              <w:top w:val="nil"/>
              <w:left w:val="nil"/>
              <w:bottom w:val="nil"/>
              <w:right w:val="nil"/>
            </w:tcBorders>
            <w:vAlign w:val="center"/>
          </w:tcPr>
          <w:p w14:paraId="6CA94DC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43AA03E6" w14:textId="77777777" w:rsidTr="005F0211">
        <w:trPr>
          <w:trHeight w:val="242"/>
        </w:trPr>
        <w:tc>
          <w:tcPr>
            <w:tcW w:w="4770" w:type="dxa"/>
            <w:tcBorders>
              <w:top w:val="nil"/>
              <w:left w:val="nil"/>
              <w:bottom w:val="nil"/>
              <w:right w:val="nil"/>
            </w:tcBorders>
            <w:shd w:val="clear" w:color="auto" w:fill="auto"/>
            <w:vAlign w:val="center"/>
            <w:hideMark/>
          </w:tcPr>
          <w:p w14:paraId="73E00912" w14:textId="77777777" w:rsidR="003A31B2" w:rsidRPr="0052027F" w:rsidRDefault="003A31B2" w:rsidP="005F0211">
            <w:pPr>
              <w:widowControl/>
              <w:wordWrap/>
              <w:autoSpaceDE/>
              <w:autoSpaceDN/>
              <w:rPr>
                <w:rFonts w:eastAsia="Malgun Gothic"/>
                <w:b/>
                <w:bCs/>
                <w:color w:val="000000"/>
                <w:kern w:val="0"/>
                <w:szCs w:val="20"/>
              </w:rPr>
            </w:pPr>
            <w:proofErr w:type="spellStart"/>
            <w:r w:rsidRPr="0052027F">
              <w:rPr>
                <w:rFonts w:eastAsia="Malgun Gothic"/>
                <w:b/>
                <w:bCs/>
                <w:color w:val="000000"/>
                <w:kern w:val="0"/>
                <w:szCs w:val="20"/>
              </w:rPr>
              <w:t>aPTT</w:t>
            </w:r>
            <w:proofErr w:type="spellEnd"/>
          </w:p>
        </w:tc>
        <w:tc>
          <w:tcPr>
            <w:tcW w:w="2743" w:type="dxa"/>
            <w:tcBorders>
              <w:top w:val="nil"/>
              <w:left w:val="nil"/>
              <w:bottom w:val="nil"/>
              <w:right w:val="nil"/>
            </w:tcBorders>
          </w:tcPr>
          <w:p w14:paraId="74C8E2FC"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59B8C9AB"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211D8329"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bottom w:val="nil"/>
              <w:right w:val="nil"/>
            </w:tcBorders>
            <w:vAlign w:val="center"/>
          </w:tcPr>
          <w:p w14:paraId="043D6DCD"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69DBC204" w14:textId="77777777" w:rsidTr="005F0211">
        <w:trPr>
          <w:trHeight w:val="242"/>
        </w:trPr>
        <w:tc>
          <w:tcPr>
            <w:tcW w:w="4770" w:type="dxa"/>
            <w:tcBorders>
              <w:top w:val="nil"/>
              <w:left w:val="nil"/>
              <w:bottom w:val="nil"/>
              <w:right w:val="nil"/>
            </w:tcBorders>
            <w:shd w:val="clear" w:color="auto" w:fill="auto"/>
            <w:vAlign w:val="center"/>
          </w:tcPr>
          <w:p w14:paraId="6C6471C2" w14:textId="77777777" w:rsidR="003A31B2" w:rsidRPr="0052027F" w:rsidRDefault="003A31B2" w:rsidP="005F0211">
            <w:pPr>
              <w:widowControl/>
              <w:wordWrap/>
              <w:autoSpaceDE/>
              <w:autoSpaceDN/>
              <w:ind w:firstLineChars="50" w:firstLine="110"/>
              <w:rPr>
                <w:rFonts w:eastAsia="Malgun Gothic"/>
                <w:color w:val="000000"/>
                <w:kern w:val="0"/>
                <w:szCs w:val="20"/>
              </w:rPr>
            </w:pPr>
            <w:proofErr w:type="spellStart"/>
            <w:r w:rsidRPr="0052027F">
              <w:rPr>
                <w:rFonts w:eastAsia="Malgun Gothic"/>
                <w:color w:val="000000"/>
                <w:kern w:val="0"/>
                <w:szCs w:val="20"/>
              </w:rPr>
              <w:t>aPTT</w:t>
            </w:r>
            <w:proofErr w:type="spellEnd"/>
            <w:r w:rsidRPr="0052027F">
              <w:rPr>
                <w:rFonts w:eastAsia="Malgun Gothic"/>
                <w:color w:val="000000"/>
                <w:kern w:val="0"/>
                <w:szCs w:val="20"/>
              </w:rPr>
              <w:t xml:space="preserve"> sec</w:t>
            </w:r>
          </w:p>
        </w:tc>
        <w:tc>
          <w:tcPr>
            <w:tcW w:w="2743" w:type="dxa"/>
            <w:tcBorders>
              <w:top w:val="nil"/>
              <w:left w:val="nil"/>
              <w:bottom w:val="nil"/>
              <w:right w:val="nil"/>
            </w:tcBorders>
          </w:tcPr>
          <w:p w14:paraId="646D0C3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30.6 [25.7; 35.0]</w:t>
            </w:r>
          </w:p>
        </w:tc>
        <w:tc>
          <w:tcPr>
            <w:tcW w:w="3402" w:type="dxa"/>
            <w:tcBorders>
              <w:top w:val="nil"/>
              <w:left w:val="nil"/>
              <w:bottom w:val="nil"/>
              <w:right w:val="nil"/>
            </w:tcBorders>
            <w:vAlign w:val="center"/>
          </w:tcPr>
          <w:p w14:paraId="4679C99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34.0 [26.7; 41.6]</w:t>
            </w:r>
          </w:p>
        </w:tc>
        <w:tc>
          <w:tcPr>
            <w:tcW w:w="3402" w:type="dxa"/>
            <w:tcBorders>
              <w:top w:val="nil"/>
              <w:left w:val="nil"/>
              <w:bottom w:val="nil"/>
              <w:right w:val="nil"/>
            </w:tcBorders>
            <w:vAlign w:val="center"/>
          </w:tcPr>
          <w:p w14:paraId="493736C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28.0 [25.2; 31.1]</w:t>
            </w:r>
          </w:p>
        </w:tc>
        <w:tc>
          <w:tcPr>
            <w:tcW w:w="1003" w:type="dxa"/>
            <w:tcBorders>
              <w:top w:val="nil"/>
              <w:left w:val="nil"/>
              <w:bottom w:val="nil"/>
              <w:right w:val="nil"/>
            </w:tcBorders>
            <w:vAlign w:val="center"/>
          </w:tcPr>
          <w:p w14:paraId="663DBF2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0.086</w:t>
            </w:r>
          </w:p>
        </w:tc>
      </w:tr>
      <w:tr w:rsidR="003A31B2" w:rsidRPr="0052027F" w14:paraId="277CDA16" w14:textId="77777777" w:rsidTr="005F0211">
        <w:trPr>
          <w:trHeight w:val="242"/>
        </w:trPr>
        <w:tc>
          <w:tcPr>
            <w:tcW w:w="4770" w:type="dxa"/>
            <w:tcBorders>
              <w:top w:val="nil"/>
              <w:left w:val="nil"/>
              <w:bottom w:val="nil"/>
              <w:right w:val="nil"/>
            </w:tcBorders>
            <w:shd w:val="clear" w:color="auto" w:fill="auto"/>
            <w:vAlign w:val="center"/>
            <w:hideMark/>
          </w:tcPr>
          <w:p w14:paraId="2EAEF4C9" w14:textId="77777777" w:rsidR="003A31B2" w:rsidRPr="0052027F" w:rsidRDefault="003A31B2" w:rsidP="005F0211">
            <w:pPr>
              <w:widowControl/>
              <w:wordWrap/>
              <w:autoSpaceDE/>
              <w:autoSpaceDN/>
              <w:ind w:firstLineChars="50" w:firstLine="110"/>
              <w:rPr>
                <w:rFonts w:eastAsia="Malgun Gothic"/>
                <w:color w:val="000000"/>
                <w:kern w:val="0"/>
                <w:szCs w:val="20"/>
              </w:rPr>
            </w:pPr>
            <w:proofErr w:type="spellStart"/>
            <w:r w:rsidRPr="0052027F">
              <w:rPr>
                <w:rFonts w:eastAsia="Malgun Gothic"/>
                <w:color w:val="000000"/>
                <w:kern w:val="0"/>
                <w:szCs w:val="20"/>
              </w:rPr>
              <w:t>aPTT</w:t>
            </w:r>
            <w:proofErr w:type="spellEnd"/>
            <w:r w:rsidRPr="0052027F">
              <w:rPr>
                <w:rFonts w:eastAsia="Malgun Gothic"/>
                <w:color w:val="000000"/>
                <w:kern w:val="0"/>
                <w:szCs w:val="20"/>
              </w:rPr>
              <w:t>, abnormal value</w:t>
            </w:r>
            <w:r w:rsidRPr="0052027F">
              <w:rPr>
                <w:rFonts w:eastAsia="Malgun Gothic"/>
                <w:color w:val="000000"/>
                <w:szCs w:val="20"/>
                <w:vertAlign w:val="superscript"/>
              </w:rPr>
              <w:t>††</w:t>
            </w:r>
          </w:p>
        </w:tc>
        <w:tc>
          <w:tcPr>
            <w:tcW w:w="2743" w:type="dxa"/>
            <w:tcBorders>
              <w:top w:val="nil"/>
              <w:left w:val="nil"/>
              <w:bottom w:val="nil"/>
              <w:right w:val="nil"/>
            </w:tcBorders>
          </w:tcPr>
          <w:p w14:paraId="08F19AFD"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13/34 (38.2%)</w:t>
            </w:r>
          </w:p>
        </w:tc>
        <w:tc>
          <w:tcPr>
            <w:tcW w:w="3402" w:type="dxa"/>
            <w:tcBorders>
              <w:top w:val="nil"/>
              <w:left w:val="nil"/>
              <w:bottom w:val="nil"/>
              <w:right w:val="nil"/>
            </w:tcBorders>
            <w:vAlign w:val="center"/>
          </w:tcPr>
          <w:p w14:paraId="37D398D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10/23 (43.5%)</w:t>
            </w:r>
          </w:p>
        </w:tc>
        <w:tc>
          <w:tcPr>
            <w:tcW w:w="3402" w:type="dxa"/>
            <w:tcBorders>
              <w:top w:val="nil"/>
              <w:left w:val="nil"/>
              <w:bottom w:val="nil"/>
              <w:right w:val="nil"/>
            </w:tcBorders>
            <w:vAlign w:val="center"/>
          </w:tcPr>
          <w:p w14:paraId="4B9ACA57"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3/11 (27.3%)</w:t>
            </w:r>
          </w:p>
        </w:tc>
        <w:tc>
          <w:tcPr>
            <w:tcW w:w="1003" w:type="dxa"/>
            <w:tcBorders>
              <w:top w:val="nil"/>
              <w:left w:val="nil"/>
              <w:bottom w:val="nil"/>
              <w:right w:val="nil"/>
            </w:tcBorders>
            <w:vAlign w:val="center"/>
          </w:tcPr>
          <w:p w14:paraId="0C5156D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0.465</w:t>
            </w:r>
          </w:p>
        </w:tc>
      </w:tr>
      <w:tr w:rsidR="003A31B2" w:rsidRPr="0052027F" w14:paraId="724383A8" w14:textId="77777777" w:rsidTr="005F0211">
        <w:trPr>
          <w:trHeight w:val="242"/>
        </w:trPr>
        <w:tc>
          <w:tcPr>
            <w:tcW w:w="4770" w:type="dxa"/>
            <w:tcBorders>
              <w:top w:val="nil"/>
              <w:left w:val="nil"/>
              <w:bottom w:val="nil"/>
              <w:right w:val="nil"/>
            </w:tcBorders>
            <w:shd w:val="clear" w:color="auto" w:fill="auto"/>
            <w:vAlign w:val="center"/>
            <w:hideMark/>
          </w:tcPr>
          <w:p w14:paraId="7BC73403" w14:textId="77777777" w:rsidR="003A31B2" w:rsidRPr="0052027F" w:rsidRDefault="003A31B2" w:rsidP="005F0211">
            <w:pPr>
              <w:widowControl/>
              <w:wordWrap/>
              <w:autoSpaceDE/>
              <w:autoSpaceDN/>
              <w:jc w:val="left"/>
              <w:rPr>
                <w:rFonts w:eastAsia="Malgun Gothic"/>
                <w:b/>
                <w:bCs/>
                <w:color w:val="000000"/>
                <w:kern w:val="0"/>
                <w:szCs w:val="20"/>
              </w:rPr>
            </w:pPr>
            <w:r w:rsidRPr="0052027F">
              <w:rPr>
                <w:rFonts w:eastAsia="Malgun Gothic"/>
                <w:b/>
                <w:bCs/>
                <w:color w:val="000000"/>
                <w:kern w:val="0"/>
                <w:szCs w:val="20"/>
              </w:rPr>
              <w:t>Fibrinogen</w:t>
            </w:r>
          </w:p>
        </w:tc>
        <w:tc>
          <w:tcPr>
            <w:tcW w:w="2743" w:type="dxa"/>
            <w:tcBorders>
              <w:top w:val="nil"/>
              <w:left w:val="nil"/>
              <w:bottom w:val="nil"/>
              <w:right w:val="nil"/>
            </w:tcBorders>
          </w:tcPr>
          <w:p w14:paraId="242355DF"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7AA20C5F"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35C199D7"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bottom w:val="nil"/>
              <w:right w:val="nil"/>
            </w:tcBorders>
            <w:vAlign w:val="center"/>
          </w:tcPr>
          <w:p w14:paraId="5F37945C"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6076DFB2" w14:textId="77777777" w:rsidTr="005F0211">
        <w:trPr>
          <w:trHeight w:val="242"/>
        </w:trPr>
        <w:tc>
          <w:tcPr>
            <w:tcW w:w="4770" w:type="dxa"/>
            <w:tcBorders>
              <w:top w:val="nil"/>
              <w:left w:val="nil"/>
              <w:bottom w:val="nil"/>
              <w:right w:val="nil"/>
            </w:tcBorders>
            <w:shd w:val="clear" w:color="auto" w:fill="auto"/>
            <w:vAlign w:val="center"/>
          </w:tcPr>
          <w:p w14:paraId="231EB600"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Fibrinogen</w:t>
            </w:r>
            <w:r>
              <w:rPr>
                <w:rFonts w:eastAsia="Malgun Gothic"/>
                <w:color w:val="000000"/>
                <w:kern w:val="0"/>
                <w:szCs w:val="20"/>
              </w:rPr>
              <w:t xml:space="preserve"> </w:t>
            </w:r>
            <w:r w:rsidRPr="0052027F">
              <w:rPr>
                <w:rFonts w:eastAsia="Malgun Gothic"/>
                <w:color w:val="000000"/>
                <w:kern w:val="0"/>
                <w:szCs w:val="20"/>
              </w:rPr>
              <w:t>(mg/dL)</w:t>
            </w:r>
          </w:p>
        </w:tc>
        <w:tc>
          <w:tcPr>
            <w:tcW w:w="2743" w:type="dxa"/>
            <w:tcBorders>
              <w:top w:val="nil"/>
              <w:left w:val="nil"/>
              <w:bottom w:val="nil"/>
              <w:right w:val="nil"/>
            </w:tcBorders>
          </w:tcPr>
          <w:p w14:paraId="6C38DC1D"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129.0 [80.0; 210.0]</w:t>
            </w:r>
          </w:p>
        </w:tc>
        <w:tc>
          <w:tcPr>
            <w:tcW w:w="3402" w:type="dxa"/>
            <w:tcBorders>
              <w:top w:val="nil"/>
              <w:left w:val="nil"/>
              <w:bottom w:val="nil"/>
              <w:right w:val="nil"/>
            </w:tcBorders>
            <w:vAlign w:val="center"/>
          </w:tcPr>
          <w:p w14:paraId="5C6134A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120.0 [80.0; 210.0]</w:t>
            </w:r>
          </w:p>
        </w:tc>
        <w:tc>
          <w:tcPr>
            <w:tcW w:w="3402" w:type="dxa"/>
            <w:tcBorders>
              <w:top w:val="nil"/>
              <w:left w:val="nil"/>
              <w:bottom w:val="nil"/>
              <w:right w:val="nil"/>
            </w:tcBorders>
            <w:vAlign w:val="center"/>
          </w:tcPr>
          <w:p w14:paraId="182CD42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145.0 [87.5; 222.5]</w:t>
            </w:r>
          </w:p>
        </w:tc>
        <w:tc>
          <w:tcPr>
            <w:tcW w:w="1003" w:type="dxa"/>
            <w:tcBorders>
              <w:top w:val="nil"/>
              <w:left w:val="nil"/>
              <w:bottom w:val="nil"/>
              <w:right w:val="nil"/>
            </w:tcBorders>
            <w:vAlign w:val="center"/>
          </w:tcPr>
          <w:p w14:paraId="0AD31FC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0.528</w:t>
            </w:r>
          </w:p>
        </w:tc>
      </w:tr>
      <w:tr w:rsidR="003A31B2" w:rsidRPr="0052027F" w14:paraId="03B362C0" w14:textId="77777777" w:rsidTr="005F0211">
        <w:trPr>
          <w:trHeight w:val="242"/>
        </w:trPr>
        <w:tc>
          <w:tcPr>
            <w:tcW w:w="4770" w:type="dxa"/>
            <w:tcBorders>
              <w:top w:val="nil"/>
              <w:left w:val="nil"/>
              <w:bottom w:val="nil"/>
              <w:right w:val="nil"/>
            </w:tcBorders>
            <w:shd w:val="clear" w:color="auto" w:fill="auto"/>
            <w:vAlign w:val="center"/>
            <w:hideMark/>
          </w:tcPr>
          <w:p w14:paraId="4B7097AA"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Fibrinogen &lt; 200mg/dL</w:t>
            </w:r>
          </w:p>
        </w:tc>
        <w:tc>
          <w:tcPr>
            <w:tcW w:w="2743" w:type="dxa"/>
            <w:tcBorders>
              <w:top w:val="nil"/>
              <w:left w:val="nil"/>
              <w:bottom w:val="nil"/>
              <w:right w:val="nil"/>
            </w:tcBorders>
          </w:tcPr>
          <w:p w14:paraId="3977331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24/34 (70.6%)</w:t>
            </w:r>
          </w:p>
        </w:tc>
        <w:tc>
          <w:tcPr>
            <w:tcW w:w="3402" w:type="dxa"/>
            <w:tcBorders>
              <w:top w:val="nil"/>
              <w:left w:val="nil"/>
              <w:bottom w:val="nil"/>
              <w:right w:val="nil"/>
            </w:tcBorders>
            <w:vAlign w:val="center"/>
          </w:tcPr>
          <w:p w14:paraId="2CEFED7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16/22 (72.7%)</w:t>
            </w:r>
          </w:p>
        </w:tc>
        <w:tc>
          <w:tcPr>
            <w:tcW w:w="3402" w:type="dxa"/>
            <w:tcBorders>
              <w:top w:val="nil"/>
              <w:left w:val="nil"/>
              <w:bottom w:val="nil"/>
              <w:right w:val="nil"/>
            </w:tcBorders>
            <w:vAlign w:val="center"/>
          </w:tcPr>
          <w:p w14:paraId="0B76E97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8/12 (66.7%)</w:t>
            </w:r>
          </w:p>
        </w:tc>
        <w:tc>
          <w:tcPr>
            <w:tcW w:w="1003" w:type="dxa"/>
            <w:tcBorders>
              <w:top w:val="nil"/>
              <w:left w:val="nil"/>
              <w:bottom w:val="nil"/>
              <w:right w:val="nil"/>
            </w:tcBorders>
            <w:vAlign w:val="center"/>
          </w:tcPr>
          <w:p w14:paraId="6BE678C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1207C1DE" w14:textId="77777777" w:rsidTr="005F0211">
        <w:trPr>
          <w:trHeight w:val="242"/>
        </w:trPr>
        <w:tc>
          <w:tcPr>
            <w:tcW w:w="4770" w:type="dxa"/>
            <w:tcBorders>
              <w:top w:val="nil"/>
              <w:left w:val="nil"/>
              <w:bottom w:val="nil"/>
              <w:right w:val="nil"/>
            </w:tcBorders>
            <w:shd w:val="clear" w:color="auto" w:fill="auto"/>
            <w:vAlign w:val="center"/>
            <w:hideMark/>
          </w:tcPr>
          <w:p w14:paraId="13E0231D"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Fibrinogen &lt; 150mg/dL</w:t>
            </w:r>
          </w:p>
        </w:tc>
        <w:tc>
          <w:tcPr>
            <w:tcW w:w="2743" w:type="dxa"/>
            <w:tcBorders>
              <w:top w:val="nil"/>
              <w:left w:val="nil"/>
              <w:bottom w:val="nil"/>
              <w:right w:val="nil"/>
            </w:tcBorders>
          </w:tcPr>
          <w:p w14:paraId="18AFCE5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21/34 (61.8%)</w:t>
            </w:r>
          </w:p>
        </w:tc>
        <w:tc>
          <w:tcPr>
            <w:tcW w:w="3402" w:type="dxa"/>
            <w:tcBorders>
              <w:top w:val="nil"/>
              <w:left w:val="nil"/>
              <w:bottom w:val="nil"/>
              <w:right w:val="nil"/>
            </w:tcBorders>
            <w:vAlign w:val="center"/>
          </w:tcPr>
          <w:p w14:paraId="2B8B283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14/22 (63.6%)</w:t>
            </w:r>
          </w:p>
        </w:tc>
        <w:tc>
          <w:tcPr>
            <w:tcW w:w="3402" w:type="dxa"/>
            <w:tcBorders>
              <w:top w:val="nil"/>
              <w:left w:val="nil"/>
              <w:bottom w:val="nil"/>
              <w:right w:val="nil"/>
            </w:tcBorders>
            <w:vAlign w:val="center"/>
          </w:tcPr>
          <w:p w14:paraId="149356B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7/12 (58.3%)</w:t>
            </w:r>
          </w:p>
        </w:tc>
        <w:tc>
          <w:tcPr>
            <w:tcW w:w="1003" w:type="dxa"/>
            <w:tcBorders>
              <w:top w:val="nil"/>
              <w:left w:val="nil"/>
              <w:bottom w:val="nil"/>
              <w:right w:val="nil"/>
            </w:tcBorders>
            <w:vAlign w:val="center"/>
          </w:tcPr>
          <w:p w14:paraId="7372B14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w:t>
            </w:r>
          </w:p>
        </w:tc>
      </w:tr>
      <w:tr w:rsidR="003A31B2" w:rsidRPr="0052027F" w14:paraId="71B425CE" w14:textId="77777777" w:rsidTr="005F0211">
        <w:trPr>
          <w:trHeight w:val="242"/>
        </w:trPr>
        <w:tc>
          <w:tcPr>
            <w:tcW w:w="4770" w:type="dxa"/>
            <w:tcBorders>
              <w:top w:val="nil"/>
              <w:left w:val="nil"/>
              <w:bottom w:val="nil"/>
              <w:right w:val="nil"/>
            </w:tcBorders>
            <w:shd w:val="clear" w:color="auto" w:fill="auto"/>
            <w:vAlign w:val="center"/>
            <w:hideMark/>
          </w:tcPr>
          <w:p w14:paraId="4EA529CE"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D-dimer</w:t>
            </w:r>
          </w:p>
        </w:tc>
        <w:tc>
          <w:tcPr>
            <w:tcW w:w="2743" w:type="dxa"/>
            <w:tcBorders>
              <w:top w:val="nil"/>
              <w:left w:val="nil"/>
              <w:bottom w:val="nil"/>
              <w:right w:val="nil"/>
            </w:tcBorders>
          </w:tcPr>
          <w:p w14:paraId="31419A9B"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3CD4ECD3"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4F8E1D30"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bottom w:val="nil"/>
              <w:right w:val="nil"/>
            </w:tcBorders>
            <w:vAlign w:val="center"/>
          </w:tcPr>
          <w:p w14:paraId="1A029FAB"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6257C3E9" w14:textId="77777777" w:rsidTr="005F0211">
        <w:trPr>
          <w:trHeight w:val="242"/>
        </w:trPr>
        <w:tc>
          <w:tcPr>
            <w:tcW w:w="4770" w:type="dxa"/>
            <w:tcBorders>
              <w:top w:val="nil"/>
              <w:left w:val="nil"/>
              <w:bottom w:val="nil"/>
              <w:right w:val="nil"/>
            </w:tcBorders>
            <w:shd w:val="clear" w:color="auto" w:fill="auto"/>
            <w:vAlign w:val="center"/>
            <w:hideMark/>
          </w:tcPr>
          <w:p w14:paraId="271B4301"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D-dimer (ratio to upper limit of normal range)</w:t>
            </w:r>
          </w:p>
        </w:tc>
        <w:tc>
          <w:tcPr>
            <w:tcW w:w="2743" w:type="dxa"/>
            <w:tcBorders>
              <w:top w:val="nil"/>
              <w:left w:val="nil"/>
              <w:bottom w:val="nil"/>
              <w:right w:val="nil"/>
            </w:tcBorders>
          </w:tcPr>
          <w:p w14:paraId="5BE637E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52.0 [15.7; 124.7]</w:t>
            </w:r>
          </w:p>
        </w:tc>
        <w:tc>
          <w:tcPr>
            <w:tcW w:w="3402" w:type="dxa"/>
            <w:tcBorders>
              <w:top w:val="nil"/>
              <w:left w:val="nil"/>
              <w:bottom w:val="nil"/>
              <w:right w:val="nil"/>
            </w:tcBorders>
            <w:vAlign w:val="center"/>
          </w:tcPr>
          <w:p w14:paraId="29FAAD9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74.2 [32.6; 140.0]</w:t>
            </w:r>
          </w:p>
        </w:tc>
        <w:tc>
          <w:tcPr>
            <w:tcW w:w="3402" w:type="dxa"/>
            <w:tcBorders>
              <w:top w:val="nil"/>
              <w:left w:val="nil"/>
              <w:bottom w:val="nil"/>
              <w:right w:val="nil"/>
            </w:tcBorders>
            <w:vAlign w:val="center"/>
          </w:tcPr>
          <w:p w14:paraId="10E3826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16.3 [12.2; 61.7]</w:t>
            </w:r>
          </w:p>
        </w:tc>
        <w:tc>
          <w:tcPr>
            <w:tcW w:w="1003" w:type="dxa"/>
            <w:tcBorders>
              <w:top w:val="nil"/>
              <w:left w:val="nil"/>
              <w:bottom w:val="nil"/>
              <w:right w:val="nil"/>
            </w:tcBorders>
            <w:vAlign w:val="center"/>
          </w:tcPr>
          <w:p w14:paraId="030E9ADD"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0.036</w:t>
            </w:r>
          </w:p>
        </w:tc>
      </w:tr>
      <w:tr w:rsidR="003A31B2" w:rsidRPr="0052027F" w14:paraId="16CE5CE2" w14:textId="77777777" w:rsidTr="005F0211">
        <w:trPr>
          <w:trHeight w:val="242"/>
        </w:trPr>
        <w:tc>
          <w:tcPr>
            <w:tcW w:w="4770" w:type="dxa"/>
            <w:tcBorders>
              <w:top w:val="nil"/>
              <w:left w:val="nil"/>
              <w:bottom w:val="nil"/>
              <w:right w:val="nil"/>
            </w:tcBorders>
            <w:shd w:val="clear" w:color="auto" w:fill="auto"/>
            <w:vAlign w:val="center"/>
            <w:hideMark/>
          </w:tcPr>
          <w:p w14:paraId="5C03A141"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D-dimer, abnormal value (&gt;500mg/L, FEU)</w:t>
            </w:r>
          </w:p>
        </w:tc>
        <w:tc>
          <w:tcPr>
            <w:tcW w:w="2743" w:type="dxa"/>
            <w:tcBorders>
              <w:top w:val="nil"/>
              <w:left w:val="nil"/>
              <w:bottom w:val="nil"/>
              <w:right w:val="nil"/>
            </w:tcBorders>
          </w:tcPr>
          <w:p w14:paraId="124E22C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34/34 (100.0%)</w:t>
            </w:r>
          </w:p>
        </w:tc>
        <w:tc>
          <w:tcPr>
            <w:tcW w:w="3402" w:type="dxa"/>
            <w:tcBorders>
              <w:top w:val="nil"/>
              <w:left w:val="nil"/>
              <w:bottom w:val="nil"/>
              <w:right w:val="nil"/>
            </w:tcBorders>
            <w:vAlign w:val="center"/>
          </w:tcPr>
          <w:p w14:paraId="5A987F1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22/22 (100.0%)</w:t>
            </w:r>
          </w:p>
        </w:tc>
        <w:tc>
          <w:tcPr>
            <w:tcW w:w="3402" w:type="dxa"/>
            <w:tcBorders>
              <w:top w:val="nil"/>
              <w:left w:val="nil"/>
              <w:bottom w:val="nil"/>
              <w:right w:val="nil"/>
            </w:tcBorders>
            <w:vAlign w:val="center"/>
          </w:tcPr>
          <w:p w14:paraId="2751411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12/12 (100.0%)</w:t>
            </w:r>
          </w:p>
        </w:tc>
        <w:tc>
          <w:tcPr>
            <w:tcW w:w="1003" w:type="dxa"/>
            <w:tcBorders>
              <w:top w:val="nil"/>
              <w:left w:val="nil"/>
              <w:bottom w:val="nil"/>
              <w:right w:val="nil"/>
            </w:tcBorders>
            <w:vAlign w:val="center"/>
          </w:tcPr>
          <w:p w14:paraId="733A1897"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w:t>
            </w:r>
          </w:p>
        </w:tc>
      </w:tr>
      <w:tr w:rsidR="003A31B2" w:rsidRPr="0052027F" w14:paraId="5D0FB866" w14:textId="77777777" w:rsidTr="005F0211">
        <w:trPr>
          <w:trHeight w:val="242"/>
        </w:trPr>
        <w:tc>
          <w:tcPr>
            <w:tcW w:w="4770" w:type="dxa"/>
            <w:tcBorders>
              <w:top w:val="nil"/>
              <w:left w:val="nil"/>
              <w:bottom w:val="nil"/>
              <w:right w:val="nil"/>
            </w:tcBorders>
            <w:shd w:val="clear" w:color="auto" w:fill="auto"/>
            <w:vAlign w:val="center"/>
            <w:hideMark/>
          </w:tcPr>
          <w:p w14:paraId="05CDFFAE"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HIT ELISA (n=42) </w:t>
            </w:r>
            <w:r w:rsidRPr="0052027F">
              <w:rPr>
                <w:rFonts w:eastAsia="나눔바른고딕"/>
                <w:color w:val="000000"/>
                <w:kern w:val="0"/>
                <w:szCs w:val="20"/>
                <w:vertAlign w:val="superscript"/>
              </w:rPr>
              <w:t>ψ</w:t>
            </w:r>
          </w:p>
        </w:tc>
        <w:tc>
          <w:tcPr>
            <w:tcW w:w="2743" w:type="dxa"/>
            <w:tcBorders>
              <w:top w:val="nil"/>
              <w:left w:val="nil"/>
              <w:bottom w:val="nil"/>
              <w:right w:val="nil"/>
            </w:tcBorders>
          </w:tcPr>
          <w:p w14:paraId="4AD664D1"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1DE67F05"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bottom w:val="nil"/>
              <w:right w:val="nil"/>
            </w:tcBorders>
            <w:vAlign w:val="center"/>
          </w:tcPr>
          <w:p w14:paraId="2EA3952B"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bottom w:val="nil"/>
              <w:right w:val="nil"/>
            </w:tcBorders>
            <w:vAlign w:val="center"/>
          </w:tcPr>
          <w:p w14:paraId="549E6EDB"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315D1AA0" w14:textId="77777777" w:rsidTr="005F0211">
        <w:trPr>
          <w:trHeight w:val="242"/>
        </w:trPr>
        <w:tc>
          <w:tcPr>
            <w:tcW w:w="4770" w:type="dxa"/>
            <w:tcBorders>
              <w:top w:val="nil"/>
              <w:left w:val="nil"/>
              <w:right w:val="nil"/>
            </w:tcBorders>
            <w:shd w:val="clear" w:color="auto" w:fill="auto"/>
            <w:vAlign w:val="center"/>
          </w:tcPr>
          <w:p w14:paraId="3F221006"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HIT ELISA (OD)</w:t>
            </w:r>
          </w:p>
        </w:tc>
        <w:tc>
          <w:tcPr>
            <w:tcW w:w="2743" w:type="dxa"/>
            <w:tcBorders>
              <w:top w:val="nil"/>
              <w:left w:val="nil"/>
              <w:right w:val="nil"/>
            </w:tcBorders>
          </w:tcPr>
          <w:p w14:paraId="18CD906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2.3 [1.4; 3.0]</w:t>
            </w:r>
          </w:p>
        </w:tc>
        <w:tc>
          <w:tcPr>
            <w:tcW w:w="3402" w:type="dxa"/>
            <w:tcBorders>
              <w:top w:val="nil"/>
              <w:left w:val="nil"/>
              <w:right w:val="nil"/>
            </w:tcBorders>
            <w:vAlign w:val="center"/>
          </w:tcPr>
          <w:p w14:paraId="212940D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2.4 [1.4; 3.3]</w:t>
            </w:r>
          </w:p>
        </w:tc>
        <w:tc>
          <w:tcPr>
            <w:tcW w:w="3402" w:type="dxa"/>
            <w:tcBorders>
              <w:top w:val="nil"/>
              <w:left w:val="nil"/>
              <w:right w:val="nil"/>
            </w:tcBorders>
            <w:vAlign w:val="center"/>
          </w:tcPr>
          <w:p w14:paraId="46A9634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2.3 [1.9; 2.7]</w:t>
            </w:r>
          </w:p>
        </w:tc>
        <w:tc>
          <w:tcPr>
            <w:tcW w:w="1003" w:type="dxa"/>
            <w:tcBorders>
              <w:top w:val="nil"/>
              <w:left w:val="nil"/>
              <w:right w:val="nil"/>
            </w:tcBorders>
            <w:vAlign w:val="center"/>
          </w:tcPr>
          <w:p w14:paraId="6B5184B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0.883</w:t>
            </w:r>
          </w:p>
        </w:tc>
      </w:tr>
      <w:tr w:rsidR="003A31B2" w:rsidRPr="0052027F" w14:paraId="02A0D8EC" w14:textId="77777777" w:rsidTr="005F0211">
        <w:trPr>
          <w:trHeight w:val="242"/>
        </w:trPr>
        <w:tc>
          <w:tcPr>
            <w:tcW w:w="4770" w:type="dxa"/>
            <w:tcBorders>
              <w:top w:val="nil"/>
              <w:left w:val="nil"/>
              <w:right w:val="nil"/>
            </w:tcBorders>
            <w:shd w:val="clear" w:color="auto" w:fill="auto"/>
            <w:vAlign w:val="center"/>
            <w:hideMark/>
          </w:tcPr>
          <w:p w14:paraId="5BD3442A" w14:textId="77777777" w:rsidR="003A31B2" w:rsidRPr="0052027F" w:rsidRDefault="003A31B2" w:rsidP="005F0211">
            <w:pPr>
              <w:widowControl/>
              <w:wordWrap/>
              <w:autoSpaceDE/>
              <w:autoSpaceDN/>
              <w:ind w:firstLineChars="50" w:firstLine="110"/>
              <w:rPr>
                <w:rFonts w:eastAsia="Malgun Gothic"/>
                <w:color w:val="000000"/>
                <w:kern w:val="0"/>
                <w:szCs w:val="20"/>
              </w:rPr>
            </w:pPr>
            <w:r w:rsidRPr="0052027F">
              <w:rPr>
                <w:rFonts w:eastAsia="Malgun Gothic"/>
                <w:color w:val="000000"/>
                <w:kern w:val="0"/>
                <w:szCs w:val="20"/>
              </w:rPr>
              <w:t>HIT ELISA positive</w:t>
            </w:r>
            <w:r w:rsidRPr="0052027F">
              <w:rPr>
                <w:rFonts w:eastAsia="나눔바른고딕"/>
                <w:color w:val="000000"/>
                <w:kern w:val="0"/>
                <w:szCs w:val="20"/>
                <w:vertAlign w:val="superscript"/>
              </w:rPr>
              <w:t xml:space="preserve"> </w:t>
            </w:r>
          </w:p>
        </w:tc>
        <w:tc>
          <w:tcPr>
            <w:tcW w:w="2743" w:type="dxa"/>
            <w:tcBorders>
              <w:top w:val="nil"/>
              <w:left w:val="nil"/>
              <w:right w:val="nil"/>
            </w:tcBorders>
          </w:tcPr>
          <w:p w14:paraId="52EAE98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35/36 (97.2%)</w:t>
            </w:r>
          </w:p>
        </w:tc>
        <w:tc>
          <w:tcPr>
            <w:tcW w:w="3402" w:type="dxa"/>
            <w:tcBorders>
              <w:top w:val="nil"/>
              <w:left w:val="nil"/>
              <w:right w:val="nil"/>
            </w:tcBorders>
            <w:vAlign w:val="center"/>
          </w:tcPr>
          <w:p w14:paraId="190CE96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24/25 (96.0%)</w:t>
            </w:r>
          </w:p>
        </w:tc>
        <w:tc>
          <w:tcPr>
            <w:tcW w:w="3402" w:type="dxa"/>
            <w:tcBorders>
              <w:top w:val="nil"/>
              <w:left w:val="nil"/>
              <w:right w:val="nil"/>
            </w:tcBorders>
            <w:vAlign w:val="center"/>
          </w:tcPr>
          <w:p w14:paraId="1F640C8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11/11 (100.0%)</w:t>
            </w:r>
          </w:p>
        </w:tc>
        <w:tc>
          <w:tcPr>
            <w:tcW w:w="1003" w:type="dxa"/>
            <w:tcBorders>
              <w:top w:val="nil"/>
              <w:left w:val="nil"/>
              <w:right w:val="nil"/>
            </w:tcBorders>
            <w:vAlign w:val="center"/>
          </w:tcPr>
          <w:p w14:paraId="5C429D7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119EB3E4" w14:textId="77777777" w:rsidTr="005F0211">
        <w:trPr>
          <w:trHeight w:val="242"/>
        </w:trPr>
        <w:tc>
          <w:tcPr>
            <w:tcW w:w="4770" w:type="dxa"/>
            <w:tcBorders>
              <w:top w:val="nil"/>
              <w:left w:val="nil"/>
              <w:bottom w:val="single" w:sz="4" w:space="0" w:color="auto"/>
              <w:right w:val="nil"/>
            </w:tcBorders>
            <w:shd w:val="clear" w:color="auto" w:fill="auto"/>
            <w:vAlign w:val="center"/>
            <w:hideMark/>
          </w:tcPr>
          <w:p w14:paraId="6FAE89A8"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Functional HIT assay positive</w:t>
            </w:r>
          </w:p>
        </w:tc>
        <w:tc>
          <w:tcPr>
            <w:tcW w:w="2743" w:type="dxa"/>
            <w:tcBorders>
              <w:top w:val="nil"/>
              <w:left w:val="nil"/>
              <w:bottom w:val="single" w:sz="4" w:space="0" w:color="auto"/>
              <w:right w:val="nil"/>
            </w:tcBorders>
          </w:tcPr>
          <w:p w14:paraId="15E3ED8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14/23 (60.9%)</w:t>
            </w:r>
          </w:p>
        </w:tc>
        <w:tc>
          <w:tcPr>
            <w:tcW w:w="3402" w:type="dxa"/>
            <w:tcBorders>
              <w:top w:val="nil"/>
              <w:left w:val="nil"/>
              <w:bottom w:val="single" w:sz="4" w:space="0" w:color="auto"/>
              <w:right w:val="nil"/>
            </w:tcBorders>
            <w:vAlign w:val="center"/>
          </w:tcPr>
          <w:p w14:paraId="641BB8B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13/14 (92.9%)</w:t>
            </w:r>
          </w:p>
        </w:tc>
        <w:tc>
          <w:tcPr>
            <w:tcW w:w="3402" w:type="dxa"/>
            <w:tcBorders>
              <w:top w:val="nil"/>
              <w:left w:val="nil"/>
              <w:bottom w:val="single" w:sz="4" w:space="0" w:color="auto"/>
              <w:right w:val="nil"/>
            </w:tcBorders>
            <w:vAlign w:val="center"/>
          </w:tcPr>
          <w:p w14:paraId="1689530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1/9 (11.1%)</w:t>
            </w:r>
          </w:p>
        </w:tc>
        <w:tc>
          <w:tcPr>
            <w:tcW w:w="1003" w:type="dxa"/>
            <w:tcBorders>
              <w:top w:val="nil"/>
              <w:left w:val="nil"/>
              <w:bottom w:val="single" w:sz="4" w:space="0" w:color="auto"/>
              <w:right w:val="nil"/>
            </w:tcBorders>
            <w:vAlign w:val="center"/>
          </w:tcPr>
          <w:p w14:paraId="2D438053"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&lt; 0.001</w:t>
            </w:r>
          </w:p>
        </w:tc>
      </w:tr>
      <w:tr w:rsidR="003A31B2" w:rsidRPr="0052027F" w14:paraId="5AC61E60" w14:textId="77777777" w:rsidTr="005F0211">
        <w:trPr>
          <w:trHeight w:val="242"/>
        </w:trPr>
        <w:tc>
          <w:tcPr>
            <w:tcW w:w="4770" w:type="dxa"/>
            <w:tcBorders>
              <w:top w:val="single" w:sz="4" w:space="0" w:color="auto"/>
              <w:left w:val="nil"/>
              <w:bottom w:val="single" w:sz="4" w:space="0" w:color="auto"/>
              <w:right w:val="nil"/>
            </w:tcBorders>
            <w:shd w:val="clear" w:color="auto" w:fill="auto"/>
            <w:vAlign w:val="center"/>
          </w:tcPr>
          <w:p w14:paraId="1067ED1A"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Thromboses and Hemorrhages</w:t>
            </w:r>
          </w:p>
        </w:tc>
        <w:tc>
          <w:tcPr>
            <w:tcW w:w="2743" w:type="dxa"/>
            <w:tcBorders>
              <w:top w:val="single" w:sz="4" w:space="0" w:color="auto"/>
              <w:left w:val="nil"/>
              <w:bottom w:val="single" w:sz="4" w:space="0" w:color="auto"/>
              <w:right w:val="nil"/>
            </w:tcBorders>
          </w:tcPr>
          <w:p w14:paraId="7DFFA58E"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4" w:space="0" w:color="auto"/>
              <w:left w:val="nil"/>
              <w:bottom w:val="single" w:sz="4" w:space="0" w:color="auto"/>
              <w:right w:val="nil"/>
            </w:tcBorders>
            <w:vAlign w:val="center"/>
          </w:tcPr>
          <w:p w14:paraId="537F31BE"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single" w:sz="4" w:space="0" w:color="auto"/>
              <w:left w:val="nil"/>
              <w:bottom w:val="single" w:sz="4" w:space="0" w:color="auto"/>
              <w:right w:val="nil"/>
            </w:tcBorders>
            <w:vAlign w:val="center"/>
          </w:tcPr>
          <w:p w14:paraId="51A43B49"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single" w:sz="4" w:space="0" w:color="auto"/>
              <w:left w:val="nil"/>
              <w:bottom w:val="single" w:sz="4" w:space="0" w:color="auto"/>
              <w:right w:val="nil"/>
            </w:tcBorders>
            <w:vAlign w:val="center"/>
          </w:tcPr>
          <w:p w14:paraId="248343A0"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5E5D8A83" w14:textId="77777777" w:rsidTr="005F0211">
        <w:trPr>
          <w:trHeight w:val="242"/>
        </w:trPr>
        <w:tc>
          <w:tcPr>
            <w:tcW w:w="4770" w:type="dxa"/>
            <w:tcBorders>
              <w:top w:val="single" w:sz="4" w:space="0" w:color="auto"/>
              <w:left w:val="nil"/>
              <w:right w:val="nil"/>
            </w:tcBorders>
            <w:shd w:val="clear" w:color="auto" w:fill="auto"/>
            <w:vAlign w:val="center"/>
          </w:tcPr>
          <w:p w14:paraId="7D882D20"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Number of thrombosis sites</w:t>
            </w:r>
          </w:p>
        </w:tc>
        <w:tc>
          <w:tcPr>
            <w:tcW w:w="2743" w:type="dxa"/>
            <w:tcBorders>
              <w:top w:val="single" w:sz="4" w:space="0" w:color="auto"/>
              <w:left w:val="nil"/>
              <w:right w:val="nil"/>
            </w:tcBorders>
          </w:tcPr>
          <w:p w14:paraId="6C38262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 [1.0; 2.5]</w:t>
            </w:r>
          </w:p>
        </w:tc>
        <w:tc>
          <w:tcPr>
            <w:tcW w:w="3402" w:type="dxa"/>
            <w:tcBorders>
              <w:top w:val="single" w:sz="4" w:space="0" w:color="auto"/>
              <w:left w:val="nil"/>
              <w:right w:val="nil"/>
            </w:tcBorders>
            <w:vAlign w:val="center"/>
          </w:tcPr>
          <w:p w14:paraId="411D686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 [1.0; 2.0]</w:t>
            </w:r>
          </w:p>
        </w:tc>
        <w:tc>
          <w:tcPr>
            <w:tcW w:w="3402" w:type="dxa"/>
            <w:tcBorders>
              <w:top w:val="single" w:sz="4" w:space="0" w:color="auto"/>
              <w:left w:val="nil"/>
              <w:right w:val="nil"/>
            </w:tcBorders>
            <w:vAlign w:val="center"/>
          </w:tcPr>
          <w:p w14:paraId="203C4D4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2.0 [1.0; 3.0]</w:t>
            </w:r>
          </w:p>
        </w:tc>
        <w:tc>
          <w:tcPr>
            <w:tcW w:w="1003" w:type="dxa"/>
            <w:tcBorders>
              <w:top w:val="single" w:sz="4" w:space="0" w:color="auto"/>
              <w:left w:val="nil"/>
              <w:right w:val="nil"/>
            </w:tcBorders>
            <w:vAlign w:val="center"/>
          </w:tcPr>
          <w:p w14:paraId="446E8127"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0.063</w:t>
            </w:r>
          </w:p>
        </w:tc>
      </w:tr>
      <w:tr w:rsidR="003A31B2" w:rsidRPr="0052027F" w14:paraId="7257760B" w14:textId="77777777" w:rsidTr="005F0211">
        <w:trPr>
          <w:trHeight w:val="242"/>
        </w:trPr>
        <w:tc>
          <w:tcPr>
            <w:tcW w:w="4770" w:type="dxa"/>
            <w:tcBorders>
              <w:top w:val="nil"/>
              <w:left w:val="nil"/>
              <w:right w:val="nil"/>
            </w:tcBorders>
            <w:shd w:val="clear" w:color="auto" w:fill="auto"/>
            <w:vAlign w:val="center"/>
          </w:tcPr>
          <w:p w14:paraId="45979928"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Additional thrombosis other than CVT</w:t>
            </w:r>
          </w:p>
        </w:tc>
        <w:tc>
          <w:tcPr>
            <w:tcW w:w="2743" w:type="dxa"/>
            <w:tcBorders>
              <w:top w:val="nil"/>
              <w:left w:val="nil"/>
              <w:right w:val="nil"/>
            </w:tcBorders>
          </w:tcPr>
          <w:p w14:paraId="63DB7E0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17/40 (42.5%)</w:t>
            </w:r>
          </w:p>
        </w:tc>
        <w:tc>
          <w:tcPr>
            <w:tcW w:w="3402" w:type="dxa"/>
            <w:tcBorders>
              <w:top w:val="nil"/>
              <w:left w:val="nil"/>
              <w:right w:val="nil"/>
            </w:tcBorders>
            <w:vAlign w:val="center"/>
          </w:tcPr>
          <w:p w14:paraId="767DCA7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9/28 (32.1%)</w:t>
            </w:r>
          </w:p>
        </w:tc>
        <w:tc>
          <w:tcPr>
            <w:tcW w:w="3402" w:type="dxa"/>
            <w:tcBorders>
              <w:top w:val="nil"/>
              <w:left w:val="nil"/>
              <w:right w:val="nil"/>
            </w:tcBorders>
            <w:vAlign w:val="center"/>
          </w:tcPr>
          <w:p w14:paraId="52CD633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8/12 (66.7%)</w:t>
            </w:r>
          </w:p>
        </w:tc>
        <w:tc>
          <w:tcPr>
            <w:tcW w:w="1003" w:type="dxa"/>
            <w:tcBorders>
              <w:top w:val="nil"/>
              <w:left w:val="nil"/>
              <w:right w:val="nil"/>
            </w:tcBorders>
            <w:vAlign w:val="center"/>
          </w:tcPr>
          <w:p w14:paraId="2C63238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0.079</w:t>
            </w:r>
          </w:p>
        </w:tc>
      </w:tr>
      <w:tr w:rsidR="003A31B2" w:rsidRPr="0052027F" w14:paraId="44140775" w14:textId="77777777" w:rsidTr="005F0211">
        <w:trPr>
          <w:trHeight w:val="242"/>
        </w:trPr>
        <w:tc>
          <w:tcPr>
            <w:tcW w:w="4770" w:type="dxa"/>
            <w:tcBorders>
              <w:top w:val="nil"/>
              <w:left w:val="nil"/>
              <w:right w:val="nil"/>
            </w:tcBorders>
            <w:shd w:val="clear" w:color="auto" w:fill="auto"/>
            <w:vAlign w:val="center"/>
          </w:tcPr>
          <w:p w14:paraId="20586914"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Number of hemorrhage sites</w:t>
            </w:r>
          </w:p>
        </w:tc>
        <w:tc>
          <w:tcPr>
            <w:tcW w:w="2743" w:type="dxa"/>
            <w:tcBorders>
              <w:top w:val="nil"/>
              <w:left w:val="nil"/>
              <w:right w:val="nil"/>
            </w:tcBorders>
          </w:tcPr>
          <w:p w14:paraId="7AC3D916"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right w:val="nil"/>
            </w:tcBorders>
            <w:vAlign w:val="center"/>
          </w:tcPr>
          <w:p w14:paraId="466C235E"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top w:val="nil"/>
              <w:left w:val="nil"/>
              <w:right w:val="nil"/>
            </w:tcBorders>
            <w:vAlign w:val="center"/>
          </w:tcPr>
          <w:p w14:paraId="3D95A916"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top w:val="nil"/>
              <w:left w:val="nil"/>
              <w:right w:val="nil"/>
            </w:tcBorders>
            <w:vAlign w:val="center"/>
          </w:tcPr>
          <w:p w14:paraId="318485F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0.063</w:t>
            </w:r>
          </w:p>
        </w:tc>
      </w:tr>
      <w:tr w:rsidR="003A31B2" w:rsidRPr="0052027F" w14:paraId="25BC1788" w14:textId="77777777" w:rsidTr="005F0211">
        <w:trPr>
          <w:trHeight w:val="242"/>
        </w:trPr>
        <w:tc>
          <w:tcPr>
            <w:tcW w:w="4770" w:type="dxa"/>
            <w:tcBorders>
              <w:top w:val="nil"/>
              <w:left w:val="nil"/>
              <w:right w:val="nil"/>
            </w:tcBorders>
            <w:shd w:val="clear" w:color="auto" w:fill="auto"/>
            <w:vAlign w:val="center"/>
          </w:tcPr>
          <w:p w14:paraId="4F6EEC38"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0</w:t>
            </w:r>
          </w:p>
        </w:tc>
        <w:tc>
          <w:tcPr>
            <w:tcW w:w="2743" w:type="dxa"/>
            <w:tcBorders>
              <w:top w:val="nil"/>
              <w:left w:val="nil"/>
              <w:right w:val="nil"/>
            </w:tcBorders>
          </w:tcPr>
          <w:p w14:paraId="6D68FC9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27/40 (67.5%)</w:t>
            </w:r>
          </w:p>
        </w:tc>
        <w:tc>
          <w:tcPr>
            <w:tcW w:w="3402" w:type="dxa"/>
            <w:tcBorders>
              <w:top w:val="nil"/>
              <w:left w:val="nil"/>
              <w:right w:val="nil"/>
            </w:tcBorders>
            <w:vAlign w:val="center"/>
          </w:tcPr>
          <w:p w14:paraId="6FAEAA9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22/28 (78.6%)</w:t>
            </w:r>
          </w:p>
        </w:tc>
        <w:tc>
          <w:tcPr>
            <w:tcW w:w="3402" w:type="dxa"/>
            <w:tcBorders>
              <w:top w:val="nil"/>
              <w:left w:val="nil"/>
              <w:right w:val="nil"/>
            </w:tcBorders>
            <w:vAlign w:val="center"/>
          </w:tcPr>
          <w:p w14:paraId="1AD3EB6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5/12 (41.7%)</w:t>
            </w:r>
          </w:p>
        </w:tc>
        <w:tc>
          <w:tcPr>
            <w:tcW w:w="1003" w:type="dxa"/>
            <w:tcBorders>
              <w:top w:val="nil"/>
              <w:left w:val="nil"/>
              <w:right w:val="nil"/>
            </w:tcBorders>
            <w:vAlign w:val="center"/>
          </w:tcPr>
          <w:p w14:paraId="4EFB9CD3"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69491DD4" w14:textId="77777777" w:rsidTr="005F0211">
        <w:trPr>
          <w:trHeight w:val="242"/>
        </w:trPr>
        <w:tc>
          <w:tcPr>
            <w:tcW w:w="4770" w:type="dxa"/>
            <w:tcBorders>
              <w:top w:val="nil"/>
              <w:left w:val="nil"/>
              <w:right w:val="nil"/>
            </w:tcBorders>
            <w:shd w:val="clear" w:color="auto" w:fill="auto"/>
            <w:vAlign w:val="center"/>
          </w:tcPr>
          <w:p w14:paraId="3BDF7DD2"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1</w:t>
            </w:r>
          </w:p>
        </w:tc>
        <w:tc>
          <w:tcPr>
            <w:tcW w:w="2743" w:type="dxa"/>
            <w:tcBorders>
              <w:top w:val="nil"/>
              <w:left w:val="nil"/>
              <w:right w:val="nil"/>
            </w:tcBorders>
          </w:tcPr>
          <w:p w14:paraId="07EAAAB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12/40 (30.0%)</w:t>
            </w:r>
          </w:p>
        </w:tc>
        <w:tc>
          <w:tcPr>
            <w:tcW w:w="3402" w:type="dxa"/>
            <w:tcBorders>
              <w:top w:val="nil"/>
              <w:left w:val="nil"/>
              <w:right w:val="nil"/>
            </w:tcBorders>
            <w:vAlign w:val="center"/>
          </w:tcPr>
          <w:p w14:paraId="50A42EF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6/28 (21.4%)</w:t>
            </w:r>
          </w:p>
        </w:tc>
        <w:tc>
          <w:tcPr>
            <w:tcW w:w="3402" w:type="dxa"/>
            <w:tcBorders>
              <w:top w:val="nil"/>
              <w:left w:val="nil"/>
              <w:right w:val="nil"/>
            </w:tcBorders>
            <w:vAlign w:val="center"/>
          </w:tcPr>
          <w:p w14:paraId="45AB40B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6/12 (50.0%)</w:t>
            </w:r>
          </w:p>
        </w:tc>
        <w:tc>
          <w:tcPr>
            <w:tcW w:w="1003" w:type="dxa"/>
            <w:tcBorders>
              <w:top w:val="nil"/>
              <w:left w:val="nil"/>
              <w:right w:val="nil"/>
            </w:tcBorders>
            <w:vAlign w:val="center"/>
          </w:tcPr>
          <w:p w14:paraId="55DF0ED6"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15353A08" w14:textId="77777777" w:rsidTr="005F0211">
        <w:trPr>
          <w:trHeight w:val="242"/>
        </w:trPr>
        <w:tc>
          <w:tcPr>
            <w:tcW w:w="4770" w:type="dxa"/>
            <w:tcBorders>
              <w:top w:val="nil"/>
              <w:left w:val="nil"/>
              <w:right w:val="nil"/>
            </w:tcBorders>
            <w:shd w:val="clear" w:color="auto" w:fill="auto"/>
            <w:vAlign w:val="center"/>
          </w:tcPr>
          <w:p w14:paraId="350A320C"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2</w:t>
            </w:r>
          </w:p>
        </w:tc>
        <w:tc>
          <w:tcPr>
            <w:tcW w:w="2743" w:type="dxa"/>
            <w:tcBorders>
              <w:top w:val="nil"/>
              <w:left w:val="nil"/>
              <w:right w:val="nil"/>
            </w:tcBorders>
          </w:tcPr>
          <w:p w14:paraId="632EBCA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1/40 (2.5%)</w:t>
            </w:r>
          </w:p>
        </w:tc>
        <w:tc>
          <w:tcPr>
            <w:tcW w:w="3402" w:type="dxa"/>
            <w:tcBorders>
              <w:top w:val="nil"/>
              <w:left w:val="nil"/>
              <w:right w:val="nil"/>
            </w:tcBorders>
            <w:vAlign w:val="center"/>
          </w:tcPr>
          <w:p w14:paraId="1307C7F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0/28 (0.0%)</w:t>
            </w:r>
          </w:p>
        </w:tc>
        <w:tc>
          <w:tcPr>
            <w:tcW w:w="3402" w:type="dxa"/>
            <w:tcBorders>
              <w:top w:val="nil"/>
              <w:left w:val="nil"/>
              <w:right w:val="nil"/>
            </w:tcBorders>
            <w:vAlign w:val="center"/>
          </w:tcPr>
          <w:p w14:paraId="2C8EB67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1/12 (8.3%)</w:t>
            </w:r>
          </w:p>
        </w:tc>
        <w:tc>
          <w:tcPr>
            <w:tcW w:w="1003" w:type="dxa"/>
            <w:tcBorders>
              <w:top w:val="nil"/>
              <w:left w:val="nil"/>
              <w:right w:val="nil"/>
            </w:tcBorders>
            <w:vAlign w:val="center"/>
          </w:tcPr>
          <w:p w14:paraId="79FA5FAC"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2731DFF7" w14:textId="77777777" w:rsidTr="005F0211">
        <w:trPr>
          <w:trHeight w:val="242"/>
        </w:trPr>
        <w:tc>
          <w:tcPr>
            <w:tcW w:w="4770" w:type="dxa"/>
            <w:tcBorders>
              <w:top w:val="nil"/>
              <w:left w:val="nil"/>
              <w:bottom w:val="single" w:sz="4" w:space="0" w:color="auto"/>
              <w:right w:val="nil"/>
            </w:tcBorders>
            <w:shd w:val="clear" w:color="auto" w:fill="auto"/>
            <w:vAlign w:val="center"/>
          </w:tcPr>
          <w:p w14:paraId="35FFF1CA"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lastRenderedPageBreak/>
              <w:t>Presence of intracerebral hemorrhage</w:t>
            </w:r>
          </w:p>
        </w:tc>
        <w:tc>
          <w:tcPr>
            <w:tcW w:w="2743" w:type="dxa"/>
            <w:tcBorders>
              <w:top w:val="nil"/>
              <w:left w:val="nil"/>
              <w:bottom w:val="single" w:sz="4" w:space="0" w:color="auto"/>
              <w:right w:val="nil"/>
            </w:tcBorders>
          </w:tcPr>
          <w:p w14:paraId="36EBA4A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12/40 (30.0%)</w:t>
            </w:r>
          </w:p>
        </w:tc>
        <w:tc>
          <w:tcPr>
            <w:tcW w:w="3402" w:type="dxa"/>
            <w:tcBorders>
              <w:top w:val="nil"/>
              <w:left w:val="nil"/>
              <w:bottom w:val="single" w:sz="4" w:space="0" w:color="auto"/>
              <w:right w:val="nil"/>
            </w:tcBorders>
            <w:vAlign w:val="center"/>
          </w:tcPr>
          <w:p w14:paraId="0918857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5/28 (17.9%)</w:t>
            </w:r>
          </w:p>
        </w:tc>
        <w:tc>
          <w:tcPr>
            <w:tcW w:w="3402" w:type="dxa"/>
            <w:tcBorders>
              <w:top w:val="nil"/>
              <w:left w:val="nil"/>
              <w:bottom w:val="single" w:sz="4" w:space="0" w:color="auto"/>
              <w:right w:val="nil"/>
            </w:tcBorders>
            <w:vAlign w:val="center"/>
          </w:tcPr>
          <w:p w14:paraId="0CC413AD"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7/12 (58.3%)</w:t>
            </w:r>
          </w:p>
        </w:tc>
        <w:tc>
          <w:tcPr>
            <w:tcW w:w="1003" w:type="dxa"/>
            <w:tcBorders>
              <w:top w:val="nil"/>
              <w:left w:val="nil"/>
              <w:bottom w:val="single" w:sz="4" w:space="0" w:color="auto"/>
              <w:right w:val="nil"/>
            </w:tcBorders>
            <w:vAlign w:val="center"/>
          </w:tcPr>
          <w:p w14:paraId="59337C3C"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b/>
                <w:bCs/>
                <w:color w:val="000000"/>
                <w:kern w:val="0"/>
                <w:szCs w:val="20"/>
              </w:rPr>
              <w:t>0.021</w:t>
            </w:r>
          </w:p>
        </w:tc>
      </w:tr>
      <w:tr w:rsidR="003A31B2" w:rsidRPr="0052027F" w14:paraId="215CEBAC" w14:textId="77777777" w:rsidTr="005F0211">
        <w:trPr>
          <w:trHeight w:val="242"/>
        </w:trPr>
        <w:tc>
          <w:tcPr>
            <w:tcW w:w="4770" w:type="dxa"/>
            <w:tcBorders>
              <w:top w:val="single" w:sz="4" w:space="0" w:color="auto"/>
              <w:left w:val="nil"/>
              <w:bottom w:val="single" w:sz="4" w:space="0" w:color="auto"/>
              <w:right w:val="nil"/>
            </w:tcBorders>
            <w:shd w:val="clear" w:color="auto" w:fill="auto"/>
            <w:vAlign w:val="center"/>
          </w:tcPr>
          <w:p w14:paraId="3F69DC39"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Mortality</w:t>
            </w:r>
          </w:p>
        </w:tc>
        <w:tc>
          <w:tcPr>
            <w:tcW w:w="2743" w:type="dxa"/>
            <w:tcBorders>
              <w:top w:val="single" w:sz="4" w:space="0" w:color="auto"/>
              <w:left w:val="nil"/>
              <w:bottom w:val="single" w:sz="4" w:space="0" w:color="auto"/>
              <w:right w:val="nil"/>
            </w:tcBorders>
          </w:tcPr>
          <w:p w14:paraId="5B325A3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16/35 (45.7%)</w:t>
            </w:r>
          </w:p>
        </w:tc>
        <w:tc>
          <w:tcPr>
            <w:tcW w:w="3402" w:type="dxa"/>
            <w:tcBorders>
              <w:top w:val="single" w:sz="4" w:space="0" w:color="auto"/>
              <w:left w:val="nil"/>
              <w:bottom w:val="single" w:sz="4" w:space="0" w:color="auto"/>
              <w:right w:val="nil"/>
            </w:tcBorders>
            <w:vAlign w:val="center"/>
          </w:tcPr>
          <w:p w14:paraId="35BBABD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13/23 (56.5%)</w:t>
            </w:r>
          </w:p>
        </w:tc>
        <w:tc>
          <w:tcPr>
            <w:tcW w:w="3402" w:type="dxa"/>
            <w:tcBorders>
              <w:top w:val="single" w:sz="4" w:space="0" w:color="auto"/>
              <w:left w:val="nil"/>
              <w:bottom w:val="single" w:sz="4" w:space="0" w:color="auto"/>
              <w:right w:val="nil"/>
            </w:tcBorders>
            <w:vAlign w:val="center"/>
          </w:tcPr>
          <w:p w14:paraId="7BBC82B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3/12 (25.0%)</w:t>
            </w:r>
          </w:p>
        </w:tc>
        <w:tc>
          <w:tcPr>
            <w:tcW w:w="1003" w:type="dxa"/>
            <w:tcBorders>
              <w:top w:val="single" w:sz="4" w:space="0" w:color="auto"/>
              <w:left w:val="nil"/>
              <w:bottom w:val="single" w:sz="4" w:space="0" w:color="auto"/>
              <w:right w:val="nil"/>
            </w:tcBorders>
            <w:vAlign w:val="center"/>
          </w:tcPr>
          <w:p w14:paraId="09EE987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0.152</w:t>
            </w:r>
          </w:p>
        </w:tc>
      </w:tr>
      <w:tr w:rsidR="003A31B2" w:rsidRPr="0052027F" w14:paraId="29CFD235" w14:textId="77777777" w:rsidTr="005F0211">
        <w:trPr>
          <w:trHeight w:val="277"/>
        </w:trPr>
        <w:tc>
          <w:tcPr>
            <w:tcW w:w="4770" w:type="dxa"/>
            <w:tcBorders>
              <w:top w:val="single" w:sz="4" w:space="0" w:color="auto"/>
              <w:left w:val="nil"/>
              <w:bottom w:val="single" w:sz="4" w:space="0" w:color="auto"/>
              <w:right w:val="nil"/>
            </w:tcBorders>
            <w:shd w:val="clear" w:color="auto" w:fill="auto"/>
            <w:vAlign w:val="center"/>
          </w:tcPr>
          <w:p w14:paraId="04C9ED6B"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Symptoms</w:t>
            </w:r>
          </w:p>
        </w:tc>
        <w:tc>
          <w:tcPr>
            <w:tcW w:w="2743" w:type="dxa"/>
            <w:tcBorders>
              <w:top w:val="single" w:sz="4" w:space="0" w:color="auto"/>
              <w:left w:val="nil"/>
              <w:bottom w:val="single" w:sz="4" w:space="0" w:color="auto"/>
              <w:right w:val="nil"/>
            </w:tcBorders>
            <w:vAlign w:val="center"/>
          </w:tcPr>
          <w:p w14:paraId="51A5E3B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(n=40)</w:t>
            </w:r>
          </w:p>
        </w:tc>
        <w:tc>
          <w:tcPr>
            <w:tcW w:w="3402" w:type="dxa"/>
            <w:tcBorders>
              <w:top w:val="single" w:sz="4" w:space="0" w:color="auto"/>
              <w:left w:val="nil"/>
              <w:bottom w:val="single" w:sz="4" w:space="0" w:color="auto"/>
              <w:right w:val="nil"/>
            </w:tcBorders>
            <w:vAlign w:val="center"/>
          </w:tcPr>
          <w:p w14:paraId="641E702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(n=28)</w:t>
            </w:r>
          </w:p>
        </w:tc>
        <w:tc>
          <w:tcPr>
            <w:tcW w:w="3402" w:type="dxa"/>
            <w:tcBorders>
              <w:top w:val="single" w:sz="4" w:space="0" w:color="auto"/>
              <w:left w:val="nil"/>
              <w:bottom w:val="single" w:sz="4" w:space="0" w:color="auto"/>
              <w:right w:val="nil"/>
            </w:tcBorders>
            <w:vAlign w:val="center"/>
          </w:tcPr>
          <w:p w14:paraId="7EC22FC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(n=12)</w:t>
            </w:r>
          </w:p>
        </w:tc>
        <w:tc>
          <w:tcPr>
            <w:tcW w:w="1003" w:type="dxa"/>
            <w:tcBorders>
              <w:top w:val="single" w:sz="4" w:space="0" w:color="auto"/>
              <w:left w:val="nil"/>
              <w:bottom w:val="single" w:sz="4" w:space="0" w:color="auto"/>
              <w:right w:val="nil"/>
            </w:tcBorders>
            <w:vAlign w:val="center"/>
          </w:tcPr>
          <w:p w14:paraId="7AAF1544"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2C32B551" w14:textId="77777777" w:rsidTr="005F0211">
        <w:trPr>
          <w:trHeight w:val="277"/>
        </w:trPr>
        <w:tc>
          <w:tcPr>
            <w:tcW w:w="4770" w:type="dxa"/>
            <w:tcBorders>
              <w:top w:val="single" w:sz="4" w:space="0" w:color="auto"/>
              <w:left w:val="nil"/>
              <w:right w:val="nil"/>
            </w:tcBorders>
            <w:shd w:val="clear" w:color="auto" w:fill="auto"/>
            <w:vAlign w:val="center"/>
          </w:tcPr>
          <w:p w14:paraId="24C00283"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 General condition</w:t>
            </w:r>
          </w:p>
        </w:tc>
        <w:tc>
          <w:tcPr>
            <w:tcW w:w="2743" w:type="dxa"/>
            <w:tcBorders>
              <w:top w:val="single" w:sz="4" w:space="0" w:color="auto"/>
              <w:left w:val="nil"/>
              <w:right w:val="nil"/>
            </w:tcBorders>
            <w:vAlign w:val="center"/>
          </w:tcPr>
          <w:p w14:paraId="752D2B76" w14:textId="77777777" w:rsidR="003A31B2" w:rsidRPr="0052027F" w:rsidRDefault="003A31B2" w:rsidP="005F0211">
            <w:pPr>
              <w:widowControl/>
              <w:wordWrap/>
              <w:autoSpaceDE/>
              <w:autoSpaceDN/>
              <w:jc w:val="center"/>
              <w:rPr>
                <w:rFonts w:eastAsia="Malgun Gothic"/>
                <w:b/>
                <w:bCs/>
                <w:color w:val="000000"/>
                <w:kern w:val="0"/>
                <w:szCs w:val="20"/>
              </w:rPr>
            </w:pPr>
          </w:p>
        </w:tc>
        <w:tc>
          <w:tcPr>
            <w:tcW w:w="3402" w:type="dxa"/>
            <w:tcBorders>
              <w:top w:val="single" w:sz="4" w:space="0" w:color="auto"/>
              <w:left w:val="nil"/>
              <w:right w:val="nil"/>
            </w:tcBorders>
            <w:vAlign w:val="center"/>
          </w:tcPr>
          <w:p w14:paraId="60E93FD5" w14:textId="77777777" w:rsidR="003A31B2" w:rsidRPr="0052027F" w:rsidRDefault="003A31B2" w:rsidP="005F0211">
            <w:pPr>
              <w:widowControl/>
              <w:wordWrap/>
              <w:autoSpaceDE/>
              <w:autoSpaceDN/>
              <w:jc w:val="center"/>
              <w:rPr>
                <w:rFonts w:eastAsia="Malgun Gothic"/>
                <w:b/>
                <w:bCs/>
                <w:color w:val="000000"/>
                <w:kern w:val="0"/>
                <w:szCs w:val="20"/>
              </w:rPr>
            </w:pPr>
          </w:p>
        </w:tc>
        <w:tc>
          <w:tcPr>
            <w:tcW w:w="3402" w:type="dxa"/>
            <w:tcBorders>
              <w:top w:val="single" w:sz="4" w:space="0" w:color="auto"/>
              <w:left w:val="nil"/>
              <w:right w:val="nil"/>
            </w:tcBorders>
            <w:vAlign w:val="center"/>
          </w:tcPr>
          <w:p w14:paraId="6F42B2DB" w14:textId="77777777" w:rsidR="003A31B2" w:rsidRPr="0052027F" w:rsidRDefault="003A31B2" w:rsidP="005F0211">
            <w:pPr>
              <w:widowControl/>
              <w:wordWrap/>
              <w:autoSpaceDE/>
              <w:autoSpaceDN/>
              <w:jc w:val="center"/>
              <w:rPr>
                <w:rFonts w:eastAsia="Malgun Gothic"/>
                <w:b/>
                <w:bCs/>
                <w:color w:val="000000"/>
                <w:kern w:val="0"/>
                <w:szCs w:val="20"/>
              </w:rPr>
            </w:pPr>
          </w:p>
        </w:tc>
        <w:tc>
          <w:tcPr>
            <w:tcW w:w="1003" w:type="dxa"/>
            <w:tcBorders>
              <w:top w:val="single" w:sz="4" w:space="0" w:color="auto"/>
              <w:left w:val="nil"/>
              <w:right w:val="nil"/>
            </w:tcBorders>
            <w:vAlign w:val="center"/>
          </w:tcPr>
          <w:p w14:paraId="6CD46BA6"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344B89EB" w14:textId="77777777" w:rsidTr="005F0211">
        <w:trPr>
          <w:trHeight w:val="277"/>
        </w:trPr>
        <w:tc>
          <w:tcPr>
            <w:tcW w:w="4770" w:type="dxa"/>
            <w:tcBorders>
              <w:left w:val="nil"/>
              <w:right w:val="nil"/>
            </w:tcBorders>
            <w:shd w:val="clear" w:color="auto" w:fill="auto"/>
            <w:vAlign w:val="center"/>
          </w:tcPr>
          <w:p w14:paraId="3062C190"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Fever</w:t>
            </w:r>
          </w:p>
        </w:tc>
        <w:tc>
          <w:tcPr>
            <w:tcW w:w="2743" w:type="dxa"/>
            <w:tcBorders>
              <w:left w:val="nil"/>
              <w:right w:val="nil"/>
            </w:tcBorders>
            <w:vAlign w:val="center"/>
          </w:tcPr>
          <w:p w14:paraId="57A882AF"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5 (27.8%)</w:t>
            </w:r>
          </w:p>
        </w:tc>
        <w:tc>
          <w:tcPr>
            <w:tcW w:w="3402" w:type="dxa"/>
            <w:tcBorders>
              <w:left w:val="nil"/>
              <w:right w:val="nil"/>
            </w:tcBorders>
            <w:vAlign w:val="center"/>
          </w:tcPr>
          <w:p w14:paraId="76AA5773"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2 (33.3%)</w:t>
            </w:r>
          </w:p>
        </w:tc>
        <w:tc>
          <w:tcPr>
            <w:tcW w:w="3402" w:type="dxa"/>
            <w:tcBorders>
              <w:left w:val="nil"/>
              <w:right w:val="nil"/>
            </w:tcBorders>
            <w:vAlign w:val="center"/>
          </w:tcPr>
          <w:p w14:paraId="7FE9DBD9"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3 (25.0%)</w:t>
            </w:r>
          </w:p>
        </w:tc>
        <w:tc>
          <w:tcPr>
            <w:tcW w:w="1003" w:type="dxa"/>
            <w:tcBorders>
              <w:left w:val="nil"/>
              <w:right w:val="nil"/>
            </w:tcBorders>
            <w:vAlign w:val="center"/>
          </w:tcPr>
          <w:p w14:paraId="49A4047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7A6CD94A" w14:textId="77777777" w:rsidTr="005F0211">
        <w:trPr>
          <w:trHeight w:val="277"/>
        </w:trPr>
        <w:tc>
          <w:tcPr>
            <w:tcW w:w="4770" w:type="dxa"/>
            <w:tcBorders>
              <w:left w:val="nil"/>
              <w:right w:val="nil"/>
            </w:tcBorders>
            <w:shd w:val="clear" w:color="auto" w:fill="auto"/>
            <w:vAlign w:val="center"/>
          </w:tcPr>
          <w:p w14:paraId="50F6C38D"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Gastrointestinal</w:t>
            </w:r>
          </w:p>
        </w:tc>
        <w:tc>
          <w:tcPr>
            <w:tcW w:w="2743" w:type="dxa"/>
            <w:tcBorders>
              <w:left w:val="nil"/>
              <w:right w:val="nil"/>
            </w:tcBorders>
            <w:vAlign w:val="center"/>
          </w:tcPr>
          <w:p w14:paraId="25B8E77E"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41959C7F"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23A1982B"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09576FE8"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39B6F307" w14:textId="77777777" w:rsidTr="005F0211">
        <w:trPr>
          <w:trHeight w:val="277"/>
        </w:trPr>
        <w:tc>
          <w:tcPr>
            <w:tcW w:w="4770" w:type="dxa"/>
            <w:tcBorders>
              <w:left w:val="nil"/>
              <w:right w:val="nil"/>
            </w:tcBorders>
            <w:shd w:val="clear" w:color="auto" w:fill="auto"/>
            <w:vAlign w:val="center"/>
          </w:tcPr>
          <w:p w14:paraId="3CD8ED0F"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Abdominal pain</w:t>
            </w:r>
          </w:p>
        </w:tc>
        <w:tc>
          <w:tcPr>
            <w:tcW w:w="2743" w:type="dxa"/>
            <w:tcBorders>
              <w:left w:val="nil"/>
              <w:right w:val="nil"/>
            </w:tcBorders>
            <w:vAlign w:val="center"/>
          </w:tcPr>
          <w:p w14:paraId="690B37F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(22.2%)</w:t>
            </w:r>
          </w:p>
        </w:tc>
        <w:tc>
          <w:tcPr>
            <w:tcW w:w="3402" w:type="dxa"/>
            <w:tcBorders>
              <w:left w:val="nil"/>
              <w:right w:val="nil"/>
            </w:tcBorders>
            <w:vAlign w:val="center"/>
          </w:tcPr>
          <w:p w14:paraId="6E6F88B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(33.3%)</w:t>
            </w:r>
          </w:p>
        </w:tc>
        <w:tc>
          <w:tcPr>
            <w:tcW w:w="3402" w:type="dxa"/>
            <w:tcBorders>
              <w:left w:val="nil"/>
              <w:right w:val="nil"/>
            </w:tcBorders>
            <w:vAlign w:val="center"/>
          </w:tcPr>
          <w:p w14:paraId="47DD1AA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(16.7%)</w:t>
            </w:r>
          </w:p>
        </w:tc>
        <w:tc>
          <w:tcPr>
            <w:tcW w:w="1003" w:type="dxa"/>
            <w:tcBorders>
              <w:left w:val="nil"/>
              <w:right w:val="nil"/>
            </w:tcBorders>
            <w:vAlign w:val="center"/>
          </w:tcPr>
          <w:p w14:paraId="0854D68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0.569</w:t>
            </w:r>
          </w:p>
        </w:tc>
      </w:tr>
      <w:tr w:rsidR="003A31B2" w:rsidRPr="0052027F" w14:paraId="43354294" w14:textId="77777777" w:rsidTr="005F0211">
        <w:trPr>
          <w:trHeight w:val="277"/>
        </w:trPr>
        <w:tc>
          <w:tcPr>
            <w:tcW w:w="4770" w:type="dxa"/>
            <w:tcBorders>
              <w:left w:val="nil"/>
              <w:right w:val="nil"/>
            </w:tcBorders>
            <w:shd w:val="clear" w:color="auto" w:fill="auto"/>
            <w:vAlign w:val="center"/>
          </w:tcPr>
          <w:p w14:paraId="3A96224B"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Nausea</w:t>
            </w:r>
          </w:p>
        </w:tc>
        <w:tc>
          <w:tcPr>
            <w:tcW w:w="2743" w:type="dxa"/>
            <w:tcBorders>
              <w:left w:val="nil"/>
              <w:right w:val="nil"/>
            </w:tcBorders>
            <w:vAlign w:val="center"/>
          </w:tcPr>
          <w:p w14:paraId="2CAE6D6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(22.2%)</w:t>
            </w:r>
          </w:p>
        </w:tc>
        <w:tc>
          <w:tcPr>
            <w:tcW w:w="3402" w:type="dxa"/>
            <w:tcBorders>
              <w:left w:val="nil"/>
              <w:right w:val="nil"/>
            </w:tcBorders>
            <w:vAlign w:val="center"/>
          </w:tcPr>
          <w:p w14:paraId="3AA8510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(16.7%)</w:t>
            </w:r>
          </w:p>
        </w:tc>
        <w:tc>
          <w:tcPr>
            <w:tcW w:w="3402" w:type="dxa"/>
            <w:tcBorders>
              <w:left w:val="nil"/>
              <w:right w:val="nil"/>
            </w:tcBorders>
            <w:vAlign w:val="center"/>
          </w:tcPr>
          <w:p w14:paraId="6638508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(25.0%)</w:t>
            </w:r>
          </w:p>
        </w:tc>
        <w:tc>
          <w:tcPr>
            <w:tcW w:w="1003" w:type="dxa"/>
            <w:tcBorders>
              <w:left w:val="nil"/>
              <w:right w:val="nil"/>
            </w:tcBorders>
            <w:vAlign w:val="center"/>
          </w:tcPr>
          <w:p w14:paraId="1975471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1209EF74" w14:textId="77777777" w:rsidTr="005F0211">
        <w:trPr>
          <w:trHeight w:val="277"/>
        </w:trPr>
        <w:tc>
          <w:tcPr>
            <w:tcW w:w="4770" w:type="dxa"/>
            <w:tcBorders>
              <w:left w:val="nil"/>
              <w:right w:val="nil"/>
            </w:tcBorders>
            <w:shd w:val="clear" w:color="auto" w:fill="auto"/>
            <w:vAlign w:val="center"/>
          </w:tcPr>
          <w:p w14:paraId="6D47FFF4"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Vomiting</w:t>
            </w:r>
          </w:p>
        </w:tc>
        <w:tc>
          <w:tcPr>
            <w:tcW w:w="2743" w:type="dxa"/>
            <w:tcBorders>
              <w:left w:val="nil"/>
              <w:right w:val="nil"/>
            </w:tcBorders>
            <w:vAlign w:val="center"/>
          </w:tcPr>
          <w:p w14:paraId="7E332BD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(22.2%)</w:t>
            </w:r>
          </w:p>
        </w:tc>
        <w:tc>
          <w:tcPr>
            <w:tcW w:w="3402" w:type="dxa"/>
            <w:tcBorders>
              <w:left w:val="nil"/>
              <w:right w:val="nil"/>
            </w:tcBorders>
            <w:vAlign w:val="center"/>
          </w:tcPr>
          <w:p w14:paraId="0C2524F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3402" w:type="dxa"/>
            <w:tcBorders>
              <w:left w:val="nil"/>
              <w:right w:val="nil"/>
            </w:tcBorders>
            <w:vAlign w:val="center"/>
          </w:tcPr>
          <w:p w14:paraId="0808773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(33.3%)</w:t>
            </w:r>
          </w:p>
        </w:tc>
        <w:tc>
          <w:tcPr>
            <w:tcW w:w="1003" w:type="dxa"/>
            <w:tcBorders>
              <w:left w:val="nil"/>
              <w:right w:val="nil"/>
            </w:tcBorders>
            <w:vAlign w:val="center"/>
          </w:tcPr>
          <w:p w14:paraId="47D358F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0.245</w:t>
            </w:r>
          </w:p>
        </w:tc>
      </w:tr>
      <w:tr w:rsidR="003A31B2" w:rsidRPr="0052027F" w14:paraId="20032885" w14:textId="77777777" w:rsidTr="005F0211">
        <w:trPr>
          <w:trHeight w:val="277"/>
        </w:trPr>
        <w:tc>
          <w:tcPr>
            <w:tcW w:w="4770" w:type="dxa"/>
            <w:tcBorders>
              <w:left w:val="nil"/>
              <w:right w:val="nil"/>
            </w:tcBorders>
            <w:shd w:val="clear" w:color="auto" w:fill="auto"/>
            <w:vAlign w:val="center"/>
          </w:tcPr>
          <w:p w14:paraId="2233ED30"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Epigastric discomfort</w:t>
            </w:r>
          </w:p>
        </w:tc>
        <w:tc>
          <w:tcPr>
            <w:tcW w:w="2743" w:type="dxa"/>
            <w:tcBorders>
              <w:left w:val="nil"/>
              <w:right w:val="nil"/>
            </w:tcBorders>
            <w:vAlign w:val="center"/>
          </w:tcPr>
          <w:p w14:paraId="3D1F1F2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(5.6%)</w:t>
            </w:r>
          </w:p>
        </w:tc>
        <w:tc>
          <w:tcPr>
            <w:tcW w:w="3402" w:type="dxa"/>
            <w:tcBorders>
              <w:left w:val="nil"/>
              <w:right w:val="nil"/>
            </w:tcBorders>
            <w:vAlign w:val="center"/>
          </w:tcPr>
          <w:p w14:paraId="6DFC124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(16.7%)</w:t>
            </w:r>
          </w:p>
        </w:tc>
        <w:tc>
          <w:tcPr>
            <w:tcW w:w="3402" w:type="dxa"/>
            <w:tcBorders>
              <w:left w:val="nil"/>
              <w:right w:val="nil"/>
            </w:tcBorders>
            <w:vAlign w:val="center"/>
          </w:tcPr>
          <w:p w14:paraId="7A55530D"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36601B4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0.333</w:t>
            </w:r>
          </w:p>
        </w:tc>
      </w:tr>
      <w:tr w:rsidR="003A31B2" w:rsidRPr="0052027F" w14:paraId="2581599F" w14:textId="77777777" w:rsidTr="005F0211">
        <w:trPr>
          <w:trHeight w:val="277"/>
        </w:trPr>
        <w:tc>
          <w:tcPr>
            <w:tcW w:w="4770" w:type="dxa"/>
            <w:tcBorders>
              <w:left w:val="nil"/>
              <w:right w:val="nil"/>
            </w:tcBorders>
            <w:shd w:val="clear" w:color="auto" w:fill="auto"/>
            <w:vAlign w:val="center"/>
          </w:tcPr>
          <w:p w14:paraId="343632DC"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Bleeding tendency </w:t>
            </w:r>
          </w:p>
        </w:tc>
        <w:tc>
          <w:tcPr>
            <w:tcW w:w="2743" w:type="dxa"/>
            <w:tcBorders>
              <w:left w:val="nil"/>
              <w:right w:val="nil"/>
            </w:tcBorders>
            <w:vAlign w:val="center"/>
          </w:tcPr>
          <w:p w14:paraId="1E49F2C6"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15F34909"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31458D1A"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5442E613"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06F83E49" w14:textId="77777777" w:rsidTr="005F0211">
        <w:trPr>
          <w:trHeight w:val="277"/>
        </w:trPr>
        <w:tc>
          <w:tcPr>
            <w:tcW w:w="4770" w:type="dxa"/>
            <w:tcBorders>
              <w:left w:val="nil"/>
              <w:right w:val="nil"/>
            </w:tcBorders>
            <w:shd w:val="clear" w:color="auto" w:fill="auto"/>
            <w:vAlign w:val="center"/>
          </w:tcPr>
          <w:p w14:paraId="6E57DFC2"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Petechial rash</w:t>
            </w:r>
          </w:p>
        </w:tc>
        <w:tc>
          <w:tcPr>
            <w:tcW w:w="2743" w:type="dxa"/>
            <w:tcBorders>
              <w:left w:val="nil"/>
              <w:right w:val="nil"/>
            </w:tcBorders>
            <w:vAlign w:val="center"/>
          </w:tcPr>
          <w:p w14:paraId="3C2FFBC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(5.6%)</w:t>
            </w:r>
          </w:p>
        </w:tc>
        <w:tc>
          <w:tcPr>
            <w:tcW w:w="3402" w:type="dxa"/>
            <w:tcBorders>
              <w:left w:val="nil"/>
              <w:right w:val="nil"/>
            </w:tcBorders>
            <w:vAlign w:val="center"/>
          </w:tcPr>
          <w:p w14:paraId="17D9F2B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3402" w:type="dxa"/>
            <w:tcBorders>
              <w:left w:val="nil"/>
              <w:right w:val="nil"/>
            </w:tcBorders>
            <w:vAlign w:val="center"/>
          </w:tcPr>
          <w:p w14:paraId="1F40CA3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13999BB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08FC4373" w14:textId="77777777" w:rsidTr="005F0211">
        <w:trPr>
          <w:trHeight w:val="277"/>
        </w:trPr>
        <w:tc>
          <w:tcPr>
            <w:tcW w:w="4770" w:type="dxa"/>
            <w:tcBorders>
              <w:left w:val="nil"/>
              <w:right w:val="nil"/>
            </w:tcBorders>
            <w:shd w:val="clear" w:color="auto" w:fill="auto"/>
            <w:vAlign w:val="center"/>
          </w:tcPr>
          <w:p w14:paraId="7C7A38D4"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Hematoma</w:t>
            </w:r>
          </w:p>
        </w:tc>
        <w:tc>
          <w:tcPr>
            <w:tcW w:w="2743" w:type="dxa"/>
            <w:tcBorders>
              <w:left w:val="nil"/>
              <w:right w:val="nil"/>
            </w:tcBorders>
            <w:vAlign w:val="center"/>
          </w:tcPr>
          <w:p w14:paraId="77E313B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(5.6%)</w:t>
            </w:r>
          </w:p>
        </w:tc>
        <w:tc>
          <w:tcPr>
            <w:tcW w:w="3402" w:type="dxa"/>
            <w:tcBorders>
              <w:left w:val="nil"/>
              <w:right w:val="nil"/>
            </w:tcBorders>
            <w:vAlign w:val="center"/>
          </w:tcPr>
          <w:p w14:paraId="5D77AF7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(16.7%)</w:t>
            </w:r>
          </w:p>
        </w:tc>
        <w:tc>
          <w:tcPr>
            <w:tcW w:w="3402" w:type="dxa"/>
            <w:tcBorders>
              <w:left w:val="nil"/>
              <w:right w:val="nil"/>
            </w:tcBorders>
            <w:vAlign w:val="center"/>
          </w:tcPr>
          <w:p w14:paraId="53924DCD"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2EBFA3D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0.333</w:t>
            </w:r>
          </w:p>
        </w:tc>
      </w:tr>
      <w:tr w:rsidR="003A31B2" w:rsidRPr="0052027F" w14:paraId="24AA2CD3" w14:textId="77777777" w:rsidTr="005F0211">
        <w:trPr>
          <w:trHeight w:val="277"/>
        </w:trPr>
        <w:tc>
          <w:tcPr>
            <w:tcW w:w="4770" w:type="dxa"/>
            <w:tcBorders>
              <w:left w:val="nil"/>
              <w:right w:val="nil"/>
            </w:tcBorders>
            <w:shd w:val="clear" w:color="auto" w:fill="auto"/>
            <w:vAlign w:val="center"/>
          </w:tcPr>
          <w:p w14:paraId="50B440EF"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Bruising</w:t>
            </w:r>
          </w:p>
        </w:tc>
        <w:tc>
          <w:tcPr>
            <w:tcW w:w="2743" w:type="dxa"/>
            <w:tcBorders>
              <w:left w:val="nil"/>
              <w:right w:val="nil"/>
            </w:tcBorders>
            <w:vAlign w:val="center"/>
          </w:tcPr>
          <w:p w14:paraId="2E2BE67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(5.6%)</w:t>
            </w:r>
          </w:p>
        </w:tc>
        <w:tc>
          <w:tcPr>
            <w:tcW w:w="3402" w:type="dxa"/>
            <w:tcBorders>
              <w:left w:val="nil"/>
              <w:right w:val="nil"/>
            </w:tcBorders>
            <w:vAlign w:val="center"/>
          </w:tcPr>
          <w:p w14:paraId="653554A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3402" w:type="dxa"/>
            <w:tcBorders>
              <w:left w:val="nil"/>
              <w:right w:val="nil"/>
            </w:tcBorders>
            <w:vAlign w:val="center"/>
          </w:tcPr>
          <w:p w14:paraId="49FE247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35CA159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441A7038" w14:textId="77777777" w:rsidTr="005F0211">
        <w:trPr>
          <w:trHeight w:val="277"/>
        </w:trPr>
        <w:tc>
          <w:tcPr>
            <w:tcW w:w="4770" w:type="dxa"/>
            <w:tcBorders>
              <w:left w:val="nil"/>
              <w:right w:val="nil"/>
            </w:tcBorders>
            <w:shd w:val="clear" w:color="auto" w:fill="auto"/>
            <w:vAlign w:val="center"/>
          </w:tcPr>
          <w:p w14:paraId="2F8669A1"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Neurologic </w:t>
            </w:r>
          </w:p>
        </w:tc>
        <w:tc>
          <w:tcPr>
            <w:tcW w:w="2743" w:type="dxa"/>
            <w:tcBorders>
              <w:left w:val="nil"/>
              <w:right w:val="nil"/>
            </w:tcBorders>
            <w:vAlign w:val="center"/>
          </w:tcPr>
          <w:p w14:paraId="528F0A32"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54870FA8"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5C7084A9"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639E1F0F"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0B63D490" w14:textId="77777777" w:rsidTr="005F0211">
        <w:trPr>
          <w:trHeight w:val="277"/>
        </w:trPr>
        <w:tc>
          <w:tcPr>
            <w:tcW w:w="4770" w:type="dxa"/>
            <w:tcBorders>
              <w:left w:val="nil"/>
              <w:right w:val="nil"/>
            </w:tcBorders>
            <w:shd w:val="clear" w:color="auto" w:fill="auto"/>
            <w:vAlign w:val="center"/>
          </w:tcPr>
          <w:p w14:paraId="454FF227"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Headache</w:t>
            </w:r>
          </w:p>
        </w:tc>
        <w:tc>
          <w:tcPr>
            <w:tcW w:w="2743" w:type="dxa"/>
            <w:tcBorders>
              <w:left w:val="nil"/>
              <w:right w:val="nil"/>
            </w:tcBorders>
            <w:vAlign w:val="center"/>
          </w:tcPr>
          <w:p w14:paraId="2709ABE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18 (100.0%)</w:t>
            </w:r>
          </w:p>
        </w:tc>
        <w:tc>
          <w:tcPr>
            <w:tcW w:w="3402" w:type="dxa"/>
            <w:tcBorders>
              <w:left w:val="nil"/>
              <w:right w:val="nil"/>
            </w:tcBorders>
            <w:vAlign w:val="center"/>
          </w:tcPr>
          <w:p w14:paraId="39142EF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6 (100.0%)</w:t>
            </w:r>
          </w:p>
        </w:tc>
        <w:tc>
          <w:tcPr>
            <w:tcW w:w="3402" w:type="dxa"/>
            <w:tcBorders>
              <w:left w:val="nil"/>
              <w:right w:val="nil"/>
            </w:tcBorders>
            <w:vAlign w:val="center"/>
          </w:tcPr>
          <w:p w14:paraId="565B354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12 (100.0%)</w:t>
            </w:r>
          </w:p>
        </w:tc>
        <w:tc>
          <w:tcPr>
            <w:tcW w:w="1003" w:type="dxa"/>
            <w:tcBorders>
              <w:left w:val="nil"/>
              <w:right w:val="nil"/>
            </w:tcBorders>
            <w:vAlign w:val="center"/>
          </w:tcPr>
          <w:p w14:paraId="041742A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w:t>
            </w:r>
          </w:p>
        </w:tc>
      </w:tr>
      <w:tr w:rsidR="003A31B2" w:rsidRPr="0052027F" w14:paraId="045FEE6D" w14:textId="77777777" w:rsidTr="005F0211">
        <w:trPr>
          <w:trHeight w:val="277"/>
        </w:trPr>
        <w:tc>
          <w:tcPr>
            <w:tcW w:w="4770" w:type="dxa"/>
            <w:tcBorders>
              <w:left w:val="nil"/>
              <w:right w:val="nil"/>
            </w:tcBorders>
            <w:shd w:val="clear" w:color="auto" w:fill="auto"/>
            <w:vAlign w:val="center"/>
          </w:tcPr>
          <w:p w14:paraId="0FDE4306"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Hemiparesis</w:t>
            </w:r>
          </w:p>
        </w:tc>
        <w:tc>
          <w:tcPr>
            <w:tcW w:w="2743" w:type="dxa"/>
            <w:tcBorders>
              <w:left w:val="nil"/>
              <w:right w:val="nil"/>
            </w:tcBorders>
            <w:vAlign w:val="center"/>
          </w:tcPr>
          <w:p w14:paraId="5CBE052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 (27.8%)</w:t>
            </w:r>
          </w:p>
        </w:tc>
        <w:tc>
          <w:tcPr>
            <w:tcW w:w="3402" w:type="dxa"/>
            <w:tcBorders>
              <w:left w:val="nil"/>
              <w:right w:val="nil"/>
            </w:tcBorders>
            <w:vAlign w:val="center"/>
          </w:tcPr>
          <w:p w14:paraId="00D9CB4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(33.3%)</w:t>
            </w:r>
          </w:p>
        </w:tc>
        <w:tc>
          <w:tcPr>
            <w:tcW w:w="3402" w:type="dxa"/>
            <w:tcBorders>
              <w:left w:val="nil"/>
              <w:right w:val="nil"/>
            </w:tcBorders>
            <w:vAlign w:val="center"/>
          </w:tcPr>
          <w:p w14:paraId="3E57DED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(25.0%)</w:t>
            </w:r>
          </w:p>
        </w:tc>
        <w:tc>
          <w:tcPr>
            <w:tcW w:w="1003" w:type="dxa"/>
            <w:tcBorders>
              <w:left w:val="nil"/>
              <w:right w:val="nil"/>
            </w:tcBorders>
            <w:vAlign w:val="center"/>
          </w:tcPr>
          <w:p w14:paraId="4C0C067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3216930F" w14:textId="77777777" w:rsidTr="005F0211">
        <w:trPr>
          <w:trHeight w:val="277"/>
        </w:trPr>
        <w:tc>
          <w:tcPr>
            <w:tcW w:w="4770" w:type="dxa"/>
            <w:tcBorders>
              <w:left w:val="nil"/>
              <w:right w:val="nil"/>
            </w:tcBorders>
            <w:shd w:val="clear" w:color="auto" w:fill="auto"/>
            <w:vAlign w:val="center"/>
          </w:tcPr>
          <w:p w14:paraId="6F4A891C"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Visual disturbance</w:t>
            </w:r>
          </w:p>
        </w:tc>
        <w:tc>
          <w:tcPr>
            <w:tcW w:w="2743" w:type="dxa"/>
            <w:tcBorders>
              <w:left w:val="nil"/>
              <w:right w:val="nil"/>
            </w:tcBorders>
            <w:vAlign w:val="center"/>
          </w:tcPr>
          <w:p w14:paraId="197AFC3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6 (33.3%)</w:t>
            </w:r>
          </w:p>
        </w:tc>
        <w:tc>
          <w:tcPr>
            <w:tcW w:w="3402" w:type="dxa"/>
            <w:tcBorders>
              <w:left w:val="nil"/>
              <w:right w:val="nil"/>
            </w:tcBorders>
            <w:vAlign w:val="center"/>
          </w:tcPr>
          <w:p w14:paraId="1E2BC72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(16.7%)</w:t>
            </w:r>
          </w:p>
        </w:tc>
        <w:tc>
          <w:tcPr>
            <w:tcW w:w="3402" w:type="dxa"/>
            <w:tcBorders>
              <w:left w:val="nil"/>
              <w:right w:val="nil"/>
            </w:tcBorders>
            <w:vAlign w:val="center"/>
          </w:tcPr>
          <w:p w14:paraId="10838A2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 (41.7%)</w:t>
            </w:r>
          </w:p>
        </w:tc>
        <w:tc>
          <w:tcPr>
            <w:tcW w:w="1003" w:type="dxa"/>
            <w:tcBorders>
              <w:left w:val="nil"/>
              <w:right w:val="nil"/>
            </w:tcBorders>
            <w:vAlign w:val="center"/>
          </w:tcPr>
          <w:p w14:paraId="21576DA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0.600</w:t>
            </w:r>
          </w:p>
        </w:tc>
      </w:tr>
      <w:tr w:rsidR="003A31B2" w:rsidRPr="0052027F" w14:paraId="7DEC919A" w14:textId="77777777" w:rsidTr="005F0211">
        <w:trPr>
          <w:trHeight w:val="277"/>
        </w:trPr>
        <w:tc>
          <w:tcPr>
            <w:tcW w:w="4770" w:type="dxa"/>
            <w:tcBorders>
              <w:left w:val="nil"/>
              <w:right w:val="nil"/>
            </w:tcBorders>
            <w:shd w:val="clear" w:color="auto" w:fill="auto"/>
            <w:vAlign w:val="center"/>
          </w:tcPr>
          <w:p w14:paraId="271475CD"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Dysphasia</w:t>
            </w:r>
          </w:p>
        </w:tc>
        <w:tc>
          <w:tcPr>
            <w:tcW w:w="2743" w:type="dxa"/>
            <w:tcBorders>
              <w:left w:val="nil"/>
              <w:right w:val="nil"/>
            </w:tcBorders>
            <w:vAlign w:val="center"/>
          </w:tcPr>
          <w:p w14:paraId="56F7FAA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(22.2%)</w:t>
            </w:r>
          </w:p>
        </w:tc>
        <w:tc>
          <w:tcPr>
            <w:tcW w:w="3402" w:type="dxa"/>
            <w:tcBorders>
              <w:left w:val="nil"/>
              <w:right w:val="nil"/>
            </w:tcBorders>
            <w:vAlign w:val="center"/>
          </w:tcPr>
          <w:p w14:paraId="0258004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(16.7%)</w:t>
            </w:r>
          </w:p>
        </w:tc>
        <w:tc>
          <w:tcPr>
            <w:tcW w:w="3402" w:type="dxa"/>
            <w:tcBorders>
              <w:left w:val="nil"/>
              <w:right w:val="nil"/>
            </w:tcBorders>
            <w:vAlign w:val="center"/>
          </w:tcPr>
          <w:p w14:paraId="050FB0A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(25.0%)</w:t>
            </w:r>
          </w:p>
        </w:tc>
        <w:tc>
          <w:tcPr>
            <w:tcW w:w="1003" w:type="dxa"/>
            <w:tcBorders>
              <w:left w:val="nil"/>
              <w:right w:val="nil"/>
            </w:tcBorders>
            <w:vAlign w:val="center"/>
          </w:tcPr>
          <w:p w14:paraId="45F90974"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1BE09225" w14:textId="77777777" w:rsidTr="005F0211">
        <w:trPr>
          <w:trHeight w:val="277"/>
        </w:trPr>
        <w:tc>
          <w:tcPr>
            <w:tcW w:w="4770" w:type="dxa"/>
            <w:tcBorders>
              <w:left w:val="nil"/>
              <w:bottom w:val="single" w:sz="4" w:space="0" w:color="auto"/>
              <w:right w:val="nil"/>
            </w:tcBorders>
            <w:shd w:val="clear" w:color="auto" w:fill="auto"/>
            <w:vAlign w:val="center"/>
          </w:tcPr>
          <w:p w14:paraId="779AB621"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Seizure</w:t>
            </w:r>
          </w:p>
        </w:tc>
        <w:tc>
          <w:tcPr>
            <w:tcW w:w="2743" w:type="dxa"/>
            <w:tcBorders>
              <w:left w:val="nil"/>
              <w:bottom w:val="single" w:sz="4" w:space="0" w:color="auto"/>
              <w:right w:val="nil"/>
            </w:tcBorders>
            <w:vAlign w:val="center"/>
          </w:tcPr>
          <w:p w14:paraId="054A137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(16.7%)</w:t>
            </w:r>
          </w:p>
        </w:tc>
        <w:tc>
          <w:tcPr>
            <w:tcW w:w="3402" w:type="dxa"/>
            <w:tcBorders>
              <w:left w:val="nil"/>
              <w:bottom w:val="single" w:sz="4" w:space="0" w:color="auto"/>
              <w:right w:val="nil"/>
            </w:tcBorders>
            <w:vAlign w:val="center"/>
          </w:tcPr>
          <w:p w14:paraId="05DA73D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3402" w:type="dxa"/>
            <w:tcBorders>
              <w:left w:val="nil"/>
              <w:bottom w:val="single" w:sz="4" w:space="0" w:color="auto"/>
              <w:right w:val="nil"/>
            </w:tcBorders>
            <w:vAlign w:val="center"/>
          </w:tcPr>
          <w:p w14:paraId="289B836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(25.0%)</w:t>
            </w:r>
          </w:p>
        </w:tc>
        <w:tc>
          <w:tcPr>
            <w:tcW w:w="1003" w:type="dxa"/>
            <w:tcBorders>
              <w:left w:val="nil"/>
              <w:bottom w:val="single" w:sz="4" w:space="0" w:color="auto"/>
              <w:right w:val="nil"/>
            </w:tcBorders>
            <w:vAlign w:val="center"/>
          </w:tcPr>
          <w:p w14:paraId="710D075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0.515</w:t>
            </w:r>
          </w:p>
        </w:tc>
      </w:tr>
      <w:tr w:rsidR="003A31B2" w:rsidRPr="0052027F" w14:paraId="5A298AAE" w14:textId="77777777" w:rsidTr="005F0211">
        <w:trPr>
          <w:trHeight w:val="277"/>
        </w:trPr>
        <w:tc>
          <w:tcPr>
            <w:tcW w:w="4770" w:type="dxa"/>
            <w:tcBorders>
              <w:top w:val="single" w:sz="4" w:space="0" w:color="auto"/>
              <w:left w:val="nil"/>
              <w:bottom w:val="single" w:sz="4" w:space="0" w:color="auto"/>
              <w:right w:val="nil"/>
            </w:tcBorders>
            <w:shd w:val="clear" w:color="auto" w:fill="auto"/>
            <w:vAlign w:val="center"/>
          </w:tcPr>
          <w:p w14:paraId="115345A0"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Thrombosis sites other than CVT </w:t>
            </w:r>
          </w:p>
        </w:tc>
        <w:tc>
          <w:tcPr>
            <w:tcW w:w="2743" w:type="dxa"/>
            <w:tcBorders>
              <w:top w:val="single" w:sz="4" w:space="0" w:color="auto"/>
              <w:left w:val="nil"/>
              <w:bottom w:val="single" w:sz="4" w:space="0" w:color="auto"/>
              <w:right w:val="nil"/>
            </w:tcBorders>
          </w:tcPr>
          <w:p w14:paraId="42A2B6B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(n=57)</w:t>
            </w:r>
          </w:p>
        </w:tc>
        <w:tc>
          <w:tcPr>
            <w:tcW w:w="3402" w:type="dxa"/>
            <w:tcBorders>
              <w:top w:val="single" w:sz="4" w:space="0" w:color="auto"/>
              <w:left w:val="nil"/>
              <w:bottom w:val="single" w:sz="4" w:space="0" w:color="auto"/>
              <w:right w:val="nil"/>
            </w:tcBorders>
          </w:tcPr>
          <w:p w14:paraId="7749193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(n=45)</w:t>
            </w:r>
          </w:p>
        </w:tc>
        <w:tc>
          <w:tcPr>
            <w:tcW w:w="3402" w:type="dxa"/>
            <w:tcBorders>
              <w:top w:val="single" w:sz="4" w:space="0" w:color="auto"/>
              <w:left w:val="nil"/>
              <w:bottom w:val="single" w:sz="4" w:space="0" w:color="auto"/>
              <w:right w:val="nil"/>
            </w:tcBorders>
          </w:tcPr>
          <w:p w14:paraId="4A58774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(n=12)</w:t>
            </w:r>
          </w:p>
        </w:tc>
        <w:tc>
          <w:tcPr>
            <w:tcW w:w="1003" w:type="dxa"/>
            <w:tcBorders>
              <w:top w:val="single" w:sz="4" w:space="0" w:color="auto"/>
              <w:left w:val="nil"/>
              <w:bottom w:val="single" w:sz="4" w:space="0" w:color="auto"/>
              <w:right w:val="nil"/>
            </w:tcBorders>
            <w:vAlign w:val="center"/>
          </w:tcPr>
          <w:p w14:paraId="3EE45F51"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59B0245B" w14:textId="77777777" w:rsidTr="005F0211">
        <w:trPr>
          <w:trHeight w:val="277"/>
        </w:trPr>
        <w:tc>
          <w:tcPr>
            <w:tcW w:w="4770" w:type="dxa"/>
            <w:tcBorders>
              <w:top w:val="single" w:sz="4" w:space="0" w:color="auto"/>
              <w:left w:val="nil"/>
              <w:right w:val="nil"/>
            </w:tcBorders>
            <w:shd w:val="clear" w:color="auto" w:fill="auto"/>
            <w:vAlign w:val="center"/>
          </w:tcPr>
          <w:p w14:paraId="06BA1067"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 Lung</w:t>
            </w:r>
          </w:p>
        </w:tc>
        <w:tc>
          <w:tcPr>
            <w:tcW w:w="2743" w:type="dxa"/>
            <w:tcBorders>
              <w:top w:val="single" w:sz="4" w:space="0" w:color="auto"/>
              <w:left w:val="nil"/>
              <w:right w:val="nil"/>
            </w:tcBorders>
            <w:vAlign w:val="center"/>
          </w:tcPr>
          <w:p w14:paraId="2B13F511" w14:textId="77777777" w:rsidR="003A31B2" w:rsidRPr="0052027F" w:rsidRDefault="003A31B2" w:rsidP="005F0211">
            <w:pPr>
              <w:widowControl/>
              <w:wordWrap/>
              <w:autoSpaceDE/>
              <w:autoSpaceDN/>
              <w:jc w:val="center"/>
              <w:rPr>
                <w:rFonts w:eastAsia="Malgun Gothic"/>
                <w:b/>
                <w:bCs/>
                <w:color w:val="000000"/>
                <w:kern w:val="0"/>
                <w:szCs w:val="20"/>
              </w:rPr>
            </w:pPr>
          </w:p>
        </w:tc>
        <w:tc>
          <w:tcPr>
            <w:tcW w:w="3402" w:type="dxa"/>
            <w:tcBorders>
              <w:top w:val="single" w:sz="4" w:space="0" w:color="auto"/>
              <w:left w:val="nil"/>
              <w:right w:val="nil"/>
            </w:tcBorders>
            <w:vAlign w:val="center"/>
          </w:tcPr>
          <w:p w14:paraId="37AD691D" w14:textId="77777777" w:rsidR="003A31B2" w:rsidRPr="0052027F" w:rsidRDefault="003A31B2" w:rsidP="005F0211">
            <w:pPr>
              <w:widowControl/>
              <w:wordWrap/>
              <w:autoSpaceDE/>
              <w:autoSpaceDN/>
              <w:jc w:val="center"/>
              <w:rPr>
                <w:rFonts w:eastAsia="Malgun Gothic"/>
                <w:b/>
                <w:bCs/>
                <w:color w:val="000000"/>
                <w:kern w:val="0"/>
                <w:szCs w:val="20"/>
              </w:rPr>
            </w:pPr>
          </w:p>
        </w:tc>
        <w:tc>
          <w:tcPr>
            <w:tcW w:w="3402" w:type="dxa"/>
            <w:tcBorders>
              <w:top w:val="single" w:sz="4" w:space="0" w:color="auto"/>
              <w:left w:val="nil"/>
              <w:right w:val="nil"/>
            </w:tcBorders>
            <w:vAlign w:val="center"/>
          </w:tcPr>
          <w:p w14:paraId="12A65282" w14:textId="77777777" w:rsidR="003A31B2" w:rsidRPr="0052027F" w:rsidRDefault="003A31B2" w:rsidP="005F0211">
            <w:pPr>
              <w:widowControl/>
              <w:wordWrap/>
              <w:autoSpaceDE/>
              <w:autoSpaceDN/>
              <w:jc w:val="center"/>
              <w:rPr>
                <w:rFonts w:eastAsia="Malgun Gothic"/>
                <w:b/>
                <w:bCs/>
                <w:color w:val="000000"/>
                <w:kern w:val="0"/>
                <w:szCs w:val="20"/>
              </w:rPr>
            </w:pPr>
          </w:p>
        </w:tc>
        <w:tc>
          <w:tcPr>
            <w:tcW w:w="1003" w:type="dxa"/>
            <w:tcBorders>
              <w:top w:val="single" w:sz="4" w:space="0" w:color="auto"/>
              <w:left w:val="nil"/>
              <w:right w:val="nil"/>
            </w:tcBorders>
            <w:vAlign w:val="center"/>
          </w:tcPr>
          <w:p w14:paraId="11B7F7F5"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532A5EF1" w14:textId="77777777" w:rsidTr="005F0211">
        <w:trPr>
          <w:trHeight w:val="277"/>
        </w:trPr>
        <w:tc>
          <w:tcPr>
            <w:tcW w:w="4770" w:type="dxa"/>
            <w:tcBorders>
              <w:left w:val="nil"/>
              <w:right w:val="nil"/>
            </w:tcBorders>
            <w:shd w:val="clear" w:color="auto" w:fill="auto"/>
            <w:vAlign w:val="center"/>
          </w:tcPr>
          <w:p w14:paraId="556F934B"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Pulmonary embolism</w:t>
            </w:r>
          </w:p>
        </w:tc>
        <w:tc>
          <w:tcPr>
            <w:tcW w:w="2743" w:type="dxa"/>
            <w:tcBorders>
              <w:left w:val="nil"/>
              <w:right w:val="nil"/>
            </w:tcBorders>
            <w:vAlign w:val="center"/>
          </w:tcPr>
          <w:p w14:paraId="34729517"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11 (19.3%)</w:t>
            </w:r>
          </w:p>
        </w:tc>
        <w:tc>
          <w:tcPr>
            <w:tcW w:w="3402" w:type="dxa"/>
            <w:tcBorders>
              <w:left w:val="nil"/>
              <w:right w:val="nil"/>
            </w:tcBorders>
            <w:vAlign w:val="center"/>
          </w:tcPr>
          <w:p w14:paraId="2ACE5BF6"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8 (17.8%)</w:t>
            </w:r>
          </w:p>
        </w:tc>
        <w:tc>
          <w:tcPr>
            <w:tcW w:w="3402" w:type="dxa"/>
            <w:tcBorders>
              <w:left w:val="nil"/>
              <w:right w:val="nil"/>
            </w:tcBorders>
            <w:vAlign w:val="center"/>
          </w:tcPr>
          <w:p w14:paraId="49AAC695"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3 (25.0%)</w:t>
            </w:r>
          </w:p>
        </w:tc>
        <w:tc>
          <w:tcPr>
            <w:tcW w:w="1003" w:type="dxa"/>
            <w:tcBorders>
              <w:left w:val="nil"/>
              <w:right w:val="nil"/>
            </w:tcBorders>
            <w:vAlign w:val="center"/>
          </w:tcPr>
          <w:p w14:paraId="3791104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0.879</w:t>
            </w:r>
          </w:p>
        </w:tc>
      </w:tr>
      <w:tr w:rsidR="003A31B2" w:rsidRPr="0052027F" w14:paraId="15320AA4" w14:textId="77777777" w:rsidTr="005F0211">
        <w:trPr>
          <w:trHeight w:val="277"/>
        </w:trPr>
        <w:tc>
          <w:tcPr>
            <w:tcW w:w="4770" w:type="dxa"/>
            <w:tcBorders>
              <w:left w:val="nil"/>
              <w:right w:val="nil"/>
            </w:tcBorders>
            <w:shd w:val="clear" w:color="auto" w:fill="auto"/>
            <w:vAlign w:val="center"/>
          </w:tcPr>
          <w:p w14:paraId="1B8913A7"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w:t>
            </w:r>
            <w:r w:rsidRPr="0052027F">
              <w:rPr>
                <w:rFonts w:eastAsia="Malgun Gothic"/>
                <w:color w:val="000000"/>
                <w:kern w:val="0"/>
                <w:szCs w:val="20"/>
              </w:rPr>
              <w:t>Other thrombosis in the lung</w:t>
            </w:r>
          </w:p>
        </w:tc>
        <w:tc>
          <w:tcPr>
            <w:tcW w:w="2743" w:type="dxa"/>
            <w:tcBorders>
              <w:left w:val="nil"/>
              <w:right w:val="nil"/>
            </w:tcBorders>
            <w:vAlign w:val="center"/>
          </w:tcPr>
          <w:p w14:paraId="74C3A7C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(1.8%)</w:t>
            </w:r>
          </w:p>
        </w:tc>
        <w:tc>
          <w:tcPr>
            <w:tcW w:w="3402" w:type="dxa"/>
            <w:tcBorders>
              <w:left w:val="nil"/>
              <w:right w:val="nil"/>
            </w:tcBorders>
            <w:vAlign w:val="center"/>
          </w:tcPr>
          <w:p w14:paraId="1109AE9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right w:val="nil"/>
            </w:tcBorders>
            <w:vAlign w:val="center"/>
          </w:tcPr>
          <w:p w14:paraId="3B7C344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26EE0B3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4D05595B" w14:textId="77777777" w:rsidTr="005F0211">
        <w:trPr>
          <w:trHeight w:val="277"/>
        </w:trPr>
        <w:tc>
          <w:tcPr>
            <w:tcW w:w="4770" w:type="dxa"/>
            <w:tcBorders>
              <w:left w:val="nil"/>
              <w:right w:val="nil"/>
            </w:tcBorders>
            <w:shd w:val="clear" w:color="auto" w:fill="auto"/>
            <w:vAlign w:val="center"/>
          </w:tcPr>
          <w:p w14:paraId="3BCEE323"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b/>
                <w:bCs/>
                <w:color w:val="000000"/>
                <w:kern w:val="0"/>
                <w:szCs w:val="20"/>
              </w:rPr>
              <w:t xml:space="preserve"> Gastrointestinal</w:t>
            </w:r>
          </w:p>
        </w:tc>
        <w:tc>
          <w:tcPr>
            <w:tcW w:w="2743" w:type="dxa"/>
            <w:tcBorders>
              <w:left w:val="nil"/>
              <w:right w:val="nil"/>
            </w:tcBorders>
            <w:vAlign w:val="center"/>
          </w:tcPr>
          <w:p w14:paraId="0AEC79FA"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2D103181"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6147F8DA"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2122BEFB"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0879D450" w14:textId="77777777" w:rsidTr="005F0211">
        <w:trPr>
          <w:trHeight w:val="277"/>
        </w:trPr>
        <w:tc>
          <w:tcPr>
            <w:tcW w:w="4770" w:type="dxa"/>
            <w:tcBorders>
              <w:left w:val="nil"/>
              <w:right w:val="nil"/>
            </w:tcBorders>
            <w:shd w:val="clear" w:color="auto" w:fill="auto"/>
            <w:vAlign w:val="center"/>
          </w:tcPr>
          <w:p w14:paraId="6141DE69"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Portal vein thrombosis</w:t>
            </w:r>
          </w:p>
        </w:tc>
        <w:tc>
          <w:tcPr>
            <w:tcW w:w="2743" w:type="dxa"/>
            <w:tcBorders>
              <w:left w:val="nil"/>
              <w:right w:val="nil"/>
            </w:tcBorders>
            <w:vAlign w:val="center"/>
          </w:tcPr>
          <w:p w14:paraId="36FE40A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 (12.3%)</w:t>
            </w:r>
          </w:p>
        </w:tc>
        <w:tc>
          <w:tcPr>
            <w:tcW w:w="3402" w:type="dxa"/>
            <w:tcBorders>
              <w:left w:val="nil"/>
              <w:right w:val="nil"/>
            </w:tcBorders>
            <w:vAlign w:val="center"/>
          </w:tcPr>
          <w:p w14:paraId="53023C3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5 (11.1%)</w:t>
            </w:r>
          </w:p>
        </w:tc>
        <w:tc>
          <w:tcPr>
            <w:tcW w:w="3402" w:type="dxa"/>
            <w:tcBorders>
              <w:left w:val="nil"/>
              <w:right w:val="nil"/>
            </w:tcBorders>
            <w:vAlign w:val="center"/>
          </w:tcPr>
          <w:p w14:paraId="17CC56F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(16.7%)</w:t>
            </w:r>
          </w:p>
        </w:tc>
        <w:tc>
          <w:tcPr>
            <w:tcW w:w="1003" w:type="dxa"/>
            <w:tcBorders>
              <w:left w:val="nil"/>
              <w:right w:val="nil"/>
            </w:tcBorders>
            <w:vAlign w:val="center"/>
          </w:tcPr>
          <w:p w14:paraId="1530B41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0.979</w:t>
            </w:r>
          </w:p>
        </w:tc>
      </w:tr>
      <w:tr w:rsidR="003A31B2" w:rsidRPr="0052027F" w14:paraId="7DE9A793" w14:textId="77777777" w:rsidTr="005F0211">
        <w:trPr>
          <w:trHeight w:val="277"/>
        </w:trPr>
        <w:tc>
          <w:tcPr>
            <w:tcW w:w="4770" w:type="dxa"/>
            <w:tcBorders>
              <w:left w:val="nil"/>
              <w:right w:val="nil"/>
            </w:tcBorders>
            <w:shd w:val="clear" w:color="auto" w:fill="auto"/>
            <w:vAlign w:val="center"/>
          </w:tcPr>
          <w:p w14:paraId="44D2C180"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Hepatic vein thrombosis</w:t>
            </w:r>
          </w:p>
        </w:tc>
        <w:tc>
          <w:tcPr>
            <w:tcW w:w="2743" w:type="dxa"/>
            <w:tcBorders>
              <w:left w:val="nil"/>
              <w:right w:val="nil"/>
            </w:tcBorders>
            <w:vAlign w:val="center"/>
          </w:tcPr>
          <w:p w14:paraId="64562D6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(3.5%)</w:t>
            </w:r>
          </w:p>
        </w:tc>
        <w:tc>
          <w:tcPr>
            <w:tcW w:w="3402" w:type="dxa"/>
            <w:tcBorders>
              <w:left w:val="nil"/>
              <w:right w:val="nil"/>
            </w:tcBorders>
            <w:vAlign w:val="center"/>
          </w:tcPr>
          <w:p w14:paraId="5919BE4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right w:val="nil"/>
            </w:tcBorders>
            <w:vAlign w:val="center"/>
          </w:tcPr>
          <w:p w14:paraId="4BA6C56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57EEC43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0.889</w:t>
            </w:r>
          </w:p>
        </w:tc>
      </w:tr>
      <w:tr w:rsidR="003A31B2" w:rsidRPr="0052027F" w14:paraId="3D004BCB" w14:textId="77777777" w:rsidTr="005F0211">
        <w:trPr>
          <w:trHeight w:val="277"/>
        </w:trPr>
        <w:tc>
          <w:tcPr>
            <w:tcW w:w="4770" w:type="dxa"/>
            <w:tcBorders>
              <w:left w:val="nil"/>
              <w:right w:val="nil"/>
            </w:tcBorders>
            <w:shd w:val="clear" w:color="auto" w:fill="auto"/>
            <w:vAlign w:val="center"/>
          </w:tcPr>
          <w:p w14:paraId="07CEA472"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Splenic vein thrombosis</w:t>
            </w:r>
          </w:p>
        </w:tc>
        <w:tc>
          <w:tcPr>
            <w:tcW w:w="2743" w:type="dxa"/>
            <w:tcBorders>
              <w:left w:val="nil"/>
              <w:right w:val="nil"/>
            </w:tcBorders>
            <w:vAlign w:val="center"/>
          </w:tcPr>
          <w:p w14:paraId="1D876E9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(3.5%)</w:t>
            </w:r>
          </w:p>
        </w:tc>
        <w:tc>
          <w:tcPr>
            <w:tcW w:w="3402" w:type="dxa"/>
            <w:tcBorders>
              <w:left w:val="nil"/>
              <w:right w:val="nil"/>
            </w:tcBorders>
            <w:vAlign w:val="center"/>
          </w:tcPr>
          <w:p w14:paraId="6FA9C9F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right w:val="nil"/>
            </w:tcBorders>
            <w:vAlign w:val="center"/>
          </w:tcPr>
          <w:p w14:paraId="5FB66E1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74AA1BF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0.889</w:t>
            </w:r>
          </w:p>
        </w:tc>
      </w:tr>
      <w:tr w:rsidR="003A31B2" w:rsidRPr="0052027F" w14:paraId="7660F49D" w14:textId="77777777" w:rsidTr="005F0211">
        <w:trPr>
          <w:trHeight w:val="277"/>
        </w:trPr>
        <w:tc>
          <w:tcPr>
            <w:tcW w:w="4770" w:type="dxa"/>
            <w:tcBorders>
              <w:left w:val="nil"/>
              <w:right w:val="nil"/>
            </w:tcBorders>
            <w:shd w:val="clear" w:color="auto" w:fill="auto"/>
            <w:vAlign w:val="center"/>
          </w:tcPr>
          <w:p w14:paraId="4F687BE5"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w:t>
            </w:r>
            <w:r w:rsidRPr="0052027F">
              <w:rPr>
                <w:rFonts w:eastAsia="Malgun Gothic"/>
                <w:color w:val="000000"/>
                <w:kern w:val="0"/>
                <w:szCs w:val="20"/>
              </w:rPr>
              <w:t>Other thrombosis in the liver</w:t>
            </w:r>
          </w:p>
        </w:tc>
        <w:tc>
          <w:tcPr>
            <w:tcW w:w="2743" w:type="dxa"/>
            <w:tcBorders>
              <w:left w:val="nil"/>
              <w:right w:val="nil"/>
            </w:tcBorders>
            <w:vAlign w:val="center"/>
          </w:tcPr>
          <w:p w14:paraId="7665CF2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(7.0%)</w:t>
            </w:r>
          </w:p>
        </w:tc>
        <w:tc>
          <w:tcPr>
            <w:tcW w:w="3402" w:type="dxa"/>
            <w:tcBorders>
              <w:left w:val="nil"/>
              <w:right w:val="nil"/>
            </w:tcBorders>
            <w:vAlign w:val="center"/>
          </w:tcPr>
          <w:p w14:paraId="3AC9695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(8.9%)</w:t>
            </w:r>
          </w:p>
        </w:tc>
        <w:tc>
          <w:tcPr>
            <w:tcW w:w="3402" w:type="dxa"/>
            <w:tcBorders>
              <w:left w:val="nil"/>
              <w:right w:val="nil"/>
            </w:tcBorders>
            <w:vAlign w:val="center"/>
          </w:tcPr>
          <w:p w14:paraId="5BDAAB15"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6EE2303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0.663</w:t>
            </w:r>
          </w:p>
        </w:tc>
      </w:tr>
      <w:tr w:rsidR="003A31B2" w:rsidRPr="0052027F" w14:paraId="50CC7955" w14:textId="77777777" w:rsidTr="005F0211">
        <w:trPr>
          <w:trHeight w:val="277"/>
        </w:trPr>
        <w:tc>
          <w:tcPr>
            <w:tcW w:w="4770" w:type="dxa"/>
            <w:tcBorders>
              <w:left w:val="nil"/>
              <w:right w:val="nil"/>
            </w:tcBorders>
            <w:shd w:val="clear" w:color="auto" w:fill="auto"/>
            <w:vAlign w:val="center"/>
          </w:tcPr>
          <w:p w14:paraId="00951942"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Mesenteric vein thrombosis</w:t>
            </w:r>
          </w:p>
        </w:tc>
        <w:tc>
          <w:tcPr>
            <w:tcW w:w="2743" w:type="dxa"/>
            <w:tcBorders>
              <w:left w:val="nil"/>
              <w:right w:val="nil"/>
            </w:tcBorders>
            <w:vAlign w:val="center"/>
          </w:tcPr>
          <w:p w14:paraId="72F6B3F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(1.8%)</w:t>
            </w:r>
          </w:p>
        </w:tc>
        <w:tc>
          <w:tcPr>
            <w:tcW w:w="3402" w:type="dxa"/>
            <w:tcBorders>
              <w:left w:val="nil"/>
              <w:right w:val="nil"/>
            </w:tcBorders>
            <w:vAlign w:val="center"/>
          </w:tcPr>
          <w:p w14:paraId="7D6222E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3402" w:type="dxa"/>
            <w:tcBorders>
              <w:left w:val="nil"/>
              <w:right w:val="nil"/>
            </w:tcBorders>
            <w:vAlign w:val="center"/>
          </w:tcPr>
          <w:p w14:paraId="38E1008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2ADF3A4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0.474</w:t>
            </w:r>
          </w:p>
        </w:tc>
      </w:tr>
      <w:tr w:rsidR="003A31B2" w:rsidRPr="0052027F" w14:paraId="2BA93AB6" w14:textId="77777777" w:rsidTr="005F0211">
        <w:trPr>
          <w:trHeight w:val="277"/>
        </w:trPr>
        <w:tc>
          <w:tcPr>
            <w:tcW w:w="4770" w:type="dxa"/>
            <w:tcBorders>
              <w:left w:val="nil"/>
              <w:right w:val="nil"/>
            </w:tcBorders>
            <w:shd w:val="clear" w:color="auto" w:fill="auto"/>
            <w:vAlign w:val="center"/>
          </w:tcPr>
          <w:p w14:paraId="4F579828"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Other thrombosis in the bowel</w:t>
            </w:r>
          </w:p>
        </w:tc>
        <w:tc>
          <w:tcPr>
            <w:tcW w:w="2743" w:type="dxa"/>
            <w:tcBorders>
              <w:left w:val="nil"/>
              <w:right w:val="nil"/>
            </w:tcBorders>
            <w:vAlign w:val="center"/>
          </w:tcPr>
          <w:p w14:paraId="6E750E0C"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(3.5%)</w:t>
            </w:r>
          </w:p>
        </w:tc>
        <w:tc>
          <w:tcPr>
            <w:tcW w:w="3402" w:type="dxa"/>
            <w:tcBorders>
              <w:left w:val="nil"/>
              <w:right w:val="nil"/>
            </w:tcBorders>
            <w:vAlign w:val="center"/>
          </w:tcPr>
          <w:p w14:paraId="1BA8C23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2 (4.4%)</w:t>
            </w:r>
          </w:p>
        </w:tc>
        <w:tc>
          <w:tcPr>
            <w:tcW w:w="3402" w:type="dxa"/>
            <w:tcBorders>
              <w:left w:val="nil"/>
              <w:right w:val="nil"/>
            </w:tcBorders>
            <w:vAlign w:val="center"/>
          </w:tcPr>
          <w:p w14:paraId="342EB7EE"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7F52EF0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0C249052" w14:textId="77777777" w:rsidTr="005F0211">
        <w:trPr>
          <w:trHeight w:val="277"/>
        </w:trPr>
        <w:tc>
          <w:tcPr>
            <w:tcW w:w="4770" w:type="dxa"/>
            <w:tcBorders>
              <w:left w:val="nil"/>
              <w:right w:val="nil"/>
            </w:tcBorders>
            <w:shd w:val="clear" w:color="auto" w:fill="auto"/>
            <w:vAlign w:val="center"/>
          </w:tcPr>
          <w:p w14:paraId="163E1722"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w:t>
            </w:r>
            <w:r w:rsidRPr="0052027F">
              <w:rPr>
                <w:rFonts w:eastAsia="Malgun Gothic"/>
                <w:b/>
                <w:bCs/>
                <w:color w:val="000000"/>
                <w:kern w:val="0"/>
                <w:szCs w:val="20"/>
              </w:rPr>
              <w:t>Heart</w:t>
            </w:r>
          </w:p>
        </w:tc>
        <w:tc>
          <w:tcPr>
            <w:tcW w:w="2743" w:type="dxa"/>
            <w:tcBorders>
              <w:left w:val="nil"/>
              <w:right w:val="nil"/>
            </w:tcBorders>
            <w:vAlign w:val="center"/>
          </w:tcPr>
          <w:p w14:paraId="670A43F9"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0FDE9262"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68A274CB"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3B677C9E"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742753A8" w14:textId="77777777" w:rsidTr="005F0211">
        <w:trPr>
          <w:trHeight w:val="277"/>
        </w:trPr>
        <w:tc>
          <w:tcPr>
            <w:tcW w:w="4770" w:type="dxa"/>
            <w:tcBorders>
              <w:left w:val="nil"/>
              <w:right w:val="nil"/>
            </w:tcBorders>
            <w:shd w:val="clear" w:color="auto" w:fill="auto"/>
            <w:vAlign w:val="center"/>
          </w:tcPr>
          <w:p w14:paraId="71C141DF"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Intraventricular thrombosis</w:t>
            </w:r>
          </w:p>
        </w:tc>
        <w:tc>
          <w:tcPr>
            <w:tcW w:w="2743" w:type="dxa"/>
            <w:tcBorders>
              <w:left w:val="nil"/>
              <w:right w:val="nil"/>
            </w:tcBorders>
            <w:vAlign w:val="center"/>
          </w:tcPr>
          <w:p w14:paraId="1E090F0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(1.8%)</w:t>
            </w:r>
          </w:p>
        </w:tc>
        <w:tc>
          <w:tcPr>
            <w:tcW w:w="3402" w:type="dxa"/>
            <w:tcBorders>
              <w:left w:val="nil"/>
              <w:right w:val="nil"/>
            </w:tcBorders>
            <w:vAlign w:val="center"/>
          </w:tcPr>
          <w:p w14:paraId="5C928C0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right w:val="nil"/>
            </w:tcBorders>
            <w:vAlign w:val="center"/>
          </w:tcPr>
          <w:p w14:paraId="7D12FED9"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right w:val="nil"/>
            </w:tcBorders>
            <w:vAlign w:val="center"/>
          </w:tcPr>
          <w:p w14:paraId="5CC7B2E8"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24D8DB10" w14:textId="77777777" w:rsidTr="005F0211">
        <w:trPr>
          <w:trHeight w:val="277"/>
        </w:trPr>
        <w:tc>
          <w:tcPr>
            <w:tcW w:w="4770" w:type="dxa"/>
            <w:tcBorders>
              <w:left w:val="nil"/>
              <w:right w:val="nil"/>
            </w:tcBorders>
            <w:shd w:val="clear" w:color="auto" w:fill="auto"/>
            <w:vAlign w:val="center"/>
          </w:tcPr>
          <w:p w14:paraId="23C14B05"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b/>
                <w:bCs/>
                <w:color w:val="000000"/>
                <w:kern w:val="0"/>
                <w:szCs w:val="20"/>
              </w:rPr>
              <w:t xml:space="preserve"> Large vessels</w:t>
            </w:r>
          </w:p>
        </w:tc>
        <w:tc>
          <w:tcPr>
            <w:tcW w:w="2743" w:type="dxa"/>
            <w:tcBorders>
              <w:left w:val="nil"/>
              <w:right w:val="nil"/>
            </w:tcBorders>
            <w:vAlign w:val="center"/>
          </w:tcPr>
          <w:p w14:paraId="4967C360"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2CBF1B6F" w14:textId="77777777" w:rsidR="003A31B2" w:rsidRPr="0052027F" w:rsidRDefault="003A31B2" w:rsidP="005F0211">
            <w:pPr>
              <w:widowControl/>
              <w:wordWrap/>
              <w:autoSpaceDE/>
              <w:autoSpaceDN/>
              <w:jc w:val="center"/>
              <w:rPr>
                <w:rFonts w:eastAsia="Malgun Gothic"/>
                <w:color w:val="000000"/>
                <w:kern w:val="0"/>
                <w:szCs w:val="20"/>
              </w:rPr>
            </w:pPr>
          </w:p>
        </w:tc>
        <w:tc>
          <w:tcPr>
            <w:tcW w:w="3402" w:type="dxa"/>
            <w:tcBorders>
              <w:left w:val="nil"/>
              <w:right w:val="nil"/>
            </w:tcBorders>
            <w:vAlign w:val="center"/>
          </w:tcPr>
          <w:p w14:paraId="3A8C37D5" w14:textId="77777777" w:rsidR="003A31B2" w:rsidRPr="0052027F" w:rsidRDefault="003A31B2" w:rsidP="005F0211">
            <w:pPr>
              <w:widowControl/>
              <w:wordWrap/>
              <w:autoSpaceDE/>
              <w:autoSpaceDN/>
              <w:jc w:val="center"/>
              <w:rPr>
                <w:rFonts w:eastAsia="Malgun Gothic"/>
                <w:color w:val="000000"/>
                <w:kern w:val="0"/>
                <w:szCs w:val="20"/>
              </w:rPr>
            </w:pPr>
          </w:p>
        </w:tc>
        <w:tc>
          <w:tcPr>
            <w:tcW w:w="1003" w:type="dxa"/>
            <w:tcBorders>
              <w:left w:val="nil"/>
              <w:right w:val="nil"/>
            </w:tcBorders>
            <w:vAlign w:val="center"/>
          </w:tcPr>
          <w:p w14:paraId="3046BD4C" w14:textId="77777777" w:rsidR="003A31B2" w:rsidRPr="0052027F" w:rsidRDefault="003A31B2" w:rsidP="005F0211">
            <w:pPr>
              <w:widowControl/>
              <w:wordWrap/>
              <w:autoSpaceDE/>
              <w:autoSpaceDN/>
              <w:jc w:val="center"/>
              <w:rPr>
                <w:rFonts w:eastAsia="Malgun Gothic"/>
                <w:color w:val="000000"/>
                <w:kern w:val="0"/>
                <w:szCs w:val="20"/>
              </w:rPr>
            </w:pPr>
          </w:p>
        </w:tc>
      </w:tr>
      <w:tr w:rsidR="003A31B2" w:rsidRPr="0052027F" w14:paraId="49ABE200" w14:textId="77777777" w:rsidTr="005F0211">
        <w:trPr>
          <w:trHeight w:val="277"/>
        </w:trPr>
        <w:tc>
          <w:tcPr>
            <w:tcW w:w="4770" w:type="dxa"/>
            <w:tcBorders>
              <w:left w:val="nil"/>
              <w:right w:val="nil"/>
            </w:tcBorders>
            <w:shd w:val="clear" w:color="auto" w:fill="auto"/>
            <w:vAlign w:val="center"/>
          </w:tcPr>
          <w:p w14:paraId="2E58AF1C" w14:textId="77777777" w:rsidR="003A31B2" w:rsidRPr="0052027F" w:rsidRDefault="003A31B2" w:rsidP="005F0211">
            <w:pPr>
              <w:widowControl/>
              <w:wordWrap/>
              <w:autoSpaceDE/>
              <w:autoSpaceDN/>
              <w:rPr>
                <w:rFonts w:eastAsia="Malgun Gothic"/>
                <w:b/>
                <w:bCs/>
                <w:color w:val="000000"/>
                <w:kern w:val="0"/>
                <w:szCs w:val="20"/>
              </w:rPr>
            </w:pPr>
            <w:r w:rsidRPr="0052027F">
              <w:rPr>
                <w:rFonts w:eastAsia="Malgun Gothic"/>
                <w:color w:val="000000"/>
                <w:kern w:val="0"/>
                <w:szCs w:val="20"/>
              </w:rPr>
              <w:t xml:space="preserve">  Aortoiliac</w:t>
            </w:r>
          </w:p>
        </w:tc>
        <w:tc>
          <w:tcPr>
            <w:tcW w:w="2743" w:type="dxa"/>
            <w:tcBorders>
              <w:left w:val="nil"/>
              <w:right w:val="nil"/>
            </w:tcBorders>
            <w:vAlign w:val="center"/>
          </w:tcPr>
          <w:p w14:paraId="1B4284CA"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4 (7.0%)</w:t>
            </w:r>
          </w:p>
        </w:tc>
        <w:tc>
          <w:tcPr>
            <w:tcW w:w="3402" w:type="dxa"/>
            <w:tcBorders>
              <w:left w:val="nil"/>
              <w:right w:val="nil"/>
            </w:tcBorders>
            <w:vAlign w:val="center"/>
          </w:tcPr>
          <w:p w14:paraId="61ECF506"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3 (6.7%)</w:t>
            </w:r>
          </w:p>
        </w:tc>
        <w:tc>
          <w:tcPr>
            <w:tcW w:w="3402" w:type="dxa"/>
            <w:tcBorders>
              <w:left w:val="nil"/>
              <w:right w:val="nil"/>
            </w:tcBorders>
            <w:vAlign w:val="center"/>
          </w:tcPr>
          <w:p w14:paraId="5A80D77F"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(8.3%)</w:t>
            </w:r>
          </w:p>
        </w:tc>
        <w:tc>
          <w:tcPr>
            <w:tcW w:w="1003" w:type="dxa"/>
            <w:tcBorders>
              <w:left w:val="nil"/>
              <w:right w:val="nil"/>
            </w:tcBorders>
            <w:vAlign w:val="center"/>
          </w:tcPr>
          <w:p w14:paraId="1BD807B1"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1.000</w:t>
            </w:r>
          </w:p>
        </w:tc>
      </w:tr>
      <w:tr w:rsidR="003A31B2" w:rsidRPr="0052027F" w14:paraId="3E7AC2EC" w14:textId="77777777" w:rsidTr="005F0211">
        <w:trPr>
          <w:trHeight w:val="277"/>
        </w:trPr>
        <w:tc>
          <w:tcPr>
            <w:tcW w:w="4770" w:type="dxa"/>
            <w:tcBorders>
              <w:left w:val="nil"/>
              <w:right w:val="nil"/>
            </w:tcBorders>
            <w:shd w:val="clear" w:color="auto" w:fill="auto"/>
            <w:vAlign w:val="center"/>
          </w:tcPr>
          <w:p w14:paraId="6209E587"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Internal jugular vein (IJV)</w:t>
            </w:r>
          </w:p>
        </w:tc>
        <w:tc>
          <w:tcPr>
            <w:tcW w:w="2743" w:type="dxa"/>
            <w:tcBorders>
              <w:left w:val="nil"/>
              <w:right w:val="nil"/>
            </w:tcBorders>
            <w:vAlign w:val="center"/>
          </w:tcPr>
          <w:p w14:paraId="30B7497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7 (12.3%)</w:t>
            </w:r>
          </w:p>
        </w:tc>
        <w:tc>
          <w:tcPr>
            <w:tcW w:w="3402" w:type="dxa"/>
            <w:tcBorders>
              <w:left w:val="nil"/>
              <w:right w:val="nil"/>
            </w:tcBorders>
            <w:vAlign w:val="center"/>
          </w:tcPr>
          <w:p w14:paraId="028ABA9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right w:val="nil"/>
            </w:tcBorders>
            <w:vAlign w:val="center"/>
          </w:tcPr>
          <w:p w14:paraId="1F242013"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6 (50.0%)</w:t>
            </w:r>
          </w:p>
        </w:tc>
        <w:tc>
          <w:tcPr>
            <w:tcW w:w="1003" w:type="dxa"/>
            <w:tcBorders>
              <w:left w:val="nil"/>
              <w:right w:val="nil"/>
            </w:tcBorders>
            <w:vAlign w:val="center"/>
          </w:tcPr>
          <w:p w14:paraId="47EF32C0"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b/>
                <w:bCs/>
                <w:color w:val="000000"/>
                <w:kern w:val="0"/>
                <w:szCs w:val="20"/>
              </w:rPr>
              <w:t>&lt; 0.001</w:t>
            </w:r>
          </w:p>
        </w:tc>
      </w:tr>
      <w:tr w:rsidR="003A31B2" w:rsidRPr="0052027F" w14:paraId="4ED79A3F" w14:textId="77777777" w:rsidTr="005F0211">
        <w:trPr>
          <w:trHeight w:val="277"/>
        </w:trPr>
        <w:tc>
          <w:tcPr>
            <w:tcW w:w="4770" w:type="dxa"/>
            <w:tcBorders>
              <w:left w:val="nil"/>
              <w:bottom w:val="single" w:sz="4" w:space="0" w:color="auto"/>
              <w:right w:val="nil"/>
            </w:tcBorders>
            <w:shd w:val="clear" w:color="auto" w:fill="auto"/>
            <w:vAlign w:val="center"/>
          </w:tcPr>
          <w:p w14:paraId="0694A30B" w14:textId="77777777" w:rsidR="003A31B2" w:rsidRPr="0052027F" w:rsidRDefault="003A31B2" w:rsidP="005F0211">
            <w:pPr>
              <w:widowControl/>
              <w:wordWrap/>
              <w:autoSpaceDE/>
              <w:autoSpaceDN/>
              <w:rPr>
                <w:rFonts w:eastAsia="Malgun Gothic"/>
                <w:color w:val="000000"/>
                <w:kern w:val="0"/>
                <w:szCs w:val="20"/>
              </w:rPr>
            </w:pPr>
            <w:r w:rsidRPr="0052027F">
              <w:rPr>
                <w:rFonts w:eastAsia="Malgun Gothic"/>
                <w:color w:val="000000"/>
                <w:kern w:val="0"/>
                <w:szCs w:val="20"/>
              </w:rPr>
              <w:t xml:space="preserve">  Inferior vena cava (IVC)</w:t>
            </w:r>
          </w:p>
        </w:tc>
        <w:tc>
          <w:tcPr>
            <w:tcW w:w="2743" w:type="dxa"/>
            <w:tcBorders>
              <w:left w:val="nil"/>
              <w:bottom w:val="single" w:sz="4" w:space="0" w:color="auto"/>
              <w:right w:val="nil"/>
            </w:tcBorders>
            <w:vAlign w:val="center"/>
          </w:tcPr>
          <w:p w14:paraId="0F3F7F2B"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(1.8%)</w:t>
            </w:r>
          </w:p>
        </w:tc>
        <w:tc>
          <w:tcPr>
            <w:tcW w:w="3402" w:type="dxa"/>
            <w:tcBorders>
              <w:left w:val="nil"/>
              <w:bottom w:val="single" w:sz="4" w:space="0" w:color="auto"/>
              <w:right w:val="nil"/>
            </w:tcBorders>
            <w:vAlign w:val="center"/>
          </w:tcPr>
          <w:p w14:paraId="11FE418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1 (2.2%)</w:t>
            </w:r>
          </w:p>
        </w:tc>
        <w:tc>
          <w:tcPr>
            <w:tcW w:w="3402" w:type="dxa"/>
            <w:tcBorders>
              <w:left w:val="nil"/>
              <w:bottom w:val="single" w:sz="4" w:space="0" w:color="auto"/>
              <w:right w:val="nil"/>
            </w:tcBorders>
            <w:vAlign w:val="center"/>
          </w:tcPr>
          <w:p w14:paraId="6223C422" w14:textId="77777777" w:rsidR="003A31B2" w:rsidRPr="0052027F" w:rsidRDefault="003A31B2" w:rsidP="005F0211">
            <w:pPr>
              <w:widowControl/>
              <w:wordWrap/>
              <w:autoSpaceDE/>
              <w:autoSpaceDN/>
              <w:jc w:val="center"/>
              <w:rPr>
                <w:rFonts w:eastAsia="Malgun Gothic"/>
                <w:color w:val="000000"/>
                <w:kern w:val="0"/>
                <w:szCs w:val="20"/>
              </w:rPr>
            </w:pPr>
            <w:r w:rsidRPr="0052027F">
              <w:rPr>
                <w:rFonts w:eastAsia="Malgun Gothic"/>
                <w:color w:val="000000"/>
                <w:kern w:val="0"/>
                <w:szCs w:val="20"/>
              </w:rPr>
              <w:t>0 (0.0%)</w:t>
            </w:r>
          </w:p>
        </w:tc>
        <w:tc>
          <w:tcPr>
            <w:tcW w:w="1003" w:type="dxa"/>
            <w:tcBorders>
              <w:left w:val="nil"/>
              <w:bottom w:val="single" w:sz="4" w:space="0" w:color="auto"/>
              <w:right w:val="nil"/>
            </w:tcBorders>
            <w:vAlign w:val="center"/>
          </w:tcPr>
          <w:p w14:paraId="11283721" w14:textId="77777777" w:rsidR="003A31B2" w:rsidRPr="0052027F" w:rsidRDefault="003A31B2" w:rsidP="005F0211">
            <w:pPr>
              <w:widowControl/>
              <w:wordWrap/>
              <w:autoSpaceDE/>
              <w:autoSpaceDN/>
              <w:jc w:val="center"/>
              <w:rPr>
                <w:rFonts w:eastAsia="Malgun Gothic"/>
                <w:b/>
                <w:bCs/>
                <w:color w:val="000000"/>
                <w:kern w:val="0"/>
                <w:szCs w:val="20"/>
              </w:rPr>
            </w:pPr>
            <w:r w:rsidRPr="0052027F">
              <w:rPr>
                <w:rFonts w:eastAsia="Malgun Gothic"/>
                <w:color w:val="000000"/>
                <w:kern w:val="0"/>
                <w:szCs w:val="20"/>
              </w:rPr>
              <w:t>1.000</w:t>
            </w:r>
          </w:p>
        </w:tc>
      </w:tr>
    </w:tbl>
    <w:p w14:paraId="404531A3" w14:textId="77777777" w:rsidR="003A31B2" w:rsidRPr="0052027F" w:rsidRDefault="003A31B2" w:rsidP="003A31B2">
      <w:pPr>
        <w:spacing w:line="276" w:lineRule="auto"/>
        <w:rPr>
          <w:rFonts w:eastAsia="Malgun Gothic"/>
          <w:color w:val="000000"/>
          <w:sz w:val="18"/>
          <w:szCs w:val="18"/>
        </w:rPr>
      </w:pPr>
      <w:r w:rsidRPr="0052027F">
        <w:rPr>
          <w:rFonts w:eastAsia="Malgun Gothic"/>
          <w:color w:val="000000"/>
          <w:kern w:val="0"/>
          <w:sz w:val="18"/>
          <w:szCs w:val="18"/>
        </w:rPr>
        <w:lastRenderedPageBreak/>
        <w:t xml:space="preserve">SD: Standard deviation </w:t>
      </w:r>
      <w:r w:rsidRPr="0052027F">
        <w:rPr>
          <w:rFonts w:eastAsia="Malgun Gothic"/>
          <w:color w:val="000000"/>
          <w:sz w:val="18"/>
          <w:szCs w:val="18"/>
          <w:vertAlign w:val="superscript"/>
        </w:rPr>
        <w:t>†</w:t>
      </w:r>
      <w:r w:rsidRPr="0052027F">
        <w:rPr>
          <w:rFonts w:eastAsia="Malgun Gothic"/>
          <w:color w:val="000000"/>
          <w:sz w:val="18"/>
          <w:szCs w:val="18"/>
        </w:rPr>
        <w:t xml:space="preserve"> </w:t>
      </w:r>
      <w:r w:rsidRPr="0052027F">
        <w:rPr>
          <w:rFonts w:eastAsia="Malgun Gothic"/>
          <w:color w:val="000000"/>
          <w:kern w:val="0"/>
          <w:sz w:val="18"/>
          <w:szCs w:val="18"/>
        </w:rPr>
        <w:t xml:space="preserve">PT (Prothrombin time) / </w:t>
      </w:r>
      <w:r w:rsidRPr="0052027F">
        <w:rPr>
          <w:rFonts w:eastAsia="Malgun Gothic"/>
          <w:color w:val="000000"/>
          <w:sz w:val="18"/>
          <w:szCs w:val="18"/>
        </w:rPr>
        <w:t xml:space="preserve">PT sec normal range: 10.0-12.0 sec / PT INR normal range: 0.9-1.1 </w:t>
      </w:r>
    </w:p>
    <w:p w14:paraId="398E1062" w14:textId="77777777" w:rsidR="003A31B2" w:rsidRPr="0052027F" w:rsidRDefault="003A31B2" w:rsidP="003A31B2">
      <w:pPr>
        <w:spacing w:line="276" w:lineRule="auto"/>
        <w:rPr>
          <w:rFonts w:eastAsia="Malgun Gothic"/>
          <w:color w:val="000000"/>
          <w:sz w:val="18"/>
          <w:szCs w:val="18"/>
        </w:rPr>
      </w:pPr>
      <w:r w:rsidRPr="0052027F">
        <w:rPr>
          <w:rFonts w:eastAsia="Malgun Gothic"/>
          <w:color w:val="000000"/>
          <w:sz w:val="18"/>
          <w:szCs w:val="18"/>
          <w:vertAlign w:val="superscript"/>
        </w:rPr>
        <w:t>††</w:t>
      </w:r>
      <w:r w:rsidRPr="0052027F">
        <w:rPr>
          <w:rFonts w:eastAsia="Malgun Gothic"/>
          <w:color w:val="000000"/>
          <w:sz w:val="18"/>
          <w:szCs w:val="18"/>
        </w:rPr>
        <w:t xml:space="preserve"> </w:t>
      </w:r>
      <w:proofErr w:type="spellStart"/>
      <w:r w:rsidRPr="0052027F">
        <w:rPr>
          <w:rFonts w:eastAsia="Malgun Gothic"/>
          <w:color w:val="000000"/>
          <w:kern w:val="0"/>
          <w:sz w:val="18"/>
          <w:szCs w:val="18"/>
        </w:rPr>
        <w:t>aPTT</w:t>
      </w:r>
      <w:proofErr w:type="spellEnd"/>
      <w:r w:rsidRPr="0052027F">
        <w:rPr>
          <w:rFonts w:eastAsia="Malgun Gothic"/>
          <w:color w:val="000000"/>
          <w:kern w:val="0"/>
          <w:sz w:val="18"/>
          <w:szCs w:val="18"/>
        </w:rPr>
        <w:t xml:space="preserve"> (activated Partial thromboplastin time) /</w:t>
      </w:r>
      <w:r w:rsidRPr="0052027F">
        <w:rPr>
          <w:rFonts w:eastAsia="Malgun Gothic"/>
          <w:b/>
          <w:bCs/>
          <w:color w:val="000000"/>
          <w:kern w:val="0"/>
          <w:sz w:val="18"/>
          <w:szCs w:val="18"/>
        </w:rPr>
        <w:t xml:space="preserve"> </w:t>
      </w:r>
      <w:proofErr w:type="spellStart"/>
      <w:r w:rsidRPr="0052027F">
        <w:rPr>
          <w:rFonts w:eastAsia="Malgun Gothic"/>
          <w:color w:val="000000"/>
          <w:sz w:val="18"/>
          <w:szCs w:val="18"/>
        </w:rPr>
        <w:t>aPTT</w:t>
      </w:r>
      <w:proofErr w:type="spellEnd"/>
      <w:r w:rsidRPr="0052027F">
        <w:rPr>
          <w:rFonts w:eastAsia="Malgun Gothic"/>
          <w:color w:val="000000"/>
          <w:sz w:val="18"/>
          <w:szCs w:val="18"/>
        </w:rPr>
        <w:t xml:space="preserve"> sec normal range: 25.0-35.0 sec / </w:t>
      </w:r>
      <w:proofErr w:type="spellStart"/>
      <w:r w:rsidRPr="0052027F">
        <w:rPr>
          <w:rFonts w:eastAsia="Malgun Gothic"/>
          <w:color w:val="000000"/>
          <w:sz w:val="18"/>
          <w:szCs w:val="18"/>
        </w:rPr>
        <w:t>aPTT</w:t>
      </w:r>
      <w:proofErr w:type="spellEnd"/>
      <w:r w:rsidRPr="0052027F">
        <w:rPr>
          <w:rFonts w:eastAsia="Malgun Gothic"/>
          <w:color w:val="000000"/>
          <w:sz w:val="18"/>
          <w:szCs w:val="18"/>
        </w:rPr>
        <w:t xml:space="preserve"> ratio normal range: 0.8-1.2</w:t>
      </w:r>
    </w:p>
    <w:p w14:paraId="1A175519" w14:textId="77777777" w:rsidR="003A31B2" w:rsidRPr="009D6D91" w:rsidRDefault="003A31B2" w:rsidP="003A31B2">
      <w:pPr>
        <w:spacing w:line="276" w:lineRule="auto"/>
        <w:rPr>
          <w:rFonts w:eastAsia="나눔바른고딕"/>
          <w:color w:val="000000"/>
          <w:kern w:val="0"/>
          <w:sz w:val="18"/>
          <w:szCs w:val="18"/>
        </w:rPr>
      </w:pPr>
      <w:r w:rsidRPr="0052027F">
        <w:rPr>
          <w:rFonts w:eastAsia="나눔바른고딕"/>
          <w:color w:val="000000"/>
          <w:kern w:val="0"/>
          <w:sz w:val="18"/>
          <w:szCs w:val="18"/>
          <w:vertAlign w:val="superscript"/>
        </w:rPr>
        <w:t>ψ</w:t>
      </w:r>
      <w:r w:rsidRPr="0052027F">
        <w:rPr>
          <w:rFonts w:eastAsia="나눔바른고딕"/>
          <w:color w:val="000000"/>
          <w:kern w:val="0"/>
          <w:sz w:val="18"/>
          <w:szCs w:val="18"/>
        </w:rPr>
        <w:t xml:space="preserve"> PF4/heparin enzyme-linked immunosorbent assay for heparin-induced thrombocytopenia. </w:t>
      </w:r>
      <w:r w:rsidRPr="0052027F">
        <w:rPr>
          <w:rFonts w:eastAsia="나눔바른고딕"/>
          <w:color w:val="000000"/>
          <w:kern w:val="0"/>
          <w:sz w:val="18"/>
          <w:szCs w:val="18"/>
          <w:vertAlign w:val="superscript"/>
        </w:rPr>
        <w:t>ħ</w:t>
      </w:r>
      <w:r w:rsidRPr="0052027F">
        <w:rPr>
          <w:rFonts w:eastAsia="나눔바른고딕"/>
          <w:color w:val="000000"/>
          <w:kern w:val="0"/>
          <w:sz w:val="18"/>
          <w:szCs w:val="18"/>
        </w:rPr>
        <w:t xml:space="preserve"> cut off was varies between 0.28~0.5 by the articles. </w:t>
      </w:r>
      <w:r w:rsidRPr="0052027F">
        <w:rPr>
          <w:rFonts w:eastAsia="나눔바른고딕"/>
          <w:color w:val="000000"/>
          <w:kern w:val="0"/>
          <w:sz w:val="18"/>
          <w:szCs w:val="18"/>
          <w:vertAlign w:val="superscript"/>
        </w:rPr>
        <w:t xml:space="preserve">ε </w:t>
      </w:r>
      <w:r w:rsidRPr="0052027F">
        <w:rPr>
          <w:rFonts w:eastAsia="나눔바른고딕"/>
          <w:color w:val="000000"/>
          <w:kern w:val="0"/>
          <w:sz w:val="18"/>
          <w:szCs w:val="18"/>
        </w:rPr>
        <w:t>500mg/L was used as upper limit of normal range</w:t>
      </w:r>
      <w:r>
        <w:rPr>
          <w:rFonts w:eastAsia="나눔바른고딕"/>
          <w:color w:val="000000"/>
          <w:kern w:val="0"/>
          <w:sz w:val="18"/>
          <w:szCs w:val="18"/>
        </w:rPr>
        <w:t>.</w:t>
      </w:r>
    </w:p>
    <w:p w14:paraId="170EE32F" w14:textId="77777777" w:rsidR="003A31B2" w:rsidRPr="009D6D91" w:rsidRDefault="003A31B2" w:rsidP="00F97EC6">
      <w:pPr>
        <w:widowControl/>
        <w:wordWrap/>
        <w:autoSpaceDE/>
        <w:autoSpaceDN/>
        <w:spacing w:after="160" w:line="259" w:lineRule="auto"/>
        <w:rPr>
          <w:rFonts w:eastAsia="나눔바른고딕"/>
          <w:color w:val="000000"/>
          <w:kern w:val="0"/>
          <w:sz w:val="18"/>
          <w:szCs w:val="18"/>
        </w:rPr>
      </w:pPr>
    </w:p>
    <w:sectPr w:rsidR="003A31B2" w:rsidRPr="009D6D91" w:rsidSect="00231CD0">
      <w:pgSz w:w="16838" w:h="11906" w:orient="landscape" w:code="9"/>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DC21" w14:textId="77777777" w:rsidR="00D23E92" w:rsidRDefault="00D23E92" w:rsidP="009D1CAA">
      <w:r>
        <w:separator/>
      </w:r>
    </w:p>
  </w:endnote>
  <w:endnote w:type="continuationSeparator" w:id="0">
    <w:p w14:paraId="080A46A0" w14:textId="77777777" w:rsidR="00D23E92" w:rsidRDefault="00D23E92" w:rsidP="009D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Batang">
    <w:altName w:val="Batang"/>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나눔바른고딕">
    <w:altName w:val="Malgun Gothic"/>
    <w:charset w:val="81"/>
    <w:family w:val="swiss"/>
    <w:pitch w:val="variable"/>
    <w:sig w:usb0="800002A7" w:usb1="09D77CFB" w:usb2="00000010" w:usb3="00000000" w:csb0="002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3B33" w14:textId="77777777" w:rsidR="00D23E92" w:rsidRDefault="00D23E92" w:rsidP="009D1CAA">
      <w:r>
        <w:separator/>
      </w:r>
    </w:p>
  </w:footnote>
  <w:footnote w:type="continuationSeparator" w:id="0">
    <w:p w14:paraId="35A00B1C" w14:textId="77777777" w:rsidR="00D23E92" w:rsidRDefault="00D23E92" w:rsidP="009D1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F75A4D"/>
    <w:multiLevelType w:val="multilevel"/>
    <w:tmpl w:val="52E6D4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8B10F1B"/>
    <w:multiLevelType w:val="hybridMultilevel"/>
    <w:tmpl w:val="F1BA0094"/>
    <w:lvl w:ilvl="0" w:tplc="E448552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7D"/>
    <w:rsid w:val="000075B7"/>
    <w:rsid w:val="000160AD"/>
    <w:rsid w:val="00017ED5"/>
    <w:rsid w:val="00020EF8"/>
    <w:rsid w:val="000238B9"/>
    <w:rsid w:val="00026102"/>
    <w:rsid w:val="000321CE"/>
    <w:rsid w:val="00034474"/>
    <w:rsid w:val="0003643A"/>
    <w:rsid w:val="00037E17"/>
    <w:rsid w:val="00040BE7"/>
    <w:rsid w:val="00041833"/>
    <w:rsid w:val="00043471"/>
    <w:rsid w:val="0004377F"/>
    <w:rsid w:val="000439D4"/>
    <w:rsid w:val="000439E6"/>
    <w:rsid w:val="00044A6F"/>
    <w:rsid w:val="000451D7"/>
    <w:rsid w:val="00052A23"/>
    <w:rsid w:val="000544BA"/>
    <w:rsid w:val="0006161D"/>
    <w:rsid w:val="00067563"/>
    <w:rsid w:val="0007042B"/>
    <w:rsid w:val="00071C24"/>
    <w:rsid w:val="000742E5"/>
    <w:rsid w:val="00076089"/>
    <w:rsid w:val="000760CE"/>
    <w:rsid w:val="00076544"/>
    <w:rsid w:val="00081DE4"/>
    <w:rsid w:val="00093E35"/>
    <w:rsid w:val="000968A7"/>
    <w:rsid w:val="0009759A"/>
    <w:rsid w:val="0009766D"/>
    <w:rsid w:val="000976EF"/>
    <w:rsid w:val="000A55A5"/>
    <w:rsid w:val="000B0468"/>
    <w:rsid w:val="000B100B"/>
    <w:rsid w:val="000B1EED"/>
    <w:rsid w:val="000B3420"/>
    <w:rsid w:val="000B4601"/>
    <w:rsid w:val="000B744D"/>
    <w:rsid w:val="000C0B56"/>
    <w:rsid w:val="000D0A4E"/>
    <w:rsid w:val="000D54C7"/>
    <w:rsid w:val="000E00F7"/>
    <w:rsid w:val="000E3FAA"/>
    <w:rsid w:val="000E59E9"/>
    <w:rsid w:val="000F08ED"/>
    <w:rsid w:val="000F7F09"/>
    <w:rsid w:val="00103277"/>
    <w:rsid w:val="00107BEE"/>
    <w:rsid w:val="00110FD1"/>
    <w:rsid w:val="00112C67"/>
    <w:rsid w:val="00116BAD"/>
    <w:rsid w:val="00120663"/>
    <w:rsid w:val="00120CDE"/>
    <w:rsid w:val="00121831"/>
    <w:rsid w:val="00121EEB"/>
    <w:rsid w:val="00123795"/>
    <w:rsid w:val="00126F60"/>
    <w:rsid w:val="001324E2"/>
    <w:rsid w:val="00135C10"/>
    <w:rsid w:val="00137623"/>
    <w:rsid w:val="00137FED"/>
    <w:rsid w:val="00140047"/>
    <w:rsid w:val="00144F73"/>
    <w:rsid w:val="001545D4"/>
    <w:rsid w:val="00155572"/>
    <w:rsid w:val="0016472F"/>
    <w:rsid w:val="00167AC4"/>
    <w:rsid w:val="00167D07"/>
    <w:rsid w:val="001724F4"/>
    <w:rsid w:val="001732B8"/>
    <w:rsid w:val="00174609"/>
    <w:rsid w:val="00176BC5"/>
    <w:rsid w:val="00180B98"/>
    <w:rsid w:val="001810B9"/>
    <w:rsid w:val="001869D5"/>
    <w:rsid w:val="00190590"/>
    <w:rsid w:val="001911D4"/>
    <w:rsid w:val="001941D2"/>
    <w:rsid w:val="00197BA9"/>
    <w:rsid w:val="001A08AB"/>
    <w:rsid w:val="001A49BB"/>
    <w:rsid w:val="001A5637"/>
    <w:rsid w:val="001B02FE"/>
    <w:rsid w:val="001B259A"/>
    <w:rsid w:val="001B729D"/>
    <w:rsid w:val="001C1E02"/>
    <w:rsid w:val="001C281F"/>
    <w:rsid w:val="001C4A4E"/>
    <w:rsid w:val="001C73DE"/>
    <w:rsid w:val="001D0F6F"/>
    <w:rsid w:val="001D3485"/>
    <w:rsid w:val="001D51E3"/>
    <w:rsid w:val="001D62AB"/>
    <w:rsid w:val="001D70AC"/>
    <w:rsid w:val="001D7945"/>
    <w:rsid w:val="001E086D"/>
    <w:rsid w:val="001E1DD5"/>
    <w:rsid w:val="001E328E"/>
    <w:rsid w:val="001E4AF0"/>
    <w:rsid w:val="001F0387"/>
    <w:rsid w:val="001F7ABC"/>
    <w:rsid w:val="00203FCD"/>
    <w:rsid w:val="00204A68"/>
    <w:rsid w:val="002075A0"/>
    <w:rsid w:val="00210DBF"/>
    <w:rsid w:val="0021601C"/>
    <w:rsid w:val="00217F74"/>
    <w:rsid w:val="002273B8"/>
    <w:rsid w:val="00227421"/>
    <w:rsid w:val="002301F5"/>
    <w:rsid w:val="00231CD0"/>
    <w:rsid w:val="00232E4F"/>
    <w:rsid w:val="00232F15"/>
    <w:rsid w:val="00233B31"/>
    <w:rsid w:val="0023606A"/>
    <w:rsid w:val="002361FC"/>
    <w:rsid w:val="00242295"/>
    <w:rsid w:val="00243D43"/>
    <w:rsid w:val="00245CDF"/>
    <w:rsid w:val="00245F42"/>
    <w:rsid w:val="00246BB7"/>
    <w:rsid w:val="002554A9"/>
    <w:rsid w:val="00256F63"/>
    <w:rsid w:val="00257C9C"/>
    <w:rsid w:val="00261529"/>
    <w:rsid w:val="00262559"/>
    <w:rsid w:val="0026371D"/>
    <w:rsid w:val="00265EA7"/>
    <w:rsid w:val="00270991"/>
    <w:rsid w:val="00271F3A"/>
    <w:rsid w:val="0027405D"/>
    <w:rsid w:val="00275516"/>
    <w:rsid w:val="00277DD8"/>
    <w:rsid w:val="00281403"/>
    <w:rsid w:val="0029329B"/>
    <w:rsid w:val="00294C1F"/>
    <w:rsid w:val="00297BB5"/>
    <w:rsid w:val="002A087E"/>
    <w:rsid w:val="002A1C62"/>
    <w:rsid w:val="002B3FAC"/>
    <w:rsid w:val="002B4409"/>
    <w:rsid w:val="002B47D9"/>
    <w:rsid w:val="002B4E20"/>
    <w:rsid w:val="002B7652"/>
    <w:rsid w:val="002C231A"/>
    <w:rsid w:val="002C23B6"/>
    <w:rsid w:val="002C6F9E"/>
    <w:rsid w:val="002D010D"/>
    <w:rsid w:val="002D15B9"/>
    <w:rsid w:val="002D25FD"/>
    <w:rsid w:val="002D6A2E"/>
    <w:rsid w:val="002E2328"/>
    <w:rsid w:val="002E376A"/>
    <w:rsid w:val="002E5CA1"/>
    <w:rsid w:val="002E5D3C"/>
    <w:rsid w:val="002F5FFA"/>
    <w:rsid w:val="002F786B"/>
    <w:rsid w:val="003002FE"/>
    <w:rsid w:val="00301794"/>
    <w:rsid w:val="003039C8"/>
    <w:rsid w:val="0030442F"/>
    <w:rsid w:val="00304F2E"/>
    <w:rsid w:val="003054DF"/>
    <w:rsid w:val="00313ECC"/>
    <w:rsid w:val="00316247"/>
    <w:rsid w:val="00317049"/>
    <w:rsid w:val="00322E23"/>
    <w:rsid w:val="00334C1E"/>
    <w:rsid w:val="00335257"/>
    <w:rsid w:val="00335A97"/>
    <w:rsid w:val="00341831"/>
    <w:rsid w:val="00357B14"/>
    <w:rsid w:val="00360C3F"/>
    <w:rsid w:val="00360EDA"/>
    <w:rsid w:val="003614DB"/>
    <w:rsid w:val="0036367C"/>
    <w:rsid w:val="00366236"/>
    <w:rsid w:val="00374147"/>
    <w:rsid w:val="00376C85"/>
    <w:rsid w:val="00377964"/>
    <w:rsid w:val="003839A4"/>
    <w:rsid w:val="00384452"/>
    <w:rsid w:val="00384F32"/>
    <w:rsid w:val="00387285"/>
    <w:rsid w:val="00387439"/>
    <w:rsid w:val="00390886"/>
    <w:rsid w:val="00391C38"/>
    <w:rsid w:val="00392503"/>
    <w:rsid w:val="0039348D"/>
    <w:rsid w:val="0039353A"/>
    <w:rsid w:val="00395A04"/>
    <w:rsid w:val="003A31B2"/>
    <w:rsid w:val="003A548F"/>
    <w:rsid w:val="003B3728"/>
    <w:rsid w:val="003B6113"/>
    <w:rsid w:val="003B7E75"/>
    <w:rsid w:val="003C21F7"/>
    <w:rsid w:val="003C3AF7"/>
    <w:rsid w:val="003C3B59"/>
    <w:rsid w:val="003D0F8C"/>
    <w:rsid w:val="003D126C"/>
    <w:rsid w:val="003D3E8F"/>
    <w:rsid w:val="003D4D39"/>
    <w:rsid w:val="003E1DE1"/>
    <w:rsid w:val="003E2C8B"/>
    <w:rsid w:val="003E3507"/>
    <w:rsid w:val="003E5F2C"/>
    <w:rsid w:val="003E7A8C"/>
    <w:rsid w:val="003F19F8"/>
    <w:rsid w:val="003F32B2"/>
    <w:rsid w:val="003F495B"/>
    <w:rsid w:val="003F54FD"/>
    <w:rsid w:val="004008CA"/>
    <w:rsid w:val="004009F4"/>
    <w:rsid w:val="00401A1F"/>
    <w:rsid w:val="00402185"/>
    <w:rsid w:val="0040358F"/>
    <w:rsid w:val="004136D6"/>
    <w:rsid w:val="00415623"/>
    <w:rsid w:val="004208E3"/>
    <w:rsid w:val="00420D21"/>
    <w:rsid w:val="00421A46"/>
    <w:rsid w:val="0042256C"/>
    <w:rsid w:val="004421AF"/>
    <w:rsid w:val="00445B1F"/>
    <w:rsid w:val="00454134"/>
    <w:rsid w:val="00454270"/>
    <w:rsid w:val="004546F5"/>
    <w:rsid w:val="004571B1"/>
    <w:rsid w:val="00460C8D"/>
    <w:rsid w:val="00461DE5"/>
    <w:rsid w:val="0047217D"/>
    <w:rsid w:val="00474076"/>
    <w:rsid w:val="00483A2A"/>
    <w:rsid w:val="004914B8"/>
    <w:rsid w:val="00494060"/>
    <w:rsid w:val="00495F4D"/>
    <w:rsid w:val="004B36C2"/>
    <w:rsid w:val="004B51C7"/>
    <w:rsid w:val="004B5934"/>
    <w:rsid w:val="004C3DD8"/>
    <w:rsid w:val="004D1E27"/>
    <w:rsid w:val="004D328F"/>
    <w:rsid w:val="004D36AF"/>
    <w:rsid w:val="004D526F"/>
    <w:rsid w:val="004E02BD"/>
    <w:rsid w:val="004E4E87"/>
    <w:rsid w:val="004E7E96"/>
    <w:rsid w:val="004F23D2"/>
    <w:rsid w:val="004F4DA2"/>
    <w:rsid w:val="004F59CB"/>
    <w:rsid w:val="005001BF"/>
    <w:rsid w:val="00504EF4"/>
    <w:rsid w:val="005054F1"/>
    <w:rsid w:val="0051095B"/>
    <w:rsid w:val="0051124A"/>
    <w:rsid w:val="00512EB4"/>
    <w:rsid w:val="0051581B"/>
    <w:rsid w:val="0052027F"/>
    <w:rsid w:val="00521687"/>
    <w:rsid w:val="005233D2"/>
    <w:rsid w:val="00524748"/>
    <w:rsid w:val="00527941"/>
    <w:rsid w:val="005307E9"/>
    <w:rsid w:val="00532D16"/>
    <w:rsid w:val="0053539D"/>
    <w:rsid w:val="00536DE3"/>
    <w:rsid w:val="00537056"/>
    <w:rsid w:val="00537BFB"/>
    <w:rsid w:val="00537C7F"/>
    <w:rsid w:val="0054076A"/>
    <w:rsid w:val="00543197"/>
    <w:rsid w:val="00544DEF"/>
    <w:rsid w:val="00544F18"/>
    <w:rsid w:val="00545A6D"/>
    <w:rsid w:val="005514ED"/>
    <w:rsid w:val="00553D1E"/>
    <w:rsid w:val="00555262"/>
    <w:rsid w:val="00556764"/>
    <w:rsid w:val="00557E01"/>
    <w:rsid w:val="005606E5"/>
    <w:rsid w:val="005631F0"/>
    <w:rsid w:val="00565C22"/>
    <w:rsid w:val="00572898"/>
    <w:rsid w:val="0057290F"/>
    <w:rsid w:val="005771A6"/>
    <w:rsid w:val="00577647"/>
    <w:rsid w:val="00577663"/>
    <w:rsid w:val="00580530"/>
    <w:rsid w:val="00581DDF"/>
    <w:rsid w:val="0058300A"/>
    <w:rsid w:val="00583269"/>
    <w:rsid w:val="00583DA5"/>
    <w:rsid w:val="00585BBD"/>
    <w:rsid w:val="0058638B"/>
    <w:rsid w:val="00587C76"/>
    <w:rsid w:val="00592C24"/>
    <w:rsid w:val="00594640"/>
    <w:rsid w:val="00594F87"/>
    <w:rsid w:val="005959D1"/>
    <w:rsid w:val="00596C16"/>
    <w:rsid w:val="005972C1"/>
    <w:rsid w:val="005A3C94"/>
    <w:rsid w:val="005A60F1"/>
    <w:rsid w:val="005B223B"/>
    <w:rsid w:val="005B37C3"/>
    <w:rsid w:val="005B3875"/>
    <w:rsid w:val="005B4607"/>
    <w:rsid w:val="005B5305"/>
    <w:rsid w:val="005C47E6"/>
    <w:rsid w:val="005C750A"/>
    <w:rsid w:val="005D07E5"/>
    <w:rsid w:val="005D1785"/>
    <w:rsid w:val="005D2E2D"/>
    <w:rsid w:val="005D5D96"/>
    <w:rsid w:val="005D75E6"/>
    <w:rsid w:val="005E3D4A"/>
    <w:rsid w:val="005E5BE0"/>
    <w:rsid w:val="005E6FCB"/>
    <w:rsid w:val="005E745A"/>
    <w:rsid w:val="005F0543"/>
    <w:rsid w:val="005F1C32"/>
    <w:rsid w:val="005F3AA5"/>
    <w:rsid w:val="005F4107"/>
    <w:rsid w:val="005F744A"/>
    <w:rsid w:val="005F7835"/>
    <w:rsid w:val="0060095A"/>
    <w:rsid w:val="00602546"/>
    <w:rsid w:val="00604747"/>
    <w:rsid w:val="00604776"/>
    <w:rsid w:val="00607ADA"/>
    <w:rsid w:val="006201BA"/>
    <w:rsid w:val="00632CD2"/>
    <w:rsid w:val="00637C08"/>
    <w:rsid w:val="006463C6"/>
    <w:rsid w:val="006478C8"/>
    <w:rsid w:val="00652268"/>
    <w:rsid w:val="00661601"/>
    <w:rsid w:val="006645C9"/>
    <w:rsid w:val="00664639"/>
    <w:rsid w:val="00667F53"/>
    <w:rsid w:val="00671533"/>
    <w:rsid w:val="00671EE3"/>
    <w:rsid w:val="00672CD8"/>
    <w:rsid w:val="00673C41"/>
    <w:rsid w:val="006746AF"/>
    <w:rsid w:val="006775EC"/>
    <w:rsid w:val="006845B4"/>
    <w:rsid w:val="0068562A"/>
    <w:rsid w:val="00686433"/>
    <w:rsid w:val="006924F6"/>
    <w:rsid w:val="00692543"/>
    <w:rsid w:val="00694C13"/>
    <w:rsid w:val="006B26EA"/>
    <w:rsid w:val="006D004C"/>
    <w:rsid w:val="006D191A"/>
    <w:rsid w:val="006D60B4"/>
    <w:rsid w:val="006E0EC2"/>
    <w:rsid w:val="006E19BB"/>
    <w:rsid w:val="006E2FE6"/>
    <w:rsid w:val="006E4B64"/>
    <w:rsid w:val="006E6AB1"/>
    <w:rsid w:val="006F2136"/>
    <w:rsid w:val="006F4072"/>
    <w:rsid w:val="00700183"/>
    <w:rsid w:val="00700E6F"/>
    <w:rsid w:val="00704E6F"/>
    <w:rsid w:val="007054F8"/>
    <w:rsid w:val="00707C38"/>
    <w:rsid w:val="00712452"/>
    <w:rsid w:val="00713D4C"/>
    <w:rsid w:val="00714D21"/>
    <w:rsid w:val="00715756"/>
    <w:rsid w:val="00720C3F"/>
    <w:rsid w:val="00725F4B"/>
    <w:rsid w:val="007275C7"/>
    <w:rsid w:val="0073181E"/>
    <w:rsid w:val="007323E6"/>
    <w:rsid w:val="007330B8"/>
    <w:rsid w:val="00736216"/>
    <w:rsid w:val="0074037E"/>
    <w:rsid w:val="00741788"/>
    <w:rsid w:val="00742E4A"/>
    <w:rsid w:val="00743112"/>
    <w:rsid w:val="0074635E"/>
    <w:rsid w:val="007509DC"/>
    <w:rsid w:val="00754C1A"/>
    <w:rsid w:val="00755CB5"/>
    <w:rsid w:val="007606C8"/>
    <w:rsid w:val="00762077"/>
    <w:rsid w:val="00765E21"/>
    <w:rsid w:val="0076601F"/>
    <w:rsid w:val="00771D38"/>
    <w:rsid w:val="0077447D"/>
    <w:rsid w:val="00777911"/>
    <w:rsid w:val="00780023"/>
    <w:rsid w:val="007807C9"/>
    <w:rsid w:val="0078122F"/>
    <w:rsid w:val="00782595"/>
    <w:rsid w:val="007865F3"/>
    <w:rsid w:val="007865FD"/>
    <w:rsid w:val="00792C71"/>
    <w:rsid w:val="007933C9"/>
    <w:rsid w:val="007A3216"/>
    <w:rsid w:val="007A4D38"/>
    <w:rsid w:val="007A5CFD"/>
    <w:rsid w:val="007B0D87"/>
    <w:rsid w:val="007B0F75"/>
    <w:rsid w:val="007B1873"/>
    <w:rsid w:val="007B4DBA"/>
    <w:rsid w:val="007B5687"/>
    <w:rsid w:val="007B6B23"/>
    <w:rsid w:val="007C5F35"/>
    <w:rsid w:val="007C78ED"/>
    <w:rsid w:val="007D24EA"/>
    <w:rsid w:val="007D396F"/>
    <w:rsid w:val="007D3F85"/>
    <w:rsid w:val="007D6669"/>
    <w:rsid w:val="007E43CA"/>
    <w:rsid w:val="007F22B2"/>
    <w:rsid w:val="007F46BB"/>
    <w:rsid w:val="007F70C6"/>
    <w:rsid w:val="00800141"/>
    <w:rsid w:val="00801D00"/>
    <w:rsid w:val="0080373D"/>
    <w:rsid w:val="008075CD"/>
    <w:rsid w:val="00810F2F"/>
    <w:rsid w:val="008163B5"/>
    <w:rsid w:val="00817171"/>
    <w:rsid w:val="00820B96"/>
    <w:rsid w:val="00821AEA"/>
    <w:rsid w:val="00827D1E"/>
    <w:rsid w:val="00831C05"/>
    <w:rsid w:val="00833795"/>
    <w:rsid w:val="00847026"/>
    <w:rsid w:val="00851836"/>
    <w:rsid w:val="00851A19"/>
    <w:rsid w:val="00851E6F"/>
    <w:rsid w:val="00860142"/>
    <w:rsid w:val="00860DB5"/>
    <w:rsid w:val="00860F36"/>
    <w:rsid w:val="008624F4"/>
    <w:rsid w:val="00866932"/>
    <w:rsid w:val="00870F39"/>
    <w:rsid w:val="00872EC5"/>
    <w:rsid w:val="00883DC3"/>
    <w:rsid w:val="0088645C"/>
    <w:rsid w:val="00890530"/>
    <w:rsid w:val="00890868"/>
    <w:rsid w:val="00893CA5"/>
    <w:rsid w:val="008971E9"/>
    <w:rsid w:val="008A02B2"/>
    <w:rsid w:val="008A1CC2"/>
    <w:rsid w:val="008A4CF1"/>
    <w:rsid w:val="008A5543"/>
    <w:rsid w:val="008C03B4"/>
    <w:rsid w:val="008C235D"/>
    <w:rsid w:val="008C40B7"/>
    <w:rsid w:val="008C4832"/>
    <w:rsid w:val="008C4FA7"/>
    <w:rsid w:val="008D1D3C"/>
    <w:rsid w:val="008D2E39"/>
    <w:rsid w:val="008D4AF8"/>
    <w:rsid w:val="008D5496"/>
    <w:rsid w:val="008D6497"/>
    <w:rsid w:val="008D6B87"/>
    <w:rsid w:val="008D6BB4"/>
    <w:rsid w:val="008E182E"/>
    <w:rsid w:val="008E267F"/>
    <w:rsid w:val="008E4F9C"/>
    <w:rsid w:val="008E50F3"/>
    <w:rsid w:val="008E7A43"/>
    <w:rsid w:val="008F0731"/>
    <w:rsid w:val="008F208B"/>
    <w:rsid w:val="008F7648"/>
    <w:rsid w:val="009068D8"/>
    <w:rsid w:val="00907A9C"/>
    <w:rsid w:val="00907F65"/>
    <w:rsid w:val="00910C09"/>
    <w:rsid w:val="00912FA9"/>
    <w:rsid w:val="00913D6C"/>
    <w:rsid w:val="009154BB"/>
    <w:rsid w:val="00917050"/>
    <w:rsid w:val="00923305"/>
    <w:rsid w:val="00927309"/>
    <w:rsid w:val="00931744"/>
    <w:rsid w:val="00931C45"/>
    <w:rsid w:val="00936D93"/>
    <w:rsid w:val="0094379E"/>
    <w:rsid w:val="00943E1A"/>
    <w:rsid w:val="00944B23"/>
    <w:rsid w:val="00945FB5"/>
    <w:rsid w:val="00947BD8"/>
    <w:rsid w:val="009511DA"/>
    <w:rsid w:val="00952B92"/>
    <w:rsid w:val="00956B16"/>
    <w:rsid w:val="009576CF"/>
    <w:rsid w:val="0096182B"/>
    <w:rsid w:val="009667B6"/>
    <w:rsid w:val="00967864"/>
    <w:rsid w:val="00973988"/>
    <w:rsid w:val="00974FAD"/>
    <w:rsid w:val="00975DC1"/>
    <w:rsid w:val="00976C78"/>
    <w:rsid w:val="00977214"/>
    <w:rsid w:val="0097735A"/>
    <w:rsid w:val="00980B0E"/>
    <w:rsid w:val="00983FE0"/>
    <w:rsid w:val="00984D23"/>
    <w:rsid w:val="00984D80"/>
    <w:rsid w:val="00986F90"/>
    <w:rsid w:val="009875B8"/>
    <w:rsid w:val="00987F4B"/>
    <w:rsid w:val="00990205"/>
    <w:rsid w:val="00990E9B"/>
    <w:rsid w:val="009A32FA"/>
    <w:rsid w:val="009A3911"/>
    <w:rsid w:val="009A3F90"/>
    <w:rsid w:val="009A43AC"/>
    <w:rsid w:val="009A50B3"/>
    <w:rsid w:val="009A5636"/>
    <w:rsid w:val="009A6EFC"/>
    <w:rsid w:val="009B1BCF"/>
    <w:rsid w:val="009B2C7B"/>
    <w:rsid w:val="009B4B30"/>
    <w:rsid w:val="009C2531"/>
    <w:rsid w:val="009C34CB"/>
    <w:rsid w:val="009D090A"/>
    <w:rsid w:val="009D1CAA"/>
    <w:rsid w:val="009D6D91"/>
    <w:rsid w:val="009D7A8B"/>
    <w:rsid w:val="009E1B28"/>
    <w:rsid w:val="009F0B97"/>
    <w:rsid w:val="009F32C8"/>
    <w:rsid w:val="00A01780"/>
    <w:rsid w:val="00A044F0"/>
    <w:rsid w:val="00A07021"/>
    <w:rsid w:val="00A0735B"/>
    <w:rsid w:val="00A148FE"/>
    <w:rsid w:val="00A174C6"/>
    <w:rsid w:val="00A1769B"/>
    <w:rsid w:val="00A179D4"/>
    <w:rsid w:val="00A339F0"/>
    <w:rsid w:val="00A349B2"/>
    <w:rsid w:val="00A35C90"/>
    <w:rsid w:val="00A37470"/>
    <w:rsid w:val="00A50D6E"/>
    <w:rsid w:val="00A53E0B"/>
    <w:rsid w:val="00A54923"/>
    <w:rsid w:val="00A56597"/>
    <w:rsid w:val="00A6761D"/>
    <w:rsid w:val="00A73882"/>
    <w:rsid w:val="00A85160"/>
    <w:rsid w:val="00A905AB"/>
    <w:rsid w:val="00A93771"/>
    <w:rsid w:val="00A952EC"/>
    <w:rsid w:val="00A96695"/>
    <w:rsid w:val="00AA06A5"/>
    <w:rsid w:val="00AA1894"/>
    <w:rsid w:val="00AA6FED"/>
    <w:rsid w:val="00AA7335"/>
    <w:rsid w:val="00AB059D"/>
    <w:rsid w:val="00AB377C"/>
    <w:rsid w:val="00AC7802"/>
    <w:rsid w:val="00AD0F02"/>
    <w:rsid w:val="00AD1BBF"/>
    <w:rsid w:val="00AD2111"/>
    <w:rsid w:val="00AD507E"/>
    <w:rsid w:val="00AD5CDA"/>
    <w:rsid w:val="00AE46A6"/>
    <w:rsid w:val="00AE624E"/>
    <w:rsid w:val="00AE6957"/>
    <w:rsid w:val="00AF14B2"/>
    <w:rsid w:val="00AF334A"/>
    <w:rsid w:val="00AF615B"/>
    <w:rsid w:val="00AF67AB"/>
    <w:rsid w:val="00AF6C84"/>
    <w:rsid w:val="00B03DC3"/>
    <w:rsid w:val="00B11347"/>
    <w:rsid w:val="00B1260E"/>
    <w:rsid w:val="00B13EAE"/>
    <w:rsid w:val="00B22BC6"/>
    <w:rsid w:val="00B23BC4"/>
    <w:rsid w:val="00B251D7"/>
    <w:rsid w:val="00B27FE3"/>
    <w:rsid w:val="00B43EC5"/>
    <w:rsid w:val="00B47EA9"/>
    <w:rsid w:val="00B64FC6"/>
    <w:rsid w:val="00B711EC"/>
    <w:rsid w:val="00B7191F"/>
    <w:rsid w:val="00B77263"/>
    <w:rsid w:val="00B85062"/>
    <w:rsid w:val="00B851E0"/>
    <w:rsid w:val="00BA0F3A"/>
    <w:rsid w:val="00BA1182"/>
    <w:rsid w:val="00BA285D"/>
    <w:rsid w:val="00BA38E7"/>
    <w:rsid w:val="00BA7083"/>
    <w:rsid w:val="00BB3EDC"/>
    <w:rsid w:val="00BB7BBB"/>
    <w:rsid w:val="00BC11E9"/>
    <w:rsid w:val="00BC428F"/>
    <w:rsid w:val="00BC5364"/>
    <w:rsid w:val="00BD0130"/>
    <w:rsid w:val="00BD2432"/>
    <w:rsid w:val="00BD51DF"/>
    <w:rsid w:val="00BE0281"/>
    <w:rsid w:val="00BE3087"/>
    <w:rsid w:val="00BE3510"/>
    <w:rsid w:val="00BE3C5C"/>
    <w:rsid w:val="00BE4D17"/>
    <w:rsid w:val="00BE50C4"/>
    <w:rsid w:val="00BE75B2"/>
    <w:rsid w:val="00BF5A03"/>
    <w:rsid w:val="00BF6EA6"/>
    <w:rsid w:val="00C02020"/>
    <w:rsid w:val="00C02C84"/>
    <w:rsid w:val="00C03067"/>
    <w:rsid w:val="00C065BC"/>
    <w:rsid w:val="00C112A9"/>
    <w:rsid w:val="00C15405"/>
    <w:rsid w:val="00C22DC7"/>
    <w:rsid w:val="00C24D37"/>
    <w:rsid w:val="00C2582B"/>
    <w:rsid w:val="00C266B5"/>
    <w:rsid w:val="00C27CC8"/>
    <w:rsid w:val="00C3133D"/>
    <w:rsid w:val="00C31E11"/>
    <w:rsid w:val="00C326AE"/>
    <w:rsid w:val="00C32901"/>
    <w:rsid w:val="00C3411A"/>
    <w:rsid w:val="00C34FE3"/>
    <w:rsid w:val="00C424C9"/>
    <w:rsid w:val="00C424FE"/>
    <w:rsid w:val="00C43351"/>
    <w:rsid w:val="00C44854"/>
    <w:rsid w:val="00C51D39"/>
    <w:rsid w:val="00C52E89"/>
    <w:rsid w:val="00C545E2"/>
    <w:rsid w:val="00C55647"/>
    <w:rsid w:val="00C56199"/>
    <w:rsid w:val="00C73723"/>
    <w:rsid w:val="00C74102"/>
    <w:rsid w:val="00C745F5"/>
    <w:rsid w:val="00C74673"/>
    <w:rsid w:val="00C87190"/>
    <w:rsid w:val="00C87C14"/>
    <w:rsid w:val="00C96384"/>
    <w:rsid w:val="00CA134C"/>
    <w:rsid w:val="00CA2B2D"/>
    <w:rsid w:val="00CA3B80"/>
    <w:rsid w:val="00CA56BF"/>
    <w:rsid w:val="00CB7EBF"/>
    <w:rsid w:val="00CC5599"/>
    <w:rsid w:val="00CC73CC"/>
    <w:rsid w:val="00CD0252"/>
    <w:rsid w:val="00CD2168"/>
    <w:rsid w:val="00CD2B41"/>
    <w:rsid w:val="00CD4F1B"/>
    <w:rsid w:val="00CD748D"/>
    <w:rsid w:val="00CE0797"/>
    <w:rsid w:val="00CE3523"/>
    <w:rsid w:val="00CE7F85"/>
    <w:rsid w:val="00CF3EDC"/>
    <w:rsid w:val="00CF4963"/>
    <w:rsid w:val="00CF5076"/>
    <w:rsid w:val="00D021BC"/>
    <w:rsid w:val="00D02FC4"/>
    <w:rsid w:val="00D037A1"/>
    <w:rsid w:val="00D052B6"/>
    <w:rsid w:val="00D05DC3"/>
    <w:rsid w:val="00D1165C"/>
    <w:rsid w:val="00D17AF0"/>
    <w:rsid w:val="00D23E92"/>
    <w:rsid w:val="00D31422"/>
    <w:rsid w:val="00D31F09"/>
    <w:rsid w:val="00D33A77"/>
    <w:rsid w:val="00D36393"/>
    <w:rsid w:val="00D435E1"/>
    <w:rsid w:val="00D43972"/>
    <w:rsid w:val="00D44C5B"/>
    <w:rsid w:val="00D450A4"/>
    <w:rsid w:val="00D4598C"/>
    <w:rsid w:val="00D57B60"/>
    <w:rsid w:val="00D64400"/>
    <w:rsid w:val="00D6532A"/>
    <w:rsid w:val="00D7289C"/>
    <w:rsid w:val="00D729D1"/>
    <w:rsid w:val="00D72EAF"/>
    <w:rsid w:val="00D73EA6"/>
    <w:rsid w:val="00D7791C"/>
    <w:rsid w:val="00D77B24"/>
    <w:rsid w:val="00D91A6E"/>
    <w:rsid w:val="00D92379"/>
    <w:rsid w:val="00D93A66"/>
    <w:rsid w:val="00D96E0E"/>
    <w:rsid w:val="00DA135B"/>
    <w:rsid w:val="00DA2C27"/>
    <w:rsid w:val="00DA2F54"/>
    <w:rsid w:val="00DA4226"/>
    <w:rsid w:val="00DA73B3"/>
    <w:rsid w:val="00DB12F9"/>
    <w:rsid w:val="00DB3F3C"/>
    <w:rsid w:val="00DB7B45"/>
    <w:rsid w:val="00DC1380"/>
    <w:rsid w:val="00DC1E6D"/>
    <w:rsid w:val="00DC470A"/>
    <w:rsid w:val="00DC48B1"/>
    <w:rsid w:val="00DC6340"/>
    <w:rsid w:val="00DC6E0B"/>
    <w:rsid w:val="00DD08A2"/>
    <w:rsid w:val="00DD423E"/>
    <w:rsid w:val="00DE12B1"/>
    <w:rsid w:val="00DE1313"/>
    <w:rsid w:val="00DE2845"/>
    <w:rsid w:val="00DE7043"/>
    <w:rsid w:val="00DF130C"/>
    <w:rsid w:val="00DF231B"/>
    <w:rsid w:val="00E0333E"/>
    <w:rsid w:val="00E03CDA"/>
    <w:rsid w:val="00E04A73"/>
    <w:rsid w:val="00E17202"/>
    <w:rsid w:val="00E17963"/>
    <w:rsid w:val="00E222DA"/>
    <w:rsid w:val="00E23E2B"/>
    <w:rsid w:val="00E24912"/>
    <w:rsid w:val="00E27627"/>
    <w:rsid w:val="00E31A87"/>
    <w:rsid w:val="00E325B8"/>
    <w:rsid w:val="00E3311E"/>
    <w:rsid w:val="00E341F9"/>
    <w:rsid w:val="00E401FD"/>
    <w:rsid w:val="00E41797"/>
    <w:rsid w:val="00E46644"/>
    <w:rsid w:val="00E54517"/>
    <w:rsid w:val="00E54963"/>
    <w:rsid w:val="00E576FF"/>
    <w:rsid w:val="00E57B58"/>
    <w:rsid w:val="00E603B4"/>
    <w:rsid w:val="00E64C8D"/>
    <w:rsid w:val="00E654A0"/>
    <w:rsid w:val="00E65EE9"/>
    <w:rsid w:val="00E66A29"/>
    <w:rsid w:val="00E67C9A"/>
    <w:rsid w:val="00E726D6"/>
    <w:rsid w:val="00E75BC4"/>
    <w:rsid w:val="00E76625"/>
    <w:rsid w:val="00E768EE"/>
    <w:rsid w:val="00E80A33"/>
    <w:rsid w:val="00E8316D"/>
    <w:rsid w:val="00E85793"/>
    <w:rsid w:val="00E87A75"/>
    <w:rsid w:val="00E91EDB"/>
    <w:rsid w:val="00E92309"/>
    <w:rsid w:val="00E942BD"/>
    <w:rsid w:val="00E9623A"/>
    <w:rsid w:val="00EA1B45"/>
    <w:rsid w:val="00EA3CCF"/>
    <w:rsid w:val="00EA5961"/>
    <w:rsid w:val="00EA6CFF"/>
    <w:rsid w:val="00EB0587"/>
    <w:rsid w:val="00EB4944"/>
    <w:rsid w:val="00EC33AF"/>
    <w:rsid w:val="00ED0690"/>
    <w:rsid w:val="00ED1408"/>
    <w:rsid w:val="00ED3562"/>
    <w:rsid w:val="00ED3B3F"/>
    <w:rsid w:val="00ED6756"/>
    <w:rsid w:val="00ED6F28"/>
    <w:rsid w:val="00ED75B2"/>
    <w:rsid w:val="00EF4637"/>
    <w:rsid w:val="00F0073A"/>
    <w:rsid w:val="00F05E5F"/>
    <w:rsid w:val="00F22602"/>
    <w:rsid w:val="00F24592"/>
    <w:rsid w:val="00F2606C"/>
    <w:rsid w:val="00F308F5"/>
    <w:rsid w:val="00F3514C"/>
    <w:rsid w:val="00F352AB"/>
    <w:rsid w:val="00F35627"/>
    <w:rsid w:val="00F40EFD"/>
    <w:rsid w:val="00F47D6B"/>
    <w:rsid w:val="00F537B9"/>
    <w:rsid w:val="00F5535B"/>
    <w:rsid w:val="00F57B9B"/>
    <w:rsid w:val="00F61A9D"/>
    <w:rsid w:val="00F6362F"/>
    <w:rsid w:val="00F63C27"/>
    <w:rsid w:val="00F669AC"/>
    <w:rsid w:val="00F70476"/>
    <w:rsid w:val="00F71D1C"/>
    <w:rsid w:val="00F72F1A"/>
    <w:rsid w:val="00F73AA4"/>
    <w:rsid w:val="00F76611"/>
    <w:rsid w:val="00F85DE0"/>
    <w:rsid w:val="00F86BA0"/>
    <w:rsid w:val="00F935C6"/>
    <w:rsid w:val="00F97EC6"/>
    <w:rsid w:val="00FA0925"/>
    <w:rsid w:val="00FA4407"/>
    <w:rsid w:val="00FA5E59"/>
    <w:rsid w:val="00FA6476"/>
    <w:rsid w:val="00FB156F"/>
    <w:rsid w:val="00FB2E0C"/>
    <w:rsid w:val="00FB356F"/>
    <w:rsid w:val="00FB47A4"/>
    <w:rsid w:val="00FB4925"/>
    <w:rsid w:val="00FB7874"/>
    <w:rsid w:val="00FC26BF"/>
    <w:rsid w:val="00FC56F7"/>
    <w:rsid w:val="00FD3509"/>
    <w:rsid w:val="00FD36B6"/>
    <w:rsid w:val="00FD4D91"/>
    <w:rsid w:val="00FE6BD4"/>
    <w:rsid w:val="00FE78A7"/>
    <w:rsid w:val="00FE78F4"/>
    <w:rsid w:val="00FE7AC4"/>
    <w:rsid w:val="00FF0890"/>
    <w:rsid w:val="00FF0A52"/>
    <w:rsid w:val="00FF1347"/>
    <w:rsid w:val="00FF1636"/>
    <w:rsid w:val="00FF2B70"/>
    <w:rsid w:val="00FF3C9A"/>
    <w:rsid w:val="00FF47A1"/>
    <w:rsid w:val="00FF5A3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CF0AC"/>
  <w15:chartTrackingRefBased/>
  <w15:docId w15:val="{FEEC8574-1884-4E61-AC11-D635251E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2FA"/>
    <w:pPr>
      <w:widowControl w:val="0"/>
      <w:wordWrap w:val="0"/>
      <w:autoSpaceDE w:val="0"/>
      <w:autoSpaceDN w:val="0"/>
      <w:jc w:val="both"/>
    </w:pPr>
    <w:rPr>
      <w:rFonts w:ascii="Times New Roman" w:eastAsia="Batang" w:hAnsi="Times New Roman"/>
      <w:kern w:val="2"/>
      <w:sz w:val="22"/>
      <w:szCs w:val="24"/>
    </w:rPr>
  </w:style>
  <w:style w:type="paragraph" w:styleId="Heading1">
    <w:name w:val="heading 1"/>
    <w:basedOn w:val="Normal"/>
    <w:link w:val="Heading1Char"/>
    <w:uiPriority w:val="9"/>
    <w:qFormat/>
    <w:rsid w:val="00A174C6"/>
    <w:pPr>
      <w:wordWrap/>
      <w:spacing w:before="102"/>
      <w:ind w:left="360"/>
      <w:jc w:val="left"/>
      <w:outlineLvl w:val="0"/>
    </w:pPr>
    <w:rPr>
      <w:rFonts w:eastAsia="Times New Roman"/>
      <w:b/>
      <w:bCs/>
      <w:kern w:val="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CAA"/>
    <w:pPr>
      <w:tabs>
        <w:tab w:val="center" w:pos="4513"/>
        <w:tab w:val="right" w:pos="9026"/>
      </w:tabs>
      <w:snapToGrid w:val="0"/>
    </w:pPr>
  </w:style>
  <w:style w:type="character" w:customStyle="1" w:styleId="HeaderChar">
    <w:name w:val="Header Char"/>
    <w:link w:val="Header"/>
    <w:uiPriority w:val="99"/>
    <w:rsid w:val="009D1CAA"/>
    <w:rPr>
      <w:rFonts w:ascii="Batang" w:eastAsia="Batang" w:hAnsi="Times New Roman" w:cs="Times New Roman"/>
      <w:szCs w:val="24"/>
    </w:rPr>
  </w:style>
  <w:style w:type="paragraph" w:styleId="Footer">
    <w:name w:val="footer"/>
    <w:basedOn w:val="Normal"/>
    <w:link w:val="FooterChar"/>
    <w:uiPriority w:val="99"/>
    <w:unhideWhenUsed/>
    <w:rsid w:val="009D1CAA"/>
    <w:pPr>
      <w:tabs>
        <w:tab w:val="center" w:pos="4513"/>
        <w:tab w:val="right" w:pos="9026"/>
      </w:tabs>
      <w:snapToGrid w:val="0"/>
    </w:pPr>
  </w:style>
  <w:style w:type="character" w:customStyle="1" w:styleId="FooterChar">
    <w:name w:val="Footer Char"/>
    <w:link w:val="Footer"/>
    <w:uiPriority w:val="99"/>
    <w:rsid w:val="009D1CAA"/>
    <w:rPr>
      <w:rFonts w:ascii="Batang" w:eastAsia="Batang" w:hAnsi="Times New Roman" w:cs="Times New Roman"/>
      <w:szCs w:val="24"/>
    </w:rPr>
  </w:style>
  <w:style w:type="paragraph" w:styleId="BalloonText">
    <w:name w:val="Balloon Text"/>
    <w:basedOn w:val="Normal"/>
    <w:link w:val="BalloonTextChar"/>
    <w:uiPriority w:val="99"/>
    <w:semiHidden/>
    <w:unhideWhenUsed/>
    <w:rsid w:val="00232E4F"/>
    <w:rPr>
      <w:rFonts w:ascii="Malgun Gothic" w:eastAsia="Malgun Gothic" w:hAnsi="Malgun Gothic"/>
      <w:sz w:val="18"/>
      <w:szCs w:val="18"/>
    </w:rPr>
  </w:style>
  <w:style w:type="character" w:customStyle="1" w:styleId="BalloonTextChar">
    <w:name w:val="Balloon Text Char"/>
    <w:link w:val="BalloonText"/>
    <w:uiPriority w:val="99"/>
    <w:semiHidden/>
    <w:rsid w:val="00232E4F"/>
    <w:rPr>
      <w:rFonts w:ascii="Malgun Gothic" w:eastAsia="Malgun Gothic" w:hAnsi="Malgun Gothic" w:cs="Times New Roman"/>
      <w:kern w:val="2"/>
      <w:sz w:val="18"/>
      <w:szCs w:val="18"/>
    </w:rPr>
  </w:style>
  <w:style w:type="character" w:styleId="CommentReference">
    <w:name w:val="annotation reference"/>
    <w:uiPriority w:val="99"/>
    <w:semiHidden/>
    <w:unhideWhenUsed/>
    <w:rsid w:val="00F669AC"/>
    <w:rPr>
      <w:sz w:val="16"/>
      <w:szCs w:val="16"/>
    </w:rPr>
  </w:style>
  <w:style w:type="paragraph" w:styleId="CommentText">
    <w:name w:val="annotation text"/>
    <w:basedOn w:val="Normal"/>
    <w:link w:val="CommentTextChar"/>
    <w:uiPriority w:val="99"/>
    <w:semiHidden/>
    <w:unhideWhenUsed/>
    <w:rsid w:val="00F669AC"/>
    <w:rPr>
      <w:szCs w:val="20"/>
    </w:rPr>
  </w:style>
  <w:style w:type="character" w:customStyle="1" w:styleId="CommentTextChar">
    <w:name w:val="Comment Text Char"/>
    <w:link w:val="CommentText"/>
    <w:uiPriority w:val="99"/>
    <w:semiHidden/>
    <w:rsid w:val="00F669AC"/>
    <w:rPr>
      <w:rFonts w:ascii="Batang" w:eastAsia="Batang" w:hAnsi="Times New Roman"/>
      <w:kern w:val="2"/>
      <w:lang w:val="en-US" w:eastAsia="ko-KR"/>
    </w:rPr>
  </w:style>
  <w:style w:type="paragraph" w:styleId="CommentSubject">
    <w:name w:val="annotation subject"/>
    <w:basedOn w:val="CommentText"/>
    <w:next w:val="CommentText"/>
    <w:link w:val="CommentSubjectChar"/>
    <w:uiPriority w:val="99"/>
    <w:semiHidden/>
    <w:unhideWhenUsed/>
    <w:rsid w:val="00F669AC"/>
    <w:rPr>
      <w:b/>
      <w:bCs/>
    </w:rPr>
  </w:style>
  <w:style w:type="character" w:customStyle="1" w:styleId="CommentSubjectChar">
    <w:name w:val="Comment Subject Char"/>
    <w:link w:val="CommentSubject"/>
    <w:uiPriority w:val="99"/>
    <w:semiHidden/>
    <w:rsid w:val="00F669AC"/>
    <w:rPr>
      <w:rFonts w:ascii="Batang" w:eastAsia="Batang" w:hAnsi="Times New Roman"/>
      <w:b/>
      <w:bCs/>
      <w:kern w:val="2"/>
      <w:lang w:val="en-US" w:eastAsia="ko-KR"/>
    </w:rPr>
  </w:style>
  <w:style w:type="character" w:customStyle="1" w:styleId="Heading1Char">
    <w:name w:val="Heading 1 Char"/>
    <w:basedOn w:val="DefaultParagraphFont"/>
    <w:link w:val="Heading1"/>
    <w:uiPriority w:val="9"/>
    <w:rsid w:val="00A174C6"/>
    <w:rPr>
      <w:rFonts w:ascii="Times New Roman" w:eastAsia="Times New Roman" w:hAnsi="Times New Roman"/>
      <w:b/>
      <w:bCs/>
      <w:sz w:val="24"/>
      <w:szCs w:val="24"/>
      <w:lang w:eastAsia="en-US"/>
    </w:rPr>
  </w:style>
  <w:style w:type="table" w:customStyle="1" w:styleId="TableNormal1">
    <w:name w:val="Table Normal1"/>
    <w:uiPriority w:val="2"/>
    <w:semiHidden/>
    <w:unhideWhenUsed/>
    <w:qFormat/>
    <w:rsid w:val="00A174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A174C6"/>
    <w:pPr>
      <w:wordWrap/>
      <w:spacing w:before="165"/>
      <w:ind w:left="302"/>
      <w:jc w:val="left"/>
    </w:pPr>
    <w:rPr>
      <w:rFonts w:eastAsia="Times New Roman"/>
      <w:kern w:val="0"/>
      <w:sz w:val="24"/>
      <w:lang w:eastAsia="en-US"/>
    </w:rPr>
  </w:style>
  <w:style w:type="character" w:customStyle="1" w:styleId="BodyTextChar">
    <w:name w:val="Body Text Char"/>
    <w:basedOn w:val="DefaultParagraphFont"/>
    <w:link w:val="BodyText"/>
    <w:uiPriority w:val="1"/>
    <w:rsid w:val="00A174C6"/>
    <w:rPr>
      <w:rFonts w:ascii="Times New Roman" w:eastAsia="Times New Roman" w:hAnsi="Times New Roman"/>
      <w:sz w:val="24"/>
      <w:szCs w:val="24"/>
      <w:lang w:eastAsia="en-US"/>
    </w:rPr>
  </w:style>
  <w:style w:type="paragraph" w:customStyle="1" w:styleId="TableParagraph">
    <w:name w:val="Table Paragraph"/>
    <w:basedOn w:val="Normal"/>
    <w:uiPriority w:val="1"/>
    <w:qFormat/>
    <w:rsid w:val="00A174C6"/>
    <w:pPr>
      <w:wordWrap/>
      <w:jc w:val="left"/>
    </w:pPr>
    <w:rPr>
      <w:rFonts w:eastAsia="Times New Roman"/>
      <w:kern w:val="0"/>
      <w:szCs w:val="22"/>
      <w:lang w:eastAsia="en-US"/>
    </w:rPr>
  </w:style>
  <w:style w:type="paragraph" w:styleId="ListParagraph">
    <w:name w:val="List Paragraph"/>
    <w:basedOn w:val="Normal"/>
    <w:uiPriority w:val="34"/>
    <w:qFormat/>
    <w:rsid w:val="00565C22"/>
    <w:pPr>
      <w:ind w:leftChars="400" w:left="800"/>
    </w:pPr>
  </w:style>
  <w:style w:type="paragraph" w:styleId="Bibliography">
    <w:name w:val="Bibliography"/>
    <w:basedOn w:val="Normal"/>
    <w:next w:val="Normal"/>
    <w:uiPriority w:val="37"/>
    <w:semiHidden/>
    <w:unhideWhenUsed/>
    <w:rsid w:val="00C52E89"/>
  </w:style>
  <w:style w:type="paragraph" w:customStyle="1" w:styleId="EndNoteBibliography">
    <w:name w:val="EndNote Bibliography"/>
    <w:basedOn w:val="Normal"/>
    <w:link w:val="EndNoteBibliographyChar"/>
    <w:rsid w:val="00C52E89"/>
    <w:pPr>
      <w:spacing w:after="160"/>
    </w:pPr>
    <w:rPr>
      <w:rFonts w:ascii="Malgun Gothic" w:eastAsia="Malgun Gothic" w:hAnsi="Malgun Gothic" w:cstheme="minorBidi"/>
      <w:noProof/>
      <w:szCs w:val="22"/>
    </w:rPr>
  </w:style>
  <w:style w:type="character" w:customStyle="1" w:styleId="EndNoteBibliographyChar">
    <w:name w:val="EndNote Bibliography Char"/>
    <w:basedOn w:val="DefaultParagraphFont"/>
    <w:link w:val="EndNoteBibliography"/>
    <w:rsid w:val="00C52E89"/>
    <w:rPr>
      <w:rFonts w:cstheme="minorBidi"/>
      <w:noProof/>
      <w:kern w:val="2"/>
      <w:szCs w:val="22"/>
    </w:rPr>
  </w:style>
  <w:style w:type="character" w:styleId="Hyperlink">
    <w:name w:val="Hyperlink"/>
    <w:basedOn w:val="DefaultParagraphFont"/>
    <w:uiPriority w:val="99"/>
    <w:unhideWhenUsed/>
    <w:rsid w:val="00C52E89"/>
    <w:rPr>
      <w:color w:val="0563C1" w:themeColor="hyperlink"/>
      <w:u w:val="single"/>
    </w:rPr>
  </w:style>
  <w:style w:type="paragraph" w:styleId="Revision">
    <w:name w:val="Revision"/>
    <w:hidden/>
    <w:uiPriority w:val="99"/>
    <w:semiHidden/>
    <w:rsid w:val="006924F6"/>
    <w:rPr>
      <w:rFonts w:ascii="Batang" w:eastAsia="Batang" w:hAnsi="Times New Roman"/>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030">
      <w:bodyDiv w:val="1"/>
      <w:marLeft w:val="0"/>
      <w:marRight w:val="0"/>
      <w:marTop w:val="0"/>
      <w:marBottom w:val="0"/>
      <w:divBdr>
        <w:top w:val="none" w:sz="0" w:space="0" w:color="auto"/>
        <w:left w:val="none" w:sz="0" w:space="0" w:color="auto"/>
        <w:bottom w:val="none" w:sz="0" w:space="0" w:color="auto"/>
        <w:right w:val="none" w:sz="0" w:space="0" w:color="auto"/>
      </w:divBdr>
    </w:div>
    <w:div w:id="16153624">
      <w:bodyDiv w:val="1"/>
      <w:marLeft w:val="0"/>
      <w:marRight w:val="0"/>
      <w:marTop w:val="0"/>
      <w:marBottom w:val="0"/>
      <w:divBdr>
        <w:top w:val="none" w:sz="0" w:space="0" w:color="auto"/>
        <w:left w:val="none" w:sz="0" w:space="0" w:color="auto"/>
        <w:bottom w:val="none" w:sz="0" w:space="0" w:color="auto"/>
        <w:right w:val="none" w:sz="0" w:space="0" w:color="auto"/>
      </w:divBdr>
    </w:div>
    <w:div w:id="44528532">
      <w:bodyDiv w:val="1"/>
      <w:marLeft w:val="0"/>
      <w:marRight w:val="0"/>
      <w:marTop w:val="0"/>
      <w:marBottom w:val="0"/>
      <w:divBdr>
        <w:top w:val="none" w:sz="0" w:space="0" w:color="auto"/>
        <w:left w:val="none" w:sz="0" w:space="0" w:color="auto"/>
        <w:bottom w:val="none" w:sz="0" w:space="0" w:color="auto"/>
        <w:right w:val="none" w:sz="0" w:space="0" w:color="auto"/>
      </w:divBdr>
    </w:div>
    <w:div w:id="47606548">
      <w:bodyDiv w:val="1"/>
      <w:marLeft w:val="0"/>
      <w:marRight w:val="0"/>
      <w:marTop w:val="0"/>
      <w:marBottom w:val="0"/>
      <w:divBdr>
        <w:top w:val="none" w:sz="0" w:space="0" w:color="auto"/>
        <w:left w:val="none" w:sz="0" w:space="0" w:color="auto"/>
        <w:bottom w:val="none" w:sz="0" w:space="0" w:color="auto"/>
        <w:right w:val="none" w:sz="0" w:space="0" w:color="auto"/>
      </w:divBdr>
    </w:div>
    <w:div w:id="77748721">
      <w:bodyDiv w:val="1"/>
      <w:marLeft w:val="0"/>
      <w:marRight w:val="0"/>
      <w:marTop w:val="0"/>
      <w:marBottom w:val="0"/>
      <w:divBdr>
        <w:top w:val="none" w:sz="0" w:space="0" w:color="auto"/>
        <w:left w:val="none" w:sz="0" w:space="0" w:color="auto"/>
        <w:bottom w:val="none" w:sz="0" w:space="0" w:color="auto"/>
        <w:right w:val="none" w:sz="0" w:space="0" w:color="auto"/>
      </w:divBdr>
    </w:div>
    <w:div w:id="97874747">
      <w:bodyDiv w:val="1"/>
      <w:marLeft w:val="0"/>
      <w:marRight w:val="0"/>
      <w:marTop w:val="0"/>
      <w:marBottom w:val="0"/>
      <w:divBdr>
        <w:top w:val="none" w:sz="0" w:space="0" w:color="auto"/>
        <w:left w:val="none" w:sz="0" w:space="0" w:color="auto"/>
        <w:bottom w:val="none" w:sz="0" w:space="0" w:color="auto"/>
        <w:right w:val="none" w:sz="0" w:space="0" w:color="auto"/>
      </w:divBdr>
    </w:div>
    <w:div w:id="99419805">
      <w:bodyDiv w:val="1"/>
      <w:marLeft w:val="0"/>
      <w:marRight w:val="0"/>
      <w:marTop w:val="0"/>
      <w:marBottom w:val="0"/>
      <w:divBdr>
        <w:top w:val="none" w:sz="0" w:space="0" w:color="auto"/>
        <w:left w:val="none" w:sz="0" w:space="0" w:color="auto"/>
        <w:bottom w:val="none" w:sz="0" w:space="0" w:color="auto"/>
        <w:right w:val="none" w:sz="0" w:space="0" w:color="auto"/>
      </w:divBdr>
    </w:div>
    <w:div w:id="100997441">
      <w:bodyDiv w:val="1"/>
      <w:marLeft w:val="0"/>
      <w:marRight w:val="0"/>
      <w:marTop w:val="0"/>
      <w:marBottom w:val="0"/>
      <w:divBdr>
        <w:top w:val="none" w:sz="0" w:space="0" w:color="auto"/>
        <w:left w:val="none" w:sz="0" w:space="0" w:color="auto"/>
        <w:bottom w:val="none" w:sz="0" w:space="0" w:color="auto"/>
        <w:right w:val="none" w:sz="0" w:space="0" w:color="auto"/>
      </w:divBdr>
    </w:div>
    <w:div w:id="107242363">
      <w:bodyDiv w:val="1"/>
      <w:marLeft w:val="0"/>
      <w:marRight w:val="0"/>
      <w:marTop w:val="0"/>
      <w:marBottom w:val="0"/>
      <w:divBdr>
        <w:top w:val="none" w:sz="0" w:space="0" w:color="auto"/>
        <w:left w:val="none" w:sz="0" w:space="0" w:color="auto"/>
        <w:bottom w:val="none" w:sz="0" w:space="0" w:color="auto"/>
        <w:right w:val="none" w:sz="0" w:space="0" w:color="auto"/>
      </w:divBdr>
    </w:div>
    <w:div w:id="118575635">
      <w:bodyDiv w:val="1"/>
      <w:marLeft w:val="0"/>
      <w:marRight w:val="0"/>
      <w:marTop w:val="0"/>
      <w:marBottom w:val="0"/>
      <w:divBdr>
        <w:top w:val="none" w:sz="0" w:space="0" w:color="auto"/>
        <w:left w:val="none" w:sz="0" w:space="0" w:color="auto"/>
        <w:bottom w:val="none" w:sz="0" w:space="0" w:color="auto"/>
        <w:right w:val="none" w:sz="0" w:space="0" w:color="auto"/>
      </w:divBdr>
    </w:div>
    <w:div w:id="128986528">
      <w:bodyDiv w:val="1"/>
      <w:marLeft w:val="0"/>
      <w:marRight w:val="0"/>
      <w:marTop w:val="0"/>
      <w:marBottom w:val="0"/>
      <w:divBdr>
        <w:top w:val="none" w:sz="0" w:space="0" w:color="auto"/>
        <w:left w:val="none" w:sz="0" w:space="0" w:color="auto"/>
        <w:bottom w:val="none" w:sz="0" w:space="0" w:color="auto"/>
        <w:right w:val="none" w:sz="0" w:space="0" w:color="auto"/>
      </w:divBdr>
    </w:div>
    <w:div w:id="134643100">
      <w:bodyDiv w:val="1"/>
      <w:marLeft w:val="0"/>
      <w:marRight w:val="0"/>
      <w:marTop w:val="0"/>
      <w:marBottom w:val="0"/>
      <w:divBdr>
        <w:top w:val="none" w:sz="0" w:space="0" w:color="auto"/>
        <w:left w:val="none" w:sz="0" w:space="0" w:color="auto"/>
        <w:bottom w:val="none" w:sz="0" w:space="0" w:color="auto"/>
        <w:right w:val="none" w:sz="0" w:space="0" w:color="auto"/>
      </w:divBdr>
    </w:div>
    <w:div w:id="222183297">
      <w:bodyDiv w:val="1"/>
      <w:marLeft w:val="0"/>
      <w:marRight w:val="0"/>
      <w:marTop w:val="0"/>
      <w:marBottom w:val="0"/>
      <w:divBdr>
        <w:top w:val="none" w:sz="0" w:space="0" w:color="auto"/>
        <w:left w:val="none" w:sz="0" w:space="0" w:color="auto"/>
        <w:bottom w:val="none" w:sz="0" w:space="0" w:color="auto"/>
        <w:right w:val="none" w:sz="0" w:space="0" w:color="auto"/>
      </w:divBdr>
    </w:div>
    <w:div w:id="249890930">
      <w:bodyDiv w:val="1"/>
      <w:marLeft w:val="0"/>
      <w:marRight w:val="0"/>
      <w:marTop w:val="0"/>
      <w:marBottom w:val="0"/>
      <w:divBdr>
        <w:top w:val="none" w:sz="0" w:space="0" w:color="auto"/>
        <w:left w:val="none" w:sz="0" w:space="0" w:color="auto"/>
        <w:bottom w:val="none" w:sz="0" w:space="0" w:color="auto"/>
        <w:right w:val="none" w:sz="0" w:space="0" w:color="auto"/>
      </w:divBdr>
    </w:div>
    <w:div w:id="269356112">
      <w:bodyDiv w:val="1"/>
      <w:marLeft w:val="0"/>
      <w:marRight w:val="0"/>
      <w:marTop w:val="0"/>
      <w:marBottom w:val="0"/>
      <w:divBdr>
        <w:top w:val="none" w:sz="0" w:space="0" w:color="auto"/>
        <w:left w:val="none" w:sz="0" w:space="0" w:color="auto"/>
        <w:bottom w:val="none" w:sz="0" w:space="0" w:color="auto"/>
        <w:right w:val="none" w:sz="0" w:space="0" w:color="auto"/>
      </w:divBdr>
    </w:div>
    <w:div w:id="291138114">
      <w:bodyDiv w:val="1"/>
      <w:marLeft w:val="0"/>
      <w:marRight w:val="0"/>
      <w:marTop w:val="0"/>
      <w:marBottom w:val="0"/>
      <w:divBdr>
        <w:top w:val="none" w:sz="0" w:space="0" w:color="auto"/>
        <w:left w:val="none" w:sz="0" w:space="0" w:color="auto"/>
        <w:bottom w:val="none" w:sz="0" w:space="0" w:color="auto"/>
        <w:right w:val="none" w:sz="0" w:space="0" w:color="auto"/>
      </w:divBdr>
    </w:div>
    <w:div w:id="303237629">
      <w:bodyDiv w:val="1"/>
      <w:marLeft w:val="0"/>
      <w:marRight w:val="0"/>
      <w:marTop w:val="0"/>
      <w:marBottom w:val="0"/>
      <w:divBdr>
        <w:top w:val="none" w:sz="0" w:space="0" w:color="auto"/>
        <w:left w:val="none" w:sz="0" w:space="0" w:color="auto"/>
        <w:bottom w:val="none" w:sz="0" w:space="0" w:color="auto"/>
        <w:right w:val="none" w:sz="0" w:space="0" w:color="auto"/>
      </w:divBdr>
    </w:div>
    <w:div w:id="313532510">
      <w:bodyDiv w:val="1"/>
      <w:marLeft w:val="0"/>
      <w:marRight w:val="0"/>
      <w:marTop w:val="0"/>
      <w:marBottom w:val="0"/>
      <w:divBdr>
        <w:top w:val="none" w:sz="0" w:space="0" w:color="auto"/>
        <w:left w:val="none" w:sz="0" w:space="0" w:color="auto"/>
        <w:bottom w:val="none" w:sz="0" w:space="0" w:color="auto"/>
        <w:right w:val="none" w:sz="0" w:space="0" w:color="auto"/>
      </w:divBdr>
    </w:div>
    <w:div w:id="338580041">
      <w:bodyDiv w:val="1"/>
      <w:marLeft w:val="0"/>
      <w:marRight w:val="0"/>
      <w:marTop w:val="0"/>
      <w:marBottom w:val="0"/>
      <w:divBdr>
        <w:top w:val="none" w:sz="0" w:space="0" w:color="auto"/>
        <w:left w:val="none" w:sz="0" w:space="0" w:color="auto"/>
        <w:bottom w:val="none" w:sz="0" w:space="0" w:color="auto"/>
        <w:right w:val="none" w:sz="0" w:space="0" w:color="auto"/>
      </w:divBdr>
    </w:div>
    <w:div w:id="354042924">
      <w:bodyDiv w:val="1"/>
      <w:marLeft w:val="0"/>
      <w:marRight w:val="0"/>
      <w:marTop w:val="0"/>
      <w:marBottom w:val="0"/>
      <w:divBdr>
        <w:top w:val="none" w:sz="0" w:space="0" w:color="auto"/>
        <w:left w:val="none" w:sz="0" w:space="0" w:color="auto"/>
        <w:bottom w:val="none" w:sz="0" w:space="0" w:color="auto"/>
        <w:right w:val="none" w:sz="0" w:space="0" w:color="auto"/>
      </w:divBdr>
    </w:div>
    <w:div w:id="358512733">
      <w:bodyDiv w:val="1"/>
      <w:marLeft w:val="0"/>
      <w:marRight w:val="0"/>
      <w:marTop w:val="0"/>
      <w:marBottom w:val="0"/>
      <w:divBdr>
        <w:top w:val="none" w:sz="0" w:space="0" w:color="auto"/>
        <w:left w:val="none" w:sz="0" w:space="0" w:color="auto"/>
        <w:bottom w:val="none" w:sz="0" w:space="0" w:color="auto"/>
        <w:right w:val="none" w:sz="0" w:space="0" w:color="auto"/>
      </w:divBdr>
    </w:div>
    <w:div w:id="368379884">
      <w:bodyDiv w:val="1"/>
      <w:marLeft w:val="0"/>
      <w:marRight w:val="0"/>
      <w:marTop w:val="0"/>
      <w:marBottom w:val="0"/>
      <w:divBdr>
        <w:top w:val="none" w:sz="0" w:space="0" w:color="auto"/>
        <w:left w:val="none" w:sz="0" w:space="0" w:color="auto"/>
        <w:bottom w:val="none" w:sz="0" w:space="0" w:color="auto"/>
        <w:right w:val="none" w:sz="0" w:space="0" w:color="auto"/>
      </w:divBdr>
    </w:div>
    <w:div w:id="401875118">
      <w:bodyDiv w:val="1"/>
      <w:marLeft w:val="0"/>
      <w:marRight w:val="0"/>
      <w:marTop w:val="0"/>
      <w:marBottom w:val="0"/>
      <w:divBdr>
        <w:top w:val="none" w:sz="0" w:space="0" w:color="auto"/>
        <w:left w:val="none" w:sz="0" w:space="0" w:color="auto"/>
        <w:bottom w:val="none" w:sz="0" w:space="0" w:color="auto"/>
        <w:right w:val="none" w:sz="0" w:space="0" w:color="auto"/>
      </w:divBdr>
    </w:div>
    <w:div w:id="416174336">
      <w:bodyDiv w:val="1"/>
      <w:marLeft w:val="0"/>
      <w:marRight w:val="0"/>
      <w:marTop w:val="0"/>
      <w:marBottom w:val="0"/>
      <w:divBdr>
        <w:top w:val="none" w:sz="0" w:space="0" w:color="auto"/>
        <w:left w:val="none" w:sz="0" w:space="0" w:color="auto"/>
        <w:bottom w:val="none" w:sz="0" w:space="0" w:color="auto"/>
        <w:right w:val="none" w:sz="0" w:space="0" w:color="auto"/>
      </w:divBdr>
    </w:div>
    <w:div w:id="418798737">
      <w:bodyDiv w:val="1"/>
      <w:marLeft w:val="0"/>
      <w:marRight w:val="0"/>
      <w:marTop w:val="0"/>
      <w:marBottom w:val="0"/>
      <w:divBdr>
        <w:top w:val="none" w:sz="0" w:space="0" w:color="auto"/>
        <w:left w:val="none" w:sz="0" w:space="0" w:color="auto"/>
        <w:bottom w:val="none" w:sz="0" w:space="0" w:color="auto"/>
        <w:right w:val="none" w:sz="0" w:space="0" w:color="auto"/>
      </w:divBdr>
    </w:div>
    <w:div w:id="425003367">
      <w:bodyDiv w:val="1"/>
      <w:marLeft w:val="0"/>
      <w:marRight w:val="0"/>
      <w:marTop w:val="0"/>
      <w:marBottom w:val="0"/>
      <w:divBdr>
        <w:top w:val="none" w:sz="0" w:space="0" w:color="auto"/>
        <w:left w:val="none" w:sz="0" w:space="0" w:color="auto"/>
        <w:bottom w:val="none" w:sz="0" w:space="0" w:color="auto"/>
        <w:right w:val="none" w:sz="0" w:space="0" w:color="auto"/>
      </w:divBdr>
    </w:div>
    <w:div w:id="426267584">
      <w:bodyDiv w:val="1"/>
      <w:marLeft w:val="0"/>
      <w:marRight w:val="0"/>
      <w:marTop w:val="0"/>
      <w:marBottom w:val="0"/>
      <w:divBdr>
        <w:top w:val="none" w:sz="0" w:space="0" w:color="auto"/>
        <w:left w:val="none" w:sz="0" w:space="0" w:color="auto"/>
        <w:bottom w:val="none" w:sz="0" w:space="0" w:color="auto"/>
        <w:right w:val="none" w:sz="0" w:space="0" w:color="auto"/>
      </w:divBdr>
    </w:div>
    <w:div w:id="438110203">
      <w:bodyDiv w:val="1"/>
      <w:marLeft w:val="0"/>
      <w:marRight w:val="0"/>
      <w:marTop w:val="0"/>
      <w:marBottom w:val="0"/>
      <w:divBdr>
        <w:top w:val="none" w:sz="0" w:space="0" w:color="auto"/>
        <w:left w:val="none" w:sz="0" w:space="0" w:color="auto"/>
        <w:bottom w:val="none" w:sz="0" w:space="0" w:color="auto"/>
        <w:right w:val="none" w:sz="0" w:space="0" w:color="auto"/>
      </w:divBdr>
    </w:div>
    <w:div w:id="439028371">
      <w:bodyDiv w:val="1"/>
      <w:marLeft w:val="0"/>
      <w:marRight w:val="0"/>
      <w:marTop w:val="0"/>
      <w:marBottom w:val="0"/>
      <w:divBdr>
        <w:top w:val="none" w:sz="0" w:space="0" w:color="auto"/>
        <w:left w:val="none" w:sz="0" w:space="0" w:color="auto"/>
        <w:bottom w:val="none" w:sz="0" w:space="0" w:color="auto"/>
        <w:right w:val="none" w:sz="0" w:space="0" w:color="auto"/>
      </w:divBdr>
    </w:div>
    <w:div w:id="490144568">
      <w:bodyDiv w:val="1"/>
      <w:marLeft w:val="0"/>
      <w:marRight w:val="0"/>
      <w:marTop w:val="0"/>
      <w:marBottom w:val="0"/>
      <w:divBdr>
        <w:top w:val="none" w:sz="0" w:space="0" w:color="auto"/>
        <w:left w:val="none" w:sz="0" w:space="0" w:color="auto"/>
        <w:bottom w:val="none" w:sz="0" w:space="0" w:color="auto"/>
        <w:right w:val="none" w:sz="0" w:space="0" w:color="auto"/>
      </w:divBdr>
    </w:div>
    <w:div w:id="525560958">
      <w:bodyDiv w:val="1"/>
      <w:marLeft w:val="0"/>
      <w:marRight w:val="0"/>
      <w:marTop w:val="0"/>
      <w:marBottom w:val="0"/>
      <w:divBdr>
        <w:top w:val="none" w:sz="0" w:space="0" w:color="auto"/>
        <w:left w:val="none" w:sz="0" w:space="0" w:color="auto"/>
        <w:bottom w:val="none" w:sz="0" w:space="0" w:color="auto"/>
        <w:right w:val="none" w:sz="0" w:space="0" w:color="auto"/>
      </w:divBdr>
    </w:div>
    <w:div w:id="535889614">
      <w:bodyDiv w:val="1"/>
      <w:marLeft w:val="0"/>
      <w:marRight w:val="0"/>
      <w:marTop w:val="0"/>
      <w:marBottom w:val="0"/>
      <w:divBdr>
        <w:top w:val="none" w:sz="0" w:space="0" w:color="auto"/>
        <w:left w:val="none" w:sz="0" w:space="0" w:color="auto"/>
        <w:bottom w:val="none" w:sz="0" w:space="0" w:color="auto"/>
        <w:right w:val="none" w:sz="0" w:space="0" w:color="auto"/>
      </w:divBdr>
    </w:div>
    <w:div w:id="542986011">
      <w:bodyDiv w:val="1"/>
      <w:marLeft w:val="0"/>
      <w:marRight w:val="0"/>
      <w:marTop w:val="0"/>
      <w:marBottom w:val="0"/>
      <w:divBdr>
        <w:top w:val="none" w:sz="0" w:space="0" w:color="auto"/>
        <w:left w:val="none" w:sz="0" w:space="0" w:color="auto"/>
        <w:bottom w:val="none" w:sz="0" w:space="0" w:color="auto"/>
        <w:right w:val="none" w:sz="0" w:space="0" w:color="auto"/>
      </w:divBdr>
    </w:div>
    <w:div w:id="568461436">
      <w:bodyDiv w:val="1"/>
      <w:marLeft w:val="0"/>
      <w:marRight w:val="0"/>
      <w:marTop w:val="0"/>
      <w:marBottom w:val="0"/>
      <w:divBdr>
        <w:top w:val="none" w:sz="0" w:space="0" w:color="auto"/>
        <w:left w:val="none" w:sz="0" w:space="0" w:color="auto"/>
        <w:bottom w:val="none" w:sz="0" w:space="0" w:color="auto"/>
        <w:right w:val="none" w:sz="0" w:space="0" w:color="auto"/>
      </w:divBdr>
    </w:div>
    <w:div w:id="573972060">
      <w:bodyDiv w:val="1"/>
      <w:marLeft w:val="0"/>
      <w:marRight w:val="0"/>
      <w:marTop w:val="0"/>
      <w:marBottom w:val="0"/>
      <w:divBdr>
        <w:top w:val="none" w:sz="0" w:space="0" w:color="auto"/>
        <w:left w:val="none" w:sz="0" w:space="0" w:color="auto"/>
        <w:bottom w:val="none" w:sz="0" w:space="0" w:color="auto"/>
        <w:right w:val="none" w:sz="0" w:space="0" w:color="auto"/>
      </w:divBdr>
    </w:div>
    <w:div w:id="578446531">
      <w:bodyDiv w:val="1"/>
      <w:marLeft w:val="0"/>
      <w:marRight w:val="0"/>
      <w:marTop w:val="0"/>
      <w:marBottom w:val="0"/>
      <w:divBdr>
        <w:top w:val="none" w:sz="0" w:space="0" w:color="auto"/>
        <w:left w:val="none" w:sz="0" w:space="0" w:color="auto"/>
        <w:bottom w:val="none" w:sz="0" w:space="0" w:color="auto"/>
        <w:right w:val="none" w:sz="0" w:space="0" w:color="auto"/>
      </w:divBdr>
    </w:div>
    <w:div w:id="583421281">
      <w:bodyDiv w:val="1"/>
      <w:marLeft w:val="0"/>
      <w:marRight w:val="0"/>
      <w:marTop w:val="0"/>
      <w:marBottom w:val="0"/>
      <w:divBdr>
        <w:top w:val="none" w:sz="0" w:space="0" w:color="auto"/>
        <w:left w:val="none" w:sz="0" w:space="0" w:color="auto"/>
        <w:bottom w:val="none" w:sz="0" w:space="0" w:color="auto"/>
        <w:right w:val="none" w:sz="0" w:space="0" w:color="auto"/>
      </w:divBdr>
    </w:div>
    <w:div w:id="602570258">
      <w:bodyDiv w:val="1"/>
      <w:marLeft w:val="0"/>
      <w:marRight w:val="0"/>
      <w:marTop w:val="0"/>
      <w:marBottom w:val="0"/>
      <w:divBdr>
        <w:top w:val="none" w:sz="0" w:space="0" w:color="auto"/>
        <w:left w:val="none" w:sz="0" w:space="0" w:color="auto"/>
        <w:bottom w:val="none" w:sz="0" w:space="0" w:color="auto"/>
        <w:right w:val="none" w:sz="0" w:space="0" w:color="auto"/>
      </w:divBdr>
    </w:div>
    <w:div w:id="604073464">
      <w:bodyDiv w:val="1"/>
      <w:marLeft w:val="0"/>
      <w:marRight w:val="0"/>
      <w:marTop w:val="0"/>
      <w:marBottom w:val="0"/>
      <w:divBdr>
        <w:top w:val="none" w:sz="0" w:space="0" w:color="auto"/>
        <w:left w:val="none" w:sz="0" w:space="0" w:color="auto"/>
        <w:bottom w:val="none" w:sz="0" w:space="0" w:color="auto"/>
        <w:right w:val="none" w:sz="0" w:space="0" w:color="auto"/>
      </w:divBdr>
    </w:div>
    <w:div w:id="617108044">
      <w:bodyDiv w:val="1"/>
      <w:marLeft w:val="0"/>
      <w:marRight w:val="0"/>
      <w:marTop w:val="0"/>
      <w:marBottom w:val="0"/>
      <w:divBdr>
        <w:top w:val="none" w:sz="0" w:space="0" w:color="auto"/>
        <w:left w:val="none" w:sz="0" w:space="0" w:color="auto"/>
        <w:bottom w:val="none" w:sz="0" w:space="0" w:color="auto"/>
        <w:right w:val="none" w:sz="0" w:space="0" w:color="auto"/>
      </w:divBdr>
    </w:div>
    <w:div w:id="691804338">
      <w:bodyDiv w:val="1"/>
      <w:marLeft w:val="0"/>
      <w:marRight w:val="0"/>
      <w:marTop w:val="0"/>
      <w:marBottom w:val="0"/>
      <w:divBdr>
        <w:top w:val="none" w:sz="0" w:space="0" w:color="auto"/>
        <w:left w:val="none" w:sz="0" w:space="0" w:color="auto"/>
        <w:bottom w:val="none" w:sz="0" w:space="0" w:color="auto"/>
        <w:right w:val="none" w:sz="0" w:space="0" w:color="auto"/>
      </w:divBdr>
    </w:div>
    <w:div w:id="699358133">
      <w:bodyDiv w:val="1"/>
      <w:marLeft w:val="0"/>
      <w:marRight w:val="0"/>
      <w:marTop w:val="0"/>
      <w:marBottom w:val="0"/>
      <w:divBdr>
        <w:top w:val="none" w:sz="0" w:space="0" w:color="auto"/>
        <w:left w:val="none" w:sz="0" w:space="0" w:color="auto"/>
        <w:bottom w:val="none" w:sz="0" w:space="0" w:color="auto"/>
        <w:right w:val="none" w:sz="0" w:space="0" w:color="auto"/>
      </w:divBdr>
    </w:div>
    <w:div w:id="700934506">
      <w:bodyDiv w:val="1"/>
      <w:marLeft w:val="0"/>
      <w:marRight w:val="0"/>
      <w:marTop w:val="0"/>
      <w:marBottom w:val="0"/>
      <w:divBdr>
        <w:top w:val="none" w:sz="0" w:space="0" w:color="auto"/>
        <w:left w:val="none" w:sz="0" w:space="0" w:color="auto"/>
        <w:bottom w:val="none" w:sz="0" w:space="0" w:color="auto"/>
        <w:right w:val="none" w:sz="0" w:space="0" w:color="auto"/>
      </w:divBdr>
    </w:div>
    <w:div w:id="701857389">
      <w:bodyDiv w:val="1"/>
      <w:marLeft w:val="0"/>
      <w:marRight w:val="0"/>
      <w:marTop w:val="0"/>
      <w:marBottom w:val="0"/>
      <w:divBdr>
        <w:top w:val="none" w:sz="0" w:space="0" w:color="auto"/>
        <w:left w:val="none" w:sz="0" w:space="0" w:color="auto"/>
        <w:bottom w:val="none" w:sz="0" w:space="0" w:color="auto"/>
        <w:right w:val="none" w:sz="0" w:space="0" w:color="auto"/>
      </w:divBdr>
    </w:div>
    <w:div w:id="719017101">
      <w:bodyDiv w:val="1"/>
      <w:marLeft w:val="0"/>
      <w:marRight w:val="0"/>
      <w:marTop w:val="0"/>
      <w:marBottom w:val="0"/>
      <w:divBdr>
        <w:top w:val="none" w:sz="0" w:space="0" w:color="auto"/>
        <w:left w:val="none" w:sz="0" w:space="0" w:color="auto"/>
        <w:bottom w:val="none" w:sz="0" w:space="0" w:color="auto"/>
        <w:right w:val="none" w:sz="0" w:space="0" w:color="auto"/>
      </w:divBdr>
    </w:div>
    <w:div w:id="740450091">
      <w:bodyDiv w:val="1"/>
      <w:marLeft w:val="0"/>
      <w:marRight w:val="0"/>
      <w:marTop w:val="0"/>
      <w:marBottom w:val="0"/>
      <w:divBdr>
        <w:top w:val="none" w:sz="0" w:space="0" w:color="auto"/>
        <w:left w:val="none" w:sz="0" w:space="0" w:color="auto"/>
        <w:bottom w:val="none" w:sz="0" w:space="0" w:color="auto"/>
        <w:right w:val="none" w:sz="0" w:space="0" w:color="auto"/>
      </w:divBdr>
    </w:div>
    <w:div w:id="767895287">
      <w:bodyDiv w:val="1"/>
      <w:marLeft w:val="0"/>
      <w:marRight w:val="0"/>
      <w:marTop w:val="0"/>
      <w:marBottom w:val="0"/>
      <w:divBdr>
        <w:top w:val="none" w:sz="0" w:space="0" w:color="auto"/>
        <w:left w:val="none" w:sz="0" w:space="0" w:color="auto"/>
        <w:bottom w:val="none" w:sz="0" w:space="0" w:color="auto"/>
        <w:right w:val="none" w:sz="0" w:space="0" w:color="auto"/>
      </w:divBdr>
    </w:div>
    <w:div w:id="829060714">
      <w:bodyDiv w:val="1"/>
      <w:marLeft w:val="0"/>
      <w:marRight w:val="0"/>
      <w:marTop w:val="0"/>
      <w:marBottom w:val="0"/>
      <w:divBdr>
        <w:top w:val="none" w:sz="0" w:space="0" w:color="auto"/>
        <w:left w:val="none" w:sz="0" w:space="0" w:color="auto"/>
        <w:bottom w:val="none" w:sz="0" w:space="0" w:color="auto"/>
        <w:right w:val="none" w:sz="0" w:space="0" w:color="auto"/>
      </w:divBdr>
    </w:div>
    <w:div w:id="835461357">
      <w:bodyDiv w:val="1"/>
      <w:marLeft w:val="0"/>
      <w:marRight w:val="0"/>
      <w:marTop w:val="0"/>
      <w:marBottom w:val="0"/>
      <w:divBdr>
        <w:top w:val="none" w:sz="0" w:space="0" w:color="auto"/>
        <w:left w:val="none" w:sz="0" w:space="0" w:color="auto"/>
        <w:bottom w:val="none" w:sz="0" w:space="0" w:color="auto"/>
        <w:right w:val="none" w:sz="0" w:space="0" w:color="auto"/>
      </w:divBdr>
    </w:div>
    <w:div w:id="856621456">
      <w:bodyDiv w:val="1"/>
      <w:marLeft w:val="0"/>
      <w:marRight w:val="0"/>
      <w:marTop w:val="0"/>
      <w:marBottom w:val="0"/>
      <w:divBdr>
        <w:top w:val="none" w:sz="0" w:space="0" w:color="auto"/>
        <w:left w:val="none" w:sz="0" w:space="0" w:color="auto"/>
        <w:bottom w:val="none" w:sz="0" w:space="0" w:color="auto"/>
        <w:right w:val="none" w:sz="0" w:space="0" w:color="auto"/>
      </w:divBdr>
    </w:div>
    <w:div w:id="880751312">
      <w:bodyDiv w:val="1"/>
      <w:marLeft w:val="0"/>
      <w:marRight w:val="0"/>
      <w:marTop w:val="0"/>
      <w:marBottom w:val="0"/>
      <w:divBdr>
        <w:top w:val="none" w:sz="0" w:space="0" w:color="auto"/>
        <w:left w:val="none" w:sz="0" w:space="0" w:color="auto"/>
        <w:bottom w:val="none" w:sz="0" w:space="0" w:color="auto"/>
        <w:right w:val="none" w:sz="0" w:space="0" w:color="auto"/>
      </w:divBdr>
    </w:div>
    <w:div w:id="919950533">
      <w:bodyDiv w:val="1"/>
      <w:marLeft w:val="0"/>
      <w:marRight w:val="0"/>
      <w:marTop w:val="0"/>
      <w:marBottom w:val="0"/>
      <w:divBdr>
        <w:top w:val="none" w:sz="0" w:space="0" w:color="auto"/>
        <w:left w:val="none" w:sz="0" w:space="0" w:color="auto"/>
        <w:bottom w:val="none" w:sz="0" w:space="0" w:color="auto"/>
        <w:right w:val="none" w:sz="0" w:space="0" w:color="auto"/>
      </w:divBdr>
    </w:div>
    <w:div w:id="952903219">
      <w:bodyDiv w:val="1"/>
      <w:marLeft w:val="0"/>
      <w:marRight w:val="0"/>
      <w:marTop w:val="0"/>
      <w:marBottom w:val="0"/>
      <w:divBdr>
        <w:top w:val="none" w:sz="0" w:space="0" w:color="auto"/>
        <w:left w:val="none" w:sz="0" w:space="0" w:color="auto"/>
        <w:bottom w:val="none" w:sz="0" w:space="0" w:color="auto"/>
        <w:right w:val="none" w:sz="0" w:space="0" w:color="auto"/>
      </w:divBdr>
    </w:div>
    <w:div w:id="953752616">
      <w:bodyDiv w:val="1"/>
      <w:marLeft w:val="0"/>
      <w:marRight w:val="0"/>
      <w:marTop w:val="0"/>
      <w:marBottom w:val="0"/>
      <w:divBdr>
        <w:top w:val="none" w:sz="0" w:space="0" w:color="auto"/>
        <w:left w:val="none" w:sz="0" w:space="0" w:color="auto"/>
        <w:bottom w:val="none" w:sz="0" w:space="0" w:color="auto"/>
        <w:right w:val="none" w:sz="0" w:space="0" w:color="auto"/>
      </w:divBdr>
    </w:div>
    <w:div w:id="954484803">
      <w:bodyDiv w:val="1"/>
      <w:marLeft w:val="0"/>
      <w:marRight w:val="0"/>
      <w:marTop w:val="0"/>
      <w:marBottom w:val="0"/>
      <w:divBdr>
        <w:top w:val="none" w:sz="0" w:space="0" w:color="auto"/>
        <w:left w:val="none" w:sz="0" w:space="0" w:color="auto"/>
        <w:bottom w:val="none" w:sz="0" w:space="0" w:color="auto"/>
        <w:right w:val="none" w:sz="0" w:space="0" w:color="auto"/>
      </w:divBdr>
    </w:div>
    <w:div w:id="958923017">
      <w:bodyDiv w:val="1"/>
      <w:marLeft w:val="0"/>
      <w:marRight w:val="0"/>
      <w:marTop w:val="0"/>
      <w:marBottom w:val="0"/>
      <w:divBdr>
        <w:top w:val="none" w:sz="0" w:space="0" w:color="auto"/>
        <w:left w:val="none" w:sz="0" w:space="0" w:color="auto"/>
        <w:bottom w:val="none" w:sz="0" w:space="0" w:color="auto"/>
        <w:right w:val="none" w:sz="0" w:space="0" w:color="auto"/>
      </w:divBdr>
    </w:div>
    <w:div w:id="1000355097">
      <w:bodyDiv w:val="1"/>
      <w:marLeft w:val="0"/>
      <w:marRight w:val="0"/>
      <w:marTop w:val="0"/>
      <w:marBottom w:val="0"/>
      <w:divBdr>
        <w:top w:val="none" w:sz="0" w:space="0" w:color="auto"/>
        <w:left w:val="none" w:sz="0" w:space="0" w:color="auto"/>
        <w:bottom w:val="none" w:sz="0" w:space="0" w:color="auto"/>
        <w:right w:val="none" w:sz="0" w:space="0" w:color="auto"/>
      </w:divBdr>
    </w:div>
    <w:div w:id="1040282921">
      <w:bodyDiv w:val="1"/>
      <w:marLeft w:val="0"/>
      <w:marRight w:val="0"/>
      <w:marTop w:val="0"/>
      <w:marBottom w:val="0"/>
      <w:divBdr>
        <w:top w:val="none" w:sz="0" w:space="0" w:color="auto"/>
        <w:left w:val="none" w:sz="0" w:space="0" w:color="auto"/>
        <w:bottom w:val="none" w:sz="0" w:space="0" w:color="auto"/>
        <w:right w:val="none" w:sz="0" w:space="0" w:color="auto"/>
      </w:divBdr>
    </w:div>
    <w:div w:id="1065254624">
      <w:bodyDiv w:val="1"/>
      <w:marLeft w:val="0"/>
      <w:marRight w:val="0"/>
      <w:marTop w:val="0"/>
      <w:marBottom w:val="0"/>
      <w:divBdr>
        <w:top w:val="none" w:sz="0" w:space="0" w:color="auto"/>
        <w:left w:val="none" w:sz="0" w:space="0" w:color="auto"/>
        <w:bottom w:val="none" w:sz="0" w:space="0" w:color="auto"/>
        <w:right w:val="none" w:sz="0" w:space="0" w:color="auto"/>
      </w:divBdr>
    </w:div>
    <w:div w:id="1129737586">
      <w:bodyDiv w:val="1"/>
      <w:marLeft w:val="0"/>
      <w:marRight w:val="0"/>
      <w:marTop w:val="0"/>
      <w:marBottom w:val="0"/>
      <w:divBdr>
        <w:top w:val="none" w:sz="0" w:space="0" w:color="auto"/>
        <w:left w:val="none" w:sz="0" w:space="0" w:color="auto"/>
        <w:bottom w:val="none" w:sz="0" w:space="0" w:color="auto"/>
        <w:right w:val="none" w:sz="0" w:space="0" w:color="auto"/>
      </w:divBdr>
    </w:div>
    <w:div w:id="1142844785">
      <w:bodyDiv w:val="1"/>
      <w:marLeft w:val="0"/>
      <w:marRight w:val="0"/>
      <w:marTop w:val="0"/>
      <w:marBottom w:val="0"/>
      <w:divBdr>
        <w:top w:val="none" w:sz="0" w:space="0" w:color="auto"/>
        <w:left w:val="none" w:sz="0" w:space="0" w:color="auto"/>
        <w:bottom w:val="none" w:sz="0" w:space="0" w:color="auto"/>
        <w:right w:val="none" w:sz="0" w:space="0" w:color="auto"/>
      </w:divBdr>
    </w:div>
    <w:div w:id="1181116560">
      <w:bodyDiv w:val="1"/>
      <w:marLeft w:val="0"/>
      <w:marRight w:val="0"/>
      <w:marTop w:val="0"/>
      <w:marBottom w:val="0"/>
      <w:divBdr>
        <w:top w:val="none" w:sz="0" w:space="0" w:color="auto"/>
        <w:left w:val="none" w:sz="0" w:space="0" w:color="auto"/>
        <w:bottom w:val="none" w:sz="0" w:space="0" w:color="auto"/>
        <w:right w:val="none" w:sz="0" w:space="0" w:color="auto"/>
      </w:divBdr>
    </w:div>
    <w:div w:id="1203783233">
      <w:bodyDiv w:val="1"/>
      <w:marLeft w:val="0"/>
      <w:marRight w:val="0"/>
      <w:marTop w:val="0"/>
      <w:marBottom w:val="0"/>
      <w:divBdr>
        <w:top w:val="none" w:sz="0" w:space="0" w:color="auto"/>
        <w:left w:val="none" w:sz="0" w:space="0" w:color="auto"/>
        <w:bottom w:val="none" w:sz="0" w:space="0" w:color="auto"/>
        <w:right w:val="none" w:sz="0" w:space="0" w:color="auto"/>
      </w:divBdr>
    </w:div>
    <w:div w:id="1217083450">
      <w:bodyDiv w:val="1"/>
      <w:marLeft w:val="0"/>
      <w:marRight w:val="0"/>
      <w:marTop w:val="0"/>
      <w:marBottom w:val="0"/>
      <w:divBdr>
        <w:top w:val="none" w:sz="0" w:space="0" w:color="auto"/>
        <w:left w:val="none" w:sz="0" w:space="0" w:color="auto"/>
        <w:bottom w:val="none" w:sz="0" w:space="0" w:color="auto"/>
        <w:right w:val="none" w:sz="0" w:space="0" w:color="auto"/>
      </w:divBdr>
    </w:div>
    <w:div w:id="1234856203">
      <w:bodyDiv w:val="1"/>
      <w:marLeft w:val="0"/>
      <w:marRight w:val="0"/>
      <w:marTop w:val="0"/>
      <w:marBottom w:val="0"/>
      <w:divBdr>
        <w:top w:val="none" w:sz="0" w:space="0" w:color="auto"/>
        <w:left w:val="none" w:sz="0" w:space="0" w:color="auto"/>
        <w:bottom w:val="none" w:sz="0" w:space="0" w:color="auto"/>
        <w:right w:val="none" w:sz="0" w:space="0" w:color="auto"/>
      </w:divBdr>
    </w:div>
    <w:div w:id="1262953806">
      <w:bodyDiv w:val="1"/>
      <w:marLeft w:val="0"/>
      <w:marRight w:val="0"/>
      <w:marTop w:val="0"/>
      <w:marBottom w:val="0"/>
      <w:divBdr>
        <w:top w:val="none" w:sz="0" w:space="0" w:color="auto"/>
        <w:left w:val="none" w:sz="0" w:space="0" w:color="auto"/>
        <w:bottom w:val="none" w:sz="0" w:space="0" w:color="auto"/>
        <w:right w:val="none" w:sz="0" w:space="0" w:color="auto"/>
      </w:divBdr>
    </w:div>
    <w:div w:id="1264806745">
      <w:bodyDiv w:val="1"/>
      <w:marLeft w:val="0"/>
      <w:marRight w:val="0"/>
      <w:marTop w:val="0"/>
      <w:marBottom w:val="0"/>
      <w:divBdr>
        <w:top w:val="none" w:sz="0" w:space="0" w:color="auto"/>
        <w:left w:val="none" w:sz="0" w:space="0" w:color="auto"/>
        <w:bottom w:val="none" w:sz="0" w:space="0" w:color="auto"/>
        <w:right w:val="none" w:sz="0" w:space="0" w:color="auto"/>
      </w:divBdr>
    </w:div>
    <w:div w:id="1358921668">
      <w:bodyDiv w:val="1"/>
      <w:marLeft w:val="0"/>
      <w:marRight w:val="0"/>
      <w:marTop w:val="0"/>
      <w:marBottom w:val="0"/>
      <w:divBdr>
        <w:top w:val="none" w:sz="0" w:space="0" w:color="auto"/>
        <w:left w:val="none" w:sz="0" w:space="0" w:color="auto"/>
        <w:bottom w:val="none" w:sz="0" w:space="0" w:color="auto"/>
        <w:right w:val="none" w:sz="0" w:space="0" w:color="auto"/>
      </w:divBdr>
    </w:div>
    <w:div w:id="1367288489">
      <w:bodyDiv w:val="1"/>
      <w:marLeft w:val="0"/>
      <w:marRight w:val="0"/>
      <w:marTop w:val="0"/>
      <w:marBottom w:val="0"/>
      <w:divBdr>
        <w:top w:val="none" w:sz="0" w:space="0" w:color="auto"/>
        <w:left w:val="none" w:sz="0" w:space="0" w:color="auto"/>
        <w:bottom w:val="none" w:sz="0" w:space="0" w:color="auto"/>
        <w:right w:val="none" w:sz="0" w:space="0" w:color="auto"/>
      </w:divBdr>
    </w:div>
    <w:div w:id="1388797503">
      <w:bodyDiv w:val="1"/>
      <w:marLeft w:val="0"/>
      <w:marRight w:val="0"/>
      <w:marTop w:val="0"/>
      <w:marBottom w:val="0"/>
      <w:divBdr>
        <w:top w:val="none" w:sz="0" w:space="0" w:color="auto"/>
        <w:left w:val="none" w:sz="0" w:space="0" w:color="auto"/>
        <w:bottom w:val="none" w:sz="0" w:space="0" w:color="auto"/>
        <w:right w:val="none" w:sz="0" w:space="0" w:color="auto"/>
      </w:divBdr>
    </w:div>
    <w:div w:id="1404834694">
      <w:bodyDiv w:val="1"/>
      <w:marLeft w:val="0"/>
      <w:marRight w:val="0"/>
      <w:marTop w:val="0"/>
      <w:marBottom w:val="0"/>
      <w:divBdr>
        <w:top w:val="none" w:sz="0" w:space="0" w:color="auto"/>
        <w:left w:val="none" w:sz="0" w:space="0" w:color="auto"/>
        <w:bottom w:val="none" w:sz="0" w:space="0" w:color="auto"/>
        <w:right w:val="none" w:sz="0" w:space="0" w:color="auto"/>
      </w:divBdr>
    </w:div>
    <w:div w:id="1446345158">
      <w:bodyDiv w:val="1"/>
      <w:marLeft w:val="0"/>
      <w:marRight w:val="0"/>
      <w:marTop w:val="0"/>
      <w:marBottom w:val="0"/>
      <w:divBdr>
        <w:top w:val="none" w:sz="0" w:space="0" w:color="auto"/>
        <w:left w:val="none" w:sz="0" w:space="0" w:color="auto"/>
        <w:bottom w:val="none" w:sz="0" w:space="0" w:color="auto"/>
        <w:right w:val="none" w:sz="0" w:space="0" w:color="auto"/>
      </w:divBdr>
    </w:div>
    <w:div w:id="1453088303">
      <w:bodyDiv w:val="1"/>
      <w:marLeft w:val="0"/>
      <w:marRight w:val="0"/>
      <w:marTop w:val="0"/>
      <w:marBottom w:val="0"/>
      <w:divBdr>
        <w:top w:val="none" w:sz="0" w:space="0" w:color="auto"/>
        <w:left w:val="none" w:sz="0" w:space="0" w:color="auto"/>
        <w:bottom w:val="none" w:sz="0" w:space="0" w:color="auto"/>
        <w:right w:val="none" w:sz="0" w:space="0" w:color="auto"/>
      </w:divBdr>
    </w:div>
    <w:div w:id="1475028956">
      <w:bodyDiv w:val="1"/>
      <w:marLeft w:val="0"/>
      <w:marRight w:val="0"/>
      <w:marTop w:val="0"/>
      <w:marBottom w:val="0"/>
      <w:divBdr>
        <w:top w:val="none" w:sz="0" w:space="0" w:color="auto"/>
        <w:left w:val="none" w:sz="0" w:space="0" w:color="auto"/>
        <w:bottom w:val="none" w:sz="0" w:space="0" w:color="auto"/>
        <w:right w:val="none" w:sz="0" w:space="0" w:color="auto"/>
      </w:divBdr>
    </w:div>
    <w:div w:id="1521161415">
      <w:bodyDiv w:val="1"/>
      <w:marLeft w:val="0"/>
      <w:marRight w:val="0"/>
      <w:marTop w:val="0"/>
      <w:marBottom w:val="0"/>
      <w:divBdr>
        <w:top w:val="none" w:sz="0" w:space="0" w:color="auto"/>
        <w:left w:val="none" w:sz="0" w:space="0" w:color="auto"/>
        <w:bottom w:val="none" w:sz="0" w:space="0" w:color="auto"/>
        <w:right w:val="none" w:sz="0" w:space="0" w:color="auto"/>
      </w:divBdr>
    </w:div>
    <w:div w:id="1524130936">
      <w:bodyDiv w:val="1"/>
      <w:marLeft w:val="0"/>
      <w:marRight w:val="0"/>
      <w:marTop w:val="0"/>
      <w:marBottom w:val="0"/>
      <w:divBdr>
        <w:top w:val="none" w:sz="0" w:space="0" w:color="auto"/>
        <w:left w:val="none" w:sz="0" w:space="0" w:color="auto"/>
        <w:bottom w:val="none" w:sz="0" w:space="0" w:color="auto"/>
        <w:right w:val="none" w:sz="0" w:space="0" w:color="auto"/>
      </w:divBdr>
    </w:div>
    <w:div w:id="1525630409">
      <w:bodyDiv w:val="1"/>
      <w:marLeft w:val="0"/>
      <w:marRight w:val="0"/>
      <w:marTop w:val="0"/>
      <w:marBottom w:val="0"/>
      <w:divBdr>
        <w:top w:val="none" w:sz="0" w:space="0" w:color="auto"/>
        <w:left w:val="none" w:sz="0" w:space="0" w:color="auto"/>
        <w:bottom w:val="none" w:sz="0" w:space="0" w:color="auto"/>
        <w:right w:val="none" w:sz="0" w:space="0" w:color="auto"/>
      </w:divBdr>
    </w:div>
    <w:div w:id="1552113510">
      <w:bodyDiv w:val="1"/>
      <w:marLeft w:val="0"/>
      <w:marRight w:val="0"/>
      <w:marTop w:val="0"/>
      <w:marBottom w:val="0"/>
      <w:divBdr>
        <w:top w:val="none" w:sz="0" w:space="0" w:color="auto"/>
        <w:left w:val="none" w:sz="0" w:space="0" w:color="auto"/>
        <w:bottom w:val="none" w:sz="0" w:space="0" w:color="auto"/>
        <w:right w:val="none" w:sz="0" w:space="0" w:color="auto"/>
      </w:divBdr>
    </w:div>
    <w:div w:id="1563638495">
      <w:bodyDiv w:val="1"/>
      <w:marLeft w:val="0"/>
      <w:marRight w:val="0"/>
      <w:marTop w:val="0"/>
      <w:marBottom w:val="0"/>
      <w:divBdr>
        <w:top w:val="none" w:sz="0" w:space="0" w:color="auto"/>
        <w:left w:val="none" w:sz="0" w:space="0" w:color="auto"/>
        <w:bottom w:val="none" w:sz="0" w:space="0" w:color="auto"/>
        <w:right w:val="none" w:sz="0" w:space="0" w:color="auto"/>
      </w:divBdr>
    </w:div>
    <w:div w:id="1568488949">
      <w:bodyDiv w:val="1"/>
      <w:marLeft w:val="0"/>
      <w:marRight w:val="0"/>
      <w:marTop w:val="0"/>
      <w:marBottom w:val="0"/>
      <w:divBdr>
        <w:top w:val="none" w:sz="0" w:space="0" w:color="auto"/>
        <w:left w:val="none" w:sz="0" w:space="0" w:color="auto"/>
        <w:bottom w:val="none" w:sz="0" w:space="0" w:color="auto"/>
        <w:right w:val="none" w:sz="0" w:space="0" w:color="auto"/>
      </w:divBdr>
    </w:div>
    <w:div w:id="1590309178">
      <w:bodyDiv w:val="1"/>
      <w:marLeft w:val="0"/>
      <w:marRight w:val="0"/>
      <w:marTop w:val="0"/>
      <w:marBottom w:val="0"/>
      <w:divBdr>
        <w:top w:val="none" w:sz="0" w:space="0" w:color="auto"/>
        <w:left w:val="none" w:sz="0" w:space="0" w:color="auto"/>
        <w:bottom w:val="none" w:sz="0" w:space="0" w:color="auto"/>
        <w:right w:val="none" w:sz="0" w:space="0" w:color="auto"/>
      </w:divBdr>
    </w:div>
    <w:div w:id="1604142735">
      <w:bodyDiv w:val="1"/>
      <w:marLeft w:val="0"/>
      <w:marRight w:val="0"/>
      <w:marTop w:val="0"/>
      <w:marBottom w:val="0"/>
      <w:divBdr>
        <w:top w:val="none" w:sz="0" w:space="0" w:color="auto"/>
        <w:left w:val="none" w:sz="0" w:space="0" w:color="auto"/>
        <w:bottom w:val="none" w:sz="0" w:space="0" w:color="auto"/>
        <w:right w:val="none" w:sz="0" w:space="0" w:color="auto"/>
      </w:divBdr>
    </w:div>
    <w:div w:id="1693798733">
      <w:bodyDiv w:val="1"/>
      <w:marLeft w:val="0"/>
      <w:marRight w:val="0"/>
      <w:marTop w:val="0"/>
      <w:marBottom w:val="0"/>
      <w:divBdr>
        <w:top w:val="none" w:sz="0" w:space="0" w:color="auto"/>
        <w:left w:val="none" w:sz="0" w:space="0" w:color="auto"/>
        <w:bottom w:val="none" w:sz="0" w:space="0" w:color="auto"/>
        <w:right w:val="none" w:sz="0" w:space="0" w:color="auto"/>
      </w:divBdr>
    </w:div>
    <w:div w:id="1707868461">
      <w:bodyDiv w:val="1"/>
      <w:marLeft w:val="0"/>
      <w:marRight w:val="0"/>
      <w:marTop w:val="0"/>
      <w:marBottom w:val="0"/>
      <w:divBdr>
        <w:top w:val="none" w:sz="0" w:space="0" w:color="auto"/>
        <w:left w:val="none" w:sz="0" w:space="0" w:color="auto"/>
        <w:bottom w:val="none" w:sz="0" w:space="0" w:color="auto"/>
        <w:right w:val="none" w:sz="0" w:space="0" w:color="auto"/>
      </w:divBdr>
    </w:div>
    <w:div w:id="1721510577">
      <w:bodyDiv w:val="1"/>
      <w:marLeft w:val="0"/>
      <w:marRight w:val="0"/>
      <w:marTop w:val="0"/>
      <w:marBottom w:val="0"/>
      <w:divBdr>
        <w:top w:val="none" w:sz="0" w:space="0" w:color="auto"/>
        <w:left w:val="none" w:sz="0" w:space="0" w:color="auto"/>
        <w:bottom w:val="none" w:sz="0" w:space="0" w:color="auto"/>
        <w:right w:val="none" w:sz="0" w:space="0" w:color="auto"/>
      </w:divBdr>
    </w:div>
    <w:div w:id="1747219439">
      <w:bodyDiv w:val="1"/>
      <w:marLeft w:val="0"/>
      <w:marRight w:val="0"/>
      <w:marTop w:val="0"/>
      <w:marBottom w:val="0"/>
      <w:divBdr>
        <w:top w:val="none" w:sz="0" w:space="0" w:color="auto"/>
        <w:left w:val="none" w:sz="0" w:space="0" w:color="auto"/>
        <w:bottom w:val="none" w:sz="0" w:space="0" w:color="auto"/>
        <w:right w:val="none" w:sz="0" w:space="0" w:color="auto"/>
      </w:divBdr>
    </w:div>
    <w:div w:id="1785927849">
      <w:bodyDiv w:val="1"/>
      <w:marLeft w:val="0"/>
      <w:marRight w:val="0"/>
      <w:marTop w:val="0"/>
      <w:marBottom w:val="0"/>
      <w:divBdr>
        <w:top w:val="none" w:sz="0" w:space="0" w:color="auto"/>
        <w:left w:val="none" w:sz="0" w:space="0" w:color="auto"/>
        <w:bottom w:val="none" w:sz="0" w:space="0" w:color="auto"/>
        <w:right w:val="none" w:sz="0" w:space="0" w:color="auto"/>
      </w:divBdr>
    </w:div>
    <w:div w:id="1800685923">
      <w:bodyDiv w:val="1"/>
      <w:marLeft w:val="0"/>
      <w:marRight w:val="0"/>
      <w:marTop w:val="0"/>
      <w:marBottom w:val="0"/>
      <w:divBdr>
        <w:top w:val="none" w:sz="0" w:space="0" w:color="auto"/>
        <w:left w:val="none" w:sz="0" w:space="0" w:color="auto"/>
        <w:bottom w:val="none" w:sz="0" w:space="0" w:color="auto"/>
        <w:right w:val="none" w:sz="0" w:space="0" w:color="auto"/>
      </w:divBdr>
    </w:div>
    <w:div w:id="1841503440">
      <w:bodyDiv w:val="1"/>
      <w:marLeft w:val="0"/>
      <w:marRight w:val="0"/>
      <w:marTop w:val="0"/>
      <w:marBottom w:val="0"/>
      <w:divBdr>
        <w:top w:val="none" w:sz="0" w:space="0" w:color="auto"/>
        <w:left w:val="none" w:sz="0" w:space="0" w:color="auto"/>
        <w:bottom w:val="none" w:sz="0" w:space="0" w:color="auto"/>
        <w:right w:val="none" w:sz="0" w:space="0" w:color="auto"/>
      </w:divBdr>
    </w:div>
    <w:div w:id="1913005105">
      <w:bodyDiv w:val="1"/>
      <w:marLeft w:val="0"/>
      <w:marRight w:val="0"/>
      <w:marTop w:val="0"/>
      <w:marBottom w:val="0"/>
      <w:divBdr>
        <w:top w:val="none" w:sz="0" w:space="0" w:color="auto"/>
        <w:left w:val="none" w:sz="0" w:space="0" w:color="auto"/>
        <w:bottom w:val="none" w:sz="0" w:space="0" w:color="auto"/>
        <w:right w:val="none" w:sz="0" w:space="0" w:color="auto"/>
      </w:divBdr>
    </w:div>
    <w:div w:id="1931810307">
      <w:bodyDiv w:val="1"/>
      <w:marLeft w:val="0"/>
      <w:marRight w:val="0"/>
      <w:marTop w:val="0"/>
      <w:marBottom w:val="0"/>
      <w:divBdr>
        <w:top w:val="none" w:sz="0" w:space="0" w:color="auto"/>
        <w:left w:val="none" w:sz="0" w:space="0" w:color="auto"/>
        <w:bottom w:val="none" w:sz="0" w:space="0" w:color="auto"/>
        <w:right w:val="none" w:sz="0" w:space="0" w:color="auto"/>
      </w:divBdr>
    </w:div>
    <w:div w:id="1953508123">
      <w:bodyDiv w:val="1"/>
      <w:marLeft w:val="0"/>
      <w:marRight w:val="0"/>
      <w:marTop w:val="0"/>
      <w:marBottom w:val="0"/>
      <w:divBdr>
        <w:top w:val="none" w:sz="0" w:space="0" w:color="auto"/>
        <w:left w:val="none" w:sz="0" w:space="0" w:color="auto"/>
        <w:bottom w:val="none" w:sz="0" w:space="0" w:color="auto"/>
        <w:right w:val="none" w:sz="0" w:space="0" w:color="auto"/>
      </w:divBdr>
    </w:div>
    <w:div w:id="1962958174">
      <w:bodyDiv w:val="1"/>
      <w:marLeft w:val="0"/>
      <w:marRight w:val="0"/>
      <w:marTop w:val="0"/>
      <w:marBottom w:val="0"/>
      <w:divBdr>
        <w:top w:val="none" w:sz="0" w:space="0" w:color="auto"/>
        <w:left w:val="none" w:sz="0" w:space="0" w:color="auto"/>
        <w:bottom w:val="none" w:sz="0" w:space="0" w:color="auto"/>
        <w:right w:val="none" w:sz="0" w:space="0" w:color="auto"/>
      </w:divBdr>
    </w:div>
    <w:div w:id="1983003043">
      <w:bodyDiv w:val="1"/>
      <w:marLeft w:val="0"/>
      <w:marRight w:val="0"/>
      <w:marTop w:val="0"/>
      <w:marBottom w:val="0"/>
      <w:divBdr>
        <w:top w:val="none" w:sz="0" w:space="0" w:color="auto"/>
        <w:left w:val="none" w:sz="0" w:space="0" w:color="auto"/>
        <w:bottom w:val="none" w:sz="0" w:space="0" w:color="auto"/>
        <w:right w:val="none" w:sz="0" w:space="0" w:color="auto"/>
      </w:divBdr>
    </w:div>
    <w:div w:id="1990554928">
      <w:bodyDiv w:val="1"/>
      <w:marLeft w:val="0"/>
      <w:marRight w:val="0"/>
      <w:marTop w:val="0"/>
      <w:marBottom w:val="0"/>
      <w:divBdr>
        <w:top w:val="none" w:sz="0" w:space="0" w:color="auto"/>
        <w:left w:val="none" w:sz="0" w:space="0" w:color="auto"/>
        <w:bottom w:val="none" w:sz="0" w:space="0" w:color="auto"/>
        <w:right w:val="none" w:sz="0" w:space="0" w:color="auto"/>
      </w:divBdr>
    </w:div>
    <w:div w:id="2024627908">
      <w:bodyDiv w:val="1"/>
      <w:marLeft w:val="0"/>
      <w:marRight w:val="0"/>
      <w:marTop w:val="0"/>
      <w:marBottom w:val="0"/>
      <w:divBdr>
        <w:top w:val="none" w:sz="0" w:space="0" w:color="auto"/>
        <w:left w:val="none" w:sz="0" w:space="0" w:color="auto"/>
        <w:bottom w:val="none" w:sz="0" w:space="0" w:color="auto"/>
        <w:right w:val="none" w:sz="0" w:space="0" w:color="auto"/>
      </w:divBdr>
    </w:div>
    <w:div w:id="2123106296">
      <w:bodyDiv w:val="1"/>
      <w:marLeft w:val="0"/>
      <w:marRight w:val="0"/>
      <w:marTop w:val="0"/>
      <w:marBottom w:val="0"/>
      <w:divBdr>
        <w:top w:val="none" w:sz="0" w:space="0" w:color="auto"/>
        <w:left w:val="none" w:sz="0" w:space="0" w:color="auto"/>
        <w:bottom w:val="none" w:sz="0" w:space="0" w:color="auto"/>
        <w:right w:val="none" w:sz="0" w:space="0" w:color="auto"/>
      </w:divBdr>
    </w:div>
    <w:div w:id="21350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ji@yuhs.a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yonkkang@gmail.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C03F4-D3E0-4240-9F47-BE3B0FAD0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12399</Words>
  <Characters>70676</Characters>
  <Application>Microsoft Office Word</Application>
  <DocSecurity>0</DocSecurity>
  <Lines>588</Lines>
  <Paragraphs>165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dc:creator>
  <cp:keywords/>
  <dc:description/>
  <cp:lastModifiedBy>Blanshard, Lisa</cp:lastModifiedBy>
  <cp:revision>7</cp:revision>
  <cp:lastPrinted>2017-02-15T09:54:00Z</cp:lastPrinted>
  <dcterms:created xsi:type="dcterms:W3CDTF">2021-06-02T07:08:00Z</dcterms:created>
  <dcterms:modified xsi:type="dcterms:W3CDTF">2021-06-02T11:01:00Z</dcterms:modified>
</cp:coreProperties>
</file>