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D3BD5" w14:textId="77777777" w:rsidR="00D47EA5" w:rsidRPr="009E1865" w:rsidRDefault="00D47EA5" w:rsidP="00F0476A">
      <w:pPr>
        <w:pStyle w:val="MDPI11articletype"/>
        <w:rPr>
          <w:color w:val="000000" w:themeColor="text1"/>
        </w:rPr>
      </w:pPr>
      <w:r w:rsidRPr="009E1865">
        <w:rPr>
          <w:color w:val="000000" w:themeColor="text1"/>
        </w:rPr>
        <w:t>Article</w:t>
      </w:r>
    </w:p>
    <w:p w14:paraId="160D3A71" w14:textId="77777777" w:rsidR="00D47EA5" w:rsidRPr="009E1865" w:rsidRDefault="00DD1F2B" w:rsidP="00F0476A">
      <w:pPr>
        <w:pStyle w:val="MDPI12title"/>
        <w:rPr>
          <w:color w:val="000000" w:themeColor="text1"/>
        </w:rPr>
      </w:pPr>
      <w:r w:rsidRPr="009E1865">
        <w:rPr>
          <w:color w:val="000000" w:themeColor="text1"/>
        </w:rPr>
        <w:t>Association between food insecurity and sarcopenia among adults aged ≥65 years in low- and middle-income countries</w:t>
      </w:r>
    </w:p>
    <w:p w14:paraId="1487AF49" w14:textId="77777777" w:rsidR="009E1865" w:rsidRPr="009E1865" w:rsidRDefault="00DD1F2B" w:rsidP="00F0476A">
      <w:pPr>
        <w:pStyle w:val="MDPI13authornames"/>
        <w:rPr>
          <w:color w:val="000000" w:themeColor="text1"/>
        </w:rPr>
      </w:pPr>
      <w:r w:rsidRPr="009E1865">
        <w:rPr>
          <w:color w:val="000000" w:themeColor="text1"/>
        </w:rPr>
        <w:t>Lee Smith</w:t>
      </w:r>
      <w:r w:rsidR="00F0476A" w:rsidRPr="009E1865">
        <w:rPr>
          <w:color w:val="000000" w:themeColor="text1"/>
        </w:rPr>
        <w:t xml:space="preserve"> </w:t>
      </w:r>
      <w:r w:rsidR="00BB77BF" w:rsidRPr="009E1865">
        <w:rPr>
          <w:color w:val="000000" w:themeColor="text1"/>
          <w:vertAlign w:val="superscript"/>
        </w:rPr>
        <w:t>1</w:t>
      </w:r>
      <w:r w:rsidRPr="009E1865">
        <w:rPr>
          <w:color w:val="000000" w:themeColor="text1"/>
        </w:rPr>
        <w:t>, Louis Jacob</w:t>
      </w:r>
      <w:r w:rsidR="00F0476A" w:rsidRPr="009E1865">
        <w:rPr>
          <w:color w:val="000000" w:themeColor="text1"/>
        </w:rPr>
        <w:t xml:space="preserve"> </w:t>
      </w:r>
      <w:r w:rsidRPr="009E1865">
        <w:rPr>
          <w:color w:val="000000" w:themeColor="text1"/>
          <w:vertAlign w:val="superscript"/>
        </w:rPr>
        <w:t>2,3</w:t>
      </w:r>
      <w:r w:rsidRPr="009E1865">
        <w:rPr>
          <w:color w:val="000000" w:themeColor="text1"/>
        </w:rPr>
        <w:t>, Yvonne Barnett</w:t>
      </w:r>
      <w:r w:rsidR="00F0476A" w:rsidRPr="009E1865">
        <w:rPr>
          <w:color w:val="000000" w:themeColor="text1"/>
        </w:rPr>
        <w:t xml:space="preserve"> </w:t>
      </w:r>
      <w:r w:rsidR="00490796" w:rsidRPr="009E1865">
        <w:rPr>
          <w:color w:val="000000" w:themeColor="text1"/>
          <w:vertAlign w:val="superscript"/>
        </w:rPr>
        <w:t>4</w:t>
      </w:r>
      <w:r w:rsidRPr="009E1865">
        <w:rPr>
          <w:color w:val="000000" w:themeColor="text1"/>
        </w:rPr>
        <w:t>, Laurie T Butler</w:t>
      </w:r>
      <w:r w:rsidR="00F0476A" w:rsidRPr="009E1865">
        <w:rPr>
          <w:color w:val="000000" w:themeColor="text1"/>
        </w:rPr>
        <w:t xml:space="preserve"> </w:t>
      </w:r>
      <w:r w:rsidR="00490796" w:rsidRPr="009E1865">
        <w:rPr>
          <w:color w:val="000000" w:themeColor="text1"/>
          <w:vertAlign w:val="superscript"/>
        </w:rPr>
        <w:t>4</w:t>
      </w:r>
      <w:r w:rsidRPr="009E1865">
        <w:rPr>
          <w:color w:val="000000" w:themeColor="text1"/>
        </w:rPr>
        <w:t>, Jae Il Shin</w:t>
      </w:r>
      <w:r w:rsidR="00F0476A" w:rsidRPr="009E1865">
        <w:rPr>
          <w:color w:val="000000" w:themeColor="text1"/>
        </w:rPr>
        <w:t xml:space="preserve"> </w:t>
      </w:r>
      <w:r w:rsidR="00F67187" w:rsidRPr="009E1865">
        <w:rPr>
          <w:color w:val="000000" w:themeColor="text1"/>
          <w:vertAlign w:val="superscript"/>
        </w:rPr>
        <w:t>5</w:t>
      </w:r>
      <w:r w:rsidRPr="009E1865">
        <w:rPr>
          <w:color w:val="000000" w:themeColor="text1"/>
        </w:rPr>
        <w:t xml:space="preserve">, Guillermo F. </w:t>
      </w:r>
      <w:proofErr w:type="spellStart"/>
      <w:r w:rsidRPr="009E1865">
        <w:rPr>
          <w:color w:val="000000" w:themeColor="text1"/>
        </w:rPr>
        <w:t>López</w:t>
      </w:r>
      <w:proofErr w:type="spellEnd"/>
      <w:r w:rsidRPr="009E1865">
        <w:rPr>
          <w:color w:val="000000" w:themeColor="text1"/>
        </w:rPr>
        <w:t>-Sánchez</w:t>
      </w:r>
      <w:r w:rsidR="00F0476A" w:rsidRPr="009E1865">
        <w:rPr>
          <w:color w:val="000000" w:themeColor="text1"/>
        </w:rPr>
        <w:t xml:space="preserve"> </w:t>
      </w:r>
      <w:r w:rsidR="00497E78" w:rsidRPr="009E1865">
        <w:rPr>
          <w:color w:val="000000" w:themeColor="text1"/>
          <w:vertAlign w:val="superscript"/>
        </w:rPr>
        <w:t>6</w:t>
      </w:r>
      <w:r w:rsidRPr="009E1865">
        <w:rPr>
          <w:color w:val="000000" w:themeColor="text1"/>
        </w:rPr>
        <w:t xml:space="preserve">, Pinar </w:t>
      </w:r>
      <w:proofErr w:type="spellStart"/>
      <w:r w:rsidRPr="009E1865">
        <w:rPr>
          <w:color w:val="000000" w:themeColor="text1"/>
        </w:rPr>
        <w:t>Soysal</w:t>
      </w:r>
      <w:proofErr w:type="spellEnd"/>
      <w:r w:rsidR="00F0476A" w:rsidRPr="009E1865">
        <w:rPr>
          <w:color w:val="000000" w:themeColor="text1"/>
        </w:rPr>
        <w:t xml:space="preserve"> </w:t>
      </w:r>
      <w:r w:rsidR="00497E78" w:rsidRPr="009E1865">
        <w:rPr>
          <w:color w:val="000000" w:themeColor="text1"/>
          <w:vertAlign w:val="superscript"/>
        </w:rPr>
        <w:t>7</w:t>
      </w:r>
      <w:r w:rsidRPr="009E1865">
        <w:rPr>
          <w:color w:val="000000" w:themeColor="text1"/>
        </w:rPr>
        <w:t>, Nicola Veronese</w:t>
      </w:r>
      <w:r w:rsidR="00F0476A" w:rsidRPr="009E1865">
        <w:rPr>
          <w:color w:val="000000" w:themeColor="text1"/>
        </w:rPr>
        <w:t xml:space="preserve"> </w:t>
      </w:r>
      <w:r w:rsidR="00497E78" w:rsidRPr="009E1865">
        <w:rPr>
          <w:color w:val="000000" w:themeColor="text1"/>
          <w:vertAlign w:val="superscript"/>
        </w:rPr>
        <w:t>8</w:t>
      </w:r>
      <w:r w:rsidRPr="009E1865">
        <w:rPr>
          <w:color w:val="000000" w:themeColor="text1"/>
        </w:rPr>
        <w:t xml:space="preserve">, </w:t>
      </w:r>
      <w:proofErr w:type="spellStart"/>
      <w:r w:rsidRPr="009E1865">
        <w:rPr>
          <w:color w:val="000000" w:themeColor="text1"/>
        </w:rPr>
        <w:t>Josep</w:t>
      </w:r>
      <w:proofErr w:type="spellEnd"/>
      <w:r w:rsidRPr="009E1865">
        <w:rPr>
          <w:color w:val="000000" w:themeColor="text1"/>
        </w:rPr>
        <w:t xml:space="preserve"> Maria </w:t>
      </w:r>
      <w:proofErr w:type="spellStart"/>
      <w:r w:rsidRPr="009E1865">
        <w:rPr>
          <w:color w:val="000000" w:themeColor="text1"/>
        </w:rPr>
        <w:t>Haro</w:t>
      </w:r>
      <w:proofErr w:type="spellEnd"/>
      <w:r w:rsidR="00F0476A" w:rsidRPr="009E1865">
        <w:rPr>
          <w:color w:val="000000" w:themeColor="text1"/>
        </w:rPr>
        <w:t xml:space="preserve"> </w:t>
      </w:r>
      <w:r w:rsidR="00497E78" w:rsidRPr="009E1865">
        <w:rPr>
          <w:color w:val="000000" w:themeColor="text1"/>
          <w:vertAlign w:val="superscript"/>
        </w:rPr>
        <w:t>2</w:t>
      </w:r>
      <w:r w:rsidR="00F0476A" w:rsidRPr="009E1865">
        <w:rPr>
          <w:color w:val="000000" w:themeColor="text1"/>
        </w:rPr>
        <w:t xml:space="preserve"> and </w:t>
      </w:r>
      <w:r w:rsidRPr="009E1865">
        <w:rPr>
          <w:color w:val="000000" w:themeColor="text1"/>
        </w:rPr>
        <w:t>Ai Koyanagi</w:t>
      </w:r>
      <w:r w:rsidR="00F0476A" w:rsidRPr="009E1865">
        <w:rPr>
          <w:color w:val="000000" w:themeColor="text1"/>
        </w:rPr>
        <w:t xml:space="preserve"> </w:t>
      </w:r>
      <w:r w:rsidR="00497E78" w:rsidRPr="009E1865">
        <w:rPr>
          <w:color w:val="000000" w:themeColor="text1"/>
          <w:vertAlign w:val="superscript"/>
        </w:rPr>
        <w:t>2,9</w:t>
      </w:r>
      <w:r w:rsidR="00BB77BF" w:rsidRPr="009E1865">
        <w:rPr>
          <w:color w:val="000000" w:themeColor="text1"/>
          <w:vertAlign w:val="superscript"/>
        </w:rPr>
        <w:t>,</w:t>
      </w:r>
      <w:r w:rsidR="00BB77BF" w:rsidRPr="009E1865">
        <w:rPr>
          <w:color w:val="000000" w:themeColor="text1"/>
        </w:rPr>
        <w:t>*</w:t>
      </w:r>
    </w:p>
    <w:tbl>
      <w:tblPr>
        <w:tblStyle w:val="MDPITable"/>
        <w:tblpPr w:leftFromText="198" w:rightFromText="198" w:vertAnchor="page" w:horzAnchor="margin" w:tblpY="8504"/>
        <w:tblW w:w="2409" w:type="dxa"/>
        <w:tblLayout w:type="fixed"/>
        <w:tblLook w:val="04A0" w:firstRow="1" w:lastRow="0" w:firstColumn="1" w:lastColumn="0" w:noHBand="0" w:noVBand="1"/>
      </w:tblPr>
      <w:tblGrid>
        <w:gridCol w:w="2409"/>
      </w:tblGrid>
      <w:tr w:rsidR="009E1865" w:rsidRPr="009E1865" w14:paraId="4D89AFAE" w14:textId="77777777" w:rsidTr="009E1865">
        <w:trPr>
          <w:cantSplit/>
        </w:trPr>
        <w:tc>
          <w:tcPr>
            <w:tcW w:w="2409" w:type="dxa"/>
          </w:tcPr>
          <w:p w14:paraId="345C39C5" w14:textId="77777777" w:rsidR="009E1865" w:rsidRPr="009E1865" w:rsidRDefault="009E1865" w:rsidP="009E1865">
            <w:pPr>
              <w:pStyle w:val="MDPI61Citation"/>
            </w:pPr>
            <w:r w:rsidRPr="009E1865">
              <w:rPr>
                <w:b/>
              </w:rPr>
              <w:t>Citation:</w:t>
            </w:r>
            <w:r w:rsidRPr="009E1865">
              <w:t xml:space="preserve"> Smith, L.; Jacob, L.; Barnett, Y.; Butler, L.T.; Shin, J.I.; </w:t>
            </w:r>
            <w:proofErr w:type="spellStart"/>
            <w:r w:rsidRPr="009E1865">
              <w:t>López</w:t>
            </w:r>
            <w:proofErr w:type="spellEnd"/>
            <w:r w:rsidRPr="009E1865">
              <w:t xml:space="preserve">-Sánchez, G.F.; </w:t>
            </w:r>
            <w:proofErr w:type="spellStart"/>
            <w:r w:rsidRPr="009E1865">
              <w:t>Soysal</w:t>
            </w:r>
            <w:proofErr w:type="spellEnd"/>
            <w:r w:rsidRPr="009E1865">
              <w:t xml:space="preserve">, P.; Veronese, N.; </w:t>
            </w:r>
            <w:proofErr w:type="spellStart"/>
            <w:r w:rsidRPr="009E1865">
              <w:t>Haro</w:t>
            </w:r>
            <w:proofErr w:type="spellEnd"/>
            <w:r w:rsidRPr="009E1865">
              <w:t xml:space="preserve">, J.M.; </w:t>
            </w:r>
            <w:proofErr w:type="spellStart"/>
            <w:r w:rsidRPr="009E1865">
              <w:t>Koyanagi</w:t>
            </w:r>
            <w:proofErr w:type="spellEnd"/>
            <w:r w:rsidRPr="009E1865">
              <w:t xml:space="preserve">, A.; et al. Association between food insecurity and sarcopenia among adults aged ≥65 years in low- and middle-income countries. </w:t>
            </w:r>
            <w:r w:rsidRPr="009E1865">
              <w:rPr>
                <w:i/>
              </w:rPr>
              <w:t xml:space="preserve">Nutrients </w:t>
            </w:r>
            <w:r w:rsidRPr="009E1865">
              <w:rPr>
                <w:b/>
              </w:rPr>
              <w:t>2021</w:t>
            </w:r>
            <w:r w:rsidRPr="009E1865">
              <w:t xml:space="preserve">, </w:t>
            </w:r>
            <w:r w:rsidRPr="009E1865">
              <w:rPr>
                <w:i/>
              </w:rPr>
              <w:t>13</w:t>
            </w:r>
            <w:r w:rsidRPr="009E1865">
              <w:t>, x. https://doi.org/10.3390/xxxxx</w:t>
            </w:r>
          </w:p>
          <w:p w14:paraId="51210186" w14:textId="77777777" w:rsidR="009E1865" w:rsidRPr="009E1865" w:rsidRDefault="009E1865" w:rsidP="009E1865">
            <w:pPr>
              <w:pStyle w:val="MDPI14history"/>
              <w:spacing w:before="240"/>
              <w:rPr>
                <w:color w:val="000000" w:themeColor="text1"/>
              </w:rPr>
            </w:pPr>
            <w:r w:rsidRPr="009E1865">
              <w:rPr>
                <w:color w:val="000000" w:themeColor="text1"/>
              </w:rPr>
              <w:t>Received: date</w:t>
            </w:r>
          </w:p>
          <w:p w14:paraId="7A444C0A" w14:textId="77777777" w:rsidR="009E1865" w:rsidRPr="009E1865" w:rsidRDefault="009E1865" w:rsidP="009E1865">
            <w:pPr>
              <w:pStyle w:val="MDPI14history"/>
              <w:rPr>
                <w:color w:val="000000" w:themeColor="text1"/>
              </w:rPr>
            </w:pPr>
            <w:r w:rsidRPr="009E1865">
              <w:rPr>
                <w:color w:val="000000" w:themeColor="text1"/>
              </w:rPr>
              <w:t>Accepted: date</w:t>
            </w:r>
          </w:p>
          <w:p w14:paraId="29261E16" w14:textId="77777777" w:rsidR="009E1865" w:rsidRPr="009E1865" w:rsidRDefault="009E1865" w:rsidP="009E1865">
            <w:pPr>
              <w:pStyle w:val="MDPI14history"/>
              <w:spacing w:after="240"/>
              <w:rPr>
                <w:color w:val="000000" w:themeColor="text1"/>
              </w:rPr>
            </w:pPr>
            <w:r w:rsidRPr="009E1865">
              <w:rPr>
                <w:color w:val="000000" w:themeColor="text1"/>
              </w:rPr>
              <w:t>Published: date</w:t>
            </w:r>
          </w:p>
          <w:p w14:paraId="365CEE9C" w14:textId="77777777" w:rsidR="009E1865" w:rsidRPr="009E1865" w:rsidRDefault="009E1865" w:rsidP="009E1865">
            <w:pPr>
              <w:pStyle w:val="MDPI63Notes"/>
              <w:spacing w:after="0"/>
            </w:pPr>
            <w:r w:rsidRPr="009E1865">
              <w:rPr>
                <w:b/>
              </w:rPr>
              <w:t>Publisher’s Note:</w:t>
            </w:r>
            <w:r w:rsidRPr="009E1865">
              <w:t xml:space="preserve"> MDPI stays neutral with regard to jurisdictional claims in published maps and institutional affiliations.</w:t>
            </w:r>
          </w:p>
          <w:p w14:paraId="263AAE7D" w14:textId="77777777" w:rsidR="009E1865" w:rsidRPr="009E1865" w:rsidRDefault="009E1865" w:rsidP="009E1865">
            <w:pPr>
              <w:pStyle w:val="MDPI63Notes"/>
              <w:spacing w:before="240" w:after="0"/>
            </w:pPr>
            <w:r w:rsidRPr="009E1865">
              <w:rPr>
                <w:noProof/>
                <w:snapToGrid/>
                <w:lang w:val="en-GB" w:eastAsia="en-GB" w:bidi="ar-SA"/>
              </w:rPr>
              <w:drawing>
                <wp:inline distT="0" distB="0" distL="0" distR="0" wp14:anchorId="1834E0F9" wp14:editId="3FA773D1">
                  <wp:extent cx="694800" cy="2484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3444C6C1" w14:textId="77777777" w:rsidR="009E1865" w:rsidRPr="009E1865" w:rsidRDefault="009E1865" w:rsidP="009E1865">
            <w:pPr>
              <w:pStyle w:val="MDPI63Notes"/>
              <w:spacing w:before="60" w:after="0"/>
            </w:pPr>
            <w:r w:rsidRPr="009E1865">
              <w:rPr>
                <w:b/>
              </w:rPr>
              <w:t>Copyright:</w:t>
            </w:r>
            <w:r w:rsidRPr="009E1865">
              <w:t xml:space="preserve"> © 2021 by the authors. Submitted for possible open access publication under the terms and conditions of the Creative Commons Attribution (CC BY) license (http://creativecommons.org/licenses/by/4.0/).</w:t>
            </w:r>
          </w:p>
        </w:tc>
      </w:tr>
    </w:tbl>
    <w:p w14:paraId="362590AF" w14:textId="77777777" w:rsidR="00D47EA5" w:rsidRPr="009E1865" w:rsidRDefault="00D47EA5" w:rsidP="00F0476A">
      <w:pPr>
        <w:pStyle w:val="MDPI16affiliation"/>
        <w:rPr>
          <w:color w:val="000000" w:themeColor="text1"/>
        </w:rPr>
      </w:pPr>
      <w:r w:rsidRPr="009E1865">
        <w:rPr>
          <w:color w:val="000000" w:themeColor="text1"/>
          <w:vertAlign w:val="superscript"/>
        </w:rPr>
        <w:t>1</w:t>
      </w:r>
      <w:r w:rsidRPr="009E1865">
        <w:rPr>
          <w:color w:val="000000" w:themeColor="text1"/>
        </w:rPr>
        <w:tab/>
      </w:r>
      <w:r w:rsidR="00DD1F2B" w:rsidRPr="009E1865">
        <w:rPr>
          <w:color w:val="000000" w:themeColor="text1"/>
        </w:rPr>
        <w:t>The Cambridge Centre for Sport and Exercise Sciences, Anglia Ruskin University</w:t>
      </w:r>
      <w:r w:rsidR="00493263" w:rsidRPr="009E1865">
        <w:rPr>
          <w:color w:val="000000" w:themeColor="text1"/>
        </w:rPr>
        <w:t>,</w:t>
      </w:r>
      <w:r w:rsidR="00DD1F2B" w:rsidRPr="009E1865">
        <w:rPr>
          <w:color w:val="000000" w:themeColor="text1"/>
        </w:rPr>
        <w:t xml:space="preserve"> Cambridge</w:t>
      </w:r>
      <w:r w:rsidR="00493263" w:rsidRPr="009E1865">
        <w:rPr>
          <w:color w:val="000000" w:themeColor="text1"/>
        </w:rPr>
        <w:t xml:space="preserve"> CB1 1PT</w:t>
      </w:r>
      <w:r w:rsidR="00DD1F2B" w:rsidRPr="009E1865">
        <w:rPr>
          <w:color w:val="000000" w:themeColor="text1"/>
        </w:rPr>
        <w:t>, UK</w:t>
      </w:r>
      <w:r w:rsidRPr="009E1865">
        <w:rPr>
          <w:color w:val="000000" w:themeColor="text1"/>
        </w:rPr>
        <w:t>;</w:t>
      </w:r>
      <w:r w:rsidR="00DD1F2B" w:rsidRPr="009E1865">
        <w:rPr>
          <w:color w:val="000000" w:themeColor="text1"/>
        </w:rPr>
        <w:t xml:space="preserve"> </w:t>
      </w:r>
      <w:bookmarkStart w:id="0" w:name="_GoBack"/>
      <w:bookmarkEnd w:id="0"/>
      <w:r w:rsidR="00DD1F2B" w:rsidRPr="009E1865">
        <w:rPr>
          <w:color w:val="000000" w:themeColor="text1"/>
        </w:rPr>
        <w:t xml:space="preserve">lee.smith@aru.ac.uk </w:t>
      </w:r>
    </w:p>
    <w:p w14:paraId="5A2C67AF" w14:textId="77777777" w:rsidR="00D47EA5" w:rsidRPr="009E1865" w:rsidRDefault="00D47EA5" w:rsidP="00F0476A">
      <w:pPr>
        <w:pStyle w:val="MDPI16affiliation"/>
        <w:rPr>
          <w:color w:val="000000" w:themeColor="text1"/>
        </w:rPr>
      </w:pPr>
      <w:r w:rsidRPr="009E1865">
        <w:rPr>
          <w:color w:val="000000" w:themeColor="text1"/>
          <w:vertAlign w:val="superscript"/>
        </w:rPr>
        <w:t>2</w:t>
      </w:r>
      <w:r w:rsidRPr="009E1865">
        <w:rPr>
          <w:color w:val="000000" w:themeColor="text1"/>
        </w:rPr>
        <w:tab/>
      </w:r>
      <w:r w:rsidR="00DD1F2B" w:rsidRPr="009E1865">
        <w:rPr>
          <w:color w:val="000000" w:themeColor="text1"/>
        </w:rPr>
        <w:t xml:space="preserve">Research and Development Unit, </w:t>
      </w:r>
      <w:proofErr w:type="spellStart"/>
      <w:r w:rsidR="00DD1F2B" w:rsidRPr="009E1865">
        <w:rPr>
          <w:color w:val="000000" w:themeColor="text1"/>
        </w:rPr>
        <w:t>Parc</w:t>
      </w:r>
      <w:proofErr w:type="spellEnd"/>
      <w:r w:rsidR="00DD1F2B" w:rsidRPr="009E1865">
        <w:rPr>
          <w:color w:val="000000" w:themeColor="text1"/>
        </w:rPr>
        <w:t xml:space="preserve"> </w:t>
      </w:r>
      <w:proofErr w:type="spellStart"/>
      <w:r w:rsidR="00DD1F2B" w:rsidRPr="009E1865">
        <w:rPr>
          <w:color w:val="000000" w:themeColor="text1"/>
        </w:rPr>
        <w:t>Sanitari</w:t>
      </w:r>
      <w:proofErr w:type="spellEnd"/>
      <w:r w:rsidR="00DD1F2B" w:rsidRPr="009E1865">
        <w:rPr>
          <w:color w:val="000000" w:themeColor="text1"/>
        </w:rPr>
        <w:t xml:space="preserve"> </w:t>
      </w:r>
      <w:proofErr w:type="spellStart"/>
      <w:r w:rsidR="00DD1F2B" w:rsidRPr="009E1865">
        <w:rPr>
          <w:color w:val="000000" w:themeColor="text1"/>
        </w:rPr>
        <w:t>Sant</w:t>
      </w:r>
      <w:proofErr w:type="spellEnd"/>
      <w:r w:rsidR="00DD1F2B" w:rsidRPr="009E1865">
        <w:rPr>
          <w:color w:val="000000" w:themeColor="text1"/>
        </w:rPr>
        <w:t xml:space="preserve"> Joan de </w:t>
      </w:r>
      <w:proofErr w:type="spellStart"/>
      <w:r w:rsidR="00DD1F2B" w:rsidRPr="009E1865">
        <w:rPr>
          <w:color w:val="000000" w:themeColor="text1"/>
        </w:rPr>
        <w:t>Déu</w:t>
      </w:r>
      <w:proofErr w:type="spellEnd"/>
      <w:r w:rsidR="00DD1F2B" w:rsidRPr="009E1865">
        <w:rPr>
          <w:color w:val="000000" w:themeColor="text1"/>
        </w:rPr>
        <w:t xml:space="preserve">, CIBERSAM, Dr. Antoni Pujadas, 42, </w:t>
      </w:r>
      <w:proofErr w:type="spellStart"/>
      <w:r w:rsidR="00DD1F2B" w:rsidRPr="009E1865">
        <w:rPr>
          <w:color w:val="000000" w:themeColor="text1"/>
        </w:rPr>
        <w:t>Sant</w:t>
      </w:r>
      <w:proofErr w:type="spellEnd"/>
      <w:r w:rsidR="00DD1F2B" w:rsidRPr="009E1865">
        <w:rPr>
          <w:color w:val="000000" w:themeColor="text1"/>
        </w:rPr>
        <w:t xml:space="preserve"> </w:t>
      </w:r>
      <w:proofErr w:type="spellStart"/>
      <w:r w:rsidR="00DD1F2B" w:rsidRPr="009E1865">
        <w:rPr>
          <w:color w:val="000000" w:themeColor="text1"/>
        </w:rPr>
        <w:t>Boi</w:t>
      </w:r>
      <w:proofErr w:type="spellEnd"/>
      <w:r w:rsidR="00DD1F2B" w:rsidRPr="009E1865">
        <w:rPr>
          <w:color w:val="000000" w:themeColor="text1"/>
        </w:rPr>
        <w:t xml:space="preserve"> de </w:t>
      </w:r>
      <w:proofErr w:type="spellStart"/>
      <w:r w:rsidR="00DD1F2B" w:rsidRPr="009E1865">
        <w:rPr>
          <w:color w:val="000000" w:themeColor="text1"/>
        </w:rPr>
        <w:t>Llobregat</w:t>
      </w:r>
      <w:proofErr w:type="spellEnd"/>
      <w:r w:rsidR="00DD1F2B" w:rsidRPr="009E1865">
        <w:rPr>
          <w:color w:val="000000" w:themeColor="text1"/>
        </w:rPr>
        <w:t>, Barcelona</w:t>
      </w:r>
      <w:r w:rsidR="00497E78" w:rsidRPr="009E1865">
        <w:rPr>
          <w:color w:val="000000" w:themeColor="text1"/>
        </w:rPr>
        <w:t xml:space="preserve"> </w:t>
      </w:r>
      <w:r w:rsidR="00DD1F2B" w:rsidRPr="009E1865">
        <w:rPr>
          <w:color w:val="000000" w:themeColor="text1"/>
        </w:rPr>
        <w:t>08830, Spain</w:t>
      </w:r>
      <w:r w:rsidRPr="009E1865">
        <w:rPr>
          <w:color w:val="000000" w:themeColor="text1"/>
        </w:rPr>
        <w:t xml:space="preserve">; </w:t>
      </w:r>
      <w:r w:rsidR="00DD1F2B" w:rsidRPr="009E1865">
        <w:rPr>
          <w:color w:val="000000" w:themeColor="text1"/>
        </w:rPr>
        <w:t>louis.jacob.contacts@gmail.com</w:t>
      </w:r>
      <w:r w:rsidR="00F1504F" w:rsidRPr="009E1865">
        <w:rPr>
          <w:color w:val="000000" w:themeColor="text1"/>
        </w:rPr>
        <w:t xml:space="preserve"> (L.J.);</w:t>
      </w:r>
      <w:r w:rsidR="00DD1F2B" w:rsidRPr="009E1865">
        <w:rPr>
          <w:color w:val="000000" w:themeColor="text1"/>
        </w:rPr>
        <w:t xml:space="preserve"> </w:t>
      </w:r>
      <w:r w:rsidR="00497E78" w:rsidRPr="009E1865">
        <w:rPr>
          <w:color w:val="000000" w:themeColor="text1"/>
        </w:rPr>
        <w:t>jmharo@pssjd.org</w:t>
      </w:r>
      <w:r w:rsidR="00F1504F" w:rsidRPr="009E1865">
        <w:rPr>
          <w:color w:val="000000" w:themeColor="text1"/>
        </w:rPr>
        <w:t xml:space="preserve"> (J.M.H.);</w:t>
      </w:r>
      <w:r w:rsidR="00497E78" w:rsidRPr="009E1865">
        <w:rPr>
          <w:color w:val="000000" w:themeColor="text1"/>
        </w:rPr>
        <w:t xml:space="preserve"> a.koyanagi@pssjd.org </w:t>
      </w:r>
      <w:r w:rsidR="00F1504F" w:rsidRPr="009E1865">
        <w:rPr>
          <w:color w:val="000000" w:themeColor="text1"/>
        </w:rPr>
        <w:t>(A.K.)</w:t>
      </w:r>
    </w:p>
    <w:p w14:paraId="749283CE" w14:textId="77777777" w:rsidR="00DD1F2B" w:rsidRPr="009E1865" w:rsidRDefault="00DD1F2B" w:rsidP="00F0476A">
      <w:pPr>
        <w:pStyle w:val="MDPI16affiliation"/>
        <w:rPr>
          <w:color w:val="000000" w:themeColor="text1"/>
        </w:rPr>
      </w:pPr>
      <w:r w:rsidRPr="009E1865">
        <w:rPr>
          <w:color w:val="000000" w:themeColor="text1"/>
          <w:vertAlign w:val="superscript"/>
        </w:rPr>
        <w:t>3</w:t>
      </w:r>
      <w:r w:rsidRPr="009E1865">
        <w:rPr>
          <w:color w:val="000000" w:themeColor="text1"/>
        </w:rPr>
        <w:tab/>
        <w:t>Faculty of Medicine, University of Versailles Saint-Quentin-</w:t>
      </w:r>
      <w:proofErr w:type="spellStart"/>
      <w:r w:rsidRPr="009E1865">
        <w:rPr>
          <w:color w:val="000000" w:themeColor="text1"/>
        </w:rPr>
        <w:t>en</w:t>
      </w:r>
      <w:proofErr w:type="spellEnd"/>
      <w:r w:rsidRPr="009E1865">
        <w:rPr>
          <w:color w:val="000000" w:themeColor="text1"/>
        </w:rPr>
        <w:t xml:space="preserve">-Yvelines, </w:t>
      </w:r>
      <w:proofErr w:type="spellStart"/>
      <w:r w:rsidRPr="009E1865">
        <w:rPr>
          <w:color w:val="000000" w:themeColor="text1"/>
        </w:rPr>
        <w:t>Montigny</w:t>
      </w:r>
      <w:proofErr w:type="spellEnd"/>
      <w:r w:rsidRPr="009E1865">
        <w:rPr>
          <w:color w:val="000000" w:themeColor="text1"/>
        </w:rPr>
        <w:t>-le-</w:t>
      </w:r>
      <w:proofErr w:type="spellStart"/>
      <w:r w:rsidRPr="009E1865">
        <w:rPr>
          <w:color w:val="000000" w:themeColor="text1"/>
        </w:rPr>
        <w:t>Bretonneux</w:t>
      </w:r>
      <w:proofErr w:type="spellEnd"/>
      <w:r w:rsidRPr="009E1865">
        <w:rPr>
          <w:color w:val="000000" w:themeColor="text1"/>
        </w:rPr>
        <w:t xml:space="preserve"> 78180, France.</w:t>
      </w:r>
    </w:p>
    <w:p w14:paraId="33D770DF" w14:textId="77777777" w:rsidR="00490796" w:rsidRPr="009E1865" w:rsidRDefault="00490796" w:rsidP="00F0476A">
      <w:pPr>
        <w:pStyle w:val="MDPI16affiliation"/>
        <w:rPr>
          <w:color w:val="000000" w:themeColor="text1"/>
        </w:rPr>
      </w:pPr>
      <w:r w:rsidRPr="009E1865">
        <w:rPr>
          <w:color w:val="000000" w:themeColor="text1"/>
          <w:vertAlign w:val="superscript"/>
        </w:rPr>
        <w:t>4</w:t>
      </w:r>
      <w:r w:rsidRPr="009E1865">
        <w:rPr>
          <w:color w:val="000000" w:themeColor="text1"/>
        </w:rPr>
        <w:tab/>
        <w:t>Faculty of Science and Engineering, Anglia Ruskin University, Cambridge</w:t>
      </w:r>
      <w:r w:rsidR="00493263" w:rsidRPr="009E1865">
        <w:rPr>
          <w:color w:val="000000" w:themeColor="text1"/>
        </w:rPr>
        <w:t xml:space="preserve"> CB1 1PT</w:t>
      </w:r>
      <w:r w:rsidRPr="009E1865">
        <w:rPr>
          <w:color w:val="000000" w:themeColor="text1"/>
        </w:rPr>
        <w:t>, UK; yvonne.barnett@aru.ac.uk</w:t>
      </w:r>
      <w:r w:rsidR="00436E87" w:rsidRPr="009E1865">
        <w:rPr>
          <w:color w:val="000000" w:themeColor="text1"/>
        </w:rPr>
        <w:t xml:space="preserve"> (Y.B.)</w:t>
      </w:r>
      <w:r w:rsidRPr="009E1865">
        <w:rPr>
          <w:color w:val="000000" w:themeColor="text1"/>
        </w:rPr>
        <w:t>; laurie.butler@aru.ac.uk</w:t>
      </w:r>
      <w:r w:rsidR="00436E87" w:rsidRPr="009E1865">
        <w:rPr>
          <w:color w:val="000000" w:themeColor="text1"/>
        </w:rPr>
        <w:t xml:space="preserve"> (L.B.)</w:t>
      </w:r>
      <w:r w:rsidRPr="009E1865">
        <w:rPr>
          <w:color w:val="000000" w:themeColor="text1"/>
        </w:rPr>
        <w:t xml:space="preserve"> </w:t>
      </w:r>
    </w:p>
    <w:p w14:paraId="6B11D860" w14:textId="77777777" w:rsidR="00372941" w:rsidRPr="009E1865" w:rsidRDefault="00436E87" w:rsidP="00F0476A">
      <w:pPr>
        <w:pStyle w:val="MDPI16affiliation"/>
        <w:rPr>
          <w:color w:val="000000" w:themeColor="text1"/>
        </w:rPr>
      </w:pPr>
      <w:r w:rsidRPr="009E1865">
        <w:rPr>
          <w:color w:val="000000" w:themeColor="text1"/>
          <w:vertAlign w:val="superscript"/>
        </w:rPr>
        <w:t>5</w:t>
      </w:r>
      <w:r w:rsidRPr="009E1865">
        <w:rPr>
          <w:color w:val="000000" w:themeColor="text1"/>
        </w:rPr>
        <w:tab/>
        <w:t xml:space="preserve">Department of Pediatrics, Yonsei University College of Medicine, </w:t>
      </w:r>
      <w:proofErr w:type="spellStart"/>
      <w:r w:rsidRPr="009E1865">
        <w:rPr>
          <w:color w:val="000000" w:themeColor="text1"/>
        </w:rPr>
        <w:t>Yonsei-ro</w:t>
      </w:r>
      <w:proofErr w:type="spellEnd"/>
      <w:r w:rsidRPr="009E1865">
        <w:rPr>
          <w:color w:val="000000" w:themeColor="text1"/>
        </w:rPr>
        <w:t xml:space="preserve"> 50, </w:t>
      </w:r>
      <w:proofErr w:type="spellStart"/>
      <w:r w:rsidRPr="009E1865">
        <w:rPr>
          <w:color w:val="000000" w:themeColor="text1"/>
        </w:rPr>
        <w:t>Seoda</w:t>
      </w:r>
      <w:r w:rsidR="00493263" w:rsidRPr="009E1865">
        <w:rPr>
          <w:color w:val="000000" w:themeColor="text1"/>
        </w:rPr>
        <w:t>emun-gu</w:t>
      </w:r>
      <w:proofErr w:type="spellEnd"/>
      <w:r w:rsidR="00493263" w:rsidRPr="009E1865">
        <w:rPr>
          <w:color w:val="000000" w:themeColor="text1"/>
        </w:rPr>
        <w:t xml:space="preserve">, C.P.O. Box 8044, Seoul </w:t>
      </w:r>
      <w:r w:rsidRPr="009E1865">
        <w:rPr>
          <w:color w:val="000000" w:themeColor="text1"/>
        </w:rPr>
        <w:t>120-752, Korea</w:t>
      </w:r>
      <w:r w:rsidR="00F67187" w:rsidRPr="009E1865">
        <w:rPr>
          <w:color w:val="000000" w:themeColor="text1"/>
        </w:rPr>
        <w:t xml:space="preserve">; </w:t>
      </w:r>
      <w:r w:rsidR="00497E78" w:rsidRPr="009E1865">
        <w:rPr>
          <w:color w:val="000000" w:themeColor="text1"/>
        </w:rPr>
        <w:t xml:space="preserve">pedshin2000@gmail.com </w:t>
      </w:r>
    </w:p>
    <w:p w14:paraId="26A6D203" w14:textId="77777777" w:rsidR="00497E78" w:rsidRPr="009E1865" w:rsidRDefault="00497E78" w:rsidP="00F0476A">
      <w:pPr>
        <w:pStyle w:val="MDPI16affiliation"/>
        <w:rPr>
          <w:color w:val="000000" w:themeColor="text1"/>
        </w:rPr>
      </w:pPr>
      <w:r w:rsidRPr="009E1865">
        <w:rPr>
          <w:color w:val="000000" w:themeColor="text1"/>
          <w:vertAlign w:val="superscript"/>
        </w:rPr>
        <w:t>6</w:t>
      </w:r>
      <w:r w:rsidRPr="009E1865">
        <w:rPr>
          <w:color w:val="000000" w:themeColor="text1"/>
        </w:rPr>
        <w:tab/>
        <w:t>Vision and Eye Research Institute, School of Medicine, Faculty of Health, Education, Medicine and Social Care, Anglia Ruskin University, Cambridge</w:t>
      </w:r>
      <w:r w:rsidR="00493263" w:rsidRPr="009E1865">
        <w:rPr>
          <w:color w:val="000000" w:themeColor="text1"/>
        </w:rPr>
        <w:t xml:space="preserve"> CB1 1PT</w:t>
      </w:r>
      <w:r w:rsidRPr="009E1865">
        <w:rPr>
          <w:color w:val="000000" w:themeColor="text1"/>
        </w:rPr>
        <w:t xml:space="preserve">, UK; guillermo.lopez-sanchez@aru.ac.uk </w:t>
      </w:r>
    </w:p>
    <w:p w14:paraId="68D38FBC" w14:textId="77777777" w:rsidR="00497E78" w:rsidRPr="009E1865" w:rsidRDefault="00497E78" w:rsidP="00F0476A">
      <w:pPr>
        <w:pStyle w:val="MDPI16affiliation"/>
        <w:rPr>
          <w:color w:val="000000" w:themeColor="text1"/>
        </w:rPr>
      </w:pPr>
      <w:r w:rsidRPr="009E1865">
        <w:rPr>
          <w:color w:val="000000" w:themeColor="text1"/>
          <w:vertAlign w:val="superscript"/>
        </w:rPr>
        <w:t>7</w:t>
      </w:r>
      <w:r w:rsidRPr="009E1865">
        <w:rPr>
          <w:color w:val="000000" w:themeColor="text1"/>
        </w:rPr>
        <w:tab/>
        <w:t xml:space="preserve">Department of Geriatric Medicine, </w:t>
      </w:r>
      <w:proofErr w:type="spellStart"/>
      <w:r w:rsidRPr="009E1865">
        <w:rPr>
          <w:color w:val="000000" w:themeColor="text1"/>
        </w:rPr>
        <w:t>Bezmialem</w:t>
      </w:r>
      <w:proofErr w:type="spellEnd"/>
      <w:r w:rsidRPr="009E1865">
        <w:rPr>
          <w:color w:val="000000" w:themeColor="text1"/>
        </w:rPr>
        <w:t xml:space="preserve"> </w:t>
      </w:r>
      <w:proofErr w:type="spellStart"/>
      <w:r w:rsidRPr="009E1865">
        <w:rPr>
          <w:color w:val="000000" w:themeColor="text1"/>
        </w:rPr>
        <w:t>Vakif</w:t>
      </w:r>
      <w:proofErr w:type="spellEnd"/>
      <w:r w:rsidRPr="009E1865">
        <w:rPr>
          <w:color w:val="000000" w:themeColor="text1"/>
        </w:rPr>
        <w:t xml:space="preserve"> University, Istanbul</w:t>
      </w:r>
      <w:r w:rsidR="005078F9" w:rsidRPr="009E1865">
        <w:rPr>
          <w:color w:val="000000" w:themeColor="text1"/>
        </w:rPr>
        <w:t xml:space="preserve"> 34093</w:t>
      </w:r>
      <w:r w:rsidRPr="009E1865">
        <w:rPr>
          <w:color w:val="000000" w:themeColor="text1"/>
        </w:rPr>
        <w:t xml:space="preserve">, Turkey; dr.pinarsoysal@hotmail.com </w:t>
      </w:r>
    </w:p>
    <w:p w14:paraId="173E068D" w14:textId="77777777" w:rsidR="00497E78" w:rsidRPr="009E1865" w:rsidRDefault="00497E78" w:rsidP="00F0476A">
      <w:pPr>
        <w:pStyle w:val="MDPI16affiliation"/>
        <w:rPr>
          <w:color w:val="000000" w:themeColor="text1"/>
          <w:vertAlign w:val="superscript"/>
        </w:rPr>
      </w:pPr>
      <w:r w:rsidRPr="009E1865">
        <w:rPr>
          <w:color w:val="000000" w:themeColor="text1"/>
          <w:vertAlign w:val="superscript"/>
        </w:rPr>
        <w:t>8</w:t>
      </w:r>
      <w:r w:rsidRPr="009E1865">
        <w:rPr>
          <w:color w:val="000000" w:themeColor="text1"/>
        </w:rPr>
        <w:tab/>
        <w:t xml:space="preserve">Department of Geriatric Medicine, University of Palermo, Palermo, Italy; ilmannato@gmail.com </w:t>
      </w:r>
    </w:p>
    <w:p w14:paraId="418E0E3D" w14:textId="77777777" w:rsidR="00436E87" w:rsidRPr="006B4C15" w:rsidRDefault="00497E78" w:rsidP="00F0476A">
      <w:pPr>
        <w:pStyle w:val="MDPI16affiliation"/>
        <w:rPr>
          <w:color w:val="000000" w:themeColor="text1"/>
          <w:vertAlign w:val="superscript"/>
          <w:lang w:val="es-ES"/>
        </w:rPr>
      </w:pPr>
      <w:r w:rsidRPr="006B4C15">
        <w:rPr>
          <w:color w:val="000000" w:themeColor="text1"/>
          <w:vertAlign w:val="superscript"/>
          <w:lang w:val="es-ES"/>
        </w:rPr>
        <w:t>9</w:t>
      </w:r>
      <w:r w:rsidRPr="006B4C15">
        <w:rPr>
          <w:color w:val="000000" w:themeColor="text1"/>
          <w:lang w:val="es-ES"/>
        </w:rPr>
        <w:tab/>
        <w:t>ICREA, Pg. Lluis Companys 23, 08010, Barcelona, Spain.</w:t>
      </w:r>
    </w:p>
    <w:p w14:paraId="01C50ACA" w14:textId="77777777" w:rsidR="00D47EA5" w:rsidRPr="009E1865" w:rsidRDefault="00D47EA5" w:rsidP="00F0476A">
      <w:pPr>
        <w:pStyle w:val="MDPI16affiliation"/>
        <w:rPr>
          <w:color w:val="000000" w:themeColor="text1"/>
        </w:rPr>
      </w:pPr>
      <w:r w:rsidRPr="009E1865">
        <w:rPr>
          <w:color w:val="000000" w:themeColor="text1"/>
        </w:rPr>
        <w:t>*</w:t>
      </w:r>
      <w:r w:rsidRPr="009E1865">
        <w:rPr>
          <w:color w:val="000000" w:themeColor="text1"/>
        </w:rPr>
        <w:tab/>
        <w:t>Correspon</w:t>
      </w:r>
      <w:r w:rsidR="00497E78" w:rsidRPr="009E1865">
        <w:rPr>
          <w:color w:val="000000" w:themeColor="text1"/>
        </w:rPr>
        <w:t xml:space="preserve">dence: </w:t>
      </w:r>
      <w:r w:rsidR="005D688C" w:rsidRPr="009E1865">
        <w:rPr>
          <w:color w:val="000000" w:themeColor="text1"/>
        </w:rPr>
        <w:t>Prof. Ai Koyanagi; a.koyanagi@pssjd.org</w:t>
      </w:r>
    </w:p>
    <w:p w14:paraId="7F3B8593" w14:textId="77777777" w:rsidR="00D47EA5" w:rsidRPr="009E1865" w:rsidRDefault="004E3B4B" w:rsidP="00F0476A">
      <w:pPr>
        <w:pStyle w:val="MDPI17abstract"/>
        <w:rPr>
          <w:color w:val="000000" w:themeColor="text1"/>
        </w:rPr>
      </w:pPr>
      <w:r w:rsidRPr="009E1865">
        <w:rPr>
          <w:b/>
          <w:color w:val="000000" w:themeColor="text1"/>
        </w:rPr>
        <w:t xml:space="preserve">Abstract: </w:t>
      </w:r>
      <w:r w:rsidRPr="009E1865">
        <w:rPr>
          <w:color w:val="000000" w:themeColor="text1"/>
        </w:rPr>
        <w:t>Limited literature has investigated the association between food insecurity and sarcopenia in low- and middle-income countries (LMICs). Therefore, the aim of the present study was to investigate the association between food insecurity and sarco</w:t>
      </w:r>
      <w:r w:rsidRPr="009E1865">
        <w:rPr>
          <w:rFonts w:hint="eastAsia"/>
          <w:color w:val="000000" w:themeColor="text1"/>
        </w:rPr>
        <w:t>penia among adults aged ≥65 years in six LMICs.</w:t>
      </w:r>
      <w:r w:rsidRPr="009E1865">
        <w:rPr>
          <w:color w:val="000000" w:themeColor="text1"/>
        </w:rPr>
        <w:t xml:space="preserve"> Community-based cross-sectional data of the Study on Global Ageing and Adult Health were analyzed. Sarcopenia was defined as the presence of low skeletal muscle mass based on indirect population formula, and either slow gait or low handgrip strength. Past 12-month food insecurity was assessed with two questions on frequency of eating less and hunger due to lack of food. Multivariable logistic regression analysis was conducted. </w:t>
      </w:r>
      <w:r w:rsidRPr="009E1865">
        <w:rPr>
          <w:rFonts w:hint="eastAsia"/>
          <w:color w:val="000000" w:themeColor="text1"/>
        </w:rPr>
        <w:t>The final sample consisted of 14585 individuals aged ≥65 years [mean (SD) age 72.6 (11.5) years; 55.0% females]. The prevalence of sarcopenia among those with no food insecurity was 13.0% but this increased to 24.4% among those with severe food in</w:t>
      </w:r>
      <w:r w:rsidRPr="009E1865">
        <w:rPr>
          <w:color w:val="000000" w:themeColor="text1"/>
        </w:rPr>
        <w:t>security. After adjustment for potential confounders, compared to no food insecurity, severe food insecurity was associated with 2.05 (95%CI=1.12-3.73) times higher odds for sarcopenia. In this large representative sample of older adults from multiple LMICs, it was found that severe food insecurity is associated with higher odds for sarcopenia. Addressing food insecurity in such settings may be an effective strategy to curb the high prevalence of sarcopenia in LMICs.</w:t>
      </w:r>
    </w:p>
    <w:p w14:paraId="29806054" w14:textId="77777777" w:rsidR="00D47EA5" w:rsidRPr="009E1865" w:rsidRDefault="00F0476A" w:rsidP="00F0476A">
      <w:pPr>
        <w:pStyle w:val="MDPI18keywords"/>
        <w:rPr>
          <w:color w:val="000000" w:themeColor="text1"/>
        </w:rPr>
      </w:pPr>
      <w:r w:rsidRPr="009E1865">
        <w:rPr>
          <w:b/>
          <w:color w:val="000000" w:themeColor="text1"/>
        </w:rPr>
        <w:t>Keywords:</w:t>
      </w:r>
      <w:r w:rsidR="00D47EA5" w:rsidRPr="009E1865">
        <w:rPr>
          <w:b/>
          <w:color w:val="000000" w:themeColor="text1"/>
        </w:rPr>
        <w:t xml:space="preserve"> </w:t>
      </w:r>
      <w:r w:rsidR="0042543B" w:rsidRPr="009E1865">
        <w:rPr>
          <w:color w:val="000000" w:themeColor="text1"/>
        </w:rPr>
        <w:t>food insecurity; sarcopenia; low- and middle-income countries; hunger; old adults</w:t>
      </w:r>
    </w:p>
    <w:p w14:paraId="3CFC2DBD" w14:textId="77777777" w:rsidR="00D47EA5" w:rsidRPr="009E1865" w:rsidRDefault="00D47EA5" w:rsidP="00F0476A">
      <w:pPr>
        <w:pStyle w:val="MDPI19line"/>
        <w:pBdr>
          <w:bottom w:val="single" w:sz="4" w:space="1" w:color="000000"/>
        </w:pBdr>
        <w:rPr>
          <w:color w:val="000000" w:themeColor="text1"/>
        </w:rPr>
      </w:pPr>
    </w:p>
    <w:p w14:paraId="3173807B" w14:textId="77777777" w:rsidR="00D47EA5" w:rsidRPr="009E1865" w:rsidRDefault="00F0476A" w:rsidP="00F0476A">
      <w:pPr>
        <w:pStyle w:val="MDPI21heading1"/>
        <w:rPr>
          <w:color w:val="000000" w:themeColor="text1"/>
        </w:rPr>
      </w:pPr>
      <w:r w:rsidRPr="009E1865">
        <w:rPr>
          <w:color w:val="000000" w:themeColor="text1"/>
        </w:rPr>
        <w:t xml:space="preserve">1. </w:t>
      </w:r>
      <w:r w:rsidR="00D47EA5" w:rsidRPr="009E1865">
        <w:rPr>
          <w:color w:val="000000" w:themeColor="text1"/>
        </w:rPr>
        <w:t>Introduction</w:t>
      </w:r>
    </w:p>
    <w:p w14:paraId="3714B9D6" w14:textId="45273A33" w:rsidR="00880158" w:rsidRPr="00F86D45" w:rsidRDefault="00880158" w:rsidP="00F0476A">
      <w:pPr>
        <w:pStyle w:val="MDPI31text"/>
        <w:rPr>
          <w:color w:val="FF0000"/>
        </w:rPr>
      </w:pPr>
      <w:r w:rsidRPr="009E1865">
        <w:rPr>
          <w:color w:val="000000" w:themeColor="text1"/>
        </w:rPr>
        <w:t>Sarcopenia is defined as “age-related muscle loss, affecting a combination of appendicular muscle mass, muscle strength, and/or physical performance measures”</w:t>
      </w:r>
      <w:r w:rsidR="00D42871" w:rsidRPr="009E1865">
        <w:rPr>
          <w:color w:val="000000" w:themeColor="text1"/>
        </w:rPr>
        <w:t xml:space="preserve"> </w:t>
      </w:r>
      <w:r w:rsidR="00D42871" w:rsidRPr="009E1865">
        <w:rPr>
          <w:bCs/>
          <w:color w:val="000000" w:themeColor="text1"/>
        </w:rPr>
        <w:t>[1]</w:t>
      </w:r>
      <w:r w:rsidRPr="009E1865">
        <w:rPr>
          <w:color w:val="000000" w:themeColor="text1"/>
        </w:rPr>
        <w:t>. In September 2016, sarcopenia was included in the IC</w:t>
      </w:r>
      <w:r w:rsidR="004E3D9A" w:rsidRPr="009E1865">
        <w:rPr>
          <w:color w:val="000000" w:themeColor="text1"/>
        </w:rPr>
        <w:t xml:space="preserve">D-10-CM as a medical condition </w:t>
      </w:r>
      <w:r w:rsidR="004E3D9A" w:rsidRPr="009E1865">
        <w:rPr>
          <w:bCs/>
          <w:color w:val="000000" w:themeColor="text1"/>
        </w:rPr>
        <w:t>[2]</w:t>
      </w:r>
      <w:r w:rsidR="004E3D9A" w:rsidRPr="009E1865">
        <w:rPr>
          <w:color w:val="000000" w:themeColor="text1"/>
        </w:rPr>
        <w:t xml:space="preserve">. </w:t>
      </w:r>
      <w:r w:rsidRPr="009E1865">
        <w:rPr>
          <w:color w:val="000000" w:themeColor="text1"/>
        </w:rPr>
        <w:t>Literature has revealed that the global prevalence of sarcopenia is high in older adults (be</w:t>
      </w:r>
      <w:r w:rsidR="00715799" w:rsidRPr="009E1865">
        <w:rPr>
          <w:color w:val="000000" w:themeColor="text1"/>
        </w:rPr>
        <w:t xml:space="preserve">tween 5 to 10%), with </w:t>
      </w:r>
      <w:r w:rsidRPr="009E1865">
        <w:rPr>
          <w:color w:val="000000" w:themeColor="text1"/>
        </w:rPr>
        <w:t>a particularly high prevalence in low- and middle-incomes countries (LMICs)</w:t>
      </w:r>
      <w:r w:rsidR="008A6153" w:rsidRPr="009E1865">
        <w:rPr>
          <w:color w:val="000000" w:themeColor="text1"/>
        </w:rPr>
        <w:t xml:space="preserve"> </w:t>
      </w:r>
      <w:r w:rsidR="00F94B1E" w:rsidRPr="009E1865">
        <w:rPr>
          <w:bCs/>
          <w:color w:val="000000" w:themeColor="text1"/>
        </w:rPr>
        <w:t>[3, 4]</w:t>
      </w:r>
      <w:r w:rsidRPr="009E1865">
        <w:rPr>
          <w:color w:val="000000" w:themeColor="text1"/>
        </w:rPr>
        <w:t xml:space="preserve">. For example, one study in older Gambian men and women showed a </w:t>
      </w:r>
      <w:r w:rsidRPr="009E1865">
        <w:rPr>
          <w:color w:val="000000" w:themeColor="text1"/>
        </w:rPr>
        <w:lastRenderedPageBreak/>
        <w:t>prevalence of up to 20% and 45%, respectively</w:t>
      </w:r>
      <w:r w:rsidR="00715799" w:rsidRPr="009E1865">
        <w:rPr>
          <w:color w:val="000000" w:themeColor="text1"/>
        </w:rPr>
        <w:t xml:space="preserve"> </w:t>
      </w:r>
      <w:r w:rsidR="00715799" w:rsidRPr="009E1865">
        <w:rPr>
          <w:bCs/>
          <w:color w:val="000000" w:themeColor="text1"/>
        </w:rPr>
        <w:t>[5]</w:t>
      </w:r>
      <w:r w:rsidRPr="009E1865">
        <w:rPr>
          <w:color w:val="000000" w:themeColor="text1"/>
        </w:rPr>
        <w:t>.</w:t>
      </w:r>
      <w:r w:rsidR="00982E15" w:rsidRPr="009E1865">
        <w:rPr>
          <w:color w:val="000000" w:themeColor="text1"/>
        </w:rPr>
        <w:t xml:space="preserve"> </w:t>
      </w:r>
      <w:r w:rsidRPr="009E1865">
        <w:rPr>
          <w:color w:val="000000" w:themeColor="text1"/>
        </w:rPr>
        <w:t>Such a high prevalence of sarcopenia is of concern as sarcopenia has been associated with multiple detrimental health outcomes. In a recent umbrella review, sarcopenia was associated with several adverse health-related outcomes in older people, including mortality, and disability</w:t>
      </w:r>
      <w:r w:rsidR="00AE08CA" w:rsidRPr="009E1865">
        <w:rPr>
          <w:color w:val="000000" w:themeColor="text1"/>
        </w:rPr>
        <w:t xml:space="preserve"> </w:t>
      </w:r>
      <w:r w:rsidR="00AE08CA" w:rsidRPr="009E1865">
        <w:rPr>
          <w:bCs/>
          <w:color w:val="000000" w:themeColor="text1"/>
        </w:rPr>
        <w:t>[6]</w:t>
      </w:r>
      <w:r w:rsidRPr="009E1865">
        <w:rPr>
          <w:color w:val="000000" w:themeColor="text1"/>
        </w:rPr>
        <w:t xml:space="preserve">. Therefore, there is an urgent need to investigate the risk factors for sarcopenia so that effective interventions can </w:t>
      </w:r>
      <w:r w:rsidRPr="009E2545">
        <w:rPr>
          <w:color w:val="000000" w:themeColor="text1"/>
        </w:rPr>
        <w:t xml:space="preserve">be implemented. </w:t>
      </w:r>
      <w:r w:rsidR="00F86D45" w:rsidRPr="009E2545">
        <w:rPr>
          <w:color w:val="FF0000"/>
        </w:rPr>
        <w:t>It is also important to note that when increased amounts of adipose tissue accompany sarcopenia</w:t>
      </w:r>
      <w:r w:rsidR="006B4C15" w:rsidRPr="009E2545">
        <w:rPr>
          <w:color w:val="FF0000"/>
        </w:rPr>
        <w:t>,</w:t>
      </w:r>
      <w:r w:rsidR="00F86D45" w:rsidRPr="009E2545">
        <w:rPr>
          <w:color w:val="FF0000"/>
        </w:rPr>
        <w:t xml:space="preserve"> it is referred to as </w:t>
      </w:r>
      <w:proofErr w:type="spellStart"/>
      <w:r w:rsidR="00F86D45" w:rsidRPr="009E2545">
        <w:rPr>
          <w:color w:val="FF0000"/>
        </w:rPr>
        <w:t>sarcopenic</w:t>
      </w:r>
      <w:proofErr w:type="spellEnd"/>
      <w:r w:rsidR="00F86D45" w:rsidRPr="009E2545">
        <w:rPr>
          <w:color w:val="FF0000"/>
        </w:rPr>
        <w:t xml:space="preserve"> obesity</w:t>
      </w:r>
      <w:r w:rsidR="00A367B9" w:rsidRPr="009E2545">
        <w:rPr>
          <w:color w:val="FF0000"/>
        </w:rPr>
        <w:t xml:space="preserve"> </w:t>
      </w:r>
      <w:r w:rsidR="00A367B9" w:rsidRPr="009E2545">
        <w:rPr>
          <w:bCs/>
          <w:color w:val="FF0000"/>
        </w:rPr>
        <w:t>[7]</w:t>
      </w:r>
      <w:r w:rsidR="00A367B9" w:rsidRPr="009E2545">
        <w:rPr>
          <w:color w:val="FF0000"/>
        </w:rPr>
        <w:t xml:space="preserve">. </w:t>
      </w:r>
      <w:proofErr w:type="spellStart"/>
      <w:r w:rsidR="00F86D45" w:rsidRPr="009E2545">
        <w:rPr>
          <w:color w:val="FF0000"/>
        </w:rPr>
        <w:t>Sarcopenic</w:t>
      </w:r>
      <w:proofErr w:type="spellEnd"/>
      <w:r w:rsidR="00F86D45" w:rsidRPr="009E2545">
        <w:rPr>
          <w:color w:val="FF0000"/>
        </w:rPr>
        <w:t xml:space="preserve"> obesity can increase r</w:t>
      </w:r>
      <w:r w:rsidR="0061671E" w:rsidRPr="009E2545">
        <w:rPr>
          <w:color w:val="FF0000"/>
        </w:rPr>
        <w:t>isk above and beyond that of sa</w:t>
      </w:r>
      <w:r w:rsidR="00F86D45" w:rsidRPr="009E2545">
        <w:rPr>
          <w:color w:val="FF0000"/>
        </w:rPr>
        <w:t>r</w:t>
      </w:r>
      <w:r w:rsidR="0061671E" w:rsidRPr="009E2545">
        <w:rPr>
          <w:color w:val="FF0000"/>
        </w:rPr>
        <w:t>cope</w:t>
      </w:r>
      <w:r w:rsidR="00F86D45" w:rsidRPr="009E2545">
        <w:rPr>
          <w:color w:val="FF0000"/>
        </w:rPr>
        <w:t>n</w:t>
      </w:r>
      <w:r w:rsidR="0061671E" w:rsidRPr="009E2545">
        <w:rPr>
          <w:color w:val="FF0000"/>
        </w:rPr>
        <w:t>i</w:t>
      </w:r>
      <w:r w:rsidR="00F86D45" w:rsidRPr="009E2545">
        <w:rPr>
          <w:color w:val="FF0000"/>
        </w:rPr>
        <w:t>a or obesity alone in terms of multiple non-communicable diseases, and long-term disability</w:t>
      </w:r>
      <w:r w:rsidR="00A367B9" w:rsidRPr="009E2545">
        <w:rPr>
          <w:color w:val="FF0000"/>
        </w:rPr>
        <w:t xml:space="preserve"> </w:t>
      </w:r>
      <w:r w:rsidR="00A367B9" w:rsidRPr="009E2545">
        <w:rPr>
          <w:bCs/>
          <w:color w:val="FF0000"/>
        </w:rPr>
        <w:t>[8]</w:t>
      </w:r>
      <w:r w:rsidR="00A367B9" w:rsidRPr="009E2545">
        <w:rPr>
          <w:color w:val="FF0000"/>
        </w:rPr>
        <w:t>.</w:t>
      </w:r>
    </w:p>
    <w:p w14:paraId="312A27B3" w14:textId="50213B05" w:rsidR="00F86D45" w:rsidRPr="009E1865" w:rsidRDefault="00880158" w:rsidP="00F86D45">
      <w:pPr>
        <w:pStyle w:val="MDPI31text"/>
        <w:rPr>
          <w:color w:val="000000" w:themeColor="text1"/>
        </w:rPr>
      </w:pPr>
      <w:r w:rsidRPr="009E1865">
        <w:rPr>
          <w:color w:val="000000" w:themeColor="text1"/>
        </w:rPr>
        <w:t>Previously reported risk factors for sarcopenia include low levels of physical activity, cardio-respiratory fitness and strength, and</w:t>
      </w:r>
      <w:r w:rsidR="00AE08CA" w:rsidRPr="009E1865">
        <w:rPr>
          <w:color w:val="000000" w:themeColor="text1"/>
        </w:rPr>
        <w:t xml:space="preserve"> high levels of sedentary time </w:t>
      </w:r>
      <w:r w:rsidR="007B54E5" w:rsidRPr="007B54E5">
        <w:rPr>
          <w:bCs/>
          <w:color w:val="FF0000"/>
        </w:rPr>
        <w:t>[9</w:t>
      </w:r>
      <w:r w:rsidR="00AE08CA" w:rsidRPr="007B54E5">
        <w:rPr>
          <w:bCs/>
          <w:color w:val="FF0000"/>
        </w:rPr>
        <w:t>]</w:t>
      </w:r>
      <w:r w:rsidR="00AE08CA" w:rsidRPr="007B54E5">
        <w:rPr>
          <w:color w:val="FF0000"/>
        </w:rPr>
        <w:t xml:space="preserve">. </w:t>
      </w:r>
      <w:r w:rsidRPr="009E1865">
        <w:rPr>
          <w:color w:val="000000" w:themeColor="text1"/>
        </w:rPr>
        <w:t>Furthermore, nutrition has also been reported to be important in the development of sarcopenia. For example, a diet high in protein as well as high fruit consumption and a Mediterranean diet have been associated with lower risk for sarcopenia</w:t>
      </w:r>
      <w:r w:rsidR="007858FA" w:rsidRPr="009E1865">
        <w:rPr>
          <w:color w:val="000000" w:themeColor="text1"/>
        </w:rPr>
        <w:t xml:space="preserve"> </w:t>
      </w:r>
      <w:r w:rsidR="007B54E5" w:rsidRPr="007B54E5">
        <w:rPr>
          <w:bCs/>
          <w:color w:val="FF0000"/>
        </w:rPr>
        <w:t>[10-12</w:t>
      </w:r>
      <w:r w:rsidR="00DD0B2F" w:rsidRPr="007B54E5">
        <w:rPr>
          <w:bCs/>
          <w:color w:val="FF0000"/>
        </w:rPr>
        <w:t>]</w:t>
      </w:r>
      <w:r w:rsidR="00DD0B2F" w:rsidRPr="007B54E5">
        <w:rPr>
          <w:color w:val="FF0000"/>
        </w:rPr>
        <w:t xml:space="preserve">. </w:t>
      </w:r>
      <w:r w:rsidRPr="009E1865">
        <w:rPr>
          <w:color w:val="000000" w:themeColor="text1"/>
        </w:rPr>
        <w:t>Furthermore, the lack of some micronutrients, particularly antioxidant micronutrients, have been implicated in the etiology of sarcopenia</w:t>
      </w:r>
      <w:r w:rsidR="00DD0B2F" w:rsidRPr="009E1865">
        <w:rPr>
          <w:color w:val="000000" w:themeColor="text1"/>
        </w:rPr>
        <w:t xml:space="preserve"> </w:t>
      </w:r>
      <w:r w:rsidR="007B54E5" w:rsidRPr="007B54E5">
        <w:rPr>
          <w:bCs/>
          <w:color w:val="FF0000"/>
        </w:rPr>
        <w:t>[13</w:t>
      </w:r>
      <w:r w:rsidR="00DD0B2F" w:rsidRPr="007B54E5">
        <w:rPr>
          <w:bCs/>
          <w:color w:val="FF0000"/>
        </w:rPr>
        <w:t>]</w:t>
      </w:r>
      <w:r w:rsidRPr="007B54E5">
        <w:rPr>
          <w:color w:val="FF0000"/>
        </w:rPr>
        <w:t xml:space="preserve">. </w:t>
      </w:r>
    </w:p>
    <w:p w14:paraId="3941D984" w14:textId="228D9F46" w:rsidR="00880158" w:rsidRPr="009E1865" w:rsidRDefault="00880158" w:rsidP="00F0476A">
      <w:pPr>
        <w:pStyle w:val="MDPI31text"/>
        <w:rPr>
          <w:color w:val="000000" w:themeColor="text1"/>
        </w:rPr>
      </w:pPr>
      <w:r w:rsidRPr="009E1865">
        <w:rPr>
          <w:color w:val="000000" w:themeColor="text1"/>
        </w:rPr>
        <w:t xml:space="preserve">However, there is limited research on the association between </w:t>
      </w:r>
      <w:r w:rsidR="00DD0B2F" w:rsidRPr="009E1865">
        <w:rPr>
          <w:color w:val="000000" w:themeColor="text1"/>
        </w:rPr>
        <w:t xml:space="preserve">food insecurity and sarcopenia. </w:t>
      </w:r>
      <w:r w:rsidRPr="009E1865">
        <w:rPr>
          <w:color w:val="000000" w:themeColor="text1"/>
        </w:rPr>
        <w:t>Food insecurity may be defined as the disruption of food intake or eating patterns because of lack of money and other resources</w:t>
      </w:r>
      <w:r w:rsidR="00FA3DA8" w:rsidRPr="009E1865">
        <w:rPr>
          <w:color w:val="000000" w:themeColor="text1"/>
        </w:rPr>
        <w:t xml:space="preserve"> </w:t>
      </w:r>
      <w:r w:rsidR="007B54E5" w:rsidRPr="007B54E5">
        <w:rPr>
          <w:bCs/>
          <w:color w:val="FF0000"/>
        </w:rPr>
        <w:t>[14</w:t>
      </w:r>
      <w:r w:rsidR="00FA3DA8" w:rsidRPr="007B54E5">
        <w:rPr>
          <w:bCs/>
          <w:color w:val="FF0000"/>
        </w:rPr>
        <w:t>]</w:t>
      </w:r>
      <w:r w:rsidRPr="007B54E5">
        <w:rPr>
          <w:color w:val="FF0000"/>
        </w:rPr>
        <w:t xml:space="preserve">, </w:t>
      </w:r>
      <w:r w:rsidRPr="009E1865">
        <w:rPr>
          <w:color w:val="000000" w:themeColor="text1"/>
        </w:rPr>
        <w:t>and is highly prevalent especially in LMICs</w:t>
      </w:r>
      <w:r w:rsidR="00E2439F" w:rsidRPr="009E1865">
        <w:rPr>
          <w:color w:val="000000" w:themeColor="text1"/>
        </w:rPr>
        <w:t xml:space="preserve"> </w:t>
      </w:r>
      <w:r w:rsidR="007B54E5" w:rsidRPr="007B54E5">
        <w:rPr>
          <w:bCs/>
          <w:color w:val="FF0000"/>
        </w:rPr>
        <w:t>[15</w:t>
      </w:r>
      <w:r w:rsidR="00E2439F" w:rsidRPr="007B54E5">
        <w:rPr>
          <w:bCs/>
          <w:color w:val="FF0000"/>
        </w:rPr>
        <w:t>]</w:t>
      </w:r>
      <w:r w:rsidRPr="007B54E5">
        <w:rPr>
          <w:color w:val="FF0000"/>
        </w:rPr>
        <w:t>.</w:t>
      </w:r>
      <w:r w:rsidR="00E2439F" w:rsidRPr="007B54E5">
        <w:rPr>
          <w:color w:val="FF0000"/>
        </w:rPr>
        <w:t xml:space="preserve"> </w:t>
      </w:r>
      <w:r w:rsidRPr="009E1865">
        <w:rPr>
          <w:color w:val="000000" w:themeColor="text1"/>
        </w:rPr>
        <w:t>Food insecurity can lead to poor nutrition as food insecurity often compromises diet quality, as people tend to switch to more affordable but less nutritious food when food is scarce (e.g., high fat and carbohydrates, low vitamins and micronutrients</w:t>
      </w:r>
      <w:r w:rsidR="00F51B6A" w:rsidRPr="009E1865">
        <w:rPr>
          <w:color w:val="000000" w:themeColor="text1"/>
        </w:rPr>
        <w:t xml:space="preserve"> </w:t>
      </w:r>
      <w:r w:rsidR="007B54E5" w:rsidRPr="007B54E5">
        <w:rPr>
          <w:bCs/>
          <w:color w:val="FF0000"/>
        </w:rPr>
        <w:t>[16</w:t>
      </w:r>
      <w:r w:rsidR="00F51B6A" w:rsidRPr="007B54E5">
        <w:rPr>
          <w:bCs/>
          <w:color w:val="FF0000"/>
        </w:rPr>
        <w:t>]</w:t>
      </w:r>
      <w:r w:rsidRPr="007B54E5">
        <w:rPr>
          <w:color w:val="FF0000"/>
        </w:rPr>
        <w:t>.</w:t>
      </w:r>
      <w:r w:rsidR="00F51B6A" w:rsidRPr="007B54E5">
        <w:rPr>
          <w:color w:val="FF0000"/>
        </w:rPr>
        <w:t xml:space="preserve"> </w:t>
      </w:r>
      <w:r w:rsidRPr="009E1865">
        <w:rPr>
          <w:color w:val="000000" w:themeColor="text1"/>
        </w:rPr>
        <w:t>Poor nutrition in turn, may increase risk for sarcopenia</w:t>
      </w:r>
      <w:r w:rsidR="00F51B6A" w:rsidRPr="009E1865">
        <w:rPr>
          <w:color w:val="000000" w:themeColor="text1"/>
        </w:rPr>
        <w:t xml:space="preserve"> </w:t>
      </w:r>
      <w:r w:rsidR="007B54E5" w:rsidRPr="007B54E5">
        <w:rPr>
          <w:bCs/>
          <w:color w:val="FF0000"/>
        </w:rPr>
        <w:t>[13</w:t>
      </w:r>
      <w:r w:rsidR="00BB7981" w:rsidRPr="007B54E5">
        <w:rPr>
          <w:bCs/>
          <w:color w:val="FF0000"/>
        </w:rPr>
        <w:t>]</w:t>
      </w:r>
      <w:r w:rsidRPr="007B54E5">
        <w:rPr>
          <w:color w:val="FF0000"/>
        </w:rPr>
        <w:t xml:space="preserve">. </w:t>
      </w:r>
    </w:p>
    <w:p w14:paraId="2E426E7A" w14:textId="2EDC63DE" w:rsidR="00880158" w:rsidRPr="009E1865" w:rsidRDefault="00880158" w:rsidP="00F0476A">
      <w:pPr>
        <w:pStyle w:val="MDPI31text"/>
        <w:rPr>
          <w:color w:val="000000" w:themeColor="text1"/>
        </w:rPr>
      </w:pPr>
      <w:r w:rsidRPr="009E1865">
        <w:rPr>
          <w:color w:val="000000" w:themeColor="text1"/>
        </w:rPr>
        <w:t>There is currently a small but growing body of literature investigating the relationship between food insecurity and sarcopenia. One study carried out in the US including 2,965 subjects aged ≥60 years concluded that food insecurity was strongly associated with sarcopenia</w:t>
      </w:r>
      <w:r w:rsidR="00BB7981" w:rsidRPr="009E1865">
        <w:rPr>
          <w:color w:val="000000" w:themeColor="text1"/>
        </w:rPr>
        <w:t xml:space="preserve"> </w:t>
      </w:r>
      <w:r w:rsidR="007B54E5" w:rsidRPr="007B54E5">
        <w:rPr>
          <w:bCs/>
          <w:color w:val="FF0000"/>
        </w:rPr>
        <w:t>[17</w:t>
      </w:r>
      <w:r w:rsidR="00BB7981" w:rsidRPr="007B54E5">
        <w:rPr>
          <w:bCs/>
          <w:color w:val="FF0000"/>
        </w:rPr>
        <w:t>]</w:t>
      </w:r>
      <w:r w:rsidR="00BB7981" w:rsidRPr="007B54E5">
        <w:rPr>
          <w:color w:val="FF0000"/>
        </w:rPr>
        <w:t xml:space="preserve">. </w:t>
      </w:r>
      <w:r w:rsidRPr="009E1865">
        <w:rPr>
          <w:color w:val="000000" w:themeColor="text1"/>
        </w:rPr>
        <w:t xml:space="preserve">However, another study carried out in one LMIC (Mexico) and utilizing a small sample (n=168) of older adults aged ≥60 years observed a lack of association between </w:t>
      </w:r>
      <w:r w:rsidR="0054173A" w:rsidRPr="009E1865">
        <w:rPr>
          <w:color w:val="000000" w:themeColor="text1"/>
        </w:rPr>
        <w:t xml:space="preserve">food insecurity and sarcopenia </w:t>
      </w:r>
      <w:r w:rsidR="007B54E5" w:rsidRPr="007B54E5">
        <w:rPr>
          <w:bCs/>
          <w:color w:val="FF0000"/>
        </w:rPr>
        <w:t>[18</w:t>
      </w:r>
      <w:r w:rsidR="0054173A" w:rsidRPr="007B54E5">
        <w:rPr>
          <w:bCs/>
          <w:color w:val="FF0000"/>
        </w:rPr>
        <w:t>]</w:t>
      </w:r>
      <w:r w:rsidR="0054173A" w:rsidRPr="007B54E5">
        <w:rPr>
          <w:color w:val="FF0000"/>
        </w:rPr>
        <w:t xml:space="preserve">. </w:t>
      </w:r>
      <w:r w:rsidRPr="009E1865">
        <w:rPr>
          <w:color w:val="000000" w:themeColor="text1"/>
        </w:rPr>
        <w:t>Other research in LMICs have found that older individuals experiencing food insecurity have a lower mean standard deviation of muscle mass strength and physical performance, which are proxy measures for sarcopenia</w:t>
      </w:r>
      <w:r w:rsidR="0054173A" w:rsidRPr="009E1865">
        <w:rPr>
          <w:color w:val="000000" w:themeColor="text1"/>
        </w:rPr>
        <w:t xml:space="preserve"> </w:t>
      </w:r>
      <w:r w:rsidR="007B54E5" w:rsidRPr="007B54E5">
        <w:rPr>
          <w:bCs/>
          <w:color w:val="FF0000"/>
        </w:rPr>
        <w:t>[19</w:t>
      </w:r>
      <w:r w:rsidR="003E58E7" w:rsidRPr="007B54E5">
        <w:rPr>
          <w:bCs/>
          <w:color w:val="FF0000"/>
        </w:rPr>
        <w:t>]</w:t>
      </w:r>
      <w:r w:rsidRPr="007B54E5">
        <w:rPr>
          <w:color w:val="FF0000"/>
        </w:rPr>
        <w:t>.</w:t>
      </w:r>
      <w:r w:rsidR="003E58E7" w:rsidRPr="007B54E5">
        <w:rPr>
          <w:color w:val="FF0000"/>
        </w:rPr>
        <w:t xml:space="preserve"> </w:t>
      </w:r>
      <w:r w:rsidRPr="009E1865">
        <w:rPr>
          <w:color w:val="000000" w:themeColor="text1"/>
        </w:rPr>
        <w:t xml:space="preserve">Clearly, more research is required to elucidate the association between food insecurity and sarcopenia in large representative samples of older adults from LMICs. </w:t>
      </w:r>
    </w:p>
    <w:p w14:paraId="459509C6" w14:textId="58E5AE7C" w:rsidR="00D47EA5" w:rsidRPr="009E1865" w:rsidRDefault="00880158" w:rsidP="00F0476A">
      <w:pPr>
        <w:pStyle w:val="MDPI31text"/>
        <w:rPr>
          <w:color w:val="000000" w:themeColor="text1"/>
        </w:rPr>
      </w:pPr>
      <w:r w:rsidRPr="009E1865">
        <w:rPr>
          <w:color w:val="000000" w:themeColor="text1"/>
        </w:rPr>
        <w:t>Given this background the aim of the present study was to investigate the association between food insecurity and sarcopenia in a large nationally representative sample of adults aged ≥65 years from six LMICs. It is particularly important to study this association in LMICs as there is a high level of food insecurity and sarcopenia in these settings</w:t>
      </w:r>
      <w:r w:rsidR="003E58E7" w:rsidRPr="009E1865">
        <w:rPr>
          <w:color w:val="000000" w:themeColor="text1"/>
        </w:rPr>
        <w:t xml:space="preserve"> </w:t>
      </w:r>
      <w:r w:rsidR="00F41495">
        <w:rPr>
          <w:bCs/>
          <w:color w:val="000000" w:themeColor="text1"/>
        </w:rPr>
        <w:t xml:space="preserve">[5, </w:t>
      </w:r>
      <w:r w:rsidR="00F41495" w:rsidRPr="00F41495">
        <w:rPr>
          <w:bCs/>
          <w:color w:val="FF0000"/>
        </w:rPr>
        <w:t>20</w:t>
      </w:r>
      <w:r w:rsidR="00356D4C" w:rsidRPr="00F41495">
        <w:rPr>
          <w:bCs/>
          <w:color w:val="FF0000"/>
        </w:rPr>
        <w:t>]</w:t>
      </w:r>
      <w:r w:rsidRPr="00F41495">
        <w:rPr>
          <w:color w:val="FF0000"/>
        </w:rPr>
        <w:t xml:space="preserve">. </w:t>
      </w:r>
    </w:p>
    <w:p w14:paraId="01A4C767" w14:textId="77777777" w:rsidR="00D47EA5" w:rsidRPr="009E1865" w:rsidRDefault="00F0476A" w:rsidP="00F0476A">
      <w:pPr>
        <w:pStyle w:val="MDPI21heading1"/>
        <w:rPr>
          <w:color w:val="000000" w:themeColor="text1"/>
        </w:rPr>
      </w:pPr>
      <w:r w:rsidRPr="009E1865">
        <w:rPr>
          <w:color w:val="000000" w:themeColor="text1"/>
          <w:lang w:eastAsia="zh-CN"/>
        </w:rPr>
        <w:t xml:space="preserve">2. </w:t>
      </w:r>
      <w:r w:rsidR="00D47EA5" w:rsidRPr="009E1865">
        <w:rPr>
          <w:color w:val="000000" w:themeColor="text1"/>
        </w:rPr>
        <w:t>Methods</w:t>
      </w:r>
    </w:p>
    <w:p w14:paraId="29825F0F" w14:textId="7AB6BEFA" w:rsidR="00D47EA5" w:rsidRPr="009E1865" w:rsidRDefault="00957099" w:rsidP="00F0476A">
      <w:pPr>
        <w:pStyle w:val="MDPI31text"/>
        <w:rPr>
          <w:color w:val="000000" w:themeColor="text1"/>
        </w:rPr>
      </w:pPr>
      <w:r w:rsidRPr="009E1865">
        <w:rPr>
          <w:color w:val="000000" w:themeColor="text1"/>
        </w:rPr>
        <w:t xml:space="preserve">For the present analyses data from SAGE were </w:t>
      </w:r>
      <w:proofErr w:type="spellStart"/>
      <w:r w:rsidRPr="009E1865">
        <w:rPr>
          <w:color w:val="000000" w:themeColor="text1"/>
        </w:rPr>
        <w:t>utilised</w:t>
      </w:r>
      <w:proofErr w:type="spellEnd"/>
      <w:r w:rsidRPr="009E1865">
        <w:rPr>
          <w:color w:val="000000" w:themeColor="text1"/>
        </w:rPr>
        <w:t xml:space="preserve"> and this data can be publically accessed through the following link: </w:t>
      </w:r>
      <w:r w:rsidR="00E429E6" w:rsidRPr="009E1865">
        <w:rPr>
          <w:color w:val="000000" w:themeColor="text1"/>
        </w:rPr>
        <w:t xml:space="preserve">http://www.who.int/healthinfo/sage/en/. This survey </w:t>
      </w:r>
      <w:r w:rsidRPr="009E1865">
        <w:rPr>
          <w:color w:val="000000" w:themeColor="text1"/>
        </w:rPr>
        <w:t xml:space="preserve">was administered between 2007 and 2010 </w:t>
      </w:r>
      <w:r w:rsidR="00E429E6" w:rsidRPr="009E1865">
        <w:rPr>
          <w:color w:val="000000" w:themeColor="text1"/>
        </w:rPr>
        <w:t>in</w:t>
      </w:r>
      <w:r w:rsidRPr="009E1865">
        <w:rPr>
          <w:color w:val="000000" w:themeColor="text1"/>
        </w:rPr>
        <w:t xml:space="preserve"> the following countries:</w:t>
      </w:r>
      <w:r w:rsidR="00E429E6" w:rsidRPr="009E1865">
        <w:rPr>
          <w:color w:val="000000" w:themeColor="text1"/>
        </w:rPr>
        <w:t xml:space="preserve"> China, Ghana, India, Mexico, Russia, and South Africa. All countries were LMICs based on the World Bank classification at the time of the survey. Details of the survey methodology have been published elsewhere</w:t>
      </w:r>
      <w:r w:rsidR="00AE6B74" w:rsidRPr="009E1865">
        <w:rPr>
          <w:color w:val="000000" w:themeColor="text1"/>
        </w:rPr>
        <w:t xml:space="preserve"> </w:t>
      </w:r>
      <w:r w:rsidR="00F41495" w:rsidRPr="00F41495">
        <w:rPr>
          <w:bCs/>
          <w:color w:val="FF0000"/>
        </w:rPr>
        <w:t>[21</w:t>
      </w:r>
      <w:r w:rsidR="00AE6B74" w:rsidRPr="00F41495">
        <w:rPr>
          <w:bCs/>
          <w:color w:val="FF0000"/>
        </w:rPr>
        <w:t>]</w:t>
      </w:r>
      <w:r w:rsidR="00E429E6" w:rsidRPr="00F41495">
        <w:rPr>
          <w:color w:val="FF0000"/>
        </w:rPr>
        <w:t xml:space="preserve">. </w:t>
      </w:r>
      <w:r w:rsidR="00E429E6" w:rsidRPr="009E1865">
        <w:rPr>
          <w:color w:val="000000" w:themeColor="text1"/>
        </w:rPr>
        <w:t>In brief, in order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China 93%; Ghana 81%; India 68%; Mexico 53%; Russia 83%; and South Africa 75%.</w:t>
      </w:r>
      <w:r w:rsidR="00E429E6" w:rsidRPr="009E1865">
        <w:rPr>
          <w:i/>
          <w:color w:val="000000" w:themeColor="text1"/>
        </w:rPr>
        <w:t xml:space="preserve"> </w:t>
      </w:r>
      <w:r w:rsidR="00E429E6" w:rsidRPr="009E1865">
        <w:rPr>
          <w:color w:val="000000" w:themeColor="text1"/>
        </w:rPr>
        <w:t>Sampling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09859579" w14:textId="77777777" w:rsidR="00E429E6" w:rsidRPr="009E1865" w:rsidRDefault="00F0476A" w:rsidP="00F0476A">
      <w:pPr>
        <w:pStyle w:val="MDPI22heading2"/>
        <w:spacing w:before="240"/>
        <w:rPr>
          <w:color w:val="000000" w:themeColor="text1"/>
        </w:rPr>
      </w:pPr>
      <w:r w:rsidRPr="009E1865">
        <w:rPr>
          <w:color w:val="000000" w:themeColor="text1"/>
        </w:rPr>
        <w:lastRenderedPageBreak/>
        <w:t xml:space="preserve">2.1. </w:t>
      </w:r>
      <w:r w:rsidR="00E429E6" w:rsidRPr="009E1865">
        <w:rPr>
          <w:color w:val="000000" w:themeColor="text1"/>
        </w:rPr>
        <w:t>Sarcopenia</w:t>
      </w:r>
    </w:p>
    <w:p w14:paraId="64C40BD3" w14:textId="4D09428E" w:rsidR="00E429E6" w:rsidRPr="009E1865" w:rsidRDefault="00E429E6" w:rsidP="00F0476A">
      <w:pPr>
        <w:pStyle w:val="MDPI31text"/>
        <w:rPr>
          <w:i/>
          <w:color w:val="000000" w:themeColor="text1"/>
        </w:rPr>
      </w:pPr>
      <w:r w:rsidRPr="009E1865">
        <w:rPr>
          <w:color w:val="000000" w:themeColor="text1"/>
        </w:rPr>
        <w:t>Following the criteria used in previous publications using the same dataset</w:t>
      </w:r>
      <w:r w:rsidR="00174CCB" w:rsidRPr="009E1865">
        <w:rPr>
          <w:color w:val="000000" w:themeColor="text1"/>
        </w:rPr>
        <w:t xml:space="preserve"> </w:t>
      </w:r>
      <w:r w:rsidR="00174CCB" w:rsidRPr="00F41495">
        <w:rPr>
          <w:bCs/>
          <w:color w:val="FF0000"/>
        </w:rPr>
        <w:t>[</w:t>
      </w:r>
      <w:r w:rsidR="00F41495" w:rsidRPr="00F41495">
        <w:rPr>
          <w:bCs/>
          <w:color w:val="FF0000"/>
        </w:rPr>
        <w:t>22, 23</w:t>
      </w:r>
      <w:r w:rsidR="00174CCB" w:rsidRPr="00F41495">
        <w:rPr>
          <w:bCs/>
          <w:color w:val="FF0000"/>
        </w:rPr>
        <w:t>]</w:t>
      </w:r>
      <w:r w:rsidRPr="00F41495">
        <w:rPr>
          <w:color w:val="FF0000"/>
        </w:rPr>
        <w:t xml:space="preserve">, </w:t>
      </w:r>
      <w:r w:rsidRPr="009E1865">
        <w:rPr>
          <w:color w:val="000000" w:themeColor="text1"/>
        </w:rPr>
        <w:t>sarcopenia was defined as having low skeletal muscle mass (SMM) as reflected by lower skeletal mass index (SMI) and either a slow gait speed or a weak handgrip strength</w:t>
      </w:r>
      <w:r w:rsidR="0086234D" w:rsidRPr="009E1865">
        <w:rPr>
          <w:color w:val="000000" w:themeColor="text1"/>
        </w:rPr>
        <w:t xml:space="preserve"> </w:t>
      </w:r>
      <w:r w:rsidR="00F41495" w:rsidRPr="00F41495">
        <w:rPr>
          <w:bCs/>
          <w:color w:val="FF0000"/>
        </w:rPr>
        <w:t>[24</w:t>
      </w:r>
      <w:r w:rsidR="0086234D" w:rsidRPr="00F41495">
        <w:rPr>
          <w:bCs/>
          <w:color w:val="FF0000"/>
        </w:rPr>
        <w:t>]</w:t>
      </w:r>
      <w:r w:rsidRPr="00F41495">
        <w:rPr>
          <w:color w:val="FF0000"/>
        </w:rPr>
        <w:t xml:space="preserve">. </w:t>
      </w:r>
      <w:r w:rsidRPr="009E1865">
        <w:rPr>
          <w:color w:val="000000" w:themeColor="text1"/>
        </w:rPr>
        <w:t>Skeletal muscle mass (SMM) was calculated as the appendicular skeletal muscle mass (ASM) based on the equation proposed by Lee and colleagues: ASM= 0.244*weight + 7.8*height + 6.6*sex–0.098*age + race–3.3 [where female=0 and male=1; race=0 (White and Hispanic), race=1.9 (Black) and race=-1.6 (Asian)]</w:t>
      </w:r>
      <w:r w:rsidR="001B0089" w:rsidRPr="009E1865">
        <w:rPr>
          <w:color w:val="000000" w:themeColor="text1"/>
        </w:rPr>
        <w:t xml:space="preserve"> </w:t>
      </w:r>
      <w:r w:rsidR="00F41495" w:rsidRPr="00F41495">
        <w:rPr>
          <w:bCs/>
          <w:color w:val="FF0000"/>
        </w:rPr>
        <w:t>[25</w:t>
      </w:r>
      <w:r w:rsidR="00F04D2B" w:rsidRPr="00F41495">
        <w:rPr>
          <w:bCs/>
          <w:color w:val="FF0000"/>
        </w:rPr>
        <w:t>]</w:t>
      </w:r>
      <w:r w:rsidRPr="00F41495">
        <w:rPr>
          <w:color w:val="FF0000"/>
        </w:rPr>
        <w:t xml:space="preserve">. </w:t>
      </w:r>
      <w:r w:rsidRPr="009E1865">
        <w:rPr>
          <w:color w:val="000000" w:themeColor="text1"/>
        </w:rPr>
        <w:t>ASM was further divided by BMI</w:t>
      </w:r>
      <w:r w:rsidRPr="009E1865">
        <w:rPr>
          <w:color w:val="000000" w:themeColor="text1"/>
          <w:vertAlign w:val="superscript"/>
        </w:rPr>
        <w:t xml:space="preserve"> </w:t>
      </w:r>
      <w:r w:rsidRPr="009E1865">
        <w:rPr>
          <w:color w:val="000000" w:themeColor="text1"/>
        </w:rPr>
        <w:t>based on measured weight and height to create a skeletal muscle mass index (SMI)</w:t>
      </w:r>
      <w:r w:rsidR="00F04D2B" w:rsidRPr="009E1865">
        <w:rPr>
          <w:color w:val="000000" w:themeColor="text1"/>
        </w:rPr>
        <w:t xml:space="preserve"> </w:t>
      </w:r>
      <w:r w:rsidR="00F41495" w:rsidRPr="00F41495">
        <w:rPr>
          <w:bCs/>
          <w:color w:val="FF0000"/>
        </w:rPr>
        <w:t>[26</w:t>
      </w:r>
      <w:r w:rsidR="00F04D2B" w:rsidRPr="00F41495">
        <w:rPr>
          <w:bCs/>
          <w:color w:val="FF0000"/>
        </w:rPr>
        <w:t>]</w:t>
      </w:r>
      <w:r w:rsidRPr="00F41495">
        <w:rPr>
          <w:color w:val="FF0000"/>
        </w:rPr>
        <w:t xml:space="preserve">. </w:t>
      </w:r>
      <w:r w:rsidRPr="009E1865">
        <w:rPr>
          <w:color w:val="000000" w:themeColor="text1"/>
        </w:rPr>
        <w:t>Low SMM was defined as the lowest quintile of the SMI based on sex-stratified values. Country-specific cut-offs were only used to determine low SMI, as this indicator is likely to be affected by racial differences in body composition</w:t>
      </w:r>
      <w:r w:rsidR="00F04D2B" w:rsidRPr="009E1865">
        <w:rPr>
          <w:color w:val="000000" w:themeColor="text1"/>
        </w:rPr>
        <w:t xml:space="preserve"> </w:t>
      </w:r>
      <w:r w:rsidR="00F41495" w:rsidRPr="00F41495">
        <w:rPr>
          <w:bCs/>
          <w:color w:val="FF0000"/>
        </w:rPr>
        <w:t>[27</w:t>
      </w:r>
      <w:r w:rsidR="00F04D2B" w:rsidRPr="00F41495">
        <w:rPr>
          <w:bCs/>
          <w:color w:val="FF0000"/>
        </w:rPr>
        <w:t>]</w:t>
      </w:r>
      <w:r w:rsidRPr="00F41495">
        <w:rPr>
          <w:color w:val="FF0000"/>
        </w:rPr>
        <w:t xml:space="preserve">. </w:t>
      </w:r>
      <w:r w:rsidRPr="009E1865">
        <w:rPr>
          <w:color w:val="000000" w:themeColor="text1"/>
        </w:rPr>
        <w:t>Gait speed was based on a 4m timed walk and was measured by asking the participant to walk at a normal pace. The interviewer recorded the time to completion of the 4m walk. Slow gait speed referred to the lowest quintile of walking speed based on height, age, and sex-stratified values</w:t>
      </w:r>
      <w:r w:rsidR="00F04D2B" w:rsidRPr="009E1865">
        <w:rPr>
          <w:color w:val="000000" w:themeColor="text1"/>
        </w:rPr>
        <w:t xml:space="preserve"> </w:t>
      </w:r>
      <w:r w:rsidR="00F41495" w:rsidRPr="00F41495">
        <w:rPr>
          <w:bCs/>
          <w:color w:val="FF0000"/>
        </w:rPr>
        <w:t>[28, 29</w:t>
      </w:r>
      <w:r w:rsidR="00F04D2B" w:rsidRPr="00F41495">
        <w:rPr>
          <w:bCs/>
          <w:color w:val="FF0000"/>
        </w:rPr>
        <w:t>]</w:t>
      </w:r>
      <w:r w:rsidRPr="00F41495">
        <w:rPr>
          <w:color w:val="FF0000"/>
        </w:rPr>
        <w:t xml:space="preserve">. </w:t>
      </w:r>
      <w:r w:rsidRPr="009E1865">
        <w:rPr>
          <w:color w:val="000000" w:themeColor="text1"/>
        </w:rPr>
        <w:t>Weak handgrip strength was defined as &lt;27kg for men and &lt;16kg for women using the average value of the two handgrip measurements of the dominant hand</w:t>
      </w:r>
      <w:r w:rsidR="00894906" w:rsidRPr="009E1865">
        <w:rPr>
          <w:color w:val="000000" w:themeColor="text1"/>
        </w:rPr>
        <w:t xml:space="preserve"> </w:t>
      </w:r>
      <w:r w:rsidR="00F41495" w:rsidRPr="00F41495">
        <w:rPr>
          <w:bCs/>
          <w:color w:val="FF0000"/>
        </w:rPr>
        <w:t>[30</w:t>
      </w:r>
      <w:r w:rsidR="00894906" w:rsidRPr="00F41495">
        <w:rPr>
          <w:bCs/>
          <w:color w:val="FF0000"/>
        </w:rPr>
        <w:t>]</w:t>
      </w:r>
      <w:r w:rsidRPr="00F41495">
        <w:rPr>
          <w:color w:val="FF0000"/>
        </w:rPr>
        <w:t>.</w:t>
      </w:r>
    </w:p>
    <w:p w14:paraId="50067D13" w14:textId="77777777" w:rsidR="00E429E6" w:rsidRPr="009E1865" w:rsidRDefault="00F0476A" w:rsidP="00F0476A">
      <w:pPr>
        <w:pStyle w:val="MDPI22heading2"/>
        <w:spacing w:before="240"/>
        <w:rPr>
          <w:color w:val="000000" w:themeColor="text1"/>
        </w:rPr>
      </w:pPr>
      <w:r w:rsidRPr="009E1865">
        <w:rPr>
          <w:color w:val="000000" w:themeColor="text1"/>
        </w:rPr>
        <w:t xml:space="preserve">2.2. </w:t>
      </w:r>
      <w:r w:rsidR="00E429E6" w:rsidRPr="009E1865">
        <w:rPr>
          <w:color w:val="000000" w:themeColor="text1"/>
        </w:rPr>
        <w:t>Food insecurity</w:t>
      </w:r>
    </w:p>
    <w:p w14:paraId="23F914C6" w14:textId="686F8210" w:rsidR="00207002" w:rsidRPr="009E1865" w:rsidRDefault="00E429E6" w:rsidP="00F0476A">
      <w:pPr>
        <w:pStyle w:val="MDPI31text"/>
        <w:rPr>
          <w:i/>
          <w:color w:val="000000" w:themeColor="text1"/>
        </w:rPr>
      </w:pPr>
      <w:r w:rsidRPr="009E1865">
        <w:rPr>
          <w:color w:val="000000" w:themeColor="text1"/>
        </w:rPr>
        <w:t>Food insecurity was defined with the use of the two following questions: “In the last 12 months, how often did you ever eat less than you felt you should because there wasn’t enough food?” and “In the last 12 months, were you ever hungry, but didn’t eat because you couldn’t afford enough food?” Both of these questions had as answer options: every month (coded=1); almost every month (coded=2); some months, but not every month (coded=3); only in 1 or 2 months (coded=4); never (coded=5). These items were adapted from similar items in food security questionnaires such as the US Household Food Security Survey Module and National Health and Nutrition Examination Survey (NHANES) Food Security module. As in previous SAGE studies, those who answered 1 through</w:t>
      </w:r>
      <w:r w:rsidR="00F27086" w:rsidRPr="009E1865">
        <w:rPr>
          <w:color w:val="000000" w:themeColor="text1"/>
        </w:rPr>
        <w:t xml:space="preserve"> 3 to both questions or answered 1 to either question were coded</w:t>
      </w:r>
      <w:r w:rsidRPr="009E1865">
        <w:rPr>
          <w:color w:val="000000" w:themeColor="text1"/>
        </w:rPr>
        <w:t xml:space="preserve"> as severely food insecure. Those who did not meet the criteria for severe food insecurity but answered 2 through 4 for either question were coded as moderately food insecure. Th</w:t>
      </w:r>
      <w:r w:rsidR="00F27086" w:rsidRPr="009E1865">
        <w:rPr>
          <w:color w:val="000000" w:themeColor="text1"/>
        </w:rPr>
        <w:t>ose who answered 5 to both questions</w:t>
      </w:r>
      <w:r w:rsidRPr="009E1865">
        <w:rPr>
          <w:color w:val="000000" w:themeColor="text1"/>
        </w:rPr>
        <w:t xml:space="preserve"> were food secure</w:t>
      </w:r>
      <w:r w:rsidR="00F41495">
        <w:rPr>
          <w:color w:val="000000" w:themeColor="text1"/>
        </w:rPr>
        <w:t xml:space="preserve"> </w:t>
      </w:r>
      <w:r w:rsidR="00F41495" w:rsidRPr="00F41495">
        <w:rPr>
          <w:color w:val="FF0000"/>
        </w:rPr>
        <w:t>[31, 32</w:t>
      </w:r>
      <w:r w:rsidR="00207002" w:rsidRPr="00F41495">
        <w:rPr>
          <w:color w:val="FF0000"/>
        </w:rPr>
        <w:t xml:space="preserve">]. </w:t>
      </w:r>
    </w:p>
    <w:p w14:paraId="259EC5B9" w14:textId="77777777" w:rsidR="00E429E6" w:rsidRPr="009E1865" w:rsidRDefault="00F0476A" w:rsidP="00F0476A">
      <w:pPr>
        <w:pStyle w:val="MDPI22heading2"/>
        <w:spacing w:before="240"/>
        <w:rPr>
          <w:color w:val="000000" w:themeColor="text1"/>
        </w:rPr>
      </w:pPr>
      <w:r w:rsidRPr="009E1865">
        <w:rPr>
          <w:color w:val="000000" w:themeColor="text1"/>
        </w:rPr>
        <w:t xml:space="preserve">2.3. </w:t>
      </w:r>
      <w:r w:rsidR="00E429E6" w:rsidRPr="009E1865">
        <w:rPr>
          <w:color w:val="000000" w:themeColor="text1"/>
        </w:rPr>
        <w:t>Control variables</w:t>
      </w:r>
    </w:p>
    <w:p w14:paraId="57142339" w14:textId="155A0C95" w:rsidR="00E429E6" w:rsidRPr="009E1865" w:rsidRDefault="00E429E6" w:rsidP="00F0476A">
      <w:pPr>
        <w:pStyle w:val="MDPI31text"/>
        <w:rPr>
          <w:i/>
          <w:color w:val="000000" w:themeColor="text1"/>
        </w:rPr>
      </w:pPr>
      <w:r w:rsidRPr="009E1865">
        <w:rPr>
          <w:color w:val="000000" w:themeColor="text1"/>
        </w:rPr>
        <w:t>The control variables were selected based on previous literature</w:t>
      </w:r>
      <w:r w:rsidR="00F41495">
        <w:rPr>
          <w:color w:val="000000" w:themeColor="text1"/>
        </w:rPr>
        <w:t xml:space="preserve"> </w:t>
      </w:r>
      <w:r w:rsidR="00F41495" w:rsidRPr="00F41495">
        <w:rPr>
          <w:color w:val="FF0000"/>
        </w:rPr>
        <w:t>[10</w:t>
      </w:r>
      <w:r w:rsidR="00207002" w:rsidRPr="00F41495">
        <w:rPr>
          <w:color w:val="FF0000"/>
        </w:rPr>
        <w:t xml:space="preserve">] </w:t>
      </w:r>
      <w:r w:rsidRPr="009E1865">
        <w:rPr>
          <w:color w:val="000000" w:themeColor="text1"/>
        </w:rPr>
        <w:t>and included sex, age, wealth, years of education received, alcohol consumption in the past 30 days (yes or no), smoking (never, current, past), physical activity, body mass index (BMI) based on measured weight and height [&lt;18.5 kg/m</w:t>
      </w:r>
      <w:r w:rsidRPr="009E1865">
        <w:rPr>
          <w:color w:val="000000" w:themeColor="text1"/>
          <w:vertAlign w:val="superscript"/>
        </w:rPr>
        <w:t>2</w:t>
      </w:r>
      <w:r w:rsidRPr="009E1865">
        <w:rPr>
          <w:color w:val="000000" w:themeColor="text1"/>
        </w:rPr>
        <w:t xml:space="preserve"> (underweight), 18.5-24.9 kg/m</w:t>
      </w:r>
      <w:r w:rsidRPr="009E1865">
        <w:rPr>
          <w:color w:val="000000" w:themeColor="text1"/>
          <w:vertAlign w:val="superscript"/>
        </w:rPr>
        <w:t>2</w:t>
      </w:r>
      <w:r w:rsidRPr="009E1865">
        <w:rPr>
          <w:color w:val="000000" w:themeColor="text1"/>
        </w:rPr>
        <w:t xml:space="preserve"> (normal weight), 25.0-29.9 kg/m</w:t>
      </w:r>
      <w:r w:rsidRPr="009E1865">
        <w:rPr>
          <w:color w:val="000000" w:themeColor="text1"/>
          <w:vertAlign w:val="superscript"/>
        </w:rPr>
        <w:t>2</w:t>
      </w:r>
      <w:r w:rsidRPr="009E1865">
        <w:rPr>
          <w:color w:val="000000" w:themeColor="text1"/>
        </w:rPr>
        <w:t xml:space="preserve"> (overweight), ≥30 kg/m</w:t>
      </w:r>
      <w:r w:rsidRPr="009E1865">
        <w:rPr>
          <w:color w:val="000000" w:themeColor="text1"/>
          <w:vertAlign w:val="superscript"/>
        </w:rPr>
        <w:t>2</w:t>
      </w:r>
      <w:r w:rsidRPr="009E1865">
        <w:rPr>
          <w:color w:val="000000" w:themeColor="text1"/>
        </w:rPr>
        <w:t xml:space="preserve"> (obese)], and number of chronic diseases. Levels of physical activity were assessed with the Global Physical Activity Questionnaire and were classified as low, moderate, and high based on conventional cut-offs</w:t>
      </w:r>
      <w:r w:rsidR="00F41495">
        <w:rPr>
          <w:color w:val="000000" w:themeColor="text1"/>
        </w:rPr>
        <w:t xml:space="preserve"> </w:t>
      </w:r>
      <w:r w:rsidR="00F41495" w:rsidRPr="00F41495">
        <w:rPr>
          <w:color w:val="FF0000"/>
        </w:rPr>
        <w:t>[33</w:t>
      </w:r>
      <w:r w:rsidR="002C337D" w:rsidRPr="00F41495">
        <w:rPr>
          <w:color w:val="FF0000"/>
        </w:rPr>
        <w:t>]</w:t>
      </w:r>
      <w:r w:rsidRPr="00F41495">
        <w:rPr>
          <w:color w:val="FF0000"/>
        </w:rPr>
        <w:t xml:space="preserve">. </w:t>
      </w:r>
      <w:r w:rsidRPr="009E1865">
        <w:rPr>
          <w:color w:val="000000" w:themeColor="text1"/>
        </w:rPr>
        <w:t xml:space="preserve">The total number of 11 chronic physical conditions (angina, arthritis, asthma, stroke, diabetes, edentulism, visual impairment, chronic lung disease, hypertension, chronic back pain, and hearing problems) was calculated for each participant. The diagnosis was based on the presence of either one of the following: self-reported diagnosis; or symptom-based diagnosis based on algorithms etc. </w:t>
      </w:r>
    </w:p>
    <w:p w14:paraId="3A981374" w14:textId="77777777" w:rsidR="00E429E6" w:rsidRPr="009E1865" w:rsidRDefault="00F0476A" w:rsidP="00F0476A">
      <w:pPr>
        <w:pStyle w:val="MDPI22heading2"/>
        <w:spacing w:before="240"/>
        <w:rPr>
          <w:color w:val="000000" w:themeColor="text1"/>
        </w:rPr>
      </w:pPr>
      <w:r w:rsidRPr="009E1865">
        <w:rPr>
          <w:color w:val="000000" w:themeColor="text1"/>
        </w:rPr>
        <w:t xml:space="preserve">2.4. </w:t>
      </w:r>
      <w:r w:rsidR="00E429E6" w:rsidRPr="009E1865">
        <w:rPr>
          <w:color w:val="000000" w:themeColor="text1"/>
        </w:rPr>
        <w:t>Statistical analysis</w:t>
      </w:r>
    </w:p>
    <w:p w14:paraId="772F297F" w14:textId="77777777" w:rsidR="00E429E6" w:rsidRPr="009E1865" w:rsidRDefault="00E429E6" w:rsidP="00F0476A">
      <w:pPr>
        <w:pStyle w:val="MDPI31text"/>
        <w:rPr>
          <w:i/>
          <w:color w:val="000000" w:themeColor="text1"/>
        </w:rPr>
      </w:pPr>
      <w:r w:rsidRPr="009E1865">
        <w:rPr>
          <w:color w:val="000000" w:themeColor="text1"/>
        </w:rPr>
        <w:t xml:space="preserve">The statistical analysis was performed with Stata 14.1 (Stata Corp LP, College station, Texas). The analysis was restricted to those aged ≥65 years as sarcopenia is an age-related condition. The difference in sample characteristics by food insecurity status was tested by Chi-squared tests and one-way ANOVA for categorical and continuous variables, respectively. We conducted multivariable logistic regression analysis with food insecurity as the </w:t>
      </w:r>
      <w:r w:rsidRPr="009E1865">
        <w:rPr>
          <w:color w:val="000000" w:themeColor="text1"/>
        </w:rPr>
        <w:lastRenderedPageBreak/>
        <w:t xml:space="preserve">exposure variable and sarcopenia the outcome. In order to assess the influence of different variables in the association between food insecurity and sarcopenia, we constructed four models: Model 1 - adjusted for sociodemographic variables (sex, age, wealth, education, country); Model 2 - adjusted for factors in Model 1 and behavioral factors (alcohol consumption, smoking, physical activity); Model 3 - adjusted for factors in Model 2 and BMI; Model 4 - adjusted for factors in Model 3 and number of chronic diseases (fully adjusted model). We also assessed whether there is effect modification by sex in the association between food insecurity and sarcopenia by including an interaction term (food insecurity X sex) in the fully adjusted model. </w:t>
      </w:r>
      <w:r w:rsidR="00F27086" w:rsidRPr="009E1865">
        <w:rPr>
          <w:color w:val="000000" w:themeColor="text1"/>
        </w:rPr>
        <w:t>D</w:t>
      </w:r>
      <w:r w:rsidRPr="009E1865">
        <w:rPr>
          <w:color w:val="000000" w:themeColor="text1"/>
        </w:rPr>
        <w:t xml:space="preserve">ummy variables for each country </w:t>
      </w:r>
      <w:r w:rsidR="00F27086" w:rsidRPr="009E1865">
        <w:rPr>
          <w:color w:val="000000" w:themeColor="text1"/>
        </w:rPr>
        <w:t xml:space="preserve">were included </w:t>
      </w:r>
      <w:r w:rsidRPr="009E1865">
        <w:rPr>
          <w:color w:val="000000" w:themeColor="text1"/>
        </w:rPr>
        <w:t xml:space="preserve">in the model </w:t>
      </w:r>
      <w:r w:rsidR="00F27086" w:rsidRPr="009E1865">
        <w:rPr>
          <w:color w:val="000000" w:themeColor="text1"/>
        </w:rPr>
        <w:t xml:space="preserve">to adjust for country </w:t>
      </w:r>
      <w:r w:rsidR="00B1655F" w:rsidRPr="009E1865">
        <w:rPr>
          <w:color w:val="000000" w:themeColor="text1"/>
        </w:rPr>
        <w:t>[32, 33]</w:t>
      </w:r>
      <w:r w:rsidRPr="009E1865">
        <w:rPr>
          <w:color w:val="000000" w:themeColor="text1"/>
        </w:rPr>
        <w:t xml:space="preserve">. All variables were included in the models as categorical variables with the exception of age, education, and number of chronic diseases (continuous variables). The sample weighting and the complex study design were taken into account in the analyses to generate nationally representative estimates. Results from the regression analyses are presented as odds ratios (ORs) with 95% confidence intervals (CIs). The level of statistical significance was set at P&lt;0.05. </w:t>
      </w:r>
    </w:p>
    <w:p w14:paraId="6757DD9A" w14:textId="77777777" w:rsidR="00D47EA5" w:rsidRPr="009E1865" w:rsidRDefault="00F0476A" w:rsidP="00F0476A">
      <w:pPr>
        <w:pStyle w:val="MDPI21heading1"/>
        <w:rPr>
          <w:color w:val="000000" w:themeColor="text1"/>
        </w:rPr>
      </w:pPr>
      <w:r w:rsidRPr="009E1865">
        <w:rPr>
          <w:color w:val="000000" w:themeColor="text1"/>
        </w:rPr>
        <w:t xml:space="preserve">3. </w:t>
      </w:r>
      <w:r w:rsidR="00D47EA5" w:rsidRPr="009E1865">
        <w:rPr>
          <w:color w:val="000000" w:themeColor="text1"/>
        </w:rPr>
        <w:t>Results</w:t>
      </w:r>
    </w:p>
    <w:p w14:paraId="30DD4F83" w14:textId="77777777" w:rsidR="007D3FBA" w:rsidRPr="009E1865" w:rsidRDefault="00862462" w:rsidP="00F0476A">
      <w:pPr>
        <w:pStyle w:val="MDPI31text"/>
        <w:rPr>
          <w:color w:val="000000" w:themeColor="text1"/>
        </w:rPr>
      </w:pPr>
      <w:r w:rsidRPr="009E1865">
        <w:rPr>
          <w:color w:val="000000" w:themeColor="text1"/>
        </w:rPr>
        <w:t xml:space="preserve">The final sample consisted of 14585 individuals (China n=5360; Ghana n=1975; India n=2441; Mexico n=1375; Russia n=1950; South Africa n=1484) aged ≥65 years with a mean (SD) age of 72.6 (11.5) years and 55.0% were females. The prevalence of sarcopenia was 13.5%, while that of moderate and severe food insecurity were 6.7% and 5.0%, respectively. The sample characteristics are shown in </w:t>
      </w:r>
      <w:r w:rsidRPr="009E1865">
        <w:rPr>
          <w:b/>
          <w:bCs/>
          <w:color w:val="000000" w:themeColor="text1"/>
        </w:rPr>
        <w:t>Table 1</w:t>
      </w:r>
      <w:r w:rsidRPr="009E1865">
        <w:rPr>
          <w:color w:val="000000" w:themeColor="text1"/>
        </w:rPr>
        <w:t>. Food insecurity was more common among females, the poorer, and those with less education. The prevalence of sarcopenia was particularly high among those with severe food insecurity in the overall sample as well as those stratified by sex (</w:t>
      </w:r>
      <w:r w:rsidRPr="009E1865">
        <w:rPr>
          <w:b/>
          <w:bCs/>
          <w:color w:val="000000" w:themeColor="text1"/>
        </w:rPr>
        <w:t>Figure 1</w:t>
      </w:r>
      <w:r w:rsidRPr="009E1865">
        <w:rPr>
          <w:color w:val="000000" w:themeColor="text1"/>
        </w:rPr>
        <w:t xml:space="preserve">). For example, in the overall sample, the prevalence of sarcopenia among those with no food insecurity was 13.0% but this increased to 24.4% among those with severe food insecurity. The association between food insecurity and sarcopenia estimated by multivariable logistic regression is shown in </w:t>
      </w:r>
      <w:r w:rsidRPr="009E1865">
        <w:rPr>
          <w:b/>
          <w:bCs/>
          <w:color w:val="000000" w:themeColor="text1"/>
        </w:rPr>
        <w:t>Table 2</w:t>
      </w:r>
      <w:r w:rsidRPr="009E1865">
        <w:rPr>
          <w:color w:val="000000" w:themeColor="text1"/>
        </w:rPr>
        <w:t xml:space="preserve">. In the fully adjusted model (Model 4), compared to no food insecurity, severe food insecurity was associated with 2.05 (95%CI=1.12-3.73) times higher odds for sarcopenia. The sequential inclusion of different variables in the model had almost no influence in the association between food insecurity and sarcopenia (Model 1 to 4). Interaction analysis showed that there is no effect modification in the association between food insecurity and sarcopenia by sex (data not shown). </w:t>
      </w:r>
    </w:p>
    <w:p w14:paraId="35402404" w14:textId="77777777" w:rsidR="007D3FBA" w:rsidRPr="009E1865" w:rsidRDefault="00F0476A" w:rsidP="00F0476A">
      <w:pPr>
        <w:pStyle w:val="MDPI41tablecaption"/>
        <w:ind w:left="425" w:right="425"/>
        <w:jc w:val="center"/>
        <w:rPr>
          <w:color w:val="000000" w:themeColor="text1"/>
        </w:rPr>
      </w:pPr>
      <w:r w:rsidRPr="009E1865">
        <w:rPr>
          <w:b/>
          <w:color w:val="000000" w:themeColor="text1"/>
        </w:rPr>
        <w:t xml:space="preserve">Table 1. </w:t>
      </w:r>
      <w:r w:rsidRPr="009E1865">
        <w:rPr>
          <w:color w:val="000000" w:themeColor="text1"/>
        </w:rPr>
        <w:t>Sample characteristics (overall and by food insecurity).</w:t>
      </w:r>
    </w:p>
    <w:tbl>
      <w:tblPr>
        <w:tblW w:w="10465" w:type="dxa"/>
        <w:jc w:val="center"/>
        <w:tblLayout w:type="fixed"/>
        <w:tblCellMar>
          <w:left w:w="0" w:type="dxa"/>
          <w:right w:w="0" w:type="dxa"/>
        </w:tblCellMar>
        <w:tblLook w:val="04A0" w:firstRow="1" w:lastRow="0" w:firstColumn="1" w:lastColumn="0" w:noHBand="0" w:noVBand="1"/>
      </w:tblPr>
      <w:tblGrid>
        <w:gridCol w:w="1497"/>
        <w:gridCol w:w="1495"/>
        <w:gridCol w:w="1495"/>
        <w:gridCol w:w="1494"/>
        <w:gridCol w:w="1494"/>
        <w:gridCol w:w="1496"/>
        <w:gridCol w:w="1494"/>
      </w:tblGrid>
      <w:tr w:rsidR="007D3FBA" w:rsidRPr="009E1865" w14:paraId="6C91A5D0" w14:textId="77777777" w:rsidTr="00F0476A">
        <w:trPr>
          <w:jc w:val="center"/>
        </w:trPr>
        <w:tc>
          <w:tcPr>
            <w:tcW w:w="715" w:type="pct"/>
            <w:tcBorders>
              <w:top w:val="single" w:sz="8" w:space="0" w:color="auto"/>
              <w:left w:val="nil"/>
              <w:right w:val="nil"/>
            </w:tcBorders>
            <w:shd w:val="clear" w:color="auto" w:fill="auto"/>
            <w:noWrap/>
            <w:vAlign w:val="center"/>
            <w:hideMark/>
          </w:tcPr>
          <w:p w14:paraId="78B2759B" w14:textId="77777777" w:rsidR="007D3FBA" w:rsidRPr="009E1865" w:rsidRDefault="00F0476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 xml:space="preserve"> </w:t>
            </w:r>
          </w:p>
        </w:tc>
        <w:tc>
          <w:tcPr>
            <w:tcW w:w="714" w:type="pct"/>
            <w:tcBorders>
              <w:top w:val="single" w:sz="8" w:space="0" w:color="auto"/>
              <w:left w:val="nil"/>
              <w:right w:val="nil"/>
            </w:tcBorders>
            <w:shd w:val="clear" w:color="auto" w:fill="auto"/>
            <w:noWrap/>
            <w:vAlign w:val="center"/>
            <w:hideMark/>
          </w:tcPr>
          <w:p w14:paraId="7156B870" w14:textId="77777777" w:rsidR="007D3FBA" w:rsidRPr="009E1865" w:rsidRDefault="00F0476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 xml:space="preserve"> </w:t>
            </w:r>
          </w:p>
        </w:tc>
        <w:tc>
          <w:tcPr>
            <w:tcW w:w="714" w:type="pct"/>
            <w:tcBorders>
              <w:top w:val="single" w:sz="8" w:space="0" w:color="auto"/>
              <w:left w:val="nil"/>
              <w:right w:val="nil"/>
            </w:tcBorders>
            <w:shd w:val="clear" w:color="auto" w:fill="auto"/>
            <w:noWrap/>
            <w:vAlign w:val="center"/>
            <w:hideMark/>
          </w:tcPr>
          <w:p w14:paraId="26EE87B7" w14:textId="77777777" w:rsidR="007D3FBA" w:rsidRPr="009E1865" w:rsidRDefault="00F0476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 xml:space="preserve"> </w:t>
            </w:r>
          </w:p>
        </w:tc>
        <w:tc>
          <w:tcPr>
            <w:tcW w:w="2143" w:type="pct"/>
            <w:gridSpan w:val="3"/>
            <w:tcBorders>
              <w:top w:val="single" w:sz="8" w:space="0" w:color="auto"/>
              <w:left w:val="nil"/>
              <w:bottom w:val="single" w:sz="4" w:space="0" w:color="auto"/>
              <w:right w:val="nil"/>
            </w:tcBorders>
            <w:shd w:val="clear" w:color="auto" w:fill="auto"/>
            <w:noWrap/>
            <w:vAlign w:val="center"/>
            <w:hideMark/>
          </w:tcPr>
          <w:p w14:paraId="27D94808" w14:textId="77777777" w:rsidR="007D3FBA" w:rsidRPr="009E1865" w:rsidRDefault="007D3FB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Food insecurity</w:t>
            </w:r>
          </w:p>
        </w:tc>
        <w:tc>
          <w:tcPr>
            <w:tcW w:w="714" w:type="pct"/>
            <w:tcBorders>
              <w:top w:val="single" w:sz="8" w:space="0" w:color="auto"/>
              <w:left w:val="nil"/>
              <w:right w:val="nil"/>
            </w:tcBorders>
            <w:shd w:val="clear" w:color="auto" w:fill="auto"/>
            <w:noWrap/>
            <w:vAlign w:val="center"/>
            <w:hideMark/>
          </w:tcPr>
          <w:p w14:paraId="55AD187F" w14:textId="77777777" w:rsidR="007D3FBA" w:rsidRPr="009E1865" w:rsidRDefault="007D3FBA" w:rsidP="00F0476A">
            <w:pPr>
              <w:autoSpaceDE w:val="0"/>
              <w:autoSpaceDN w:val="0"/>
              <w:adjustRightInd w:val="0"/>
              <w:snapToGrid w:val="0"/>
              <w:spacing w:line="240" w:lineRule="auto"/>
              <w:jc w:val="center"/>
              <w:rPr>
                <w:b/>
                <w:noProof w:val="0"/>
                <w:color w:val="000000" w:themeColor="text1"/>
                <w:sz w:val="18"/>
              </w:rPr>
            </w:pPr>
          </w:p>
        </w:tc>
      </w:tr>
      <w:tr w:rsidR="007D3FBA" w:rsidRPr="009E1865" w14:paraId="66C75EB5" w14:textId="77777777" w:rsidTr="00F0476A">
        <w:trPr>
          <w:jc w:val="center"/>
        </w:trPr>
        <w:tc>
          <w:tcPr>
            <w:tcW w:w="715" w:type="pct"/>
            <w:tcBorders>
              <w:top w:val="nil"/>
              <w:left w:val="nil"/>
              <w:bottom w:val="single" w:sz="4" w:space="0" w:color="auto"/>
              <w:right w:val="nil"/>
            </w:tcBorders>
            <w:shd w:val="clear" w:color="auto" w:fill="auto"/>
            <w:noWrap/>
            <w:vAlign w:val="center"/>
            <w:hideMark/>
          </w:tcPr>
          <w:p w14:paraId="2A93090F" w14:textId="77777777" w:rsidR="007D3FBA" w:rsidRPr="009E1865" w:rsidRDefault="007D3FB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Characteristic</w:t>
            </w:r>
          </w:p>
        </w:tc>
        <w:tc>
          <w:tcPr>
            <w:tcW w:w="714" w:type="pct"/>
            <w:tcBorders>
              <w:top w:val="nil"/>
              <w:left w:val="nil"/>
              <w:bottom w:val="single" w:sz="4" w:space="0" w:color="auto"/>
              <w:right w:val="nil"/>
            </w:tcBorders>
            <w:shd w:val="clear" w:color="auto" w:fill="auto"/>
            <w:noWrap/>
            <w:vAlign w:val="center"/>
            <w:hideMark/>
          </w:tcPr>
          <w:p w14:paraId="65CF5EE3" w14:textId="77777777" w:rsidR="007D3FBA" w:rsidRPr="009E1865" w:rsidRDefault="00F0476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 xml:space="preserve"> </w:t>
            </w:r>
          </w:p>
        </w:tc>
        <w:tc>
          <w:tcPr>
            <w:tcW w:w="714" w:type="pct"/>
            <w:tcBorders>
              <w:top w:val="nil"/>
              <w:left w:val="nil"/>
              <w:bottom w:val="single" w:sz="4" w:space="0" w:color="auto"/>
              <w:right w:val="nil"/>
            </w:tcBorders>
            <w:shd w:val="clear" w:color="auto" w:fill="auto"/>
            <w:noWrap/>
            <w:vAlign w:val="center"/>
            <w:hideMark/>
          </w:tcPr>
          <w:p w14:paraId="5F780D85" w14:textId="77777777" w:rsidR="007D3FBA" w:rsidRPr="009E1865" w:rsidRDefault="007D3FB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Overall</w:t>
            </w:r>
          </w:p>
        </w:tc>
        <w:tc>
          <w:tcPr>
            <w:tcW w:w="714" w:type="pct"/>
            <w:tcBorders>
              <w:top w:val="single" w:sz="4" w:space="0" w:color="auto"/>
              <w:left w:val="nil"/>
              <w:bottom w:val="single" w:sz="4" w:space="0" w:color="auto"/>
              <w:right w:val="nil"/>
            </w:tcBorders>
            <w:shd w:val="clear" w:color="auto" w:fill="auto"/>
            <w:noWrap/>
            <w:vAlign w:val="center"/>
            <w:hideMark/>
          </w:tcPr>
          <w:p w14:paraId="1BAB861A" w14:textId="77777777" w:rsidR="007D3FBA" w:rsidRPr="009E1865" w:rsidRDefault="007D3FB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None</w:t>
            </w:r>
          </w:p>
        </w:tc>
        <w:tc>
          <w:tcPr>
            <w:tcW w:w="714" w:type="pct"/>
            <w:tcBorders>
              <w:top w:val="single" w:sz="4" w:space="0" w:color="auto"/>
              <w:left w:val="nil"/>
              <w:bottom w:val="single" w:sz="4" w:space="0" w:color="auto"/>
              <w:right w:val="nil"/>
            </w:tcBorders>
            <w:shd w:val="clear" w:color="auto" w:fill="auto"/>
            <w:noWrap/>
            <w:vAlign w:val="center"/>
            <w:hideMark/>
          </w:tcPr>
          <w:p w14:paraId="1E4464AC" w14:textId="77777777" w:rsidR="007D3FBA" w:rsidRPr="009E1865" w:rsidRDefault="007D3FB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Moderate</w:t>
            </w:r>
          </w:p>
        </w:tc>
        <w:tc>
          <w:tcPr>
            <w:tcW w:w="714" w:type="pct"/>
            <w:tcBorders>
              <w:top w:val="single" w:sz="4" w:space="0" w:color="auto"/>
              <w:left w:val="nil"/>
              <w:bottom w:val="single" w:sz="4" w:space="0" w:color="auto"/>
              <w:right w:val="nil"/>
            </w:tcBorders>
            <w:shd w:val="clear" w:color="auto" w:fill="auto"/>
            <w:noWrap/>
            <w:vAlign w:val="center"/>
            <w:hideMark/>
          </w:tcPr>
          <w:p w14:paraId="40D6CA10" w14:textId="77777777" w:rsidR="007D3FBA" w:rsidRPr="009E1865" w:rsidRDefault="007D3FB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Severe</w:t>
            </w:r>
          </w:p>
        </w:tc>
        <w:tc>
          <w:tcPr>
            <w:tcW w:w="714" w:type="pct"/>
            <w:tcBorders>
              <w:top w:val="nil"/>
              <w:left w:val="nil"/>
              <w:bottom w:val="single" w:sz="4" w:space="0" w:color="auto"/>
              <w:right w:val="nil"/>
            </w:tcBorders>
            <w:shd w:val="clear" w:color="auto" w:fill="auto"/>
            <w:noWrap/>
            <w:vAlign w:val="center"/>
            <w:hideMark/>
          </w:tcPr>
          <w:p w14:paraId="0B12AEC4" w14:textId="77777777" w:rsidR="007D3FBA" w:rsidRPr="009E1865" w:rsidRDefault="007D3FB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P-</w:t>
            </w:r>
            <w:proofErr w:type="spellStart"/>
            <w:r w:rsidRPr="009E1865">
              <w:rPr>
                <w:b/>
                <w:noProof w:val="0"/>
                <w:color w:val="000000" w:themeColor="text1"/>
                <w:sz w:val="18"/>
              </w:rPr>
              <w:t>value</w:t>
            </w:r>
            <w:r w:rsidRPr="009E1865">
              <w:rPr>
                <w:b/>
                <w:noProof w:val="0"/>
                <w:color w:val="000000" w:themeColor="text1"/>
                <w:sz w:val="18"/>
                <w:vertAlign w:val="superscript"/>
              </w:rPr>
              <w:t>a</w:t>
            </w:r>
            <w:proofErr w:type="spellEnd"/>
          </w:p>
        </w:tc>
      </w:tr>
      <w:tr w:rsidR="007D3FBA" w:rsidRPr="009E1865" w14:paraId="1521E128" w14:textId="77777777" w:rsidTr="00F0476A">
        <w:trPr>
          <w:jc w:val="center"/>
        </w:trPr>
        <w:tc>
          <w:tcPr>
            <w:tcW w:w="715" w:type="pct"/>
            <w:tcBorders>
              <w:top w:val="single" w:sz="4" w:space="0" w:color="auto"/>
              <w:left w:val="nil"/>
              <w:bottom w:val="nil"/>
              <w:right w:val="nil"/>
            </w:tcBorders>
            <w:shd w:val="clear" w:color="auto" w:fill="auto"/>
            <w:noWrap/>
            <w:vAlign w:val="center"/>
            <w:hideMark/>
          </w:tcPr>
          <w:p w14:paraId="098926D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Sex</w:t>
            </w:r>
          </w:p>
        </w:tc>
        <w:tc>
          <w:tcPr>
            <w:tcW w:w="714" w:type="pct"/>
            <w:tcBorders>
              <w:top w:val="single" w:sz="4" w:space="0" w:color="auto"/>
              <w:left w:val="nil"/>
              <w:bottom w:val="nil"/>
              <w:right w:val="nil"/>
            </w:tcBorders>
            <w:shd w:val="clear" w:color="auto" w:fill="auto"/>
            <w:noWrap/>
            <w:vAlign w:val="center"/>
            <w:hideMark/>
          </w:tcPr>
          <w:p w14:paraId="6DA4AF58"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Male</w:t>
            </w:r>
          </w:p>
        </w:tc>
        <w:tc>
          <w:tcPr>
            <w:tcW w:w="714" w:type="pct"/>
            <w:tcBorders>
              <w:top w:val="single" w:sz="4" w:space="0" w:color="auto"/>
              <w:left w:val="nil"/>
              <w:bottom w:val="nil"/>
              <w:right w:val="nil"/>
            </w:tcBorders>
            <w:shd w:val="clear" w:color="auto" w:fill="auto"/>
            <w:noWrap/>
            <w:vAlign w:val="center"/>
            <w:hideMark/>
          </w:tcPr>
          <w:p w14:paraId="61E7B29C"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45.0</w:t>
            </w:r>
          </w:p>
        </w:tc>
        <w:tc>
          <w:tcPr>
            <w:tcW w:w="714" w:type="pct"/>
            <w:tcBorders>
              <w:top w:val="single" w:sz="4" w:space="0" w:color="auto"/>
              <w:left w:val="nil"/>
              <w:bottom w:val="nil"/>
              <w:right w:val="nil"/>
            </w:tcBorders>
            <w:shd w:val="clear" w:color="auto" w:fill="auto"/>
            <w:noWrap/>
            <w:vAlign w:val="center"/>
            <w:hideMark/>
          </w:tcPr>
          <w:p w14:paraId="10BBFD6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46.1</w:t>
            </w:r>
          </w:p>
        </w:tc>
        <w:tc>
          <w:tcPr>
            <w:tcW w:w="714" w:type="pct"/>
            <w:tcBorders>
              <w:top w:val="single" w:sz="4" w:space="0" w:color="auto"/>
              <w:left w:val="nil"/>
              <w:bottom w:val="nil"/>
              <w:right w:val="nil"/>
            </w:tcBorders>
            <w:shd w:val="clear" w:color="auto" w:fill="auto"/>
            <w:noWrap/>
            <w:vAlign w:val="center"/>
            <w:hideMark/>
          </w:tcPr>
          <w:p w14:paraId="16F49C5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37.7</w:t>
            </w:r>
          </w:p>
        </w:tc>
        <w:tc>
          <w:tcPr>
            <w:tcW w:w="714" w:type="pct"/>
            <w:tcBorders>
              <w:top w:val="single" w:sz="4" w:space="0" w:color="auto"/>
              <w:left w:val="nil"/>
              <w:bottom w:val="nil"/>
              <w:right w:val="nil"/>
            </w:tcBorders>
            <w:shd w:val="clear" w:color="auto" w:fill="auto"/>
            <w:noWrap/>
            <w:vAlign w:val="center"/>
            <w:hideMark/>
          </w:tcPr>
          <w:p w14:paraId="411E026E"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37.8</w:t>
            </w:r>
          </w:p>
        </w:tc>
        <w:tc>
          <w:tcPr>
            <w:tcW w:w="714" w:type="pct"/>
            <w:tcBorders>
              <w:top w:val="single" w:sz="4" w:space="0" w:color="auto"/>
              <w:left w:val="nil"/>
              <w:bottom w:val="nil"/>
              <w:right w:val="nil"/>
            </w:tcBorders>
            <w:shd w:val="clear" w:color="auto" w:fill="auto"/>
            <w:noWrap/>
            <w:vAlign w:val="center"/>
            <w:hideMark/>
          </w:tcPr>
          <w:p w14:paraId="37500D7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0.009</w:t>
            </w:r>
          </w:p>
        </w:tc>
      </w:tr>
      <w:tr w:rsidR="007D3FBA" w:rsidRPr="009E1865" w14:paraId="0E89010A" w14:textId="77777777" w:rsidTr="00F0476A">
        <w:trPr>
          <w:jc w:val="center"/>
        </w:trPr>
        <w:tc>
          <w:tcPr>
            <w:tcW w:w="715" w:type="pct"/>
            <w:tcBorders>
              <w:top w:val="nil"/>
              <w:left w:val="nil"/>
              <w:bottom w:val="nil"/>
              <w:right w:val="nil"/>
            </w:tcBorders>
            <w:shd w:val="clear" w:color="auto" w:fill="auto"/>
            <w:noWrap/>
            <w:vAlign w:val="center"/>
            <w:hideMark/>
          </w:tcPr>
          <w:p w14:paraId="4FC77B38"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32CEFC5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Female</w:t>
            </w:r>
          </w:p>
        </w:tc>
        <w:tc>
          <w:tcPr>
            <w:tcW w:w="714" w:type="pct"/>
            <w:tcBorders>
              <w:top w:val="nil"/>
              <w:left w:val="nil"/>
              <w:bottom w:val="nil"/>
              <w:right w:val="nil"/>
            </w:tcBorders>
            <w:shd w:val="clear" w:color="auto" w:fill="auto"/>
            <w:noWrap/>
            <w:vAlign w:val="center"/>
            <w:hideMark/>
          </w:tcPr>
          <w:p w14:paraId="49B29B9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55.0</w:t>
            </w:r>
          </w:p>
        </w:tc>
        <w:tc>
          <w:tcPr>
            <w:tcW w:w="714" w:type="pct"/>
            <w:tcBorders>
              <w:top w:val="nil"/>
              <w:left w:val="nil"/>
              <w:bottom w:val="nil"/>
              <w:right w:val="nil"/>
            </w:tcBorders>
            <w:shd w:val="clear" w:color="auto" w:fill="auto"/>
            <w:noWrap/>
            <w:vAlign w:val="center"/>
            <w:hideMark/>
          </w:tcPr>
          <w:p w14:paraId="640907B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53.9</w:t>
            </w:r>
          </w:p>
        </w:tc>
        <w:tc>
          <w:tcPr>
            <w:tcW w:w="714" w:type="pct"/>
            <w:tcBorders>
              <w:top w:val="nil"/>
              <w:left w:val="nil"/>
              <w:bottom w:val="nil"/>
              <w:right w:val="nil"/>
            </w:tcBorders>
            <w:shd w:val="clear" w:color="auto" w:fill="auto"/>
            <w:noWrap/>
            <w:vAlign w:val="center"/>
            <w:hideMark/>
          </w:tcPr>
          <w:p w14:paraId="4978DE7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62.3</w:t>
            </w:r>
          </w:p>
        </w:tc>
        <w:tc>
          <w:tcPr>
            <w:tcW w:w="714" w:type="pct"/>
            <w:tcBorders>
              <w:top w:val="nil"/>
              <w:left w:val="nil"/>
              <w:bottom w:val="nil"/>
              <w:right w:val="nil"/>
            </w:tcBorders>
            <w:shd w:val="clear" w:color="auto" w:fill="auto"/>
            <w:noWrap/>
            <w:vAlign w:val="center"/>
            <w:hideMark/>
          </w:tcPr>
          <w:p w14:paraId="3CFBCB9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62.2</w:t>
            </w:r>
          </w:p>
        </w:tc>
        <w:tc>
          <w:tcPr>
            <w:tcW w:w="714" w:type="pct"/>
            <w:tcBorders>
              <w:top w:val="nil"/>
              <w:left w:val="nil"/>
              <w:bottom w:val="nil"/>
              <w:right w:val="nil"/>
            </w:tcBorders>
            <w:shd w:val="clear" w:color="auto" w:fill="auto"/>
            <w:noWrap/>
            <w:vAlign w:val="center"/>
            <w:hideMark/>
          </w:tcPr>
          <w:p w14:paraId="22BED89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6E0620B7" w14:textId="77777777" w:rsidTr="00F0476A">
        <w:trPr>
          <w:jc w:val="center"/>
        </w:trPr>
        <w:tc>
          <w:tcPr>
            <w:tcW w:w="715" w:type="pct"/>
            <w:tcBorders>
              <w:top w:val="nil"/>
              <w:left w:val="nil"/>
              <w:bottom w:val="nil"/>
              <w:right w:val="nil"/>
            </w:tcBorders>
            <w:shd w:val="clear" w:color="auto" w:fill="auto"/>
            <w:noWrap/>
            <w:vAlign w:val="center"/>
            <w:hideMark/>
          </w:tcPr>
          <w:p w14:paraId="38F995B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Age (years)</w:t>
            </w:r>
          </w:p>
        </w:tc>
        <w:tc>
          <w:tcPr>
            <w:tcW w:w="714" w:type="pct"/>
            <w:tcBorders>
              <w:top w:val="nil"/>
              <w:left w:val="nil"/>
              <w:bottom w:val="nil"/>
              <w:right w:val="nil"/>
            </w:tcBorders>
            <w:shd w:val="clear" w:color="auto" w:fill="auto"/>
            <w:noWrap/>
            <w:vAlign w:val="center"/>
            <w:hideMark/>
          </w:tcPr>
          <w:p w14:paraId="59F1EA25"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Mean (SD)</w:t>
            </w:r>
          </w:p>
        </w:tc>
        <w:tc>
          <w:tcPr>
            <w:tcW w:w="714" w:type="pct"/>
            <w:tcBorders>
              <w:top w:val="nil"/>
              <w:left w:val="nil"/>
              <w:bottom w:val="nil"/>
              <w:right w:val="nil"/>
            </w:tcBorders>
            <w:shd w:val="clear" w:color="auto" w:fill="auto"/>
            <w:noWrap/>
            <w:vAlign w:val="center"/>
          </w:tcPr>
          <w:p w14:paraId="30B064A9"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72.6 (11.5)</w:t>
            </w:r>
          </w:p>
        </w:tc>
        <w:tc>
          <w:tcPr>
            <w:tcW w:w="714" w:type="pct"/>
            <w:tcBorders>
              <w:top w:val="nil"/>
              <w:left w:val="nil"/>
              <w:bottom w:val="nil"/>
              <w:right w:val="nil"/>
            </w:tcBorders>
            <w:shd w:val="clear" w:color="auto" w:fill="auto"/>
            <w:noWrap/>
            <w:vAlign w:val="center"/>
          </w:tcPr>
          <w:p w14:paraId="7A126B5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72.5 (11.0)</w:t>
            </w:r>
          </w:p>
        </w:tc>
        <w:tc>
          <w:tcPr>
            <w:tcW w:w="714" w:type="pct"/>
            <w:tcBorders>
              <w:top w:val="nil"/>
              <w:left w:val="nil"/>
              <w:bottom w:val="nil"/>
              <w:right w:val="nil"/>
            </w:tcBorders>
            <w:shd w:val="clear" w:color="auto" w:fill="auto"/>
            <w:noWrap/>
            <w:vAlign w:val="center"/>
          </w:tcPr>
          <w:p w14:paraId="2FAD523C"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71.9 (12.6)</w:t>
            </w:r>
          </w:p>
        </w:tc>
        <w:tc>
          <w:tcPr>
            <w:tcW w:w="714" w:type="pct"/>
            <w:tcBorders>
              <w:top w:val="nil"/>
              <w:left w:val="nil"/>
              <w:bottom w:val="nil"/>
              <w:right w:val="nil"/>
            </w:tcBorders>
            <w:shd w:val="clear" w:color="auto" w:fill="auto"/>
            <w:noWrap/>
            <w:vAlign w:val="center"/>
            <w:hideMark/>
          </w:tcPr>
          <w:p w14:paraId="2738891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72.5 (14.9)</w:t>
            </w:r>
          </w:p>
        </w:tc>
        <w:tc>
          <w:tcPr>
            <w:tcW w:w="714" w:type="pct"/>
            <w:tcBorders>
              <w:top w:val="nil"/>
              <w:left w:val="nil"/>
              <w:bottom w:val="nil"/>
              <w:right w:val="nil"/>
            </w:tcBorders>
            <w:shd w:val="clear" w:color="auto" w:fill="auto"/>
            <w:noWrap/>
            <w:vAlign w:val="center"/>
            <w:hideMark/>
          </w:tcPr>
          <w:p w14:paraId="3EEEE64E"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0.177</w:t>
            </w:r>
          </w:p>
        </w:tc>
      </w:tr>
      <w:tr w:rsidR="007D3FBA" w:rsidRPr="009E1865" w14:paraId="40AF8896" w14:textId="77777777" w:rsidTr="00F0476A">
        <w:trPr>
          <w:jc w:val="center"/>
        </w:trPr>
        <w:tc>
          <w:tcPr>
            <w:tcW w:w="715" w:type="pct"/>
            <w:tcBorders>
              <w:top w:val="nil"/>
              <w:left w:val="nil"/>
              <w:bottom w:val="nil"/>
              <w:right w:val="nil"/>
            </w:tcBorders>
            <w:shd w:val="clear" w:color="auto" w:fill="auto"/>
            <w:noWrap/>
            <w:vAlign w:val="center"/>
            <w:hideMark/>
          </w:tcPr>
          <w:p w14:paraId="7C21F946"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Wealth</w:t>
            </w:r>
          </w:p>
        </w:tc>
        <w:tc>
          <w:tcPr>
            <w:tcW w:w="714" w:type="pct"/>
            <w:tcBorders>
              <w:top w:val="nil"/>
              <w:left w:val="nil"/>
              <w:bottom w:val="nil"/>
              <w:right w:val="nil"/>
            </w:tcBorders>
            <w:shd w:val="clear" w:color="auto" w:fill="auto"/>
            <w:noWrap/>
            <w:vAlign w:val="center"/>
            <w:hideMark/>
          </w:tcPr>
          <w:p w14:paraId="3E64E8BE"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Poorest</w:t>
            </w:r>
          </w:p>
        </w:tc>
        <w:tc>
          <w:tcPr>
            <w:tcW w:w="714" w:type="pct"/>
            <w:tcBorders>
              <w:top w:val="nil"/>
              <w:left w:val="nil"/>
              <w:bottom w:val="nil"/>
              <w:right w:val="nil"/>
            </w:tcBorders>
            <w:shd w:val="clear" w:color="auto" w:fill="auto"/>
            <w:noWrap/>
            <w:vAlign w:val="center"/>
            <w:hideMark/>
          </w:tcPr>
          <w:p w14:paraId="404193A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21.7</w:t>
            </w:r>
          </w:p>
        </w:tc>
        <w:tc>
          <w:tcPr>
            <w:tcW w:w="714" w:type="pct"/>
            <w:tcBorders>
              <w:top w:val="nil"/>
              <w:left w:val="nil"/>
              <w:bottom w:val="nil"/>
              <w:right w:val="nil"/>
            </w:tcBorders>
            <w:shd w:val="clear" w:color="auto" w:fill="auto"/>
            <w:noWrap/>
            <w:vAlign w:val="center"/>
            <w:hideMark/>
          </w:tcPr>
          <w:p w14:paraId="2ECAEE6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19.5</w:t>
            </w:r>
          </w:p>
        </w:tc>
        <w:tc>
          <w:tcPr>
            <w:tcW w:w="714" w:type="pct"/>
            <w:tcBorders>
              <w:top w:val="nil"/>
              <w:left w:val="nil"/>
              <w:bottom w:val="nil"/>
              <w:right w:val="nil"/>
            </w:tcBorders>
            <w:shd w:val="clear" w:color="auto" w:fill="auto"/>
            <w:noWrap/>
            <w:vAlign w:val="center"/>
            <w:hideMark/>
          </w:tcPr>
          <w:p w14:paraId="3A2797E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35.3</w:t>
            </w:r>
          </w:p>
        </w:tc>
        <w:tc>
          <w:tcPr>
            <w:tcW w:w="714" w:type="pct"/>
            <w:tcBorders>
              <w:top w:val="nil"/>
              <w:left w:val="nil"/>
              <w:bottom w:val="nil"/>
              <w:right w:val="nil"/>
            </w:tcBorders>
            <w:shd w:val="clear" w:color="auto" w:fill="auto"/>
            <w:noWrap/>
            <w:vAlign w:val="center"/>
            <w:hideMark/>
          </w:tcPr>
          <w:p w14:paraId="1BFAD67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41.6</w:t>
            </w:r>
          </w:p>
        </w:tc>
        <w:tc>
          <w:tcPr>
            <w:tcW w:w="714" w:type="pct"/>
            <w:tcBorders>
              <w:top w:val="nil"/>
              <w:left w:val="nil"/>
              <w:bottom w:val="nil"/>
              <w:right w:val="nil"/>
            </w:tcBorders>
            <w:shd w:val="clear" w:color="auto" w:fill="auto"/>
            <w:noWrap/>
            <w:vAlign w:val="center"/>
            <w:hideMark/>
          </w:tcPr>
          <w:p w14:paraId="0101E4B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&lt;0.001</w:t>
            </w:r>
          </w:p>
        </w:tc>
      </w:tr>
      <w:tr w:rsidR="007D3FBA" w:rsidRPr="009E1865" w14:paraId="19A840C9" w14:textId="77777777" w:rsidTr="00F0476A">
        <w:trPr>
          <w:jc w:val="center"/>
        </w:trPr>
        <w:tc>
          <w:tcPr>
            <w:tcW w:w="715" w:type="pct"/>
            <w:tcBorders>
              <w:top w:val="nil"/>
              <w:left w:val="nil"/>
              <w:bottom w:val="nil"/>
              <w:right w:val="nil"/>
            </w:tcBorders>
            <w:shd w:val="clear" w:color="auto" w:fill="auto"/>
            <w:noWrap/>
            <w:vAlign w:val="center"/>
            <w:hideMark/>
          </w:tcPr>
          <w:p w14:paraId="2917A901"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0BBB476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Poorer</w:t>
            </w:r>
          </w:p>
        </w:tc>
        <w:tc>
          <w:tcPr>
            <w:tcW w:w="714" w:type="pct"/>
            <w:tcBorders>
              <w:top w:val="nil"/>
              <w:left w:val="nil"/>
              <w:bottom w:val="nil"/>
              <w:right w:val="nil"/>
            </w:tcBorders>
            <w:shd w:val="clear" w:color="auto" w:fill="auto"/>
            <w:noWrap/>
            <w:vAlign w:val="center"/>
            <w:hideMark/>
          </w:tcPr>
          <w:p w14:paraId="2AAE4109"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21.0</w:t>
            </w:r>
          </w:p>
        </w:tc>
        <w:tc>
          <w:tcPr>
            <w:tcW w:w="714" w:type="pct"/>
            <w:tcBorders>
              <w:top w:val="nil"/>
              <w:left w:val="nil"/>
              <w:bottom w:val="nil"/>
              <w:right w:val="nil"/>
            </w:tcBorders>
            <w:shd w:val="clear" w:color="auto" w:fill="auto"/>
            <w:noWrap/>
            <w:vAlign w:val="center"/>
            <w:hideMark/>
          </w:tcPr>
          <w:p w14:paraId="7A01C637"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20.0</w:t>
            </w:r>
          </w:p>
        </w:tc>
        <w:tc>
          <w:tcPr>
            <w:tcW w:w="714" w:type="pct"/>
            <w:tcBorders>
              <w:top w:val="nil"/>
              <w:left w:val="nil"/>
              <w:bottom w:val="nil"/>
              <w:right w:val="nil"/>
            </w:tcBorders>
            <w:shd w:val="clear" w:color="auto" w:fill="auto"/>
            <w:noWrap/>
            <w:vAlign w:val="center"/>
            <w:hideMark/>
          </w:tcPr>
          <w:p w14:paraId="311E24E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29.3</w:t>
            </w:r>
          </w:p>
        </w:tc>
        <w:tc>
          <w:tcPr>
            <w:tcW w:w="714" w:type="pct"/>
            <w:tcBorders>
              <w:top w:val="nil"/>
              <w:left w:val="nil"/>
              <w:bottom w:val="nil"/>
              <w:right w:val="nil"/>
            </w:tcBorders>
            <w:shd w:val="clear" w:color="auto" w:fill="auto"/>
            <w:noWrap/>
            <w:vAlign w:val="center"/>
            <w:hideMark/>
          </w:tcPr>
          <w:p w14:paraId="6C7B057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26.9</w:t>
            </w:r>
          </w:p>
        </w:tc>
        <w:tc>
          <w:tcPr>
            <w:tcW w:w="714" w:type="pct"/>
            <w:tcBorders>
              <w:top w:val="nil"/>
              <w:left w:val="nil"/>
              <w:bottom w:val="nil"/>
              <w:right w:val="nil"/>
            </w:tcBorders>
            <w:shd w:val="clear" w:color="auto" w:fill="auto"/>
            <w:noWrap/>
            <w:vAlign w:val="center"/>
            <w:hideMark/>
          </w:tcPr>
          <w:p w14:paraId="468C912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353630FA" w14:textId="77777777" w:rsidTr="00F0476A">
        <w:trPr>
          <w:jc w:val="center"/>
        </w:trPr>
        <w:tc>
          <w:tcPr>
            <w:tcW w:w="715" w:type="pct"/>
            <w:tcBorders>
              <w:top w:val="nil"/>
              <w:left w:val="nil"/>
              <w:bottom w:val="nil"/>
              <w:right w:val="nil"/>
            </w:tcBorders>
            <w:shd w:val="clear" w:color="auto" w:fill="auto"/>
            <w:noWrap/>
            <w:vAlign w:val="center"/>
            <w:hideMark/>
          </w:tcPr>
          <w:p w14:paraId="66CA0F6C"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70BE891C"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Middle</w:t>
            </w:r>
          </w:p>
        </w:tc>
        <w:tc>
          <w:tcPr>
            <w:tcW w:w="714" w:type="pct"/>
            <w:tcBorders>
              <w:top w:val="nil"/>
              <w:left w:val="nil"/>
              <w:bottom w:val="nil"/>
              <w:right w:val="nil"/>
            </w:tcBorders>
            <w:shd w:val="clear" w:color="auto" w:fill="auto"/>
            <w:noWrap/>
            <w:vAlign w:val="center"/>
            <w:hideMark/>
          </w:tcPr>
          <w:p w14:paraId="589EE01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20.4</w:t>
            </w:r>
          </w:p>
        </w:tc>
        <w:tc>
          <w:tcPr>
            <w:tcW w:w="714" w:type="pct"/>
            <w:tcBorders>
              <w:top w:val="nil"/>
              <w:left w:val="nil"/>
              <w:bottom w:val="nil"/>
              <w:right w:val="nil"/>
            </w:tcBorders>
            <w:shd w:val="clear" w:color="auto" w:fill="auto"/>
            <w:noWrap/>
            <w:vAlign w:val="center"/>
            <w:hideMark/>
          </w:tcPr>
          <w:p w14:paraId="6206F7C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20.4</w:t>
            </w:r>
          </w:p>
        </w:tc>
        <w:tc>
          <w:tcPr>
            <w:tcW w:w="714" w:type="pct"/>
            <w:tcBorders>
              <w:top w:val="nil"/>
              <w:left w:val="nil"/>
              <w:bottom w:val="nil"/>
              <w:right w:val="nil"/>
            </w:tcBorders>
            <w:shd w:val="clear" w:color="auto" w:fill="auto"/>
            <w:noWrap/>
            <w:vAlign w:val="center"/>
            <w:hideMark/>
          </w:tcPr>
          <w:p w14:paraId="405C0341"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22.3</w:t>
            </w:r>
          </w:p>
        </w:tc>
        <w:tc>
          <w:tcPr>
            <w:tcW w:w="714" w:type="pct"/>
            <w:tcBorders>
              <w:top w:val="nil"/>
              <w:left w:val="nil"/>
              <w:bottom w:val="nil"/>
              <w:right w:val="nil"/>
            </w:tcBorders>
            <w:shd w:val="clear" w:color="auto" w:fill="auto"/>
            <w:noWrap/>
            <w:vAlign w:val="center"/>
            <w:hideMark/>
          </w:tcPr>
          <w:p w14:paraId="24F5A16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18.6</w:t>
            </w:r>
          </w:p>
        </w:tc>
        <w:tc>
          <w:tcPr>
            <w:tcW w:w="714" w:type="pct"/>
            <w:tcBorders>
              <w:top w:val="nil"/>
              <w:left w:val="nil"/>
              <w:bottom w:val="nil"/>
              <w:right w:val="nil"/>
            </w:tcBorders>
            <w:shd w:val="clear" w:color="auto" w:fill="auto"/>
            <w:noWrap/>
            <w:vAlign w:val="center"/>
            <w:hideMark/>
          </w:tcPr>
          <w:p w14:paraId="7E3E405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71D5A814" w14:textId="77777777" w:rsidTr="00F0476A">
        <w:trPr>
          <w:jc w:val="center"/>
        </w:trPr>
        <w:tc>
          <w:tcPr>
            <w:tcW w:w="715" w:type="pct"/>
            <w:tcBorders>
              <w:top w:val="nil"/>
              <w:left w:val="nil"/>
              <w:bottom w:val="nil"/>
              <w:right w:val="nil"/>
            </w:tcBorders>
            <w:shd w:val="clear" w:color="auto" w:fill="auto"/>
            <w:noWrap/>
            <w:vAlign w:val="center"/>
            <w:hideMark/>
          </w:tcPr>
          <w:p w14:paraId="7B01C0A8"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0D48E51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Richer</w:t>
            </w:r>
          </w:p>
        </w:tc>
        <w:tc>
          <w:tcPr>
            <w:tcW w:w="714" w:type="pct"/>
            <w:tcBorders>
              <w:top w:val="nil"/>
              <w:left w:val="nil"/>
              <w:bottom w:val="nil"/>
              <w:right w:val="nil"/>
            </w:tcBorders>
            <w:shd w:val="clear" w:color="auto" w:fill="auto"/>
            <w:noWrap/>
            <w:vAlign w:val="center"/>
            <w:hideMark/>
          </w:tcPr>
          <w:p w14:paraId="408896B7"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17.5</w:t>
            </w:r>
          </w:p>
        </w:tc>
        <w:tc>
          <w:tcPr>
            <w:tcW w:w="714" w:type="pct"/>
            <w:tcBorders>
              <w:top w:val="nil"/>
              <w:left w:val="nil"/>
              <w:bottom w:val="nil"/>
              <w:right w:val="nil"/>
            </w:tcBorders>
            <w:shd w:val="clear" w:color="auto" w:fill="auto"/>
            <w:noWrap/>
            <w:vAlign w:val="center"/>
            <w:hideMark/>
          </w:tcPr>
          <w:p w14:paraId="530AC6A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18.8</w:t>
            </w:r>
          </w:p>
        </w:tc>
        <w:tc>
          <w:tcPr>
            <w:tcW w:w="714" w:type="pct"/>
            <w:tcBorders>
              <w:top w:val="nil"/>
              <w:left w:val="nil"/>
              <w:bottom w:val="nil"/>
              <w:right w:val="nil"/>
            </w:tcBorders>
            <w:shd w:val="clear" w:color="auto" w:fill="auto"/>
            <w:noWrap/>
            <w:vAlign w:val="center"/>
            <w:hideMark/>
          </w:tcPr>
          <w:p w14:paraId="5F736B73"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8.0</w:t>
            </w:r>
          </w:p>
        </w:tc>
        <w:tc>
          <w:tcPr>
            <w:tcW w:w="714" w:type="pct"/>
            <w:tcBorders>
              <w:top w:val="nil"/>
              <w:left w:val="nil"/>
              <w:bottom w:val="nil"/>
              <w:right w:val="nil"/>
            </w:tcBorders>
            <w:shd w:val="clear" w:color="auto" w:fill="auto"/>
            <w:noWrap/>
            <w:vAlign w:val="center"/>
            <w:hideMark/>
          </w:tcPr>
          <w:p w14:paraId="69EE0DD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7.6</w:t>
            </w:r>
          </w:p>
        </w:tc>
        <w:tc>
          <w:tcPr>
            <w:tcW w:w="714" w:type="pct"/>
            <w:tcBorders>
              <w:top w:val="nil"/>
              <w:left w:val="nil"/>
              <w:bottom w:val="nil"/>
              <w:right w:val="nil"/>
            </w:tcBorders>
            <w:shd w:val="clear" w:color="auto" w:fill="auto"/>
            <w:noWrap/>
            <w:vAlign w:val="center"/>
            <w:hideMark/>
          </w:tcPr>
          <w:p w14:paraId="6C96D77C"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0A0DBE96" w14:textId="77777777" w:rsidTr="00F0476A">
        <w:trPr>
          <w:jc w:val="center"/>
        </w:trPr>
        <w:tc>
          <w:tcPr>
            <w:tcW w:w="715" w:type="pct"/>
            <w:tcBorders>
              <w:top w:val="nil"/>
              <w:left w:val="nil"/>
              <w:bottom w:val="nil"/>
              <w:right w:val="nil"/>
            </w:tcBorders>
            <w:shd w:val="clear" w:color="auto" w:fill="auto"/>
            <w:noWrap/>
            <w:vAlign w:val="center"/>
            <w:hideMark/>
          </w:tcPr>
          <w:p w14:paraId="2C9E072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4585D8DC"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Richest</w:t>
            </w:r>
          </w:p>
        </w:tc>
        <w:tc>
          <w:tcPr>
            <w:tcW w:w="714" w:type="pct"/>
            <w:tcBorders>
              <w:top w:val="nil"/>
              <w:left w:val="nil"/>
              <w:bottom w:val="nil"/>
              <w:right w:val="nil"/>
            </w:tcBorders>
            <w:shd w:val="clear" w:color="auto" w:fill="auto"/>
            <w:noWrap/>
            <w:vAlign w:val="center"/>
            <w:hideMark/>
          </w:tcPr>
          <w:p w14:paraId="3ADD3A67"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19.4</w:t>
            </w:r>
          </w:p>
        </w:tc>
        <w:tc>
          <w:tcPr>
            <w:tcW w:w="714" w:type="pct"/>
            <w:tcBorders>
              <w:top w:val="nil"/>
              <w:left w:val="nil"/>
              <w:bottom w:val="nil"/>
              <w:right w:val="nil"/>
            </w:tcBorders>
            <w:shd w:val="clear" w:color="auto" w:fill="auto"/>
            <w:noWrap/>
            <w:vAlign w:val="center"/>
            <w:hideMark/>
          </w:tcPr>
          <w:p w14:paraId="54164A06"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21.4</w:t>
            </w:r>
          </w:p>
        </w:tc>
        <w:tc>
          <w:tcPr>
            <w:tcW w:w="714" w:type="pct"/>
            <w:tcBorders>
              <w:top w:val="nil"/>
              <w:left w:val="nil"/>
              <w:bottom w:val="nil"/>
              <w:right w:val="nil"/>
            </w:tcBorders>
            <w:shd w:val="clear" w:color="auto" w:fill="auto"/>
            <w:noWrap/>
            <w:vAlign w:val="center"/>
            <w:hideMark/>
          </w:tcPr>
          <w:p w14:paraId="7622A26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5.1</w:t>
            </w:r>
          </w:p>
        </w:tc>
        <w:tc>
          <w:tcPr>
            <w:tcW w:w="714" w:type="pct"/>
            <w:tcBorders>
              <w:top w:val="nil"/>
              <w:left w:val="nil"/>
              <w:bottom w:val="nil"/>
              <w:right w:val="nil"/>
            </w:tcBorders>
            <w:shd w:val="clear" w:color="auto" w:fill="auto"/>
            <w:noWrap/>
            <w:vAlign w:val="center"/>
            <w:hideMark/>
          </w:tcPr>
          <w:p w14:paraId="29BCCAD8"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5.3</w:t>
            </w:r>
          </w:p>
        </w:tc>
        <w:tc>
          <w:tcPr>
            <w:tcW w:w="714" w:type="pct"/>
            <w:tcBorders>
              <w:top w:val="nil"/>
              <w:left w:val="nil"/>
              <w:bottom w:val="nil"/>
              <w:right w:val="nil"/>
            </w:tcBorders>
            <w:shd w:val="clear" w:color="auto" w:fill="auto"/>
            <w:noWrap/>
            <w:vAlign w:val="center"/>
            <w:hideMark/>
          </w:tcPr>
          <w:p w14:paraId="4ABE855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1DF917C9" w14:textId="77777777" w:rsidTr="00F0476A">
        <w:trPr>
          <w:jc w:val="center"/>
        </w:trPr>
        <w:tc>
          <w:tcPr>
            <w:tcW w:w="715" w:type="pct"/>
            <w:tcBorders>
              <w:top w:val="nil"/>
              <w:left w:val="nil"/>
              <w:bottom w:val="nil"/>
              <w:right w:val="nil"/>
            </w:tcBorders>
            <w:shd w:val="clear" w:color="auto" w:fill="auto"/>
            <w:noWrap/>
            <w:vAlign w:val="center"/>
            <w:hideMark/>
          </w:tcPr>
          <w:p w14:paraId="4C55368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Education (years)</w:t>
            </w:r>
          </w:p>
        </w:tc>
        <w:tc>
          <w:tcPr>
            <w:tcW w:w="714" w:type="pct"/>
            <w:tcBorders>
              <w:top w:val="nil"/>
              <w:left w:val="nil"/>
              <w:bottom w:val="nil"/>
              <w:right w:val="nil"/>
            </w:tcBorders>
            <w:shd w:val="clear" w:color="auto" w:fill="auto"/>
            <w:noWrap/>
            <w:vAlign w:val="center"/>
            <w:hideMark/>
          </w:tcPr>
          <w:p w14:paraId="7C193E5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Mean (SD)</w:t>
            </w:r>
          </w:p>
        </w:tc>
        <w:tc>
          <w:tcPr>
            <w:tcW w:w="714" w:type="pct"/>
            <w:tcBorders>
              <w:top w:val="nil"/>
              <w:left w:val="nil"/>
              <w:bottom w:val="nil"/>
              <w:right w:val="nil"/>
            </w:tcBorders>
            <w:shd w:val="clear" w:color="auto" w:fill="auto"/>
            <w:noWrap/>
            <w:vAlign w:val="center"/>
            <w:hideMark/>
          </w:tcPr>
          <w:p w14:paraId="6F7A82D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5.2 (9.3)</w:t>
            </w:r>
          </w:p>
        </w:tc>
        <w:tc>
          <w:tcPr>
            <w:tcW w:w="714" w:type="pct"/>
            <w:tcBorders>
              <w:top w:val="nil"/>
              <w:left w:val="nil"/>
              <w:bottom w:val="nil"/>
              <w:right w:val="nil"/>
            </w:tcBorders>
            <w:shd w:val="clear" w:color="auto" w:fill="auto"/>
            <w:noWrap/>
            <w:vAlign w:val="center"/>
            <w:hideMark/>
          </w:tcPr>
          <w:p w14:paraId="49FBA66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5.4 (9.1)</w:t>
            </w:r>
          </w:p>
        </w:tc>
        <w:tc>
          <w:tcPr>
            <w:tcW w:w="714" w:type="pct"/>
            <w:tcBorders>
              <w:top w:val="nil"/>
              <w:left w:val="nil"/>
              <w:bottom w:val="nil"/>
              <w:right w:val="nil"/>
            </w:tcBorders>
            <w:shd w:val="clear" w:color="auto" w:fill="auto"/>
            <w:noWrap/>
            <w:vAlign w:val="center"/>
            <w:hideMark/>
          </w:tcPr>
          <w:p w14:paraId="562BFEA8"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3.9 (9.7)</w:t>
            </w:r>
          </w:p>
        </w:tc>
        <w:tc>
          <w:tcPr>
            <w:tcW w:w="714" w:type="pct"/>
            <w:tcBorders>
              <w:top w:val="nil"/>
              <w:left w:val="nil"/>
              <w:bottom w:val="nil"/>
              <w:right w:val="nil"/>
            </w:tcBorders>
            <w:shd w:val="clear" w:color="auto" w:fill="auto"/>
            <w:noWrap/>
            <w:vAlign w:val="center"/>
            <w:hideMark/>
          </w:tcPr>
          <w:p w14:paraId="70D55E2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3.6 (10.7)</w:t>
            </w:r>
          </w:p>
        </w:tc>
        <w:tc>
          <w:tcPr>
            <w:tcW w:w="714" w:type="pct"/>
            <w:tcBorders>
              <w:top w:val="nil"/>
              <w:left w:val="nil"/>
              <w:bottom w:val="nil"/>
              <w:right w:val="nil"/>
            </w:tcBorders>
            <w:shd w:val="clear" w:color="auto" w:fill="auto"/>
            <w:noWrap/>
            <w:vAlign w:val="center"/>
            <w:hideMark/>
          </w:tcPr>
          <w:p w14:paraId="448ADAC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&lt;0.001</w:t>
            </w:r>
          </w:p>
        </w:tc>
      </w:tr>
      <w:tr w:rsidR="007D3FBA" w:rsidRPr="009E1865" w14:paraId="7038CFCB" w14:textId="77777777" w:rsidTr="00F0476A">
        <w:trPr>
          <w:jc w:val="center"/>
        </w:trPr>
        <w:tc>
          <w:tcPr>
            <w:tcW w:w="715" w:type="pct"/>
            <w:tcBorders>
              <w:top w:val="nil"/>
              <w:left w:val="nil"/>
              <w:bottom w:val="nil"/>
              <w:right w:val="nil"/>
            </w:tcBorders>
            <w:shd w:val="clear" w:color="auto" w:fill="auto"/>
            <w:noWrap/>
            <w:vAlign w:val="center"/>
            <w:hideMark/>
          </w:tcPr>
          <w:p w14:paraId="781232A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Alcohol consumption</w:t>
            </w:r>
          </w:p>
        </w:tc>
        <w:tc>
          <w:tcPr>
            <w:tcW w:w="714" w:type="pct"/>
            <w:tcBorders>
              <w:top w:val="nil"/>
              <w:left w:val="nil"/>
              <w:bottom w:val="nil"/>
              <w:right w:val="nil"/>
            </w:tcBorders>
            <w:shd w:val="clear" w:color="auto" w:fill="auto"/>
            <w:noWrap/>
            <w:vAlign w:val="center"/>
            <w:hideMark/>
          </w:tcPr>
          <w:p w14:paraId="6D2E89E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No</w:t>
            </w:r>
          </w:p>
        </w:tc>
        <w:tc>
          <w:tcPr>
            <w:tcW w:w="714" w:type="pct"/>
            <w:tcBorders>
              <w:top w:val="nil"/>
              <w:left w:val="nil"/>
              <w:bottom w:val="nil"/>
              <w:right w:val="nil"/>
            </w:tcBorders>
            <w:shd w:val="clear" w:color="auto" w:fill="auto"/>
            <w:noWrap/>
            <w:vAlign w:val="center"/>
            <w:hideMark/>
          </w:tcPr>
          <w:p w14:paraId="2D6C931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86.1</w:t>
            </w:r>
          </w:p>
        </w:tc>
        <w:tc>
          <w:tcPr>
            <w:tcW w:w="714" w:type="pct"/>
            <w:tcBorders>
              <w:top w:val="nil"/>
              <w:left w:val="nil"/>
              <w:bottom w:val="nil"/>
              <w:right w:val="nil"/>
            </w:tcBorders>
            <w:shd w:val="clear" w:color="auto" w:fill="auto"/>
            <w:noWrap/>
            <w:vAlign w:val="center"/>
            <w:hideMark/>
          </w:tcPr>
          <w:p w14:paraId="3954D505"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85.9</w:t>
            </w:r>
          </w:p>
        </w:tc>
        <w:tc>
          <w:tcPr>
            <w:tcW w:w="714" w:type="pct"/>
            <w:tcBorders>
              <w:top w:val="nil"/>
              <w:left w:val="nil"/>
              <w:bottom w:val="nil"/>
              <w:right w:val="nil"/>
            </w:tcBorders>
            <w:shd w:val="clear" w:color="auto" w:fill="auto"/>
            <w:noWrap/>
            <w:vAlign w:val="center"/>
            <w:hideMark/>
          </w:tcPr>
          <w:p w14:paraId="067CE29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87.2</w:t>
            </w:r>
          </w:p>
        </w:tc>
        <w:tc>
          <w:tcPr>
            <w:tcW w:w="714" w:type="pct"/>
            <w:tcBorders>
              <w:top w:val="nil"/>
              <w:left w:val="nil"/>
              <w:bottom w:val="nil"/>
              <w:right w:val="nil"/>
            </w:tcBorders>
            <w:shd w:val="clear" w:color="auto" w:fill="auto"/>
            <w:noWrap/>
            <w:vAlign w:val="center"/>
            <w:hideMark/>
          </w:tcPr>
          <w:p w14:paraId="000E1A39"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87.1</w:t>
            </w:r>
          </w:p>
        </w:tc>
        <w:tc>
          <w:tcPr>
            <w:tcW w:w="714" w:type="pct"/>
            <w:tcBorders>
              <w:top w:val="nil"/>
              <w:left w:val="nil"/>
              <w:bottom w:val="nil"/>
              <w:right w:val="nil"/>
            </w:tcBorders>
            <w:shd w:val="clear" w:color="auto" w:fill="auto"/>
            <w:noWrap/>
            <w:vAlign w:val="center"/>
            <w:hideMark/>
          </w:tcPr>
          <w:p w14:paraId="38109BE1"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0.755</w:t>
            </w:r>
          </w:p>
        </w:tc>
      </w:tr>
      <w:tr w:rsidR="007D3FBA" w:rsidRPr="009E1865" w14:paraId="0A9CBECC" w14:textId="77777777" w:rsidTr="00F0476A">
        <w:trPr>
          <w:jc w:val="center"/>
        </w:trPr>
        <w:tc>
          <w:tcPr>
            <w:tcW w:w="715" w:type="pct"/>
            <w:tcBorders>
              <w:top w:val="nil"/>
              <w:left w:val="nil"/>
              <w:bottom w:val="nil"/>
              <w:right w:val="nil"/>
            </w:tcBorders>
            <w:shd w:val="clear" w:color="auto" w:fill="auto"/>
            <w:noWrap/>
            <w:vAlign w:val="center"/>
            <w:hideMark/>
          </w:tcPr>
          <w:p w14:paraId="4E888A0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6724A607"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Yes</w:t>
            </w:r>
          </w:p>
        </w:tc>
        <w:tc>
          <w:tcPr>
            <w:tcW w:w="714" w:type="pct"/>
            <w:tcBorders>
              <w:top w:val="nil"/>
              <w:left w:val="nil"/>
              <w:bottom w:val="nil"/>
              <w:right w:val="nil"/>
            </w:tcBorders>
            <w:shd w:val="clear" w:color="auto" w:fill="auto"/>
            <w:noWrap/>
            <w:vAlign w:val="center"/>
            <w:hideMark/>
          </w:tcPr>
          <w:p w14:paraId="0402592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13.9</w:t>
            </w:r>
          </w:p>
        </w:tc>
        <w:tc>
          <w:tcPr>
            <w:tcW w:w="714" w:type="pct"/>
            <w:tcBorders>
              <w:top w:val="nil"/>
              <w:left w:val="nil"/>
              <w:bottom w:val="nil"/>
              <w:right w:val="nil"/>
            </w:tcBorders>
            <w:shd w:val="clear" w:color="auto" w:fill="auto"/>
            <w:noWrap/>
            <w:vAlign w:val="center"/>
            <w:hideMark/>
          </w:tcPr>
          <w:p w14:paraId="6923C5C6"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14.1</w:t>
            </w:r>
          </w:p>
        </w:tc>
        <w:tc>
          <w:tcPr>
            <w:tcW w:w="714" w:type="pct"/>
            <w:tcBorders>
              <w:top w:val="nil"/>
              <w:left w:val="nil"/>
              <w:bottom w:val="nil"/>
              <w:right w:val="nil"/>
            </w:tcBorders>
            <w:shd w:val="clear" w:color="auto" w:fill="auto"/>
            <w:noWrap/>
            <w:vAlign w:val="center"/>
            <w:hideMark/>
          </w:tcPr>
          <w:p w14:paraId="1C672023"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12.8</w:t>
            </w:r>
          </w:p>
        </w:tc>
        <w:tc>
          <w:tcPr>
            <w:tcW w:w="714" w:type="pct"/>
            <w:tcBorders>
              <w:top w:val="nil"/>
              <w:left w:val="nil"/>
              <w:bottom w:val="nil"/>
              <w:right w:val="nil"/>
            </w:tcBorders>
            <w:shd w:val="clear" w:color="auto" w:fill="auto"/>
            <w:noWrap/>
            <w:vAlign w:val="center"/>
            <w:hideMark/>
          </w:tcPr>
          <w:p w14:paraId="3B48A513"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12.9</w:t>
            </w:r>
          </w:p>
        </w:tc>
        <w:tc>
          <w:tcPr>
            <w:tcW w:w="714" w:type="pct"/>
            <w:tcBorders>
              <w:top w:val="nil"/>
              <w:left w:val="nil"/>
              <w:bottom w:val="nil"/>
              <w:right w:val="nil"/>
            </w:tcBorders>
            <w:shd w:val="clear" w:color="auto" w:fill="auto"/>
            <w:noWrap/>
            <w:vAlign w:val="center"/>
            <w:hideMark/>
          </w:tcPr>
          <w:p w14:paraId="6CF192E1"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45DF0E7B" w14:textId="77777777" w:rsidTr="00F0476A">
        <w:trPr>
          <w:jc w:val="center"/>
        </w:trPr>
        <w:tc>
          <w:tcPr>
            <w:tcW w:w="715" w:type="pct"/>
            <w:tcBorders>
              <w:top w:val="nil"/>
              <w:left w:val="nil"/>
              <w:bottom w:val="nil"/>
              <w:right w:val="nil"/>
            </w:tcBorders>
            <w:shd w:val="clear" w:color="auto" w:fill="auto"/>
            <w:noWrap/>
            <w:vAlign w:val="center"/>
            <w:hideMark/>
          </w:tcPr>
          <w:p w14:paraId="3A5051B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Smoking</w:t>
            </w:r>
          </w:p>
        </w:tc>
        <w:tc>
          <w:tcPr>
            <w:tcW w:w="714" w:type="pct"/>
            <w:tcBorders>
              <w:top w:val="nil"/>
              <w:left w:val="nil"/>
              <w:bottom w:val="nil"/>
              <w:right w:val="nil"/>
            </w:tcBorders>
            <w:shd w:val="clear" w:color="auto" w:fill="auto"/>
            <w:noWrap/>
            <w:vAlign w:val="center"/>
            <w:hideMark/>
          </w:tcPr>
          <w:p w14:paraId="365C408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Never</w:t>
            </w:r>
          </w:p>
        </w:tc>
        <w:tc>
          <w:tcPr>
            <w:tcW w:w="714" w:type="pct"/>
            <w:tcBorders>
              <w:top w:val="nil"/>
              <w:left w:val="nil"/>
              <w:bottom w:val="nil"/>
              <w:right w:val="nil"/>
            </w:tcBorders>
            <w:shd w:val="clear" w:color="auto" w:fill="auto"/>
            <w:noWrap/>
            <w:vAlign w:val="center"/>
            <w:hideMark/>
          </w:tcPr>
          <w:p w14:paraId="0C258EA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62.2</w:t>
            </w:r>
          </w:p>
        </w:tc>
        <w:tc>
          <w:tcPr>
            <w:tcW w:w="714" w:type="pct"/>
            <w:tcBorders>
              <w:top w:val="nil"/>
              <w:left w:val="nil"/>
              <w:bottom w:val="nil"/>
              <w:right w:val="nil"/>
            </w:tcBorders>
            <w:shd w:val="clear" w:color="auto" w:fill="auto"/>
            <w:noWrap/>
            <w:vAlign w:val="center"/>
            <w:hideMark/>
          </w:tcPr>
          <w:p w14:paraId="17DF9629"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62.9</w:t>
            </w:r>
          </w:p>
        </w:tc>
        <w:tc>
          <w:tcPr>
            <w:tcW w:w="714" w:type="pct"/>
            <w:tcBorders>
              <w:top w:val="nil"/>
              <w:left w:val="nil"/>
              <w:bottom w:val="nil"/>
              <w:right w:val="nil"/>
            </w:tcBorders>
            <w:shd w:val="clear" w:color="auto" w:fill="auto"/>
            <w:noWrap/>
            <w:vAlign w:val="center"/>
            <w:hideMark/>
          </w:tcPr>
          <w:p w14:paraId="77905A6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57.3</w:t>
            </w:r>
          </w:p>
        </w:tc>
        <w:tc>
          <w:tcPr>
            <w:tcW w:w="714" w:type="pct"/>
            <w:tcBorders>
              <w:top w:val="nil"/>
              <w:left w:val="nil"/>
              <w:bottom w:val="nil"/>
              <w:right w:val="nil"/>
            </w:tcBorders>
            <w:shd w:val="clear" w:color="auto" w:fill="auto"/>
            <w:noWrap/>
            <w:vAlign w:val="center"/>
            <w:hideMark/>
          </w:tcPr>
          <w:p w14:paraId="77E9853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56.8</w:t>
            </w:r>
          </w:p>
        </w:tc>
        <w:tc>
          <w:tcPr>
            <w:tcW w:w="714" w:type="pct"/>
            <w:tcBorders>
              <w:top w:val="nil"/>
              <w:left w:val="nil"/>
              <w:bottom w:val="nil"/>
              <w:right w:val="nil"/>
            </w:tcBorders>
            <w:shd w:val="clear" w:color="auto" w:fill="auto"/>
            <w:noWrap/>
            <w:vAlign w:val="center"/>
            <w:hideMark/>
          </w:tcPr>
          <w:p w14:paraId="54A7D68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0.139</w:t>
            </w:r>
          </w:p>
        </w:tc>
      </w:tr>
      <w:tr w:rsidR="007D3FBA" w:rsidRPr="009E1865" w14:paraId="6C0ECCF1" w14:textId="77777777" w:rsidTr="00F0476A">
        <w:trPr>
          <w:jc w:val="center"/>
        </w:trPr>
        <w:tc>
          <w:tcPr>
            <w:tcW w:w="715" w:type="pct"/>
            <w:tcBorders>
              <w:top w:val="nil"/>
              <w:left w:val="nil"/>
              <w:bottom w:val="nil"/>
              <w:right w:val="nil"/>
            </w:tcBorders>
            <w:shd w:val="clear" w:color="auto" w:fill="auto"/>
            <w:noWrap/>
            <w:vAlign w:val="center"/>
            <w:hideMark/>
          </w:tcPr>
          <w:p w14:paraId="193B590E"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14D435CC"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Current</w:t>
            </w:r>
          </w:p>
        </w:tc>
        <w:tc>
          <w:tcPr>
            <w:tcW w:w="714" w:type="pct"/>
            <w:tcBorders>
              <w:top w:val="nil"/>
              <w:left w:val="nil"/>
              <w:bottom w:val="nil"/>
              <w:right w:val="nil"/>
            </w:tcBorders>
            <w:shd w:val="clear" w:color="auto" w:fill="auto"/>
            <w:noWrap/>
            <w:vAlign w:val="center"/>
            <w:hideMark/>
          </w:tcPr>
          <w:p w14:paraId="2C208011"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29.3</w:t>
            </w:r>
          </w:p>
        </w:tc>
        <w:tc>
          <w:tcPr>
            <w:tcW w:w="714" w:type="pct"/>
            <w:tcBorders>
              <w:top w:val="nil"/>
              <w:left w:val="nil"/>
              <w:bottom w:val="nil"/>
              <w:right w:val="nil"/>
            </w:tcBorders>
            <w:shd w:val="clear" w:color="auto" w:fill="auto"/>
            <w:noWrap/>
            <w:vAlign w:val="center"/>
            <w:hideMark/>
          </w:tcPr>
          <w:p w14:paraId="75DDE56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28.6</w:t>
            </w:r>
          </w:p>
        </w:tc>
        <w:tc>
          <w:tcPr>
            <w:tcW w:w="714" w:type="pct"/>
            <w:tcBorders>
              <w:top w:val="nil"/>
              <w:left w:val="nil"/>
              <w:bottom w:val="nil"/>
              <w:right w:val="nil"/>
            </w:tcBorders>
            <w:shd w:val="clear" w:color="auto" w:fill="auto"/>
            <w:noWrap/>
            <w:vAlign w:val="center"/>
            <w:hideMark/>
          </w:tcPr>
          <w:p w14:paraId="5CB6FA28"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33.2</w:t>
            </w:r>
          </w:p>
        </w:tc>
        <w:tc>
          <w:tcPr>
            <w:tcW w:w="714" w:type="pct"/>
            <w:tcBorders>
              <w:top w:val="nil"/>
              <w:left w:val="nil"/>
              <w:bottom w:val="nil"/>
              <w:right w:val="nil"/>
            </w:tcBorders>
            <w:shd w:val="clear" w:color="auto" w:fill="auto"/>
            <w:noWrap/>
            <w:vAlign w:val="center"/>
            <w:hideMark/>
          </w:tcPr>
          <w:p w14:paraId="72A7CB09"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35.7</w:t>
            </w:r>
          </w:p>
        </w:tc>
        <w:tc>
          <w:tcPr>
            <w:tcW w:w="714" w:type="pct"/>
            <w:tcBorders>
              <w:top w:val="nil"/>
              <w:left w:val="nil"/>
              <w:bottom w:val="nil"/>
              <w:right w:val="nil"/>
            </w:tcBorders>
            <w:shd w:val="clear" w:color="auto" w:fill="auto"/>
            <w:noWrap/>
            <w:vAlign w:val="center"/>
            <w:hideMark/>
          </w:tcPr>
          <w:p w14:paraId="2A2517C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05DF3B63" w14:textId="77777777" w:rsidTr="00F0476A">
        <w:trPr>
          <w:jc w:val="center"/>
        </w:trPr>
        <w:tc>
          <w:tcPr>
            <w:tcW w:w="715" w:type="pct"/>
            <w:tcBorders>
              <w:top w:val="nil"/>
              <w:left w:val="nil"/>
              <w:bottom w:val="nil"/>
              <w:right w:val="nil"/>
            </w:tcBorders>
            <w:shd w:val="clear" w:color="auto" w:fill="auto"/>
            <w:noWrap/>
            <w:vAlign w:val="center"/>
            <w:hideMark/>
          </w:tcPr>
          <w:p w14:paraId="0ED91F9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3A9E401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Quit</w:t>
            </w:r>
          </w:p>
        </w:tc>
        <w:tc>
          <w:tcPr>
            <w:tcW w:w="714" w:type="pct"/>
            <w:tcBorders>
              <w:top w:val="nil"/>
              <w:left w:val="nil"/>
              <w:bottom w:val="nil"/>
              <w:right w:val="nil"/>
            </w:tcBorders>
            <w:shd w:val="clear" w:color="auto" w:fill="auto"/>
            <w:noWrap/>
            <w:vAlign w:val="center"/>
            <w:hideMark/>
          </w:tcPr>
          <w:p w14:paraId="640CC64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8.5</w:t>
            </w:r>
          </w:p>
        </w:tc>
        <w:tc>
          <w:tcPr>
            <w:tcW w:w="714" w:type="pct"/>
            <w:tcBorders>
              <w:top w:val="nil"/>
              <w:left w:val="nil"/>
              <w:bottom w:val="nil"/>
              <w:right w:val="nil"/>
            </w:tcBorders>
            <w:shd w:val="clear" w:color="auto" w:fill="auto"/>
            <w:noWrap/>
            <w:vAlign w:val="center"/>
            <w:hideMark/>
          </w:tcPr>
          <w:p w14:paraId="5920A16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8.5</w:t>
            </w:r>
          </w:p>
        </w:tc>
        <w:tc>
          <w:tcPr>
            <w:tcW w:w="714" w:type="pct"/>
            <w:tcBorders>
              <w:top w:val="nil"/>
              <w:left w:val="nil"/>
              <w:bottom w:val="nil"/>
              <w:right w:val="nil"/>
            </w:tcBorders>
            <w:shd w:val="clear" w:color="auto" w:fill="auto"/>
            <w:noWrap/>
            <w:vAlign w:val="center"/>
            <w:hideMark/>
          </w:tcPr>
          <w:p w14:paraId="53DC20E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9.5</w:t>
            </w:r>
          </w:p>
        </w:tc>
        <w:tc>
          <w:tcPr>
            <w:tcW w:w="714" w:type="pct"/>
            <w:tcBorders>
              <w:top w:val="nil"/>
              <w:left w:val="nil"/>
              <w:bottom w:val="nil"/>
              <w:right w:val="nil"/>
            </w:tcBorders>
            <w:shd w:val="clear" w:color="auto" w:fill="auto"/>
            <w:noWrap/>
            <w:vAlign w:val="center"/>
            <w:hideMark/>
          </w:tcPr>
          <w:p w14:paraId="3EE6A11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7.5</w:t>
            </w:r>
          </w:p>
        </w:tc>
        <w:tc>
          <w:tcPr>
            <w:tcW w:w="714" w:type="pct"/>
            <w:tcBorders>
              <w:top w:val="nil"/>
              <w:left w:val="nil"/>
              <w:bottom w:val="nil"/>
              <w:right w:val="nil"/>
            </w:tcBorders>
            <w:shd w:val="clear" w:color="auto" w:fill="auto"/>
            <w:noWrap/>
            <w:vAlign w:val="center"/>
            <w:hideMark/>
          </w:tcPr>
          <w:p w14:paraId="30BE0C0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2A40F833" w14:textId="77777777" w:rsidTr="00F0476A">
        <w:trPr>
          <w:jc w:val="center"/>
        </w:trPr>
        <w:tc>
          <w:tcPr>
            <w:tcW w:w="715" w:type="pct"/>
            <w:tcBorders>
              <w:top w:val="nil"/>
              <w:left w:val="nil"/>
              <w:bottom w:val="nil"/>
              <w:right w:val="nil"/>
            </w:tcBorders>
            <w:shd w:val="clear" w:color="auto" w:fill="auto"/>
            <w:noWrap/>
            <w:vAlign w:val="center"/>
            <w:hideMark/>
          </w:tcPr>
          <w:p w14:paraId="5FF60135"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Physical activity</w:t>
            </w:r>
          </w:p>
        </w:tc>
        <w:tc>
          <w:tcPr>
            <w:tcW w:w="714" w:type="pct"/>
            <w:tcBorders>
              <w:top w:val="nil"/>
              <w:left w:val="nil"/>
              <w:bottom w:val="nil"/>
              <w:right w:val="nil"/>
            </w:tcBorders>
            <w:shd w:val="clear" w:color="auto" w:fill="auto"/>
            <w:noWrap/>
            <w:vAlign w:val="center"/>
            <w:hideMark/>
          </w:tcPr>
          <w:p w14:paraId="7B992997"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 xml:space="preserve">High </w:t>
            </w:r>
          </w:p>
        </w:tc>
        <w:tc>
          <w:tcPr>
            <w:tcW w:w="714" w:type="pct"/>
            <w:tcBorders>
              <w:top w:val="nil"/>
              <w:left w:val="nil"/>
              <w:bottom w:val="nil"/>
              <w:right w:val="nil"/>
            </w:tcBorders>
            <w:shd w:val="clear" w:color="auto" w:fill="auto"/>
            <w:noWrap/>
            <w:vAlign w:val="center"/>
            <w:hideMark/>
          </w:tcPr>
          <w:p w14:paraId="3DDD6FCE"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35.2</w:t>
            </w:r>
          </w:p>
        </w:tc>
        <w:tc>
          <w:tcPr>
            <w:tcW w:w="714" w:type="pct"/>
            <w:tcBorders>
              <w:top w:val="nil"/>
              <w:left w:val="nil"/>
              <w:bottom w:val="nil"/>
              <w:right w:val="nil"/>
            </w:tcBorders>
            <w:shd w:val="clear" w:color="auto" w:fill="auto"/>
            <w:noWrap/>
            <w:vAlign w:val="center"/>
            <w:hideMark/>
          </w:tcPr>
          <w:p w14:paraId="731705AE"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34.0</w:t>
            </w:r>
          </w:p>
        </w:tc>
        <w:tc>
          <w:tcPr>
            <w:tcW w:w="714" w:type="pct"/>
            <w:tcBorders>
              <w:top w:val="nil"/>
              <w:left w:val="nil"/>
              <w:bottom w:val="nil"/>
              <w:right w:val="nil"/>
            </w:tcBorders>
            <w:shd w:val="clear" w:color="auto" w:fill="auto"/>
            <w:noWrap/>
            <w:vAlign w:val="center"/>
            <w:hideMark/>
          </w:tcPr>
          <w:p w14:paraId="5541C7D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45.1</w:t>
            </w:r>
          </w:p>
        </w:tc>
        <w:tc>
          <w:tcPr>
            <w:tcW w:w="714" w:type="pct"/>
            <w:tcBorders>
              <w:top w:val="nil"/>
              <w:left w:val="nil"/>
              <w:bottom w:val="nil"/>
              <w:right w:val="nil"/>
            </w:tcBorders>
            <w:shd w:val="clear" w:color="auto" w:fill="auto"/>
            <w:noWrap/>
            <w:vAlign w:val="center"/>
            <w:hideMark/>
          </w:tcPr>
          <w:p w14:paraId="579D599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43.7</w:t>
            </w:r>
          </w:p>
        </w:tc>
        <w:tc>
          <w:tcPr>
            <w:tcW w:w="714" w:type="pct"/>
            <w:tcBorders>
              <w:top w:val="nil"/>
              <w:left w:val="nil"/>
              <w:bottom w:val="nil"/>
              <w:right w:val="nil"/>
            </w:tcBorders>
            <w:shd w:val="clear" w:color="auto" w:fill="auto"/>
            <w:noWrap/>
            <w:vAlign w:val="center"/>
            <w:hideMark/>
          </w:tcPr>
          <w:p w14:paraId="4A834D8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&lt;0.001</w:t>
            </w:r>
          </w:p>
        </w:tc>
      </w:tr>
      <w:tr w:rsidR="007D3FBA" w:rsidRPr="009E1865" w14:paraId="3E0780F4" w14:textId="77777777" w:rsidTr="00F0476A">
        <w:trPr>
          <w:jc w:val="center"/>
        </w:trPr>
        <w:tc>
          <w:tcPr>
            <w:tcW w:w="715" w:type="pct"/>
            <w:tcBorders>
              <w:top w:val="nil"/>
              <w:left w:val="nil"/>
              <w:bottom w:val="nil"/>
              <w:right w:val="nil"/>
            </w:tcBorders>
            <w:shd w:val="clear" w:color="auto" w:fill="auto"/>
            <w:noWrap/>
            <w:vAlign w:val="center"/>
            <w:hideMark/>
          </w:tcPr>
          <w:p w14:paraId="197E880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26365E86"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Moderate</w:t>
            </w:r>
          </w:p>
        </w:tc>
        <w:tc>
          <w:tcPr>
            <w:tcW w:w="714" w:type="pct"/>
            <w:tcBorders>
              <w:top w:val="nil"/>
              <w:left w:val="nil"/>
              <w:bottom w:val="nil"/>
              <w:right w:val="nil"/>
            </w:tcBorders>
            <w:shd w:val="clear" w:color="auto" w:fill="auto"/>
            <w:noWrap/>
            <w:vAlign w:val="center"/>
            <w:hideMark/>
          </w:tcPr>
          <w:p w14:paraId="0ED50191"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25.2</w:t>
            </w:r>
          </w:p>
        </w:tc>
        <w:tc>
          <w:tcPr>
            <w:tcW w:w="714" w:type="pct"/>
            <w:tcBorders>
              <w:top w:val="nil"/>
              <w:left w:val="nil"/>
              <w:bottom w:val="nil"/>
              <w:right w:val="nil"/>
            </w:tcBorders>
            <w:shd w:val="clear" w:color="auto" w:fill="auto"/>
            <w:noWrap/>
            <w:vAlign w:val="center"/>
            <w:hideMark/>
          </w:tcPr>
          <w:p w14:paraId="1CA9C4B6"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26.3</w:t>
            </w:r>
          </w:p>
        </w:tc>
        <w:tc>
          <w:tcPr>
            <w:tcW w:w="714" w:type="pct"/>
            <w:tcBorders>
              <w:top w:val="nil"/>
              <w:left w:val="nil"/>
              <w:bottom w:val="nil"/>
              <w:right w:val="nil"/>
            </w:tcBorders>
            <w:shd w:val="clear" w:color="auto" w:fill="auto"/>
            <w:noWrap/>
            <w:vAlign w:val="center"/>
            <w:hideMark/>
          </w:tcPr>
          <w:p w14:paraId="37EC33F6"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17.8</w:t>
            </w:r>
          </w:p>
        </w:tc>
        <w:tc>
          <w:tcPr>
            <w:tcW w:w="714" w:type="pct"/>
            <w:tcBorders>
              <w:top w:val="nil"/>
              <w:left w:val="nil"/>
              <w:bottom w:val="nil"/>
              <w:right w:val="nil"/>
            </w:tcBorders>
            <w:shd w:val="clear" w:color="auto" w:fill="auto"/>
            <w:noWrap/>
            <w:vAlign w:val="center"/>
            <w:hideMark/>
          </w:tcPr>
          <w:p w14:paraId="7B9246E5"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15.1</w:t>
            </w:r>
          </w:p>
        </w:tc>
        <w:tc>
          <w:tcPr>
            <w:tcW w:w="714" w:type="pct"/>
            <w:tcBorders>
              <w:top w:val="nil"/>
              <w:left w:val="nil"/>
              <w:bottom w:val="nil"/>
              <w:right w:val="nil"/>
            </w:tcBorders>
            <w:shd w:val="clear" w:color="auto" w:fill="auto"/>
            <w:noWrap/>
            <w:vAlign w:val="center"/>
            <w:hideMark/>
          </w:tcPr>
          <w:p w14:paraId="35B6B9E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7FAE11A9" w14:textId="77777777" w:rsidTr="00F0476A">
        <w:trPr>
          <w:jc w:val="center"/>
        </w:trPr>
        <w:tc>
          <w:tcPr>
            <w:tcW w:w="715" w:type="pct"/>
            <w:tcBorders>
              <w:top w:val="nil"/>
              <w:left w:val="nil"/>
              <w:bottom w:val="nil"/>
              <w:right w:val="nil"/>
            </w:tcBorders>
            <w:shd w:val="clear" w:color="auto" w:fill="auto"/>
            <w:noWrap/>
            <w:vAlign w:val="center"/>
            <w:hideMark/>
          </w:tcPr>
          <w:p w14:paraId="40EAF1E6"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104ED58E"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Low</w:t>
            </w:r>
          </w:p>
        </w:tc>
        <w:tc>
          <w:tcPr>
            <w:tcW w:w="714" w:type="pct"/>
            <w:tcBorders>
              <w:top w:val="nil"/>
              <w:left w:val="nil"/>
              <w:bottom w:val="nil"/>
              <w:right w:val="nil"/>
            </w:tcBorders>
            <w:shd w:val="clear" w:color="auto" w:fill="auto"/>
            <w:noWrap/>
            <w:vAlign w:val="center"/>
            <w:hideMark/>
          </w:tcPr>
          <w:p w14:paraId="3B6369A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39.6</w:t>
            </w:r>
          </w:p>
        </w:tc>
        <w:tc>
          <w:tcPr>
            <w:tcW w:w="714" w:type="pct"/>
            <w:tcBorders>
              <w:top w:val="nil"/>
              <w:left w:val="nil"/>
              <w:bottom w:val="nil"/>
              <w:right w:val="nil"/>
            </w:tcBorders>
            <w:shd w:val="clear" w:color="auto" w:fill="auto"/>
            <w:noWrap/>
            <w:vAlign w:val="center"/>
            <w:hideMark/>
          </w:tcPr>
          <w:p w14:paraId="6FD7EC13"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39.7</w:t>
            </w:r>
          </w:p>
        </w:tc>
        <w:tc>
          <w:tcPr>
            <w:tcW w:w="714" w:type="pct"/>
            <w:tcBorders>
              <w:top w:val="nil"/>
              <w:left w:val="nil"/>
              <w:bottom w:val="nil"/>
              <w:right w:val="nil"/>
            </w:tcBorders>
            <w:shd w:val="clear" w:color="auto" w:fill="auto"/>
            <w:noWrap/>
            <w:vAlign w:val="center"/>
            <w:hideMark/>
          </w:tcPr>
          <w:p w14:paraId="498883A5"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37.1</w:t>
            </w:r>
          </w:p>
        </w:tc>
        <w:tc>
          <w:tcPr>
            <w:tcW w:w="714" w:type="pct"/>
            <w:tcBorders>
              <w:top w:val="nil"/>
              <w:left w:val="nil"/>
              <w:bottom w:val="nil"/>
              <w:right w:val="nil"/>
            </w:tcBorders>
            <w:shd w:val="clear" w:color="auto" w:fill="auto"/>
            <w:noWrap/>
            <w:vAlign w:val="center"/>
            <w:hideMark/>
          </w:tcPr>
          <w:p w14:paraId="152F3CC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41.2</w:t>
            </w:r>
          </w:p>
        </w:tc>
        <w:tc>
          <w:tcPr>
            <w:tcW w:w="714" w:type="pct"/>
            <w:tcBorders>
              <w:top w:val="nil"/>
              <w:left w:val="nil"/>
              <w:bottom w:val="nil"/>
              <w:right w:val="nil"/>
            </w:tcBorders>
            <w:shd w:val="clear" w:color="auto" w:fill="auto"/>
            <w:noWrap/>
            <w:vAlign w:val="center"/>
            <w:hideMark/>
          </w:tcPr>
          <w:p w14:paraId="503AED4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717E0049" w14:textId="77777777" w:rsidTr="00F0476A">
        <w:trPr>
          <w:jc w:val="center"/>
        </w:trPr>
        <w:tc>
          <w:tcPr>
            <w:tcW w:w="715" w:type="pct"/>
            <w:tcBorders>
              <w:top w:val="nil"/>
              <w:left w:val="nil"/>
              <w:bottom w:val="nil"/>
              <w:right w:val="nil"/>
            </w:tcBorders>
            <w:shd w:val="clear" w:color="auto" w:fill="auto"/>
            <w:noWrap/>
            <w:vAlign w:val="center"/>
            <w:hideMark/>
          </w:tcPr>
          <w:p w14:paraId="53E8822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BMI (kg/m</w:t>
            </w:r>
            <w:r w:rsidRPr="009E1865">
              <w:rPr>
                <w:noProof w:val="0"/>
                <w:color w:val="000000" w:themeColor="text1"/>
                <w:sz w:val="18"/>
                <w:vertAlign w:val="superscript"/>
              </w:rPr>
              <w:t>2</w:t>
            </w:r>
            <w:r w:rsidRPr="009E1865">
              <w:rPr>
                <w:noProof w:val="0"/>
                <w:color w:val="000000" w:themeColor="text1"/>
                <w:sz w:val="18"/>
              </w:rPr>
              <w:t>)</w:t>
            </w:r>
          </w:p>
        </w:tc>
        <w:tc>
          <w:tcPr>
            <w:tcW w:w="714" w:type="pct"/>
            <w:tcBorders>
              <w:top w:val="nil"/>
              <w:left w:val="nil"/>
              <w:bottom w:val="nil"/>
              <w:right w:val="nil"/>
            </w:tcBorders>
            <w:shd w:val="clear" w:color="auto" w:fill="auto"/>
            <w:noWrap/>
            <w:vAlign w:val="center"/>
            <w:hideMark/>
          </w:tcPr>
          <w:p w14:paraId="19D69C8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&lt;18.5</w:t>
            </w:r>
          </w:p>
        </w:tc>
        <w:tc>
          <w:tcPr>
            <w:tcW w:w="714" w:type="pct"/>
            <w:tcBorders>
              <w:top w:val="nil"/>
              <w:left w:val="nil"/>
              <w:bottom w:val="nil"/>
              <w:right w:val="nil"/>
            </w:tcBorders>
            <w:shd w:val="clear" w:color="auto" w:fill="auto"/>
            <w:noWrap/>
            <w:vAlign w:val="center"/>
            <w:hideMark/>
          </w:tcPr>
          <w:p w14:paraId="594029B5"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19.3</w:t>
            </w:r>
          </w:p>
        </w:tc>
        <w:tc>
          <w:tcPr>
            <w:tcW w:w="714" w:type="pct"/>
            <w:tcBorders>
              <w:top w:val="nil"/>
              <w:left w:val="nil"/>
              <w:bottom w:val="nil"/>
              <w:right w:val="nil"/>
            </w:tcBorders>
            <w:shd w:val="clear" w:color="auto" w:fill="auto"/>
            <w:noWrap/>
            <w:vAlign w:val="center"/>
            <w:hideMark/>
          </w:tcPr>
          <w:p w14:paraId="0D8CDAD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17.5</w:t>
            </w:r>
          </w:p>
        </w:tc>
        <w:tc>
          <w:tcPr>
            <w:tcW w:w="714" w:type="pct"/>
            <w:tcBorders>
              <w:top w:val="nil"/>
              <w:left w:val="nil"/>
              <w:bottom w:val="nil"/>
              <w:right w:val="nil"/>
            </w:tcBorders>
            <w:shd w:val="clear" w:color="auto" w:fill="auto"/>
            <w:noWrap/>
            <w:vAlign w:val="center"/>
            <w:hideMark/>
          </w:tcPr>
          <w:p w14:paraId="6FB4855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32.4</w:t>
            </w:r>
          </w:p>
        </w:tc>
        <w:tc>
          <w:tcPr>
            <w:tcW w:w="714" w:type="pct"/>
            <w:tcBorders>
              <w:top w:val="nil"/>
              <w:left w:val="nil"/>
              <w:bottom w:val="nil"/>
              <w:right w:val="nil"/>
            </w:tcBorders>
            <w:shd w:val="clear" w:color="auto" w:fill="auto"/>
            <w:noWrap/>
            <w:vAlign w:val="center"/>
            <w:hideMark/>
          </w:tcPr>
          <w:p w14:paraId="7B6CDBAE"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34.8</w:t>
            </w:r>
          </w:p>
        </w:tc>
        <w:tc>
          <w:tcPr>
            <w:tcW w:w="714" w:type="pct"/>
            <w:tcBorders>
              <w:top w:val="nil"/>
              <w:left w:val="nil"/>
              <w:bottom w:val="nil"/>
              <w:right w:val="nil"/>
            </w:tcBorders>
            <w:shd w:val="clear" w:color="auto" w:fill="auto"/>
            <w:noWrap/>
            <w:vAlign w:val="center"/>
            <w:hideMark/>
          </w:tcPr>
          <w:p w14:paraId="1A34AA8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&lt;0.001</w:t>
            </w:r>
          </w:p>
        </w:tc>
      </w:tr>
      <w:tr w:rsidR="007D3FBA" w:rsidRPr="009E1865" w14:paraId="50DB8C16" w14:textId="77777777" w:rsidTr="00F0476A">
        <w:trPr>
          <w:jc w:val="center"/>
        </w:trPr>
        <w:tc>
          <w:tcPr>
            <w:tcW w:w="715" w:type="pct"/>
            <w:tcBorders>
              <w:top w:val="nil"/>
              <w:left w:val="nil"/>
              <w:bottom w:val="nil"/>
              <w:right w:val="nil"/>
            </w:tcBorders>
            <w:shd w:val="clear" w:color="auto" w:fill="auto"/>
            <w:noWrap/>
            <w:vAlign w:val="center"/>
            <w:hideMark/>
          </w:tcPr>
          <w:p w14:paraId="09DDE02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1FED779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18.5-24.9</w:t>
            </w:r>
          </w:p>
        </w:tc>
        <w:tc>
          <w:tcPr>
            <w:tcW w:w="714" w:type="pct"/>
            <w:tcBorders>
              <w:top w:val="nil"/>
              <w:left w:val="nil"/>
              <w:bottom w:val="nil"/>
              <w:right w:val="nil"/>
            </w:tcBorders>
            <w:shd w:val="clear" w:color="auto" w:fill="auto"/>
            <w:noWrap/>
            <w:vAlign w:val="center"/>
            <w:hideMark/>
          </w:tcPr>
          <w:p w14:paraId="74127908"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46.4</w:t>
            </w:r>
          </w:p>
        </w:tc>
        <w:tc>
          <w:tcPr>
            <w:tcW w:w="714" w:type="pct"/>
            <w:tcBorders>
              <w:top w:val="nil"/>
              <w:left w:val="nil"/>
              <w:bottom w:val="nil"/>
              <w:right w:val="nil"/>
            </w:tcBorders>
            <w:shd w:val="clear" w:color="auto" w:fill="auto"/>
            <w:noWrap/>
            <w:vAlign w:val="center"/>
            <w:hideMark/>
          </w:tcPr>
          <w:p w14:paraId="03BA0E3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47.3</w:t>
            </w:r>
          </w:p>
        </w:tc>
        <w:tc>
          <w:tcPr>
            <w:tcW w:w="714" w:type="pct"/>
            <w:tcBorders>
              <w:top w:val="nil"/>
              <w:left w:val="nil"/>
              <w:bottom w:val="nil"/>
              <w:right w:val="nil"/>
            </w:tcBorders>
            <w:shd w:val="clear" w:color="auto" w:fill="auto"/>
            <w:noWrap/>
            <w:vAlign w:val="center"/>
            <w:hideMark/>
          </w:tcPr>
          <w:p w14:paraId="13BEF8A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42.6</w:t>
            </w:r>
          </w:p>
        </w:tc>
        <w:tc>
          <w:tcPr>
            <w:tcW w:w="714" w:type="pct"/>
            <w:tcBorders>
              <w:top w:val="nil"/>
              <w:left w:val="nil"/>
              <w:bottom w:val="nil"/>
              <w:right w:val="nil"/>
            </w:tcBorders>
            <w:shd w:val="clear" w:color="auto" w:fill="auto"/>
            <w:noWrap/>
            <w:vAlign w:val="center"/>
            <w:hideMark/>
          </w:tcPr>
          <w:p w14:paraId="2056789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35.5</w:t>
            </w:r>
          </w:p>
        </w:tc>
        <w:tc>
          <w:tcPr>
            <w:tcW w:w="714" w:type="pct"/>
            <w:tcBorders>
              <w:top w:val="nil"/>
              <w:left w:val="nil"/>
              <w:bottom w:val="nil"/>
              <w:right w:val="nil"/>
            </w:tcBorders>
            <w:shd w:val="clear" w:color="auto" w:fill="auto"/>
            <w:noWrap/>
            <w:vAlign w:val="center"/>
            <w:hideMark/>
          </w:tcPr>
          <w:p w14:paraId="305BE7E2"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67C2CDA7" w14:textId="77777777" w:rsidTr="00F0476A">
        <w:trPr>
          <w:jc w:val="center"/>
        </w:trPr>
        <w:tc>
          <w:tcPr>
            <w:tcW w:w="715" w:type="pct"/>
            <w:tcBorders>
              <w:top w:val="nil"/>
              <w:left w:val="nil"/>
              <w:bottom w:val="nil"/>
              <w:right w:val="nil"/>
            </w:tcBorders>
            <w:shd w:val="clear" w:color="auto" w:fill="auto"/>
            <w:noWrap/>
            <w:vAlign w:val="center"/>
            <w:hideMark/>
          </w:tcPr>
          <w:p w14:paraId="119A10AC"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5E7E4071"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25.0-29.9</w:t>
            </w:r>
          </w:p>
        </w:tc>
        <w:tc>
          <w:tcPr>
            <w:tcW w:w="714" w:type="pct"/>
            <w:tcBorders>
              <w:top w:val="nil"/>
              <w:left w:val="nil"/>
              <w:bottom w:val="nil"/>
              <w:right w:val="nil"/>
            </w:tcBorders>
            <w:shd w:val="clear" w:color="auto" w:fill="auto"/>
            <w:noWrap/>
            <w:vAlign w:val="center"/>
            <w:hideMark/>
          </w:tcPr>
          <w:p w14:paraId="2C7B2477"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23.9</w:t>
            </w:r>
          </w:p>
        </w:tc>
        <w:tc>
          <w:tcPr>
            <w:tcW w:w="714" w:type="pct"/>
            <w:tcBorders>
              <w:top w:val="nil"/>
              <w:left w:val="nil"/>
              <w:bottom w:val="nil"/>
              <w:right w:val="nil"/>
            </w:tcBorders>
            <w:shd w:val="clear" w:color="auto" w:fill="auto"/>
            <w:noWrap/>
            <w:vAlign w:val="center"/>
            <w:hideMark/>
          </w:tcPr>
          <w:p w14:paraId="0B32B4E9"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25.1</w:t>
            </w:r>
          </w:p>
        </w:tc>
        <w:tc>
          <w:tcPr>
            <w:tcW w:w="714" w:type="pct"/>
            <w:tcBorders>
              <w:top w:val="nil"/>
              <w:left w:val="nil"/>
              <w:bottom w:val="nil"/>
              <w:right w:val="nil"/>
            </w:tcBorders>
            <w:shd w:val="clear" w:color="auto" w:fill="auto"/>
            <w:noWrap/>
            <w:vAlign w:val="center"/>
            <w:hideMark/>
          </w:tcPr>
          <w:p w14:paraId="335313A8"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14.7</w:t>
            </w:r>
          </w:p>
        </w:tc>
        <w:tc>
          <w:tcPr>
            <w:tcW w:w="714" w:type="pct"/>
            <w:tcBorders>
              <w:top w:val="nil"/>
              <w:left w:val="nil"/>
              <w:bottom w:val="nil"/>
              <w:right w:val="nil"/>
            </w:tcBorders>
            <w:shd w:val="clear" w:color="auto" w:fill="auto"/>
            <w:noWrap/>
            <w:vAlign w:val="center"/>
            <w:hideMark/>
          </w:tcPr>
          <w:p w14:paraId="1525D2AD"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14.9</w:t>
            </w:r>
          </w:p>
        </w:tc>
        <w:tc>
          <w:tcPr>
            <w:tcW w:w="714" w:type="pct"/>
            <w:tcBorders>
              <w:top w:val="nil"/>
              <w:left w:val="nil"/>
              <w:bottom w:val="nil"/>
              <w:right w:val="nil"/>
            </w:tcBorders>
            <w:shd w:val="clear" w:color="auto" w:fill="auto"/>
            <w:noWrap/>
            <w:vAlign w:val="center"/>
            <w:hideMark/>
          </w:tcPr>
          <w:p w14:paraId="670FE4A0"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202E0A7C" w14:textId="77777777" w:rsidTr="00F0476A">
        <w:trPr>
          <w:jc w:val="center"/>
        </w:trPr>
        <w:tc>
          <w:tcPr>
            <w:tcW w:w="715" w:type="pct"/>
            <w:tcBorders>
              <w:top w:val="nil"/>
              <w:left w:val="nil"/>
              <w:bottom w:val="nil"/>
              <w:right w:val="nil"/>
            </w:tcBorders>
            <w:shd w:val="clear" w:color="auto" w:fill="auto"/>
            <w:noWrap/>
            <w:vAlign w:val="center"/>
            <w:hideMark/>
          </w:tcPr>
          <w:p w14:paraId="37585F5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c>
          <w:tcPr>
            <w:tcW w:w="714" w:type="pct"/>
            <w:tcBorders>
              <w:top w:val="nil"/>
              <w:left w:val="nil"/>
              <w:bottom w:val="nil"/>
              <w:right w:val="nil"/>
            </w:tcBorders>
            <w:shd w:val="clear" w:color="auto" w:fill="auto"/>
            <w:noWrap/>
            <w:vAlign w:val="center"/>
            <w:hideMark/>
          </w:tcPr>
          <w:p w14:paraId="544ED7CF"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≥30</w:t>
            </w:r>
          </w:p>
        </w:tc>
        <w:tc>
          <w:tcPr>
            <w:tcW w:w="714" w:type="pct"/>
            <w:tcBorders>
              <w:top w:val="nil"/>
              <w:left w:val="nil"/>
              <w:bottom w:val="nil"/>
              <w:right w:val="nil"/>
            </w:tcBorders>
            <w:shd w:val="clear" w:color="auto" w:fill="auto"/>
            <w:noWrap/>
            <w:vAlign w:val="center"/>
            <w:hideMark/>
          </w:tcPr>
          <w:p w14:paraId="6FBA116A"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10.4</w:t>
            </w:r>
          </w:p>
        </w:tc>
        <w:tc>
          <w:tcPr>
            <w:tcW w:w="714" w:type="pct"/>
            <w:tcBorders>
              <w:top w:val="nil"/>
              <w:left w:val="nil"/>
              <w:bottom w:val="nil"/>
              <w:right w:val="nil"/>
            </w:tcBorders>
            <w:shd w:val="clear" w:color="auto" w:fill="auto"/>
            <w:noWrap/>
            <w:vAlign w:val="center"/>
            <w:hideMark/>
          </w:tcPr>
          <w:p w14:paraId="503AFAF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10.2</w:t>
            </w:r>
          </w:p>
        </w:tc>
        <w:tc>
          <w:tcPr>
            <w:tcW w:w="714" w:type="pct"/>
            <w:tcBorders>
              <w:top w:val="nil"/>
              <w:left w:val="nil"/>
              <w:bottom w:val="nil"/>
              <w:right w:val="nil"/>
            </w:tcBorders>
            <w:shd w:val="clear" w:color="auto" w:fill="auto"/>
            <w:noWrap/>
            <w:vAlign w:val="center"/>
            <w:hideMark/>
          </w:tcPr>
          <w:p w14:paraId="01BA4EC4"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10.3</w:t>
            </w:r>
          </w:p>
        </w:tc>
        <w:tc>
          <w:tcPr>
            <w:tcW w:w="714" w:type="pct"/>
            <w:tcBorders>
              <w:top w:val="nil"/>
              <w:left w:val="nil"/>
              <w:bottom w:val="nil"/>
              <w:right w:val="nil"/>
            </w:tcBorders>
            <w:shd w:val="clear" w:color="auto" w:fill="auto"/>
            <w:noWrap/>
            <w:vAlign w:val="center"/>
            <w:hideMark/>
          </w:tcPr>
          <w:p w14:paraId="636C6CCC"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14.8</w:t>
            </w:r>
          </w:p>
        </w:tc>
        <w:tc>
          <w:tcPr>
            <w:tcW w:w="714" w:type="pct"/>
            <w:tcBorders>
              <w:top w:val="nil"/>
              <w:left w:val="nil"/>
              <w:bottom w:val="nil"/>
              <w:right w:val="nil"/>
            </w:tcBorders>
            <w:shd w:val="clear" w:color="auto" w:fill="auto"/>
            <w:noWrap/>
            <w:vAlign w:val="center"/>
            <w:hideMark/>
          </w:tcPr>
          <w:p w14:paraId="5196C5C5"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p>
        </w:tc>
      </w:tr>
      <w:tr w:rsidR="007D3FBA" w:rsidRPr="009E1865" w14:paraId="3837177A" w14:textId="77777777" w:rsidTr="00F0476A">
        <w:trPr>
          <w:jc w:val="center"/>
        </w:trPr>
        <w:tc>
          <w:tcPr>
            <w:tcW w:w="715" w:type="pct"/>
            <w:tcBorders>
              <w:top w:val="nil"/>
              <w:left w:val="nil"/>
              <w:bottom w:val="single" w:sz="8" w:space="0" w:color="auto"/>
              <w:right w:val="nil"/>
            </w:tcBorders>
            <w:shd w:val="clear" w:color="auto" w:fill="auto"/>
            <w:noWrap/>
            <w:vAlign w:val="center"/>
            <w:hideMark/>
          </w:tcPr>
          <w:p w14:paraId="2154EA73"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No. of chronic diseases</w:t>
            </w:r>
          </w:p>
        </w:tc>
        <w:tc>
          <w:tcPr>
            <w:tcW w:w="714" w:type="pct"/>
            <w:tcBorders>
              <w:top w:val="nil"/>
              <w:left w:val="nil"/>
              <w:bottom w:val="single" w:sz="8" w:space="0" w:color="auto"/>
              <w:right w:val="nil"/>
            </w:tcBorders>
            <w:shd w:val="clear" w:color="auto" w:fill="auto"/>
            <w:noWrap/>
            <w:vAlign w:val="center"/>
            <w:hideMark/>
          </w:tcPr>
          <w:p w14:paraId="51B3087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Mean (SD)</w:t>
            </w:r>
          </w:p>
        </w:tc>
        <w:tc>
          <w:tcPr>
            <w:tcW w:w="714" w:type="pct"/>
            <w:tcBorders>
              <w:top w:val="nil"/>
              <w:left w:val="nil"/>
              <w:bottom w:val="single" w:sz="8" w:space="0" w:color="auto"/>
              <w:right w:val="nil"/>
            </w:tcBorders>
            <w:shd w:val="clear" w:color="auto" w:fill="auto"/>
            <w:noWrap/>
            <w:vAlign w:val="center"/>
            <w:hideMark/>
          </w:tcPr>
          <w:p w14:paraId="5C593431"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2.1 (2.8)</w:t>
            </w:r>
          </w:p>
        </w:tc>
        <w:tc>
          <w:tcPr>
            <w:tcW w:w="714" w:type="pct"/>
            <w:tcBorders>
              <w:top w:val="nil"/>
              <w:left w:val="nil"/>
              <w:bottom w:val="single" w:sz="8" w:space="0" w:color="auto"/>
              <w:right w:val="nil"/>
            </w:tcBorders>
            <w:shd w:val="clear" w:color="auto" w:fill="auto"/>
            <w:noWrap/>
            <w:vAlign w:val="center"/>
            <w:hideMark/>
          </w:tcPr>
          <w:p w14:paraId="65343003"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2.1 (2.7)</w:t>
            </w:r>
          </w:p>
        </w:tc>
        <w:tc>
          <w:tcPr>
            <w:tcW w:w="714" w:type="pct"/>
            <w:tcBorders>
              <w:top w:val="nil"/>
              <w:left w:val="nil"/>
              <w:bottom w:val="single" w:sz="8" w:space="0" w:color="auto"/>
              <w:right w:val="nil"/>
            </w:tcBorders>
            <w:shd w:val="clear" w:color="auto" w:fill="auto"/>
            <w:noWrap/>
            <w:vAlign w:val="center"/>
            <w:hideMark/>
          </w:tcPr>
          <w:p w14:paraId="1E22D8BB"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2.4 (3.7)</w:t>
            </w:r>
          </w:p>
        </w:tc>
        <w:tc>
          <w:tcPr>
            <w:tcW w:w="714" w:type="pct"/>
            <w:tcBorders>
              <w:top w:val="nil"/>
              <w:left w:val="nil"/>
              <w:bottom w:val="single" w:sz="8" w:space="0" w:color="auto"/>
              <w:right w:val="nil"/>
            </w:tcBorders>
            <w:shd w:val="clear" w:color="auto" w:fill="auto"/>
            <w:noWrap/>
            <w:vAlign w:val="center"/>
            <w:hideMark/>
          </w:tcPr>
          <w:p w14:paraId="39E13827"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2.6 (4.1)</w:t>
            </w:r>
          </w:p>
        </w:tc>
        <w:tc>
          <w:tcPr>
            <w:tcW w:w="714" w:type="pct"/>
            <w:tcBorders>
              <w:top w:val="nil"/>
              <w:left w:val="nil"/>
              <w:bottom w:val="single" w:sz="8" w:space="0" w:color="auto"/>
              <w:right w:val="nil"/>
            </w:tcBorders>
            <w:shd w:val="clear" w:color="auto" w:fill="auto"/>
            <w:noWrap/>
            <w:vAlign w:val="center"/>
            <w:hideMark/>
          </w:tcPr>
          <w:p w14:paraId="10340F2E" w14:textId="77777777" w:rsidR="007D3FBA" w:rsidRPr="009E1865" w:rsidRDefault="007D3FB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&lt;0.001</w:t>
            </w:r>
          </w:p>
        </w:tc>
      </w:tr>
    </w:tbl>
    <w:p w14:paraId="348C6CE7" w14:textId="77777777" w:rsidR="007D3FBA" w:rsidRPr="009E1865" w:rsidRDefault="007D3FBA" w:rsidP="00F0476A">
      <w:pPr>
        <w:pStyle w:val="MDPI43tablefooter"/>
        <w:ind w:left="425" w:right="425"/>
        <w:jc w:val="both"/>
        <w:rPr>
          <w:color w:val="000000" w:themeColor="text1"/>
        </w:rPr>
      </w:pPr>
      <w:r w:rsidRPr="009E1865">
        <w:rPr>
          <w:color w:val="000000" w:themeColor="text1"/>
        </w:rPr>
        <w:t>Abbreviation: SD Standard deviation; BMI Body mass index</w:t>
      </w:r>
      <w:r w:rsidR="00F0476A" w:rsidRPr="009E1865">
        <w:rPr>
          <w:color w:val="000000" w:themeColor="text1"/>
        </w:rPr>
        <w:t xml:space="preserve">; </w:t>
      </w:r>
      <w:r w:rsidRPr="009E1865">
        <w:rPr>
          <w:color w:val="000000" w:themeColor="text1"/>
          <w:vertAlign w:val="superscript"/>
        </w:rPr>
        <w:t>a</w:t>
      </w:r>
      <w:r w:rsidRPr="009E1865">
        <w:rPr>
          <w:color w:val="000000" w:themeColor="text1"/>
        </w:rPr>
        <w:t xml:space="preserve"> P-value was obtained by Chi-squared test and one-way ANOVA for categorical and continuous variables, respectively.</w:t>
      </w:r>
    </w:p>
    <w:p w14:paraId="0A3A9BA2" w14:textId="77777777" w:rsidR="007D3FBA" w:rsidRPr="009E1865" w:rsidRDefault="007D3FBA" w:rsidP="00F0476A">
      <w:pPr>
        <w:pStyle w:val="MDPI31text"/>
        <w:ind w:left="0" w:firstLine="0"/>
        <w:rPr>
          <w:color w:val="000000" w:themeColor="text1"/>
        </w:rPr>
      </w:pPr>
    </w:p>
    <w:p w14:paraId="057154CC" w14:textId="77777777" w:rsidR="00D47EA5" w:rsidRPr="009E1865" w:rsidRDefault="00D47EA5" w:rsidP="00F0476A">
      <w:pPr>
        <w:pStyle w:val="MDPI31text"/>
        <w:rPr>
          <w:color w:val="000000" w:themeColor="text1"/>
        </w:rPr>
      </w:pPr>
    </w:p>
    <w:p w14:paraId="67CEB966" w14:textId="77777777" w:rsidR="007D3FBA" w:rsidRPr="009E1865" w:rsidRDefault="007D3FBA" w:rsidP="00F0476A">
      <w:pPr>
        <w:pStyle w:val="MDPI31text"/>
        <w:rPr>
          <w:color w:val="000000" w:themeColor="text1"/>
        </w:rPr>
      </w:pPr>
    </w:p>
    <w:p w14:paraId="00AB6D1A" w14:textId="77777777" w:rsidR="007D3FBA" w:rsidRPr="009E1865" w:rsidRDefault="007D3FBA" w:rsidP="00F0476A">
      <w:pPr>
        <w:pStyle w:val="MDPI31text"/>
        <w:rPr>
          <w:color w:val="000000" w:themeColor="text1"/>
        </w:rPr>
      </w:pPr>
    </w:p>
    <w:p w14:paraId="4B853943" w14:textId="77777777" w:rsidR="003564B6" w:rsidRPr="009E1865" w:rsidRDefault="003564B6" w:rsidP="00F0476A">
      <w:pPr>
        <w:pStyle w:val="MDPI31text"/>
        <w:rPr>
          <w:color w:val="000000" w:themeColor="text1"/>
        </w:rPr>
        <w:sectPr w:rsidR="003564B6" w:rsidRPr="009E1865" w:rsidSect="00F0476A">
          <w:headerReference w:type="even" r:id="rId8"/>
          <w:headerReference w:type="default" r:id="rId9"/>
          <w:footerReference w:type="default" r:id="rId10"/>
          <w:headerReference w:type="first" r:id="rId11"/>
          <w:footerReference w:type="first" r:id="rId12"/>
          <w:type w:val="continuous"/>
          <w:pgSz w:w="11906" w:h="16838" w:code="9"/>
          <w:pgMar w:top="1417" w:right="720" w:bottom="1077" w:left="720" w:header="1020" w:footer="340" w:gutter="0"/>
          <w:lnNumType w:countBy="1" w:distance="255" w:restart="continuous"/>
          <w:pgNumType w:start="1"/>
          <w:cols w:space="425"/>
          <w:titlePg/>
          <w:bidi/>
          <w:docGrid w:type="lines" w:linePitch="326"/>
        </w:sectPr>
      </w:pPr>
    </w:p>
    <w:p w14:paraId="50F2AFBC" w14:textId="77777777" w:rsidR="007D3FBA" w:rsidRPr="009E1865" w:rsidRDefault="00F0476A" w:rsidP="00F0476A">
      <w:pPr>
        <w:pStyle w:val="MDPI41tablecaption"/>
        <w:ind w:left="425" w:right="425"/>
        <w:jc w:val="center"/>
        <w:rPr>
          <w:color w:val="000000" w:themeColor="text1"/>
        </w:rPr>
      </w:pPr>
      <w:r w:rsidRPr="009E1865">
        <w:rPr>
          <w:b/>
          <w:color w:val="000000" w:themeColor="text1"/>
        </w:rPr>
        <w:lastRenderedPageBreak/>
        <w:t xml:space="preserve">Table 2. </w:t>
      </w:r>
      <w:r w:rsidRPr="009E1865">
        <w:rPr>
          <w:color w:val="000000" w:themeColor="text1"/>
        </w:rPr>
        <w:t>Association between food insecurity and sarcopenia (outcome) estimated by multivariable logistic regression.</w:t>
      </w:r>
    </w:p>
    <w:tbl>
      <w:tblPr>
        <w:tblW w:w="10465" w:type="dxa"/>
        <w:jc w:val="center"/>
        <w:tblLayout w:type="fixed"/>
        <w:tblCellMar>
          <w:left w:w="0" w:type="dxa"/>
          <w:right w:w="0" w:type="dxa"/>
        </w:tblCellMar>
        <w:tblLook w:val="04A0" w:firstRow="1" w:lastRow="0" w:firstColumn="1" w:lastColumn="0" w:noHBand="0" w:noVBand="1"/>
      </w:tblPr>
      <w:tblGrid>
        <w:gridCol w:w="1046"/>
        <w:gridCol w:w="1046"/>
        <w:gridCol w:w="1046"/>
        <w:gridCol w:w="1046"/>
        <w:gridCol w:w="1046"/>
        <w:gridCol w:w="1047"/>
        <w:gridCol w:w="1047"/>
        <w:gridCol w:w="1047"/>
        <w:gridCol w:w="1047"/>
        <w:gridCol w:w="1047"/>
      </w:tblGrid>
      <w:tr w:rsidR="00F0476A" w:rsidRPr="009E1865" w14:paraId="20F119AB" w14:textId="77777777" w:rsidTr="00F0476A">
        <w:trPr>
          <w:jc w:val="center"/>
        </w:trPr>
        <w:tc>
          <w:tcPr>
            <w:tcW w:w="20" w:type="dxa"/>
            <w:tcBorders>
              <w:top w:val="single" w:sz="8" w:space="0" w:color="auto"/>
              <w:left w:val="nil"/>
              <w:right w:val="nil"/>
            </w:tcBorders>
            <w:shd w:val="clear" w:color="auto" w:fill="auto"/>
            <w:noWrap/>
            <w:vAlign w:val="center"/>
            <w:hideMark/>
          </w:tcPr>
          <w:p w14:paraId="094C8FEC" w14:textId="77777777" w:rsidR="00BE278E" w:rsidRPr="009E1865" w:rsidRDefault="00F0476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 xml:space="preserve"> </w:t>
            </w:r>
          </w:p>
        </w:tc>
        <w:tc>
          <w:tcPr>
            <w:tcW w:w="20" w:type="dxa"/>
            <w:tcBorders>
              <w:top w:val="single" w:sz="8" w:space="0" w:color="auto"/>
              <w:left w:val="nil"/>
            </w:tcBorders>
            <w:shd w:val="clear" w:color="auto" w:fill="auto"/>
            <w:noWrap/>
            <w:vAlign w:val="center"/>
            <w:hideMark/>
          </w:tcPr>
          <w:p w14:paraId="593A154B" w14:textId="77777777" w:rsidR="00BE278E" w:rsidRPr="009E1865" w:rsidRDefault="00F0476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 xml:space="preserve"> </w:t>
            </w:r>
          </w:p>
        </w:tc>
        <w:tc>
          <w:tcPr>
            <w:tcW w:w="40" w:type="dxa"/>
            <w:gridSpan w:val="2"/>
            <w:tcBorders>
              <w:top w:val="single" w:sz="8" w:space="0" w:color="auto"/>
              <w:bottom w:val="single" w:sz="4" w:space="0" w:color="auto"/>
            </w:tcBorders>
            <w:shd w:val="clear" w:color="auto" w:fill="auto"/>
            <w:noWrap/>
            <w:vAlign w:val="center"/>
            <w:hideMark/>
          </w:tcPr>
          <w:p w14:paraId="244FBFCE" w14:textId="77777777" w:rsidR="00BE278E" w:rsidRPr="009E1865" w:rsidRDefault="00BE278E"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Model 1</w:t>
            </w:r>
          </w:p>
        </w:tc>
        <w:tc>
          <w:tcPr>
            <w:tcW w:w="40" w:type="dxa"/>
            <w:gridSpan w:val="2"/>
            <w:tcBorders>
              <w:top w:val="single" w:sz="8" w:space="0" w:color="auto"/>
              <w:bottom w:val="single" w:sz="4" w:space="0" w:color="auto"/>
            </w:tcBorders>
            <w:shd w:val="clear" w:color="auto" w:fill="auto"/>
            <w:noWrap/>
            <w:vAlign w:val="center"/>
            <w:hideMark/>
          </w:tcPr>
          <w:p w14:paraId="227E0858" w14:textId="77777777" w:rsidR="00BE278E" w:rsidRPr="009E1865" w:rsidRDefault="00BE278E"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Model 2</w:t>
            </w:r>
          </w:p>
        </w:tc>
        <w:tc>
          <w:tcPr>
            <w:tcW w:w="40" w:type="dxa"/>
            <w:gridSpan w:val="2"/>
            <w:tcBorders>
              <w:top w:val="single" w:sz="8" w:space="0" w:color="auto"/>
              <w:bottom w:val="single" w:sz="4" w:space="0" w:color="auto"/>
            </w:tcBorders>
            <w:shd w:val="clear" w:color="auto" w:fill="auto"/>
            <w:noWrap/>
            <w:vAlign w:val="center"/>
            <w:hideMark/>
          </w:tcPr>
          <w:p w14:paraId="5812EEE2" w14:textId="77777777" w:rsidR="00BE278E" w:rsidRPr="009E1865" w:rsidRDefault="00BE278E"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Model 3</w:t>
            </w:r>
          </w:p>
        </w:tc>
        <w:tc>
          <w:tcPr>
            <w:tcW w:w="40" w:type="dxa"/>
            <w:gridSpan w:val="2"/>
            <w:tcBorders>
              <w:top w:val="single" w:sz="8" w:space="0" w:color="auto"/>
              <w:bottom w:val="single" w:sz="4" w:space="0" w:color="auto"/>
            </w:tcBorders>
            <w:shd w:val="clear" w:color="auto" w:fill="auto"/>
            <w:noWrap/>
            <w:vAlign w:val="center"/>
            <w:hideMark/>
          </w:tcPr>
          <w:p w14:paraId="696348EA" w14:textId="77777777" w:rsidR="00BE278E" w:rsidRPr="009E1865" w:rsidRDefault="00BE278E"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Model 4</w:t>
            </w:r>
          </w:p>
        </w:tc>
      </w:tr>
      <w:tr w:rsidR="00F0476A" w:rsidRPr="009E1865" w14:paraId="719BC24E" w14:textId="77777777" w:rsidTr="00F0476A">
        <w:trPr>
          <w:jc w:val="center"/>
        </w:trPr>
        <w:tc>
          <w:tcPr>
            <w:tcW w:w="20" w:type="dxa"/>
            <w:tcBorders>
              <w:left w:val="nil"/>
              <w:bottom w:val="single" w:sz="4" w:space="0" w:color="auto"/>
              <w:right w:val="nil"/>
            </w:tcBorders>
            <w:shd w:val="clear" w:color="auto" w:fill="auto"/>
            <w:noWrap/>
            <w:vAlign w:val="center"/>
            <w:hideMark/>
          </w:tcPr>
          <w:p w14:paraId="5C7274BC" w14:textId="77777777" w:rsidR="003564B6" w:rsidRPr="009E1865" w:rsidRDefault="003564B6"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Characteristic</w:t>
            </w:r>
          </w:p>
        </w:tc>
        <w:tc>
          <w:tcPr>
            <w:tcW w:w="20" w:type="dxa"/>
            <w:tcBorders>
              <w:left w:val="nil"/>
              <w:bottom w:val="single" w:sz="4" w:space="0" w:color="auto"/>
              <w:right w:val="nil"/>
            </w:tcBorders>
            <w:shd w:val="clear" w:color="auto" w:fill="auto"/>
            <w:noWrap/>
            <w:vAlign w:val="center"/>
            <w:hideMark/>
          </w:tcPr>
          <w:p w14:paraId="2DF5324E" w14:textId="77777777" w:rsidR="003564B6" w:rsidRPr="009E1865" w:rsidRDefault="00F0476A"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 xml:space="preserve"> </w:t>
            </w:r>
          </w:p>
        </w:tc>
        <w:tc>
          <w:tcPr>
            <w:tcW w:w="20" w:type="dxa"/>
            <w:tcBorders>
              <w:top w:val="single" w:sz="4" w:space="0" w:color="auto"/>
              <w:left w:val="nil"/>
              <w:bottom w:val="single" w:sz="4" w:space="0" w:color="auto"/>
              <w:right w:val="nil"/>
            </w:tcBorders>
            <w:shd w:val="clear" w:color="auto" w:fill="auto"/>
            <w:noWrap/>
            <w:vAlign w:val="center"/>
            <w:hideMark/>
          </w:tcPr>
          <w:p w14:paraId="3297A44B" w14:textId="77777777" w:rsidR="003564B6" w:rsidRPr="009E1865" w:rsidRDefault="003564B6"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OR</w:t>
            </w:r>
          </w:p>
        </w:tc>
        <w:tc>
          <w:tcPr>
            <w:tcW w:w="20" w:type="dxa"/>
            <w:tcBorders>
              <w:top w:val="single" w:sz="4" w:space="0" w:color="auto"/>
              <w:left w:val="nil"/>
              <w:bottom w:val="single" w:sz="4" w:space="0" w:color="auto"/>
              <w:right w:val="nil"/>
            </w:tcBorders>
            <w:shd w:val="clear" w:color="auto" w:fill="auto"/>
            <w:noWrap/>
            <w:vAlign w:val="center"/>
            <w:hideMark/>
          </w:tcPr>
          <w:p w14:paraId="7E868F6F" w14:textId="77777777" w:rsidR="003564B6" w:rsidRPr="009E1865" w:rsidRDefault="003564B6"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95%CI</w:t>
            </w:r>
          </w:p>
        </w:tc>
        <w:tc>
          <w:tcPr>
            <w:tcW w:w="20" w:type="dxa"/>
            <w:tcBorders>
              <w:top w:val="single" w:sz="4" w:space="0" w:color="auto"/>
              <w:left w:val="nil"/>
              <w:bottom w:val="single" w:sz="4" w:space="0" w:color="auto"/>
              <w:right w:val="nil"/>
            </w:tcBorders>
            <w:shd w:val="clear" w:color="auto" w:fill="auto"/>
            <w:noWrap/>
            <w:vAlign w:val="center"/>
            <w:hideMark/>
          </w:tcPr>
          <w:p w14:paraId="0B398C64" w14:textId="77777777" w:rsidR="003564B6" w:rsidRPr="009E1865" w:rsidRDefault="003564B6"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OR</w:t>
            </w:r>
          </w:p>
        </w:tc>
        <w:tc>
          <w:tcPr>
            <w:tcW w:w="20" w:type="dxa"/>
            <w:tcBorders>
              <w:top w:val="single" w:sz="4" w:space="0" w:color="auto"/>
              <w:left w:val="nil"/>
              <w:bottom w:val="single" w:sz="4" w:space="0" w:color="auto"/>
              <w:right w:val="nil"/>
            </w:tcBorders>
            <w:shd w:val="clear" w:color="auto" w:fill="auto"/>
            <w:noWrap/>
            <w:vAlign w:val="center"/>
            <w:hideMark/>
          </w:tcPr>
          <w:p w14:paraId="39CB7D91" w14:textId="77777777" w:rsidR="003564B6" w:rsidRPr="009E1865" w:rsidRDefault="003564B6"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95%CI</w:t>
            </w:r>
          </w:p>
        </w:tc>
        <w:tc>
          <w:tcPr>
            <w:tcW w:w="20" w:type="dxa"/>
            <w:tcBorders>
              <w:top w:val="single" w:sz="4" w:space="0" w:color="auto"/>
              <w:left w:val="nil"/>
              <w:bottom w:val="single" w:sz="4" w:space="0" w:color="auto"/>
              <w:right w:val="nil"/>
            </w:tcBorders>
            <w:shd w:val="clear" w:color="auto" w:fill="auto"/>
            <w:noWrap/>
            <w:vAlign w:val="center"/>
            <w:hideMark/>
          </w:tcPr>
          <w:p w14:paraId="4E9D0814" w14:textId="77777777" w:rsidR="003564B6" w:rsidRPr="009E1865" w:rsidRDefault="003564B6"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OR</w:t>
            </w:r>
          </w:p>
        </w:tc>
        <w:tc>
          <w:tcPr>
            <w:tcW w:w="20" w:type="dxa"/>
            <w:tcBorders>
              <w:top w:val="single" w:sz="4" w:space="0" w:color="auto"/>
              <w:left w:val="nil"/>
              <w:bottom w:val="single" w:sz="4" w:space="0" w:color="auto"/>
              <w:right w:val="nil"/>
            </w:tcBorders>
            <w:shd w:val="clear" w:color="auto" w:fill="auto"/>
            <w:noWrap/>
            <w:vAlign w:val="center"/>
            <w:hideMark/>
          </w:tcPr>
          <w:p w14:paraId="794BD063" w14:textId="77777777" w:rsidR="003564B6" w:rsidRPr="009E1865" w:rsidRDefault="003564B6"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95%CI</w:t>
            </w:r>
          </w:p>
        </w:tc>
        <w:tc>
          <w:tcPr>
            <w:tcW w:w="20" w:type="dxa"/>
            <w:tcBorders>
              <w:top w:val="single" w:sz="4" w:space="0" w:color="auto"/>
              <w:left w:val="nil"/>
              <w:bottom w:val="single" w:sz="4" w:space="0" w:color="auto"/>
              <w:right w:val="nil"/>
            </w:tcBorders>
            <w:shd w:val="clear" w:color="auto" w:fill="auto"/>
            <w:noWrap/>
            <w:vAlign w:val="center"/>
            <w:hideMark/>
          </w:tcPr>
          <w:p w14:paraId="6C866018" w14:textId="77777777" w:rsidR="003564B6" w:rsidRPr="009E1865" w:rsidRDefault="003564B6"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OR</w:t>
            </w:r>
          </w:p>
        </w:tc>
        <w:tc>
          <w:tcPr>
            <w:tcW w:w="20" w:type="dxa"/>
            <w:tcBorders>
              <w:top w:val="single" w:sz="4" w:space="0" w:color="auto"/>
              <w:left w:val="nil"/>
              <w:bottom w:val="single" w:sz="4" w:space="0" w:color="auto"/>
              <w:right w:val="nil"/>
            </w:tcBorders>
            <w:shd w:val="clear" w:color="auto" w:fill="auto"/>
            <w:noWrap/>
            <w:vAlign w:val="center"/>
            <w:hideMark/>
          </w:tcPr>
          <w:p w14:paraId="7A217BEA" w14:textId="77777777" w:rsidR="003564B6" w:rsidRPr="009E1865" w:rsidRDefault="003564B6" w:rsidP="00F0476A">
            <w:pPr>
              <w:autoSpaceDE w:val="0"/>
              <w:autoSpaceDN w:val="0"/>
              <w:adjustRightInd w:val="0"/>
              <w:snapToGrid w:val="0"/>
              <w:spacing w:line="240" w:lineRule="auto"/>
              <w:jc w:val="center"/>
              <w:rPr>
                <w:b/>
                <w:noProof w:val="0"/>
                <w:color w:val="000000" w:themeColor="text1"/>
                <w:sz w:val="18"/>
              </w:rPr>
            </w:pPr>
            <w:r w:rsidRPr="009E1865">
              <w:rPr>
                <w:b/>
                <w:noProof w:val="0"/>
                <w:color w:val="000000" w:themeColor="text1"/>
                <w:sz w:val="18"/>
              </w:rPr>
              <w:t>95%CI</w:t>
            </w:r>
          </w:p>
        </w:tc>
      </w:tr>
      <w:tr w:rsidR="00F0476A" w:rsidRPr="009E1865" w14:paraId="6CE7FDD4" w14:textId="77777777" w:rsidTr="00F0476A">
        <w:trPr>
          <w:jc w:val="center"/>
        </w:trPr>
        <w:tc>
          <w:tcPr>
            <w:tcW w:w="20" w:type="dxa"/>
            <w:tcBorders>
              <w:top w:val="single" w:sz="4" w:space="0" w:color="auto"/>
              <w:left w:val="nil"/>
              <w:bottom w:val="nil"/>
              <w:right w:val="nil"/>
            </w:tcBorders>
            <w:shd w:val="clear" w:color="auto" w:fill="auto"/>
            <w:noWrap/>
            <w:vAlign w:val="center"/>
            <w:hideMark/>
          </w:tcPr>
          <w:p w14:paraId="7F7A25B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Food insecurity</w:t>
            </w:r>
          </w:p>
        </w:tc>
        <w:tc>
          <w:tcPr>
            <w:tcW w:w="20" w:type="dxa"/>
            <w:tcBorders>
              <w:top w:val="single" w:sz="4" w:space="0" w:color="auto"/>
              <w:left w:val="nil"/>
              <w:bottom w:val="nil"/>
              <w:right w:val="nil"/>
            </w:tcBorders>
            <w:shd w:val="clear" w:color="auto" w:fill="auto"/>
            <w:noWrap/>
            <w:vAlign w:val="center"/>
            <w:hideMark/>
          </w:tcPr>
          <w:p w14:paraId="0C06CA2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None</w:t>
            </w:r>
          </w:p>
        </w:tc>
        <w:tc>
          <w:tcPr>
            <w:tcW w:w="20" w:type="dxa"/>
            <w:tcBorders>
              <w:top w:val="single" w:sz="4" w:space="0" w:color="auto"/>
              <w:left w:val="nil"/>
              <w:bottom w:val="nil"/>
              <w:right w:val="nil"/>
            </w:tcBorders>
            <w:shd w:val="clear" w:color="auto" w:fill="auto"/>
            <w:noWrap/>
            <w:vAlign w:val="center"/>
            <w:hideMark/>
          </w:tcPr>
          <w:p w14:paraId="7B863C2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single" w:sz="4" w:space="0" w:color="auto"/>
              <w:left w:val="nil"/>
              <w:bottom w:val="nil"/>
              <w:right w:val="nil"/>
            </w:tcBorders>
            <w:shd w:val="clear" w:color="auto" w:fill="auto"/>
            <w:noWrap/>
            <w:vAlign w:val="center"/>
            <w:hideMark/>
          </w:tcPr>
          <w:p w14:paraId="67BF1D1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single" w:sz="4" w:space="0" w:color="auto"/>
              <w:left w:val="nil"/>
              <w:bottom w:val="nil"/>
              <w:right w:val="nil"/>
            </w:tcBorders>
            <w:shd w:val="clear" w:color="auto" w:fill="auto"/>
            <w:noWrap/>
            <w:vAlign w:val="center"/>
            <w:hideMark/>
          </w:tcPr>
          <w:p w14:paraId="29CB71F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single" w:sz="4" w:space="0" w:color="auto"/>
              <w:left w:val="nil"/>
              <w:bottom w:val="nil"/>
              <w:right w:val="nil"/>
            </w:tcBorders>
            <w:shd w:val="clear" w:color="auto" w:fill="auto"/>
            <w:noWrap/>
            <w:vAlign w:val="center"/>
            <w:hideMark/>
          </w:tcPr>
          <w:p w14:paraId="7CE0DC0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single" w:sz="4" w:space="0" w:color="auto"/>
              <w:left w:val="nil"/>
              <w:bottom w:val="nil"/>
              <w:right w:val="nil"/>
            </w:tcBorders>
            <w:shd w:val="clear" w:color="auto" w:fill="auto"/>
            <w:noWrap/>
            <w:vAlign w:val="center"/>
            <w:hideMark/>
          </w:tcPr>
          <w:p w14:paraId="596733E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single" w:sz="4" w:space="0" w:color="auto"/>
              <w:left w:val="nil"/>
              <w:bottom w:val="nil"/>
              <w:right w:val="nil"/>
            </w:tcBorders>
            <w:shd w:val="clear" w:color="auto" w:fill="auto"/>
            <w:noWrap/>
            <w:vAlign w:val="center"/>
            <w:hideMark/>
          </w:tcPr>
          <w:p w14:paraId="673EA93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single" w:sz="4" w:space="0" w:color="auto"/>
              <w:left w:val="nil"/>
              <w:bottom w:val="nil"/>
              <w:right w:val="nil"/>
            </w:tcBorders>
            <w:shd w:val="clear" w:color="auto" w:fill="auto"/>
            <w:noWrap/>
            <w:vAlign w:val="center"/>
            <w:hideMark/>
          </w:tcPr>
          <w:p w14:paraId="69ED7DD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single" w:sz="4" w:space="0" w:color="auto"/>
              <w:left w:val="nil"/>
              <w:bottom w:val="nil"/>
              <w:right w:val="nil"/>
            </w:tcBorders>
            <w:shd w:val="clear" w:color="auto" w:fill="auto"/>
            <w:noWrap/>
            <w:vAlign w:val="center"/>
            <w:hideMark/>
          </w:tcPr>
          <w:p w14:paraId="57016E0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r>
      <w:tr w:rsidR="00F0476A" w:rsidRPr="009E1865" w14:paraId="30D97099" w14:textId="77777777" w:rsidTr="00F0476A">
        <w:trPr>
          <w:jc w:val="center"/>
        </w:trPr>
        <w:tc>
          <w:tcPr>
            <w:tcW w:w="20" w:type="dxa"/>
            <w:tcBorders>
              <w:top w:val="nil"/>
              <w:left w:val="nil"/>
              <w:bottom w:val="nil"/>
              <w:right w:val="nil"/>
            </w:tcBorders>
            <w:shd w:val="clear" w:color="auto" w:fill="auto"/>
            <w:noWrap/>
            <w:vAlign w:val="center"/>
            <w:hideMark/>
          </w:tcPr>
          <w:p w14:paraId="1B0199B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771CF8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Moderate</w:t>
            </w:r>
          </w:p>
        </w:tc>
        <w:tc>
          <w:tcPr>
            <w:tcW w:w="20" w:type="dxa"/>
            <w:tcBorders>
              <w:top w:val="nil"/>
              <w:left w:val="nil"/>
              <w:bottom w:val="nil"/>
              <w:right w:val="nil"/>
            </w:tcBorders>
            <w:shd w:val="clear" w:color="auto" w:fill="auto"/>
            <w:noWrap/>
            <w:vAlign w:val="center"/>
            <w:hideMark/>
          </w:tcPr>
          <w:p w14:paraId="543338A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0.82</w:t>
            </w:r>
          </w:p>
        </w:tc>
        <w:tc>
          <w:tcPr>
            <w:tcW w:w="20" w:type="dxa"/>
            <w:tcBorders>
              <w:top w:val="nil"/>
              <w:left w:val="nil"/>
              <w:bottom w:val="nil"/>
              <w:right w:val="nil"/>
            </w:tcBorders>
            <w:shd w:val="clear" w:color="auto" w:fill="auto"/>
            <w:noWrap/>
            <w:vAlign w:val="center"/>
            <w:hideMark/>
          </w:tcPr>
          <w:p w14:paraId="4C11F50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[0.56,1.21]</w:t>
            </w:r>
          </w:p>
        </w:tc>
        <w:tc>
          <w:tcPr>
            <w:tcW w:w="20" w:type="dxa"/>
            <w:tcBorders>
              <w:top w:val="nil"/>
              <w:left w:val="nil"/>
              <w:bottom w:val="nil"/>
              <w:right w:val="nil"/>
            </w:tcBorders>
            <w:shd w:val="clear" w:color="auto" w:fill="auto"/>
            <w:noWrap/>
            <w:vAlign w:val="center"/>
            <w:hideMark/>
          </w:tcPr>
          <w:p w14:paraId="67F1DF8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0.84</w:t>
            </w:r>
          </w:p>
        </w:tc>
        <w:tc>
          <w:tcPr>
            <w:tcW w:w="20" w:type="dxa"/>
            <w:tcBorders>
              <w:top w:val="nil"/>
              <w:left w:val="nil"/>
              <w:bottom w:val="nil"/>
              <w:right w:val="nil"/>
            </w:tcBorders>
            <w:shd w:val="clear" w:color="auto" w:fill="auto"/>
            <w:noWrap/>
            <w:vAlign w:val="center"/>
            <w:hideMark/>
          </w:tcPr>
          <w:p w14:paraId="451899D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[0.57,1.25]</w:t>
            </w:r>
          </w:p>
        </w:tc>
        <w:tc>
          <w:tcPr>
            <w:tcW w:w="20" w:type="dxa"/>
            <w:tcBorders>
              <w:top w:val="nil"/>
              <w:left w:val="nil"/>
              <w:bottom w:val="nil"/>
              <w:right w:val="nil"/>
            </w:tcBorders>
            <w:shd w:val="clear" w:color="auto" w:fill="auto"/>
            <w:noWrap/>
            <w:vAlign w:val="center"/>
            <w:hideMark/>
          </w:tcPr>
          <w:p w14:paraId="5BD3244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0.87</w:t>
            </w:r>
          </w:p>
        </w:tc>
        <w:tc>
          <w:tcPr>
            <w:tcW w:w="20" w:type="dxa"/>
            <w:tcBorders>
              <w:top w:val="nil"/>
              <w:left w:val="nil"/>
              <w:bottom w:val="nil"/>
              <w:right w:val="nil"/>
            </w:tcBorders>
            <w:shd w:val="clear" w:color="auto" w:fill="auto"/>
            <w:noWrap/>
            <w:vAlign w:val="center"/>
            <w:hideMark/>
          </w:tcPr>
          <w:p w14:paraId="4E246B3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[0.59,1.28]</w:t>
            </w:r>
          </w:p>
        </w:tc>
        <w:tc>
          <w:tcPr>
            <w:tcW w:w="20" w:type="dxa"/>
            <w:tcBorders>
              <w:top w:val="nil"/>
              <w:left w:val="nil"/>
              <w:bottom w:val="nil"/>
              <w:right w:val="nil"/>
            </w:tcBorders>
            <w:shd w:val="clear" w:color="auto" w:fill="auto"/>
            <w:noWrap/>
            <w:vAlign w:val="center"/>
            <w:hideMark/>
          </w:tcPr>
          <w:p w14:paraId="66324DF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0.87</w:t>
            </w:r>
          </w:p>
        </w:tc>
        <w:tc>
          <w:tcPr>
            <w:tcW w:w="20" w:type="dxa"/>
            <w:tcBorders>
              <w:top w:val="nil"/>
              <w:left w:val="nil"/>
              <w:bottom w:val="nil"/>
              <w:right w:val="nil"/>
            </w:tcBorders>
            <w:shd w:val="clear" w:color="auto" w:fill="auto"/>
            <w:noWrap/>
            <w:vAlign w:val="center"/>
            <w:hideMark/>
          </w:tcPr>
          <w:p w14:paraId="32E5B18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[0.59,1.30]</w:t>
            </w:r>
          </w:p>
        </w:tc>
      </w:tr>
      <w:tr w:rsidR="00F0476A" w:rsidRPr="009E1865" w14:paraId="1E7CC937" w14:textId="77777777" w:rsidTr="00F0476A">
        <w:trPr>
          <w:jc w:val="center"/>
        </w:trPr>
        <w:tc>
          <w:tcPr>
            <w:tcW w:w="20" w:type="dxa"/>
            <w:tcBorders>
              <w:top w:val="nil"/>
              <w:left w:val="nil"/>
              <w:bottom w:val="nil"/>
              <w:right w:val="nil"/>
            </w:tcBorders>
            <w:shd w:val="clear" w:color="auto" w:fill="auto"/>
            <w:noWrap/>
            <w:vAlign w:val="center"/>
            <w:hideMark/>
          </w:tcPr>
          <w:p w14:paraId="20C1798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395FB84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Severe</w:t>
            </w:r>
          </w:p>
        </w:tc>
        <w:tc>
          <w:tcPr>
            <w:tcW w:w="20" w:type="dxa"/>
            <w:tcBorders>
              <w:top w:val="nil"/>
              <w:left w:val="nil"/>
              <w:bottom w:val="nil"/>
              <w:right w:val="nil"/>
            </w:tcBorders>
            <w:shd w:val="clear" w:color="auto" w:fill="auto"/>
            <w:noWrap/>
            <w:vAlign w:val="center"/>
            <w:hideMark/>
          </w:tcPr>
          <w:p w14:paraId="282DA19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1.98*</w:t>
            </w:r>
          </w:p>
        </w:tc>
        <w:tc>
          <w:tcPr>
            <w:tcW w:w="20" w:type="dxa"/>
            <w:tcBorders>
              <w:top w:val="nil"/>
              <w:left w:val="nil"/>
              <w:bottom w:val="nil"/>
              <w:right w:val="nil"/>
            </w:tcBorders>
            <w:shd w:val="clear" w:color="auto" w:fill="auto"/>
            <w:noWrap/>
            <w:vAlign w:val="center"/>
            <w:hideMark/>
          </w:tcPr>
          <w:p w14:paraId="799DB66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[1.10,3.58]</w:t>
            </w:r>
          </w:p>
        </w:tc>
        <w:tc>
          <w:tcPr>
            <w:tcW w:w="20" w:type="dxa"/>
            <w:tcBorders>
              <w:top w:val="nil"/>
              <w:left w:val="nil"/>
              <w:bottom w:val="nil"/>
              <w:right w:val="nil"/>
            </w:tcBorders>
            <w:shd w:val="clear" w:color="auto" w:fill="auto"/>
            <w:noWrap/>
            <w:vAlign w:val="center"/>
            <w:hideMark/>
          </w:tcPr>
          <w:p w14:paraId="326AD03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2.04*</w:t>
            </w:r>
          </w:p>
        </w:tc>
        <w:tc>
          <w:tcPr>
            <w:tcW w:w="20" w:type="dxa"/>
            <w:tcBorders>
              <w:top w:val="nil"/>
              <w:left w:val="nil"/>
              <w:bottom w:val="nil"/>
              <w:right w:val="nil"/>
            </w:tcBorders>
            <w:shd w:val="clear" w:color="auto" w:fill="auto"/>
            <w:noWrap/>
            <w:vAlign w:val="center"/>
            <w:hideMark/>
          </w:tcPr>
          <w:p w14:paraId="46C2257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[1.13,3.68]</w:t>
            </w:r>
          </w:p>
        </w:tc>
        <w:tc>
          <w:tcPr>
            <w:tcW w:w="20" w:type="dxa"/>
            <w:tcBorders>
              <w:top w:val="nil"/>
              <w:left w:val="nil"/>
              <w:bottom w:val="nil"/>
              <w:right w:val="nil"/>
            </w:tcBorders>
            <w:shd w:val="clear" w:color="auto" w:fill="auto"/>
            <w:noWrap/>
            <w:vAlign w:val="center"/>
            <w:hideMark/>
          </w:tcPr>
          <w:p w14:paraId="212355F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2.11*</w:t>
            </w:r>
          </w:p>
        </w:tc>
        <w:tc>
          <w:tcPr>
            <w:tcW w:w="20" w:type="dxa"/>
            <w:tcBorders>
              <w:top w:val="nil"/>
              <w:left w:val="nil"/>
              <w:bottom w:val="nil"/>
              <w:right w:val="nil"/>
            </w:tcBorders>
            <w:shd w:val="clear" w:color="auto" w:fill="auto"/>
            <w:noWrap/>
            <w:vAlign w:val="center"/>
            <w:hideMark/>
          </w:tcPr>
          <w:p w14:paraId="63A6A10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[1.16,3.85]</w:t>
            </w:r>
          </w:p>
        </w:tc>
        <w:tc>
          <w:tcPr>
            <w:tcW w:w="20" w:type="dxa"/>
            <w:tcBorders>
              <w:top w:val="nil"/>
              <w:left w:val="nil"/>
              <w:bottom w:val="nil"/>
              <w:right w:val="nil"/>
            </w:tcBorders>
            <w:shd w:val="clear" w:color="auto" w:fill="auto"/>
            <w:noWrap/>
            <w:vAlign w:val="center"/>
            <w:hideMark/>
          </w:tcPr>
          <w:p w14:paraId="0A7B71E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2.05*</w:t>
            </w:r>
          </w:p>
        </w:tc>
        <w:tc>
          <w:tcPr>
            <w:tcW w:w="20" w:type="dxa"/>
            <w:tcBorders>
              <w:top w:val="nil"/>
              <w:left w:val="nil"/>
              <w:bottom w:val="nil"/>
              <w:right w:val="nil"/>
            </w:tcBorders>
            <w:shd w:val="clear" w:color="auto" w:fill="auto"/>
            <w:noWrap/>
            <w:vAlign w:val="center"/>
            <w:hideMark/>
          </w:tcPr>
          <w:p w14:paraId="3CCCF91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[1.12,3.73]</w:t>
            </w:r>
          </w:p>
        </w:tc>
      </w:tr>
      <w:tr w:rsidR="00F0476A" w:rsidRPr="009E1865" w14:paraId="6F261286" w14:textId="77777777" w:rsidTr="00F0476A">
        <w:trPr>
          <w:jc w:val="center"/>
        </w:trPr>
        <w:tc>
          <w:tcPr>
            <w:tcW w:w="20" w:type="dxa"/>
            <w:tcBorders>
              <w:top w:val="nil"/>
              <w:left w:val="nil"/>
              <w:bottom w:val="nil"/>
              <w:right w:val="nil"/>
            </w:tcBorders>
            <w:shd w:val="clear" w:color="auto" w:fill="auto"/>
            <w:noWrap/>
            <w:vAlign w:val="center"/>
            <w:hideMark/>
          </w:tcPr>
          <w:p w14:paraId="343FFF0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Sex</w:t>
            </w:r>
          </w:p>
        </w:tc>
        <w:tc>
          <w:tcPr>
            <w:tcW w:w="20" w:type="dxa"/>
            <w:tcBorders>
              <w:top w:val="nil"/>
              <w:left w:val="nil"/>
              <w:bottom w:val="nil"/>
              <w:right w:val="nil"/>
            </w:tcBorders>
            <w:shd w:val="clear" w:color="auto" w:fill="auto"/>
            <w:noWrap/>
            <w:vAlign w:val="center"/>
            <w:hideMark/>
          </w:tcPr>
          <w:p w14:paraId="1626696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 xml:space="preserve">Male </w:t>
            </w:r>
          </w:p>
        </w:tc>
        <w:tc>
          <w:tcPr>
            <w:tcW w:w="20" w:type="dxa"/>
            <w:tcBorders>
              <w:top w:val="nil"/>
              <w:left w:val="nil"/>
              <w:bottom w:val="nil"/>
              <w:right w:val="nil"/>
            </w:tcBorders>
            <w:shd w:val="clear" w:color="auto" w:fill="auto"/>
            <w:noWrap/>
            <w:vAlign w:val="center"/>
            <w:hideMark/>
          </w:tcPr>
          <w:p w14:paraId="5AA7974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6A632B0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79757F4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2BA0D6A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5457BB4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44B8813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7542D0F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1F57320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r>
      <w:tr w:rsidR="00F0476A" w:rsidRPr="009E1865" w14:paraId="33F281B8" w14:textId="77777777" w:rsidTr="00F0476A">
        <w:trPr>
          <w:jc w:val="center"/>
        </w:trPr>
        <w:tc>
          <w:tcPr>
            <w:tcW w:w="20" w:type="dxa"/>
            <w:tcBorders>
              <w:top w:val="nil"/>
              <w:left w:val="nil"/>
              <w:bottom w:val="nil"/>
              <w:right w:val="nil"/>
            </w:tcBorders>
            <w:shd w:val="clear" w:color="auto" w:fill="auto"/>
            <w:noWrap/>
            <w:vAlign w:val="center"/>
            <w:hideMark/>
          </w:tcPr>
          <w:p w14:paraId="22A1876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9D55E6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Female</w:t>
            </w:r>
          </w:p>
        </w:tc>
        <w:tc>
          <w:tcPr>
            <w:tcW w:w="20" w:type="dxa"/>
            <w:tcBorders>
              <w:top w:val="nil"/>
              <w:left w:val="nil"/>
              <w:bottom w:val="nil"/>
              <w:right w:val="nil"/>
            </w:tcBorders>
            <w:shd w:val="clear" w:color="auto" w:fill="auto"/>
            <w:noWrap/>
            <w:vAlign w:val="center"/>
            <w:hideMark/>
          </w:tcPr>
          <w:p w14:paraId="79936E4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0.81*</w:t>
            </w:r>
          </w:p>
        </w:tc>
        <w:tc>
          <w:tcPr>
            <w:tcW w:w="20" w:type="dxa"/>
            <w:tcBorders>
              <w:top w:val="nil"/>
              <w:left w:val="nil"/>
              <w:bottom w:val="nil"/>
              <w:right w:val="nil"/>
            </w:tcBorders>
            <w:shd w:val="clear" w:color="auto" w:fill="auto"/>
            <w:noWrap/>
            <w:vAlign w:val="center"/>
            <w:hideMark/>
          </w:tcPr>
          <w:p w14:paraId="27FAAA5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[0.66,0.99]</w:t>
            </w:r>
          </w:p>
        </w:tc>
        <w:tc>
          <w:tcPr>
            <w:tcW w:w="20" w:type="dxa"/>
            <w:tcBorders>
              <w:top w:val="nil"/>
              <w:left w:val="nil"/>
              <w:bottom w:val="nil"/>
              <w:right w:val="nil"/>
            </w:tcBorders>
            <w:shd w:val="clear" w:color="auto" w:fill="auto"/>
            <w:noWrap/>
            <w:vAlign w:val="center"/>
            <w:hideMark/>
          </w:tcPr>
          <w:p w14:paraId="5665413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0.77*</w:t>
            </w:r>
          </w:p>
        </w:tc>
        <w:tc>
          <w:tcPr>
            <w:tcW w:w="20" w:type="dxa"/>
            <w:tcBorders>
              <w:top w:val="nil"/>
              <w:left w:val="nil"/>
              <w:bottom w:val="nil"/>
              <w:right w:val="nil"/>
            </w:tcBorders>
            <w:shd w:val="clear" w:color="auto" w:fill="auto"/>
            <w:noWrap/>
            <w:vAlign w:val="center"/>
            <w:hideMark/>
          </w:tcPr>
          <w:p w14:paraId="0582C52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[0.60,0.99]</w:t>
            </w:r>
          </w:p>
        </w:tc>
        <w:tc>
          <w:tcPr>
            <w:tcW w:w="20" w:type="dxa"/>
            <w:tcBorders>
              <w:top w:val="nil"/>
              <w:left w:val="nil"/>
              <w:bottom w:val="nil"/>
              <w:right w:val="nil"/>
            </w:tcBorders>
            <w:shd w:val="clear" w:color="auto" w:fill="auto"/>
            <w:noWrap/>
            <w:vAlign w:val="center"/>
            <w:hideMark/>
          </w:tcPr>
          <w:p w14:paraId="04D12BA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0.72*</w:t>
            </w:r>
          </w:p>
        </w:tc>
        <w:tc>
          <w:tcPr>
            <w:tcW w:w="20" w:type="dxa"/>
            <w:tcBorders>
              <w:top w:val="nil"/>
              <w:left w:val="nil"/>
              <w:bottom w:val="nil"/>
              <w:right w:val="nil"/>
            </w:tcBorders>
            <w:shd w:val="clear" w:color="auto" w:fill="auto"/>
            <w:noWrap/>
            <w:vAlign w:val="center"/>
            <w:hideMark/>
          </w:tcPr>
          <w:p w14:paraId="6785578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[0.56,0.93]</w:t>
            </w:r>
          </w:p>
        </w:tc>
        <w:tc>
          <w:tcPr>
            <w:tcW w:w="20" w:type="dxa"/>
            <w:tcBorders>
              <w:top w:val="nil"/>
              <w:left w:val="nil"/>
              <w:bottom w:val="nil"/>
              <w:right w:val="nil"/>
            </w:tcBorders>
            <w:shd w:val="clear" w:color="auto" w:fill="auto"/>
            <w:noWrap/>
            <w:vAlign w:val="center"/>
            <w:hideMark/>
          </w:tcPr>
          <w:p w14:paraId="017B9B0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0.72**</w:t>
            </w:r>
          </w:p>
        </w:tc>
        <w:tc>
          <w:tcPr>
            <w:tcW w:w="20" w:type="dxa"/>
            <w:tcBorders>
              <w:top w:val="nil"/>
              <w:left w:val="nil"/>
              <w:bottom w:val="nil"/>
              <w:right w:val="nil"/>
            </w:tcBorders>
            <w:shd w:val="clear" w:color="auto" w:fill="auto"/>
            <w:noWrap/>
            <w:vAlign w:val="center"/>
            <w:hideMark/>
          </w:tcPr>
          <w:p w14:paraId="7DF826B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[0.56,0.92]</w:t>
            </w:r>
          </w:p>
        </w:tc>
      </w:tr>
      <w:tr w:rsidR="00F0476A" w:rsidRPr="009E1865" w14:paraId="0070605F" w14:textId="77777777" w:rsidTr="00F0476A">
        <w:trPr>
          <w:jc w:val="center"/>
        </w:trPr>
        <w:tc>
          <w:tcPr>
            <w:tcW w:w="20" w:type="dxa"/>
            <w:tcBorders>
              <w:top w:val="nil"/>
              <w:left w:val="nil"/>
              <w:bottom w:val="nil"/>
              <w:right w:val="nil"/>
            </w:tcBorders>
            <w:shd w:val="clear" w:color="auto" w:fill="auto"/>
            <w:noWrap/>
            <w:vAlign w:val="center"/>
            <w:hideMark/>
          </w:tcPr>
          <w:p w14:paraId="79672E4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Age (years)</w:t>
            </w:r>
          </w:p>
        </w:tc>
        <w:tc>
          <w:tcPr>
            <w:tcW w:w="20" w:type="dxa"/>
            <w:tcBorders>
              <w:top w:val="nil"/>
              <w:left w:val="nil"/>
              <w:bottom w:val="nil"/>
              <w:right w:val="nil"/>
            </w:tcBorders>
            <w:shd w:val="clear" w:color="auto" w:fill="auto"/>
            <w:noWrap/>
            <w:vAlign w:val="center"/>
            <w:hideMark/>
          </w:tcPr>
          <w:p w14:paraId="06667F9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539364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1.12***</w:t>
            </w:r>
          </w:p>
        </w:tc>
        <w:tc>
          <w:tcPr>
            <w:tcW w:w="20" w:type="dxa"/>
            <w:tcBorders>
              <w:top w:val="nil"/>
              <w:left w:val="nil"/>
              <w:bottom w:val="nil"/>
              <w:right w:val="nil"/>
            </w:tcBorders>
            <w:shd w:val="clear" w:color="auto" w:fill="auto"/>
            <w:noWrap/>
            <w:vAlign w:val="center"/>
            <w:hideMark/>
          </w:tcPr>
          <w:p w14:paraId="1EE4B9C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[1.10,1.14]</w:t>
            </w:r>
          </w:p>
        </w:tc>
        <w:tc>
          <w:tcPr>
            <w:tcW w:w="20" w:type="dxa"/>
            <w:tcBorders>
              <w:top w:val="nil"/>
              <w:left w:val="nil"/>
              <w:bottom w:val="nil"/>
              <w:right w:val="nil"/>
            </w:tcBorders>
            <w:shd w:val="clear" w:color="auto" w:fill="auto"/>
            <w:noWrap/>
            <w:vAlign w:val="center"/>
            <w:hideMark/>
          </w:tcPr>
          <w:p w14:paraId="47B8F68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1.11***</w:t>
            </w:r>
          </w:p>
        </w:tc>
        <w:tc>
          <w:tcPr>
            <w:tcW w:w="20" w:type="dxa"/>
            <w:tcBorders>
              <w:top w:val="nil"/>
              <w:left w:val="nil"/>
              <w:bottom w:val="nil"/>
              <w:right w:val="nil"/>
            </w:tcBorders>
            <w:shd w:val="clear" w:color="auto" w:fill="auto"/>
            <w:noWrap/>
            <w:vAlign w:val="center"/>
            <w:hideMark/>
          </w:tcPr>
          <w:p w14:paraId="1DD6084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[1.10,1.13]</w:t>
            </w:r>
          </w:p>
        </w:tc>
        <w:tc>
          <w:tcPr>
            <w:tcW w:w="20" w:type="dxa"/>
            <w:tcBorders>
              <w:top w:val="nil"/>
              <w:left w:val="nil"/>
              <w:bottom w:val="nil"/>
              <w:right w:val="nil"/>
            </w:tcBorders>
            <w:shd w:val="clear" w:color="auto" w:fill="auto"/>
            <w:noWrap/>
            <w:vAlign w:val="center"/>
            <w:hideMark/>
          </w:tcPr>
          <w:p w14:paraId="3707B1C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1.12***</w:t>
            </w:r>
          </w:p>
        </w:tc>
        <w:tc>
          <w:tcPr>
            <w:tcW w:w="20" w:type="dxa"/>
            <w:tcBorders>
              <w:top w:val="nil"/>
              <w:left w:val="nil"/>
              <w:bottom w:val="nil"/>
              <w:right w:val="nil"/>
            </w:tcBorders>
            <w:shd w:val="clear" w:color="auto" w:fill="auto"/>
            <w:noWrap/>
            <w:vAlign w:val="center"/>
            <w:hideMark/>
          </w:tcPr>
          <w:p w14:paraId="3D3CFFE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[1.10,1.14]</w:t>
            </w:r>
          </w:p>
        </w:tc>
        <w:tc>
          <w:tcPr>
            <w:tcW w:w="20" w:type="dxa"/>
            <w:tcBorders>
              <w:top w:val="nil"/>
              <w:left w:val="nil"/>
              <w:bottom w:val="nil"/>
              <w:right w:val="nil"/>
            </w:tcBorders>
            <w:shd w:val="clear" w:color="auto" w:fill="auto"/>
            <w:noWrap/>
            <w:vAlign w:val="center"/>
            <w:hideMark/>
          </w:tcPr>
          <w:p w14:paraId="6832397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1.12***</w:t>
            </w:r>
          </w:p>
        </w:tc>
        <w:tc>
          <w:tcPr>
            <w:tcW w:w="20" w:type="dxa"/>
            <w:tcBorders>
              <w:top w:val="nil"/>
              <w:left w:val="nil"/>
              <w:bottom w:val="nil"/>
              <w:right w:val="nil"/>
            </w:tcBorders>
            <w:shd w:val="clear" w:color="auto" w:fill="auto"/>
            <w:noWrap/>
            <w:vAlign w:val="center"/>
            <w:hideMark/>
          </w:tcPr>
          <w:p w14:paraId="69D3E11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[1.10,1.14]</w:t>
            </w:r>
          </w:p>
        </w:tc>
      </w:tr>
      <w:tr w:rsidR="00F0476A" w:rsidRPr="009E1865" w14:paraId="59A1B154" w14:textId="77777777" w:rsidTr="00F0476A">
        <w:trPr>
          <w:jc w:val="center"/>
        </w:trPr>
        <w:tc>
          <w:tcPr>
            <w:tcW w:w="20" w:type="dxa"/>
            <w:tcBorders>
              <w:top w:val="nil"/>
              <w:left w:val="nil"/>
              <w:bottom w:val="nil"/>
              <w:right w:val="nil"/>
            </w:tcBorders>
            <w:shd w:val="clear" w:color="auto" w:fill="auto"/>
            <w:noWrap/>
            <w:vAlign w:val="center"/>
            <w:hideMark/>
          </w:tcPr>
          <w:p w14:paraId="722DC48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Wealth</w:t>
            </w:r>
          </w:p>
        </w:tc>
        <w:tc>
          <w:tcPr>
            <w:tcW w:w="20" w:type="dxa"/>
            <w:tcBorders>
              <w:top w:val="nil"/>
              <w:left w:val="nil"/>
              <w:bottom w:val="nil"/>
              <w:right w:val="nil"/>
            </w:tcBorders>
            <w:shd w:val="clear" w:color="auto" w:fill="auto"/>
            <w:noWrap/>
            <w:vAlign w:val="center"/>
            <w:hideMark/>
          </w:tcPr>
          <w:p w14:paraId="60D9225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Poorest</w:t>
            </w:r>
          </w:p>
        </w:tc>
        <w:tc>
          <w:tcPr>
            <w:tcW w:w="20" w:type="dxa"/>
            <w:tcBorders>
              <w:top w:val="nil"/>
              <w:left w:val="nil"/>
              <w:bottom w:val="nil"/>
              <w:right w:val="nil"/>
            </w:tcBorders>
            <w:shd w:val="clear" w:color="auto" w:fill="auto"/>
            <w:noWrap/>
            <w:vAlign w:val="center"/>
            <w:hideMark/>
          </w:tcPr>
          <w:p w14:paraId="050865D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2E38907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B0B4CD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0B8FE0F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9B6768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57ED796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C580B6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68BA998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r>
      <w:tr w:rsidR="00F0476A" w:rsidRPr="009E1865" w14:paraId="73ECDE87" w14:textId="77777777" w:rsidTr="00F0476A">
        <w:trPr>
          <w:jc w:val="center"/>
        </w:trPr>
        <w:tc>
          <w:tcPr>
            <w:tcW w:w="20" w:type="dxa"/>
            <w:tcBorders>
              <w:top w:val="nil"/>
              <w:left w:val="nil"/>
              <w:bottom w:val="nil"/>
              <w:right w:val="nil"/>
            </w:tcBorders>
            <w:shd w:val="clear" w:color="auto" w:fill="auto"/>
            <w:noWrap/>
            <w:vAlign w:val="center"/>
            <w:hideMark/>
          </w:tcPr>
          <w:p w14:paraId="2B1CCE1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B1A20E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Poorer</w:t>
            </w:r>
          </w:p>
        </w:tc>
        <w:tc>
          <w:tcPr>
            <w:tcW w:w="20" w:type="dxa"/>
            <w:tcBorders>
              <w:top w:val="nil"/>
              <w:left w:val="nil"/>
              <w:bottom w:val="nil"/>
              <w:right w:val="nil"/>
            </w:tcBorders>
            <w:shd w:val="clear" w:color="auto" w:fill="auto"/>
            <w:noWrap/>
            <w:vAlign w:val="center"/>
            <w:hideMark/>
          </w:tcPr>
          <w:p w14:paraId="046CA5F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0.76</w:t>
            </w:r>
          </w:p>
        </w:tc>
        <w:tc>
          <w:tcPr>
            <w:tcW w:w="20" w:type="dxa"/>
            <w:tcBorders>
              <w:top w:val="nil"/>
              <w:left w:val="nil"/>
              <w:bottom w:val="nil"/>
              <w:right w:val="nil"/>
            </w:tcBorders>
            <w:shd w:val="clear" w:color="auto" w:fill="auto"/>
            <w:noWrap/>
            <w:vAlign w:val="center"/>
            <w:hideMark/>
          </w:tcPr>
          <w:p w14:paraId="5726E39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[0.56,1.04]</w:t>
            </w:r>
          </w:p>
        </w:tc>
        <w:tc>
          <w:tcPr>
            <w:tcW w:w="20" w:type="dxa"/>
            <w:tcBorders>
              <w:top w:val="nil"/>
              <w:left w:val="nil"/>
              <w:bottom w:val="nil"/>
              <w:right w:val="nil"/>
            </w:tcBorders>
            <w:shd w:val="clear" w:color="auto" w:fill="auto"/>
            <w:noWrap/>
            <w:vAlign w:val="center"/>
            <w:hideMark/>
          </w:tcPr>
          <w:p w14:paraId="09F61E4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0.77</w:t>
            </w:r>
          </w:p>
        </w:tc>
        <w:tc>
          <w:tcPr>
            <w:tcW w:w="20" w:type="dxa"/>
            <w:tcBorders>
              <w:top w:val="nil"/>
              <w:left w:val="nil"/>
              <w:bottom w:val="nil"/>
              <w:right w:val="nil"/>
            </w:tcBorders>
            <w:shd w:val="clear" w:color="auto" w:fill="auto"/>
            <w:noWrap/>
            <w:vAlign w:val="center"/>
            <w:hideMark/>
          </w:tcPr>
          <w:p w14:paraId="41F45E6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[0.56,1.05]</w:t>
            </w:r>
          </w:p>
        </w:tc>
        <w:tc>
          <w:tcPr>
            <w:tcW w:w="20" w:type="dxa"/>
            <w:tcBorders>
              <w:top w:val="nil"/>
              <w:left w:val="nil"/>
              <w:bottom w:val="nil"/>
              <w:right w:val="nil"/>
            </w:tcBorders>
            <w:shd w:val="clear" w:color="auto" w:fill="auto"/>
            <w:noWrap/>
            <w:vAlign w:val="center"/>
            <w:hideMark/>
          </w:tcPr>
          <w:p w14:paraId="56D5D89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0.73</w:t>
            </w:r>
          </w:p>
        </w:tc>
        <w:tc>
          <w:tcPr>
            <w:tcW w:w="20" w:type="dxa"/>
            <w:tcBorders>
              <w:top w:val="nil"/>
              <w:left w:val="nil"/>
              <w:bottom w:val="nil"/>
              <w:right w:val="nil"/>
            </w:tcBorders>
            <w:shd w:val="clear" w:color="auto" w:fill="auto"/>
            <w:noWrap/>
            <w:vAlign w:val="center"/>
            <w:hideMark/>
          </w:tcPr>
          <w:p w14:paraId="64E26CB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[0.53,1.01]</w:t>
            </w:r>
          </w:p>
        </w:tc>
        <w:tc>
          <w:tcPr>
            <w:tcW w:w="20" w:type="dxa"/>
            <w:tcBorders>
              <w:top w:val="nil"/>
              <w:left w:val="nil"/>
              <w:bottom w:val="nil"/>
              <w:right w:val="nil"/>
            </w:tcBorders>
            <w:shd w:val="clear" w:color="auto" w:fill="auto"/>
            <w:noWrap/>
            <w:vAlign w:val="center"/>
            <w:hideMark/>
          </w:tcPr>
          <w:p w14:paraId="5D71CF9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0.76</w:t>
            </w:r>
          </w:p>
        </w:tc>
        <w:tc>
          <w:tcPr>
            <w:tcW w:w="20" w:type="dxa"/>
            <w:tcBorders>
              <w:top w:val="nil"/>
              <w:left w:val="nil"/>
              <w:bottom w:val="nil"/>
              <w:right w:val="nil"/>
            </w:tcBorders>
            <w:shd w:val="clear" w:color="auto" w:fill="auto"/>
            <w:noWrap/>
            <w:vAlign w:val="center"/>
            <w:hideMark/>
          </w:tcPr>
          <w:p w14:paraId="7234F02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[0.55,1.04]</w:t>
            </w:r>
          </w:p>
        </w:tc>
      </w:tr>
      <w:tr w:rsidR="00F0476A" w:rsidRPr="009E1865" w14:paraId="54CFF84E" w14:textId="77777777" w:rsidTr="00F0476A">
        <w:trPr>
          <w:jc w:val="center"/>
        </w:trPr>
        <w:tc>
          <w:tcPr>
            <w:tcW w:w="20" w:type="dxa"/>
            <w:tcBorders>
              <w:top w:val="nil"/>
              <w:left w:val="nil"/>
              <w:bottom w:val="nil"/>
              <w:right w:val="nil"/>
            </w:tcBorders>
            <w:shd w:val="clear" w:color="auto" w:fill="auto"/>
            <w:noWrap/>
            <w:vAlign w:val="center"/>
            <w:hideMark/>
          </w:tcPr>
          <w:p w14:paraId="6121D84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6A720F2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Middle</w:t>
            </w:r>
          </w:p>
        </w:tc>
        <w:tc>
          <w:tcPr>
            <w:tcW w:w="20" w:type="dxa"/>
            <w:tcBorders>
              <w:top w:val="nil"/>
              <w:left w:val="nil"/>
              <w:bottom w:val="nil"/>
              <w:right w:val="nil"/>
            </w:tcBorders>
            <w:shd w:val="clear" w:color="auto" w:fill="auto"/>
            <w:noWrap/>
            <w:vAlign w:val="center"/>
            <w:hideMark/>
          </w:tcPr>
          <w:p w14:paraId="34BC275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0.78</w:t>
            </w:r>
          </w:p>
        </w:tc>
        <w:tc>
          <w:tcPr>
            <w:tcW w:w="20" w:type="dxa"/>
            <w:tcBorders>
              <w:top w:val="nil"/>
              <w:left w:val="nil"/>
              <w:bottom w:val="nil"/>
              <w:right w:val="nil"/>
            </w:tcBorders>
            <w:shd w:val="clear" w:color="auto" w:fill="auto"/>
            <w:noWrap/>
            <w:vAlign w:val="center"/>
            <w:hideMark/>
          </w:tcPr>
          <w:p w14:paraId="313DAB6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[0.55,1.10]</w:t>
            </w:r>
          </w:p>
        </w:tc>
        <w:tc>
          <w:tcPr>
            <w:tcW w:w="20" w:type="dxa"/>
            <w:tcBorders>
              <w:top w:val="nil"/>
              <w:left w:val="nil"/>
              <w:bottom w:val="nil"/>
              <w:right w:val="nil"/>
            </w:tcBorders>
            <w:shd w:val="clear" w:color="auto" w:fill="auto"/>
            <w:noWrap/>
            <w:vAlign w:val="center"/>
            <w:hideMark/>
          </w:tcPr>
          <w:p w14:paraId="25E4E80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0.79</w:t>
            </w:r>
          </w:p>
        </w:tc>
        <w:tc>
          <w:tcPr>
            <w:tcW w:w="20" w:type="dxa"/>
            <w:tcBorders>
              <w:top w:val="nil"/>
              <w:left w:val="nil"/>
              <w:bottom w:val="nil"/>
              <w:right w:val="nil"/>
            </w:tcBorders>
            <w:shd w:val="clear" w:color="auto" w:fill="auto"/>
            <w:noWrap/>
            <w:vAlign w:val="center"/>
            <w:hideMark/>
          </w:tcPr>
          <w:p w14:paraId="59A73AE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[0.55,1.11]</w:t>
            </w:r>
          </w:p>
        </w:tc>
        <w:tc>
          <w:tcPr>
            <w:tcW w:w="20" w:type="dxa"/>
            <w:tcBorders>
              <w:top w:val="nil"/>
              <w:left w:val="nil"/>
              <w:bottom w:val="nil"/>
              <w:right w:val="nil"/>
            </w:tcBorders>
            <w:shd w:val="clear" w:color="auto" w:fill="auto"/>
            <w:noWrap/>
            <w:vAlign w:val="center"/>
            <w:hideMark/>
          </w:tcPr>
          <w:p w14:paraId="7F8C67C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0.75</w:t>
            </w:r>
          </w:p>
        </w:tc>
        <w:tc>
          <w:tcPr>
            <w:tcW w:w="20" w:type="dxa"/>
            <w:tcBorders>
              <w:top w:val="nil"/>
              <w:left w:val="nil"/>
              <w:bottom w:val="nil"/>
              <w:right w:val="nil"/>
            </w:tcBorders>
            <w:shd w:val="clear" w:color="auto" w:fill="auto"/>
            <w:noWrap/>
            <w:vAlign w:val="center"/>
            <w:hideMark/>
          </w:tcPr>
          <w:p w14:paraId="4875C9F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[0.52,1.07]</w:t>
            </w:r>
          </w:p>
        </w:tc>
        <w:tc>
          <w:tcPr>
            <w:tcW w:w="20" w:type="dxa"/>
            <w:tcBorders>
              <w:top w:val="nil"/>
              <w:left w:val="nil"/>
              <w:bottom w:val="nil"/>
              <w:right w:val="nil"/>
            </w:tcBorders>
            <w:shd w:val="clear" w:color="auto" w:fill="auto"/>
            <w:noWrap/>
            <w:vAlign w:val="center"/>
            <w:hideMark/>
          </w:tcPr>
          <w:p w14:paraId="69D18A4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0.74</w:t>
            </w:r>
          </w:p>
        </w:tc>
        <w:tc>
          <w:tcPr>
            <w:tcW w:w="20" w:type="dxa"/>
            <w:tcBorders>
              <w:top w:val="nil"/>
              <w:left w:val="nil"/>
              <w:bottom w:val="nil"/>
              <w:right w:val="nil"/>
            </w:tcBorders>
            <w:shd w:val="clear" w:color="auto" w:fill="auto"/>
            <w:noWrap/>
            <w:vAlign w:val="center"/>
            <w:hideMark/>
          </w:tcPr>
          <w:p w14:paraId="26B3A50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[0.51,1.06]</w:t>
            </w:r>
          </w:p>
        </w:tc>
      </w:tr>
      <w:tr w:rsidR="00F0476A" w:rsidRPr="009E1865" w14:paraId="4567004A" w14:textId="77777777" w:rsidTr="00F0476A">
        <w:trPr>
          <w:jc w:val="center"/>
        </w:trPr>
        <w:tc>
          <w:tcPr>
            <w:tcW w:w="20" w:type="dxa"/>
            <w:tcBorders>
              <w:top w:val="nil"/>
              <w:left w:val="nil"/>
              <w:bottom w:val="nil"/>
              <w:right w:val="nil"/>
            </w:tcBorders>
            <w:shd w:val="clear" w:color="auto" w:fill="auto"/>
            <w:noWrap/>
            <w:vAlign w:val="center"/>
            <w:hideMark/>
          </w:tcPr>
          <w:p w14:paraId="4975A99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1F7FD3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Richer</w:t>
            </w:r>
          </w:p>
        </w:tc>
        <w:tc>
          <w:tcPr>
            <w:tcW w:w="20" w:type="dxa"/>
            <w:tcBorders>
              <w:top w:val="nil"/>
              <w:left w:val="nil"/>
              <w:bottom w:val="nil"/>
              <w:right w:val="nil"/>
            </w:tcBorders>
            <w:shd w:val="clear" w:color="auto" w:fill="auto"/>
            <w:noWrap/>
            <w:vAlign w:val="center"/>
            <w:hideMark/>
          </w:tcPr>
          <w:p w14:paraId="61BA0E6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0.66**</w:t>
            </w:r>
          </w:p>
        </w:tc>
        <w:tc>
          <w:tcPr>
            <w:tcW w:w="20" w:type="dxa"/>
            <w:tcBorders>
              <w:top w:val="nil"/>
              <w:left w:val="nil"/>
              <w:bottom w:val="nil"/>
              <w:right w:val="nil"/>
            </w:tcBorders>
            <w:shd w:val="clear" w:color="auto" w:fill="auto"/>
            <w:noWrap/>
            <w:vAlign w:val="center"/>
            <w:hideMark/>
          </w:tcPr>
          <w:p w14:paraId="39C6928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[0.49,0.89]</w:t>
            </w:r>
          </w:p>
        </w:tc>
        <w:tc>
          <w:tcPr>
            <w:tcW w:w="20" w:type="dxa"/>
            <w:tcBorders>
              <w:top w:val="nil"/>
              <w:left w:val="nil"/>
              <w:bottom w:val="nil"/>
              <w:right w:val="nil"/>
            </w:tcBorders>
            <w:shd w:val="clear" w:color="auto" w:fill="auto"/>
            <w:noWrap/>
            <w:vAlign w:val="center"/>
            <w:hideMark/>
          </w:tcPr>
          <w:p w14:paraId="11F119F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0.65**</w:t>
            </w:r>
          </w:p>
        </w:tc>
        <w:tc>
          <w:tcPr>
            <w:tcW w:w="20" w:type="dxa"/>
            <w:tcBorders>
              <w:top w:val="nil"/>
              <w:left w:val="nil"/>
              <w:bottom w:val="nil"/>
              <w:right w:val="nil"/>
            </w:tcBorders>
            <w:shd w:val="clear" w:color="auto" w:fill="auto"/>
            <w:noWrap/>
            <w:vAlign w:val="center"/>
            <w:hideMark/>
          </w:tcPr>
          <w:p w14:paraId="697E046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[0.48,0.87]</w:t>
            </w:r>
          </w:p>
        </w:tc>
        <w:tc>
          <w:tcPr>
            <w:tcW w:w="20" w:type="dxa"/>
            <w:tcBorders>
              <w:top w:val="nil"/>
              <w:left w:val="nil"/>
              <w:bottom w:val="nil"/>
              <w:right w:val="nil"/>
            </w:tcBorders>
            <w:shd w:val="clear" w:color="auto" w:fill="auto"/>
            <w:noWrap/>
            <w:vAlign w:val="center"/>
            <w:hideMark/>
          </w:tcPr>
          <w:p w14:paraId="227BBDE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0.60**</w:t>
            </w:r>
          </w:p>
        </w:tc>
        <w:tc>
          <w:tcPr>
            <w:tcW w:w="20" w:type="dxa"/>
            <w:tcBorders>
              <w:top w:val="nil"/>
              <w:left w:val="nil"/>
              <w:bottom w:val="nil"/>
              <w:right w:val="nil"/>
            </w:tcBorders>
            <w:shd w:val="clear" w:color="auto" w:fill="auto"/>
            <w:noWrap/>
            <w:vAlign w:val="center"/>
            <w:hideMark/>
          </w:tcPr>
          <w:p w14:paraId="00323D7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[0.44,0.82]</w:t>
            </w:r>
          </w:p>
        </w:tc>
        <w:tc>
          <w:tcPr>
            <w:tcW w:w="20" w:type="dxa"/>
            <w:tcBorders>
              <w:top w:val="nil"/>
              <w:left w:val="nil"/>
              <w:bottom w:val="nil"/>
              <w:right w:val="nil"/>
            </w:tcBorders>
            <w:shd w:val="clear" w:color="auto" w:fill="auto"/>
            <w:noWrap/>
            <w:vAlign w:val="center"/>
            <w:hideMark/>
          </w:tcPr>
          <w:p w14:paraId="226D98B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0.60**</w:t>
            </w:r>
          </w:p>
        </w:tc>
        <w:tc>
          <w:tcPr>
            <w:tcW w:w="20" w:type="dxa"/>
            <w:tcBorders>
              <w:top w:val="nil"/>
              <w:left w:val="nil"/>
              <w:bottom w:val="nil"/>
              <w:right w:val="nil"/>
            </w:tcBorders>
            <w:shd w:val="clear" w:color="auto" w:fill="auto"/>
            <w:noWrap/>
            <w:vAlign w:val="center"/>
            <w:hideMark/>
          </w:tcPr>
          <w:p w14:paraId="61884FB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[0.44,0.82]</w:t>
            </w:r>
          </w:p>
        </w:tc>
      </w:tr>
      <w:tr w:rsidR="00F0476A" w:rsidRPr="009E1865" w14:paraId="7FCD7C93" w14:textId="77777777" w:rsidTr="00F0476A">
        <w:trPr>
          <w:jc w:val="center"/>
        </w:trPr>
        <w:tc>
          <w:tcPr>
            <w:tcW w:w="20" w:type="dxa"/>
            <w:tcBorders>
              <w:top w:val="nil"/>
              <w:left w:val="nil"/>
              <w:bottom w:val="nil"/>
              <w:right w:val="nil"/>
            </w:tcBorders>
            <w:shd w:val="clear" w:color="auto" w:fill="auto"/>
            <w:noWrap/>
            <w:vAlign w:val="center"/>
            <w:hideMark/>
          </w:tcPr>
          <w:p w14:paraId="1B82E47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782501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Richest</w:t>
            </w:r>
          </w:p>
        </w:tc>
        <w:tc>
          <w:tcPr>
            <w:tcW w:w="20" w:type="dxa"/>
            <w:tcBorders>
              <w:top w:val="nil"/>
              <w:left w:val="nil"/>
              <w:bottom w:val="nil"/>
              <w:right w:val="nil"/>
            </w:tcBorders>
            <w:shd w:val="clear" w:color="auto" w:fill="auto"/>
            <w:noWrap/>
            <w:vAlign w:val="center"/>
            <w:hideMark/>
          </w:tcPr>
          <w:p w14:paraId="2D474D0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0.54**</w:t>
            </w:r>
          </w:p>
        </w:tc>
        <w:tc>
          <w:tcPr>
            <w:tcW w:w="20" w:type="dxa"/>
            <w:tcBorders>
              <w:top w:val="nil"/>
              <w:left w:val="nil"/>
              <w:bottom w:val="nil"/>
              <w:right w:val="nil"/>
            </w:tcBorders>
            <w:shd w:val="clear" w:color="auto" w:fill="auto"/>
            <w:noWrap/>
            <w:vAlign w:val="center"/>
            <w:hideMark/>
          </w:tcPr>
          <w:p w14:paraId="236415F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[0.35,0.81]</w:t>
            </w:r>
          </w:p>
        </w:tc>
        <w:tc>
          <w:tcPr>
            <w:tcW w:w="20" w:type="dxa"/>
            <w:tcBorders>
              <w:top w:val="nil"/>
              <w:left w:val="nil"/>
              <w:bottom w:val="nil"/>
              <w:right w:val="nil"/>
            </w:tcBorders>
            <w:shd w:val="clear" w:color="auto" w:fill="auto"/>
            <w:noWrap/>
            <w:vAlign w:val="center"/>
            <w:hideMark/>
          </w:tcPr>
          <w:p w14:paraId="51AB4C3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0.53**</w:t>
            </w:r>
          </w:p>
        </w:tc>
        <w:tc>
          <w:tcPr>
            <w:tcW w:w="20" w:type="dxa"/>
            <w:tcBorders>
              <w:top w:val="nil"/>
              <w:left w:val="nil"/>
              <w:bottom w:val="nil"/>
              <w:right w:val="nil"/>
            </w:tcBorders>
            <w:shd w:val="clear" w:color="auto" w:fill="auto"/>
            <w:noWrap/>
            <w:vAlign w:val="center"/>
            <w:hideMark/>
          </w:tcPr>
          <w:p w14:paraId="3397CF9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[0.35,0.80]</w:t>
            </w:r>
          </w:p>
        </w:tc>
        <w:tc>
          <w:tcPr>
            <w:tcW w:w="20" w:type="dxa"/>
            <w:tcBorders>
              <w:top w:val="nil"/>
              <w:left w:val="nil"/>
              <w:bottom w:val="nil"/>
              <w:right w:val="nil"/>
            </w:tcBorders>
            <w:shd w:val="clear" w:color="auto" w:fill="auto"/>
            <w:noWrap/>
            <w:vAlign w:val="center"/>
            <w:hideMark/>
          </w:tcPr>
          <w:p w14:paraId="6204C0F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0.45***</w:t>
            </w:r>
          </w:p>
        </w:tc>
        <w:tc>
          <w:tcPr>
            <w:tcW w:w="20" w:type="dxa"/>
            <w:tcBorders>
              <w:top w:val="nil"/>
              <w:left w:val="nil"/>
              <w:bottom w:val="nil"/>
              <w:right w:val="nil"/>
            </w:tcBorders>
            <w:shd w:val="clear" w:color="auto" w:fill="auto"/>
            <w:noWrap/>
            <w:vAlign w:val="center"/>
            <w:hideMark/>
          </w:tcPr>
          <w:p w14:paraId="6B6C3C3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[0.28,0.71]</w:t>
            </w:r>
          </w:p>
        </w:tc>
        <w:tc>
          <w:tcPr>
            <w:tcW w:w="20" w:type="dxa"/>
            <w:tcBorders>
              <w:top w:val="nil"/>
              <w:left w:val="nil"/>
              <w:bottom w:val="nil"/>
              <w:right w:val="nil"/>
            </w:tcBorders>
            <w:shd w:val="clear" w:color="auto" w:fill="auto"/>
            <w:noWrap/>
            <w:vAlign w:val="center"/>
            <w:hideMark/>
          </w:tcPr>
          <w:p w14:paraId="324E09E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0.46**</w:t>
            </w:r>
          </w:p>
        </w:tc>
        <w:tc>
          <w:tcPr>
            <w:tcW w:w="20" w:type="dxa"/>
            <w:tcBorders>
              <w:top w:val="nil"/>
              <w:left w:val="nil"/>
              <w:bottom w:val="nil"/>
              <w:right w:val="nil"/>
            </w:tcBorders>
            <w:shd w:val="clear" w:color="auto" w:fill="auto"/>
            <w:noWrap/>
            <w:vAlign w:val="center"/>
            <w:hideMark/>
          </w:tcPr>
          <w:p w14:paraId="76DFB91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[0.29,0.73]</w:t>
            </w:r>
          </w:p>
        </w:tc>
      </w:tr>
      <w:tr w:rsidR="00F0476A" w:rsidRPr="009E1865" w14:paraId="16ADCA89" w14:textId="77777777" w:rsidTr="00F0476A">
        <w:trPr>
          <w:jc w:val="center"/>
        </w:trPr>
        <w:tc>
          <w:tcPr>
            <w:tcW w:w="20" w:type="dxa"/>
            <w:tcBorders>
              <w:top w:val="nil"/>
              <w:left w:val="nil"/>
              <w:bottom w:val="nil"/>
              <w:right w:val="nil"/>
            </w:tcBorders>
            <w:shd w:val="clear" w:color="auto" w:fill="auto"/>
            <w:noWrap/>
            <w:vAlign w:val="center"/>
            <w:hideMark/>
          </w:tcPr>
          <w:p w14:paraId="09311B1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Education (years)</w:t>
            </w:r>
          </w:p>
        </w:tc>
        <w:tc>
          <w:tcPr>
            <w:tcW w:w="20" w:type="dxa"/>
            <w:tcBorders>
              <w:top w:val="nil"/>
              <w:left w:val="nil"/>
              <w:bottom w:val="nil"/>
              <w:right w:val="nil"/>
            </w:tcBorders>
            <w:shd w:val="clear" w:color="auto" w:fill="auto"/>
            <w:noWrap/>
            <w:vAlign w:val="center"/>
            <w:hideMark/>
          </w:tcPr>
          <w:p w14:paraId="3BE9662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3FF9D8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0.95***</w:t>
            </w:r>
          </w:p>
        </w:tc>
        <w:tc>
          <w:tcPr>
            <w:tcW w:w="20" w:type="dxa"/>
            <w:tcBorders>
              <w:top w:val="nil"/>
              <w:left w:val="nil"/>
              <w:bottom w:val="nil"/>
              <w:right w:val="nil"/>
            </w:tcBorders>
            <w:shd w:val="clear" w:color="auto" w:fill="auto"/>
            <w:noWrap/>
            <w:vAlign w:val="center"/>
            <w:hideMark/>
          </w:tcPr>
          <w:p w14:paraId="004A73C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[0.92,0.98]</w:t>
            </w:r>
          </w:p>
        </w:tc>
        <w:tc>
          <w:tcPr>
            <w:tcW w:w="20" w:type="dxa"/>
            <w:tcBorders>
              <w:top w:val="nil"/>
              <w:left w:val="nil"/>
              <w:bottom w:val="nil"/>
              <w:right w:val="nil"/>
            </w:tcBorders>
            <w:shd w:val="clear" w:color="auto" w:fill="auto"/>
            <w:noWrap/>
            <w:vAlign w:val="center"/>
            <w:hideMark/>
          </w:tcPr>
          <w:p w14:paraId="43491E5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0.95***</w:t>
            </w:r>
          </w:p>
        </w:tc>
        <w:tc>
          <w:tcPr>
            <w:tcW w:w="20" w:type="dxa"/>
            <w:tcBorders>
              <w:top w:val="nil"/>
              <w:left w:val="nil"/>
              <w:bottom w:val="nil"/>
              <w:right w:val="nil"/>
            </w:tcBorders>
            <w:shd w:val="clear" w:color="auto" w:fill="auto"/>
            <w:noWrap/>
            <w:vAlign w:val="center"/>
            <w:hideMark/>
          </w:tcPr>
          <w:p w14:paraId="671DE98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[0.92,0.98]</w:t>
            </w:r>
          </w:p>
        </w:tc>
        <w:tc>
          <w:tcPr>
            <w:tcW w:w="20" w:type="dxa"/>
            <w:tcBorders>
              <w:top w:val="nil"/>
              <w:left w:val="nil"/>
              <w:bottom w:val="nil"/>
              <w:right w:val="nil"/>
            </w:tcBorders>
            <w:shd w:val="clear" w:color="auto" w:fill="auto"/>
            <w:noWrap/>
            <w:vAlign w:val="center"/>
            <w:hideMark/>
          </w:tcPr>
          <w:p w14:paraId="0194432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0.94***</w:t>
            </w:r>
          </w:p>
        </w:tc>
        <w:tc>
          <w:tcPr>
            <w:tcW w:w="20" w:type="dxa"/>
            <w:tcBorders>
              <w:top w:val="nil"/>
              <w:left w:val="nil"/>
              <w:bottom w:val="nil"/>
              <w:right w:val="nil"/>
            </w:tcBorders>
            <w:shd w:val="clear" w:color="auto" w:fill="auto"/>
            <w:noWrap/>
            <w:vAlign w:val="center"/>
            <w:hideMark/>
          </w:tcPr>
          <w:p w14:paraId="2FDFD1C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[0.92,0.97]</w:t>
            </w:r>
          </w:p>
        </w:tc>
        <w:tc>
          <w:tcPr>
            <w:tcW w:w="20" w:type="dxa"/>
            <w:tcBorders>
              <w:top w:val="nil"/>
              <w:left w:val="nil"/>
              <w:bottom w:val="nil"/>
              <w:right w:val="nil"/>
            </w:tcBorders>
            <w:shd w:val="clear" w:color="auto" w:fill="auto"/>
            <w:noWrap/>
            <w:vAlign w:val="center"/>
            <w:hideMark/>
          </w:tcPr>
          <w:p w14:paraId="387EBC9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0.95***</w:t>
            </w:r>
          </w:p>
        </w:tc>
        <w:tc>
          <w:tcPr>
            <w:tcW w:w="20" w:type="dxa"/>
            <w:tcBorders>
              <w:top w:val="nil"/>
              <w:left w:val="nil"/>
              <w:bottom w:val="nil"/>
              <w:right w:val="nil"/>
            </w:tcBorders>
            <w:shd w:val="clear" w:color="auto" w:fill="auto"/>
            <w:noWrap/>
            <w:vAlign w:val="center"/>
            <w:hideMark/>
          </w:tcPr>
          <w:p w14:paraId="7116E72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[0.92,0.98]</w:t>
            </w:r>
          </w:p>
        </w:tc>
      </w:tr>
      <w:tr w:rsidR="00F0476A" w:rsidRPr="009E1865" w14:paraId="19F9264D" w14:textId="77777777" w:rsidTr="00F0476A">
        <w:trPr>
          <w:jc w:val="center"/>
        </w:trPr>
        <w:tc>
          <w:tcPr>
            <w:tcW w:w="20" w:type="dxa"/>
            <w:tcBorders>
              <w:top w:val="nil"/>
              <w:left w:val="nil"/>
              <w:bottom w:val="nil"/>
              <w:right w:val="nil"/>
            </w:tcBorders>
            <w:shd w:val="clear" w:color="auto" w:fill="auto"/>
            <w:noWrap/>
            <w:vAlign w:val="center"/>
            <w:hideMark/>
          </w:tcPr>
          <w:p w14:paraId="243FB2D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Alcohol consumption</w:t>
            </w:r>
          </w:p>
        </w:tc>
        <w:tc>
          <w:tcPr>
            <w:tcW w:w="20" w:type="dxa"/>
            <w:tcBorders>
              <w:top w:val="nil"/>
              <w:left w:val="nil"/>
              <w:bottom w:val="nil"/>
              <w:right w:val="nil"/>
            </w:tcBorders>
            <w:shd w:val="clear" w:color="auto" w:fill="auto"/>
            <w:noWrap/>
            <w:vAlign w:val="center"/>
            <w:hideMark/>
          </w:tcPr>
          <w:p w14:paraId="3ABC265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No</w:t>
            </w:r>
          </w:p>
        </w:tc>
        <w:tc>
          <w:tcPr>
            <w:tcW w:w="20" w:type="dxa"/>
            <w:tcBorders>
              <w:top w:val="nil"/>
              <w:left w:val="nil"/>
              <w:bottom w:val="nil"/>
              <w:right w:val="nil"/>
            </w:tcBorders>
            <w:shd w:val="clear" w:color="auto" w:fill="auto"/>
            <w:noWrap/>
            <w:vAlign w:val="center"/>
            <w:hideMark/>
          </w:tcPr>
          <w:p w14:paraId="5F16A6D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30BC03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74DA526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7698116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2DFD6F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204666A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7DD9D0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1BDD75B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r>
      <w:tr w:rsidR="00F0476A" w:rsidRPr="009E1865" w14:paraId="1F897C9C" w14:textId="77777777" w:rsidTr="00F0476A">
        <w:trPr>
          <w:jc w:val="center"/>
        </w:trPr>
        <w:tc>
          <w:tcPr>
            <w:tcW w:w="20" w:type="dxa"/>
            <w:tcBorders>
              <w:top w:val="nil"/>
              <w:left w:val="nil"/>
              <w:bottom w:val="nil"/>
              <w:right w:val="nil"/>
            </w:tcBorders>
            <w:shd w:val="clear" w:color="auto" w:fill="auto"/>
            <w:noWrap/>
            <w:vAlign w:val="center"/>
            <w:hideMark/>
          </w:tcPr>
          <w:p w14:paraId="063F1C6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3E30AF3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Yes</w:t>
            </w:r>
          </w:p>
        </w:tc>
        <w:tc>
          <w:tcPr>
            <w:tcW w:w="20" w:type="dxa"/>
            <w:tcBorders>
              <w:top w:val="nil"/>
              <w:left w:val="nil"/>
              <w:bottom w:val="nil"/>
              <w:right w:val="nil"/>
            </w:tcBorders>
            <w:shd w:val="clear" w:color="auto" w:fill="auto"/>
            <w:noWrap/>
            <w:vAlign w:val="center"/>
            <w:hideMark/>
          </w:tcPr>
          <w:p w14:paraId="6CBEEC7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73821AA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61460E2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0.74</w:t>
            </w:r>
          </w:p>
        </w:tc>
        <w:tc>
          <w:tcPr>
            <w:tcW w:w="20" w:type="dxa"/>
            <w:tcBorders>
              <w:top w:val="nil"/>
              <w:left w:val="nil"/>
              <w:bottom w:val="nil"/>
              <w:right w:val="nil"/>
            </w:tcBorders>
            <w:shd w:val="clear" w:color="auto" w:fill="auto"/>
            <w:noWrap/>
            <w:vAlign w:val="center"/>
            <w:hideMark/>
          </w:tcPr>
          <w:p w14:paraId="5798D32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[0.52,1.04]</w:t>
            </w:r>
          </w:p>
        </w:tc>
        <w:tc>
          <w:tcPr>
            <w:tcW w:w="20" w:type="dxa"/>
            <w:tcBorders>
              <w:top w:val="nil"/>
              <w:left w:val="nil"/>
              <w:bottom w:val="nil"/>
              <w:right w:val="nil"/>
            </w:tcBorders>
            <w:shd w:val="clear" w:color="auto" w:fill="auto"/>
            <w:noWrap/>
            <w:vAlign w:val="center"/>
            <w:hideMark/>
          </w:tcPr>
          <w:p w14:paraId="1CE8ED0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0.75</w:t>
            </w:r>
          </w:p>
        </w:tc>
        <w:tc>
          <w:tcPr>
            <w:tcW w:w="20" w:type="dxa"/>
            <w:tcBorders>
              <w:top w:val="nil"/>
              <w:left w:val="nil"/>
              <w:bottom w:val="nil"/>
              <w:right w:val="nil"/>
            </w:tcBorders>
            <w:shd w:val="clear" w:color="auto" w:fill="auto"/>
            <w:noWrap/>
            <w:vAlign w:val="center"/>
            <w:hideMark/>
          </w:tcPr>
          <w:p w14:paraId="2EDA4DC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[0.53,1.06]</w:t>
            </w:r>
          </w:p>
        </w:tc>
        <w:tc>
          <w:tcPr>
            <w:tcW w:w="20" w:type="dxa"/>
            <w:tcBorders>
              <w:top w:val="nil"/>
              <w:left w:val="nil"/>
              <w:bottom w:val="nil"/>
              <w:right w:val="nil"/>
            </w:tcBorders>
            <w:shd w:val="clear" w:color="auto" w:fill="auto"/>
            <w:noWrap/>
            <w:vAlign w:val="center"/>
            <w:hideMark/>
          </w:tcPr>
          <w:p w14:paraId="07E5DD0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0.75</w:t>
            </w:r>
          </w:p>
        </w:tc>
        <w:tc>
          <w:tcPr>
            <w:tcW w:w="20" w:type="dxa"/>
            <w:tcBorders>
              <w:top w:val="nil"/>
              <w:left w:val="nil"/>
              <w:bottom w:val="nil"/>
              <w:right w:val="nil"/>
            </w:tcBorders>
            <w:shd w:val="clear" w:color="auto" w:fill="auto"/>
            <w:noWrap/>
            <w:vAlign w:val="center"/>
            <w:hideMark/>
          </w:tcPr>
          <w:p w14:paraId="185C147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[0.53,1.08]</w:t>
            </w:r>
          </w:p>
        </w:tc>
      </w:tr>
      <w:tr w:rsidR="00F0476A" w:rsidRPr="009E1865" w14:paraId="566DB85A" w14:textId="77777777" w:rsidTr="00F0476A">
        <w:trPr>
          <w:jc w:val="center"/>
        </w:trPr>
        <w:tc>
          <w:tcPr>
            <w:tcW w:w="20" w:type="dxa"/>
            <w:tcBorders>
              <w:top w:val="nil"/>
              <w:left w:val="nil"/>
              <w:bottom w:val="nil"/>
              <w:right w:val="nil"/>
            </w:tcBorders>
            <w:shd w:val="clear" w:color="auto" w:fill="auto"/>
            <w:noWrap/>
            <w:vAlign w:val="center"/>
            <w:hideMark/>
          </w:tcPr>
          <w:p w14:paraId="787E37A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Smoking</w:t>
            </w:r>
          </w:p>
        </w:tc>
        <w:tc>
          <w:tcPr>
            <w:tcW w:w="20" w:type="dxa"/>
            <w:tcBorders>
              <w:top w:val="nil"/>
              <w:left w:val="nil"/>
              <w:bottom w:val="nil"/>
              <w:right w:val="nil"/>
            </w:tcBorders>
            <w:shd w:val="clear" w:color="auto" w:fill="auto"/>
            <w:noWrap/>
            <w:vAlign w:val="center"/>
            <w:hideMark/>
          </w:tcPr>
          <w:p w14:paraId="1D2ABAD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Never</w:t>
            </w:r>
          </w:p>
        </w:tc>
        <w:tc>
          <w:tcPr>
            <w:tcW w:w="20" w:type="dxa"/>
            <w:tcBorders>
              <w:top w:val="nil"/>
              <w:left w:val="nil"/>
              <w:bottom w:val="nil"/>
              <w:right w:val="nil"/>
            </w:tcBorders>
            <w:shd w:val="clear" w:color="auto" w:fill="auto"/>
            <w:noWrap/>
            <w:vAlign w:val="center"/>
            <w:hideMark/>
          </w:tcPr>
          <w:p w14:paraId="0B4FBA6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CADEC0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744019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56FDB0C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5D74BC7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626EA46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9A4E8D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5685648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r>
      <w:tr w:rsidR="00F0476A" w:rsidRPr="009E1865" w14:paraId="20419A79" w14:textId="77777777" w:rsidTr="00F0476A">
        <w:trPr>
          <w:jc w:val="center"/>
        </w:trPr>
        <w:tc>
          <w:tcPr>
            <w:tcW w:w="20" w:type="dxa"/>
            <w:tcBorders>
              <w:top w:val="nil"/>
              <w:left w:val="nil"/>
              <w:bottom w:val="nil"/>
              <w:right w:val="nil"/>
            </w:tcBorders>
            <w:shd w:val="clear" w:color="auto" w:fill="auto"/>
            <w:noWrap/>
            <w:vAlign w:val="center"/>
            <w:hideMark/>
          </w:tcPr>
          <w:p w14:paraId="4A46287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08B39E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Current</w:t>
            </w:r>
          </w:p>
        </w:tc>
        <w:tc>
          <w:tcPr>
            <w:tcW w:w="20" w:type="dxa"/>
            <w:tcBorders>
              <w:top w:val="nil"/>
              <w:left w:val="nil"/>
              <w:bottom w:val="nil"/>
              <w:right w:val="nil"/>
            </w:tcBorders>
            <w:shd w:val="clear" w:color="auto" w:fill="auto"/>
            <w:noWrap/>
            <w:vAlign w:val="center"/>
            <w:hideMark/>
          </w:tcPr>
          <w:p w14:paraId="7839BA4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59ACCBD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5515524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0.98</w:t>
            </w:r>
          </w:p>
        </w:tc>
        <w:tc>
          <w:tcPr>
            <w:tcW w:w="20" w:type="dxa"/>
            <w:tcBorders>
              <w:top w:val="nil"/>
              <w:left w:val="nil"/>
              <w:bottom w:val="nil"/>
              <w:right w:val="nil"/>
            </w:tcBorders>
            <w:shd w:val="clear" w:color="auto" w:fill="auto"/>
            <w:noWrap/>
            <w:vAlign w:val="center"/>
            <w:hideMark/>
          </w:tcPr>
          <w:p w14:paraId="2E02065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[0.74,1.30]</w:t>
            </w:r>
          </w:p>
        </w:tc>
        <w:tc>
          <w:tcPr>
            <w:tcW w:w="20" w:type="dxa"/>
            <w:tcBorders>
              <w:top w:val="nil"/>
              <w:left w:val="nil"/>
              <w:bottom w:val="nil"/>
              <w:right w:val="nil"/>
            </w:tcBorders>
            <w:shd w:val="clear" w:color="auto" w:fill="auto"/>
            <w:noWrap/>
            <w:vAlign w:val="center"/>
            <w:hideMark/>
          </w:tcPr>
          <w:p w14:paraId="1EBB342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1.04</w:t>
            </w:r>
          </w:p>
        </w:tc>
        <w:tc>
          <w:tcPr>
            <w:tcW w:w="20" w:type="dxa"/>
            <w:tcBorders>
              <w:top w:val="nil"/>
              <w:left w:val="nil"/>
              <w:bottom w:val="nil"/>
              <w:right w:val="nil"/>
            </w:tcBorders>
            <w:shd w:val="clear" w:color="auto" w:fill="auto"/>
            <w:noWrap/>
            <w:vAlign w:val="center"/>
            <w:hideMark/>
          </w:tcPr>
          <w:p w14:paraId="0ECD1E4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[0.78,1.39]</w:t>
            </w:r>
          </w:p>
        </w:tc>
        <w:tc>
          <w:tcPr>
            <w:tcW w:w="20" w:type="dxa"/>
            <w:tcBorders>
              <w:top w:val="nil"/>
              <w:left w:val="nil"/>
              <w:bottom w:val="nil"/>
              <w:right w:val="nil"/>
            </w:tcBorders>
            <w:shd w:val="clear" w:color="auto" w:fill="auto"/>
            <w:noWrap/>
            <w:vAlign w:val="center"/>
            <w:hideMark/>
          </w:tcPr>
          <w:p w14:paraId="6E10512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1.02</w:t>
            </w:r>
          </w:p>
        </w:tc>
        <w:tc>
          <w:tcPr>
            <w:tcW w:w="20" w:type="dxa"/>
            <w:tcBorders>
              <w:top w:val="nil"/>
              <w:left w:val="nil"/>
              <w:bottom w:val="nil"/>
              <w:right w:val="nil"/>
            </w:tcBorders>
            <w:shd w:val="clear" w:color="auto" w:fill="auto"/>
            <w:noWrap/>
            <w:vAlign w:val="center"/>
            <w:hideMark/>
          </w:tcPr>
          <w:p w14:paraId="0306359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[0.76,1.37]</w:t>
            </w:r>
          </w:p>
        </w:tc>
      </w:tr>
      <w:tr w:rsidR="00F0476A" w:rsidRPr="009E1865" w14:paraId="1903A3AF" w14:textId="77777777" w:rsidTr="00F0476A">
        <w:trPr>
          <w:jc w:val="center"/>
        </w:trPr>
        <w:tc>
          <w:tcPr>
            <w:tcW w:w="20" w:type="dxa"/>
            <w:tcBorders>
              <w:top w:val="nil"/>
              <w:left w:val="nil"/>
              <w:bottom w:val="nil"/>
              <w:right w:val="nil"/>
            </w:tcBorders>
            <w:shd w:val="clear" w:color="auto" w:fill="auto"/>
            <w:noWrap/>
            <w:vAlign w:val="center"/>
            <w:hideMark/>
          </w:tcPr>
          <w:p w14:paraId="0FCFE08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34E5CAA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Quit</w:t>
            </w:r>
          </w:p>
        </w:tc>
        <w:tc>
          <w:tcPr>
            <w:tcW w:w="20" w:type="dxa"/>
            <w:tcBorders>
              <w:top w:val="nil"/>
              <w:left w:val="nil"/>
              <w:bottom w:val="nil"/>
              <w:right w:val="nil"/>
            </w:tcBorders>
            <w:shd w:val="clear" w:color="auto" w:fill="auto"/>
            <w:noWrap/>
            <w:vAlign w:val="center"/>
            <w:hideMark/>
          </w:tcPr>
          <w:p w14:paraId="6E9D1FB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1CD5C92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5091CC5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1.19</w:t>
            </w:r>
          </w:p>
        </w:tc>
        <w:tc>
          <w:tcPr>
            <w:tcW w:w="20" w:type="dxa"/>
            <w:tcBorders>
              <w:top w:val="nil"/>
              <w:left w:val="nil"/>
              <w:bottom w:val="nil"/>
              <w:right w:val="nil"/>
            </w:tcBorders>
            <w:shd w:val="clear" w:color="auto" w:fill="auto"/>
            <w:noWrap/>
            <w:vAlign w:val="center"/>
            <w:hideMark/>
          </w:tcPr>
          <w:p w14:paraId="0458AE7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[0.83,1.69]</w:t>
            </w:r>
          </w:p>
        </w:tc>
        <w:tc>
          <w:tcPr>
            <w:tcW w:w="20" w:type="dxa"/>
            <w:tcBorders>
              <w:top w:val="nil"/>
              <w:left w:val="nil"/>
              <w:bottom w:val="nil"/>
              <w:right w:val="nil"/>
            </w:tcBorders>
            <w:shd w:val="clear" w:color="auto" w:fill="auto"/>
            <w:noWrap/>
            <w:vAlign w:val="center"/>
            <w:hideMark/>
          </w:tcPr>
          <w:p w14:paraId="592935E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1.18</w:t>
            </w:r>
          </w:p>
        </w:tc>
        <w:tc>
          <w:tcPr>
            <w:tcW w:w="20" w:type="dxa"/>
            <w:tcBorders>
              <w:top w:val="nil"/>
              <w:left w:val="nil"/>
              <w:bottom w:val="nil"/>
              <w:right w:val="nil"/>
            </w:tcBorders>
            <w:shd w:val="clear" w:color="auto" w:fill="auto"/>
            <w:noWrap/>
            <w:vAlign w:val="center"/>
            <w:hideMark/>
          </w:tcPr>
          <w:p w14:paraId="1D05239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[0.83,1.68]</w:t>
            </w:r>
          </w:p>
        </w:tc>
        <w:tc>
          <w:tcPr>
            <w:tcW w:w="20" w:type="dxa"/>
            <w:tcBorders>
              <w:top w:val="nil"/>
              <w:left w:val="nil"/>
              <w:bottom w:val="nil"/>
              <w:right w:val="nil"/>
            </w:tcBorders>
            <w:shd w:val="clear" w:color="auto" w:fill="auto"/>
            <w:noWrap/>
            <w:vAlign w:val="center"/>
            <w:hideMark/>
          </w:tcPr>
          <w:p w14:paraId="69329DA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1.12</w:t>
            </w:r>
          </w:p>
        </w:tc>
        <w:tc>
          <w:tcPr>
            <w:tcW w:w="20" w:type="dxa"/>
            <w:tcBorders>
              <w:top w:val="nil"/>
              <w:left w:val="nil"/>
              <w:bottom w:val="nil"/>
              <w:right w:val="nil"/>
            </w:tcBorders>
            <w:shd w:val="clear" w:color="auto" w:fill="auto"/>
            <w:noWrap/>
            <w:vAlign w:val="center"/>
            <w:hideMark/>
          </w:tcPr>
          <w:p w14:paraId="55D64AE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[0.78,1.60]</w:t>
            </w:r>
          </w:p>
        </w:tc>
      </w:tr>
      <w:tr w:rsidR="00F0476A" w:rsidRPr="009E1865" w14:paraId="5AF87195" w14:textId="77777777" w:rsidTr="00F0476A">
        <w:trPr>
          <w:jc w:val="center"/>
        </w:trPr>
        <w:tc>
          <w:tcPr>
            <w:tcW w:w="20" w:type="dxa"/>
            <w:tcBorders>
              <w:top w:val="nil"/>
              <w:left w:val="nil"/>
              <w:bottom w:val="nil"/>
              <w:right w:val="nil"/>
            </w:tcBorders>
            <w:shd w:val="clear" w:color="auto" w:fill="auto"/>
            <w:noWrap/>
            <w:vAlign w:val="center"/>
            <w:hideMark/>
          </w:tcPr>
          <w:p w14:paraId="3BAB336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Physical activity</w:t>
            </w:r>
          </w:p>
        </w:tc>
        <w:tc>
          <w:tcPr>
            <w:tcW w:w="20" w:type="dxa"/>
            <w:tcBorders>
              <w:top w:val="nil"/>
              <w:left w:val="nil"/>
              <w:bottom w:val="nil"/>
              <w:right w:val="nil"/>
            </w:tcBorders>
            <w:shd w:val="clear" w:color="auto" w:fill="auto"/>
            <w:noWrap/>
            <w:vAlign w:val="center"/>
            <w:hideMark/>
          </w:tcPr>
          <w:p w14:paraId="31E01DE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High</w:t>
            </w:r>
          </w:p>
        </w:tc>
        <w:tc>
          <w:tcPr>
            <w:tcW w:w="20" w:type="dxa"/>
            <w:tcBorders>
              <w:top w:val="nil"/>
              <w:left w:val="nil"/>
              <w:bottom w:val="nil"/>
              <w:right w:val="nil"/>
            </w:tcBorders>
            <w:shd w:val="clear" w:color="auto" w:fill="auto"/>
            <w:noWrap/>
            <w:vAlign w:val="center"/>
            <w:hideMark/>
          </w:tcPr>
          <w:p w14:paraId="7DE73FA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B82516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17A6F08"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110254B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179671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4973EEE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7FA1448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68CEA76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r>
      <w:tr w:rsidR="00F0476A" w:rsidRPr="009E1865" w14:paraId="1369C518" w14:textId="77777777" w:rsidTr="00F0476A">
        <w:trPr>
          <w:jc w:val="center"/>
        </w:trPr>
        <w:tc>
          <w:tcPr>
            <w:tcW w:w="20" w:type="dxa"/>
            <w:tcBorders>
              <w:top w:val="nil"/>
              <w:left w:val="nil"/>
              <w:bottom w:val="nil"/>
              <w:right w:val="nil"/>
            </w:tcBorders>
            <w:shd w:val="clear" w:color="auto" w:fill="auto"/>
            <w:noWrap/>
            <w:vAlign w:val="center"/>
            <w:hideMark/>
          </w:tcPr>
          <w:p w14:paraId="082A3B3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572DAD6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Moderate</w:t>
            </w:r>
          </w:p>
        </w:tc>
        <w:tc>
          <w:tcPr>
            <w:tcW w:w="20" w:type="dxa"/>
            <w:tcBorders>
              <w:top w:val="nil"/>
              <w:left w:val="nil"/>
              <w:bottom w:val="nil"/>
              <w:right w:val="nil"/>
            </w:tcBorders>
            <w:shd w:val="clear" w:color="auto" w:fill="auto"/>
            <w:noWrap/>
            <w:vAlign w:val="center"/>
            <w:hideMark/>
          </w:tcPr>
          <w:p w14:paraId="0E612F4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15F130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776AC14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1.23</w:t>
            </w:r>
          </w:p>
        </w:tc>
        <w:tc>
          <w:tcPr>
            <w:tcW w:w="20" w:type="dxa"/>
            <w:tcBorders>
              <w:top w:val="nil"/>
              <w:left w:val="nil"/>
              <w:bottom w:val="nil"/>
              <w:right w:val="nil"/>
            </w:tcBorders>
            <w:shd w:val="clear" w:color="auto" w:fill="auto"/>
            <w:noWrap/>
            <w:vAlign w:val="center"/>
            <w:hideMark/>
          </w:tcPr>
          <w:p w14:paraId="5585755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[0.97,1.55]</w:t>
            </w:r>
          </w:p>
        </w:tc>
        <w:tc>
          <w:tcPr>
            <w:tcW w:w="20" w:type="dxa"/>
            <w:tcBorders>
              <w:top w:val="nil"/>
              <w:left w:val="nil"/>
              <w:bottom w:val="nil"/>
              <w:right w:val="nil"/>
            </w:tcBorders>
            <w:shd w:val="clear" w:color="auto" w:fill="auto"/>
            <w:noWrap/>
            <w:vAlign w:val="center"/>
            <w:hideMark/>
          </w:tcPr>
          <w:p w14:paraId="7BF28B0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1.21</w:t>
            </w:r>
          </w:p>
        </w:tc>
        <w:tc>
          <w:tcPr>
            <w:tcW w:w="20" w:type="dxa"/>
            <w:tcBorders>
              <w:top w:val="nil"/>
              <w:left w:val="nil"/>
              <w:bottom w:val="nil"/>
              <w:right w:val="nil"/>
            </w:tcBorders>
            <w:shd w:val="clear" w:color="auto" w:fill="auto"/>
            <w:noWrap/>
            <w:vAlign w:val="center"/>
            <w:hideMark/>
          </w:tcPr>
          <w:p w14:paraId="22CB726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[0.95,1.54]</w:t>
            </w:r>
          </w:p>
        </w:tc>
        <w:tc>
          <w:tcPr>
            <w:tcW w:w="20" w:type="dxa"/>
            <w:tcBorders>
              <w:top w:val="nil"/>
              <w:left w:val="nil"/>
              <w:bottom w:val="nil"/>
              <w:right w:val="nil"/>
            </w:tcBorders>
            <w:shd w:val="clear" w:color="auto" w:fill="auto"/>
            <w:noWrap/>
            <w:vAlign w:val="center"/>
            <w:hideMark/>
          </w:tcPr>
          <w:p w14:paraId="71F035A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1.14</w:t>
            </w:r>
          </w:p>
        </w:tc>
        <w:tc>
          <w:tcPr>
            <w:tcW w:w="20" w:type="dxa"/>
            <w:tcBorders>
              <w:top w:val="nil"/>
              <w:left w:val="nil"/>
              <w:bottom w:val="nil"/>
              <w:right w:val="nil"/>
            </w:tcBorders>
            <w:shd w:val="clear" w:color="auto" w:fill="auto"/>
            <w:noWrap/>
            <w:vAlign w:val="center"/>
            <w:hideMark/>
          </w:tcPr>
          <w:p w14:paraId="2748156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[0.89,1.45]</w:t>
            </w:r>
          </w:p>
        </w:tc>
      </w:tr>
      <w:tr w:rsidR="00F0476A" w:rsidRPr="009E1865" w14:paraId="4C22E786" w14:textId="77777777" w:rsidTr="00F0476A">
        <w:trPr>
          <w:jc w:val="center"/>
        </w:trPr>
        <w:tc>
          <w:tcPr>
            <w:tcW w:w="20" w:type="dxa"/>
            <w:tcBorders>
              <w:top w:val="nil"/>
              <w:left w:val="nil"/>
              <w:bottom w:val="nil"/>
              <w:right w:val="nil"/>
            </w:tcBorders>
            <w:shd w:val="clear" w:color="auto" w:fill="auto"/>
            <w:noWrap/>
            <w:vAlign w:val="center"/>
            <w:hideMark/>
          </w:tcPr>
          <w:p w14:paraId="5BBAF7C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EC10AE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Low</w:t>
            </w:r>
          </w:p>
        </w:tc>
        <w:tc>
          <w:tcPr>
            <w:tcW w:w="20" w:type="dxa"/>
            <w:tcBorders>
              <w:top w:val="nil"/>
              <w:left w:val="nil"/>
              <w:bottom w:val="nil"/>
              <w:right w:val="nil"/>
            </w:tcBorders>
            <w:shd w:val="clear" w:color="auto" w:fill="auto"/>
            <w:noWrap/>
            <w:vAlign w:val="center"/>
            <w:hideMark/>
          </w:tcPr>
          <w:p w14:paraId="3ECCFA5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58ABD58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532CAA8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1.22</w:t>
            </w:r>
          </w:p>
        </w:tc>
        <w:tc>
          <w:tcPr>
            <w:tcW w:w="20" w:type="dxa"/>
            <w:tcBorders>
              <w:top w:val="nil"/>
              <w:left w:val="nil"/>
              <w:bottom w:val="nil"/>
              <w:right w:val="nil"/>
            </w:tcBorders>
            <w:shd w:val="clear" w:color="auto" w:fill="auto"/>
            <w:noWrap/>
            <w:vAlign w:val="center"/>
            <w:hideMark/>
          </w:tcPr>
          <w:p w14:paraId="73963C1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[0.97,1.53]</w:t>
            </w:r>
          </w:p>
        </w:tc>
        <w:tc>
          <w:tcPr>
            <w:tcW w:w="20" w:type="dxa"/>
            <w:tcBorders>
              <w:top w:val="nil"/>
              <w:left w:val="nil"/>
              <w:bottom w:val="nil"/>
              <w:right w:val="nil"/>
            </w:tcBorders>
            <w:shd w:val="clear" w:color="auto" w:fill="auto"/>
            <w:noWrap/>
            <w:vAlign w:val="center"/>
            <w:hideMark/>
          </w:tcPr>
          <w:p w14:paraId="658BB8F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1.20</w:t>
            </w:r>
          </w:p>
        </w:tc>
        <w:tc>
          <w:tcPr>
            <w:tcW w:w="20" w:type="dxa"/>
            <w:tcBorders>
              <w:top w:val="nil"/>
              <w:left w:val="nil"/>
              <w:bottom w:val="nil"/>
              <w:right w:val="nil"/>
            </w:tcBorders>
            <w:shd w:val="clear" w:color="auto" w:fill="auto"/>
            <w:noWrap/>
            <w:vAlign w:val="center"/>
            <w:hideMark/>
          </w:tcPr>
          <w:p w14:paraId="3C438C3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[0.95,1.52]</w:t>
            </w:r>
          </w:p>
        </w:tc>
        <w:tc>
          <w:tcPr>
            <w:tcW w:w="20" w:type="dxa"/>
            <w:tcBorders>
              <w:top w:val="nil"/>
              <w:left w:val="nil"/>
              <w:bottom w:val="nil"/>
              <w:right w:val="nil"/>
            </w:tcBorders>
            <w:shd w:val="clear" w:color="auto" w:fill="auto"/>
            <w:noWrap/>
            <w:vAlign w:val="center"/>
            <w:hideMark/>
          </w:tcPr>
          <w:p w14:paraId="0666BB1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1.12</w:t>
            </w:r>
          </w:p>
        </w:tc>
        <w:tc>
          <w:tcPr>
            <w:tcW w:w="20" w:type="dxa"/>
            <w:tcBorders>
              <w:top w:val="nil"/>
              <w:left w:val="nil"/>
              <w:bottom w:val="nil"/>
              <w:right w:val="nil"/>
            </w:tcBorders>
            <w:shd w:val="clear" w:color="auto" w:fill="auto"/>
            <w:noWrap/>
            <w:vAlign w:val="center"/>
            <w:hideMark/>
          </w:tcPr>
          <w:p w14:paraId="2E2492D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[0.89,1.42]</w:t>
            </w:r>
          </w:p>
        </w:tc>
      </w:tr>
      <w:tr w:rsidR="00F0476A" w:rsidRPr="009E1865" w14:paraId="1F631EA8" w14:textId="77777777" w:rsidTr="00F0476A">
        <w:trPr>
          <w:jc w:val="center"/>
        </w:trPr>
        <w:tc>
          <w:tcPr>
            <w:tcW w:w="20" w:type="dxa"/>
            <w:tcBorders>
              <w:top w:val="nil"/>
              <w:left w:val="nil"/>
              <w:bottom w:val="nil"/>
              <w:right w:val="nil"/>
            </w:tcBorders>
            <w:shd w:val="clear" w:color="auto" w:fill="auto"/>
            <w:noWrap/>
            <w:vAlign w:val="center"/>
            <w:hideMark/>
          </w:tcPr>
          <w:p w14:paraId="7218E53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BMI (kg/m</w:t>
            </w:r>
            <w:r w:rsidRPr="009E1865">
              <w:rPr>
                <w:noProof w:val="0"/>
                <w:color w:val="000000" w:themeColor="text1"/>
                <w:sz w:val="18"/>
                <w:vertAlign w:val="superscript"/>
              </w:rPr>
              <w:t>2</w:t>
            </w:r>
            <w:r w:rsidRPr="009E1865">
              <w:rPr>
                <w:noProof w:val="0"/>
                <w:color w:val="000000" w:themeColor="text1"/>
                <w:sz w:val="18"/>
              </w:rPr>
              <w:t>)</w:t>
            </w:r>
          </w:p>
        </w:tc>
        <w:tc>
          <w:tcPr>
            <w:tcW w:w="20" w:type="dxa"/>
            <w:tcBorders>
              <w:top w:val="nil"/>
              <w:left w:val="nil"/>
              <w:bottom w:val="nil"/>
              <w:right w:val="nil"/>
            </w:tcBorders>
            <w:shd w:val="clear" w:color="auto" w:fill="auto"/>
            <w:noWrap/>
            <w:vAlign w:val="center"/>
            <w:hideMark/>
          </w:tcPr>
          <w:p w14:paraId="401E00D0"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18.5-24.9</w:t>
            </w:r>
          </w:p>
        </w:tc>
        <w:tc>
          <w:tcPr>
            <w:tcW w:w="20" w:type="dxa"/>
            <w:tcBorders>
              <w:top w:val="nil"/>
              <w:left w:val="nil"/>
              <w:bottom w:val="nil"/>
              <w:right w:val="nil"/>
            </w:tcBorders>
            <w:shd w:val="clear" w:color="auto" w:fill="auto"/>
            <w:noWrap/>
            <w:vAlign w:val="center"/>
            <w:hideMark/>
          </w:tcPr>
          <w:p w14:paraId="5A120E6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1BF029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17D278A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06A66F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CFC341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42666E6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6EA759C6"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1.00</w:t>
            </w:r>
          </w:p>
        </w:tc>
        <w:tc>
          <w:tcPr>
            <w:tcW w:w="20" w:type="dxa"/>
            <w:tcBorders>
              <w:top w:val="nil"/>
              <w:left w:val="nil"/>
              <w:bottom w:val="nil"/>
              <w:right w:val="nil"/>
            </w:tcBorders>
            <w:shd w:val="clear" w:color="auto" w:fill="auto"/>
            <w:noWrap/>
            <w:vAlign w:val="center"/>
            <w:hideMark/>
          </w:tcPr>
          <w:p w14:paraId="252BE0F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r>
      <w:tr w:rsidR="00F0476A" w:rsidRPr="009E1865" w14:paraId="5DF464D4" w14:textId="77777777" w:rsidTr="00F0476A">
        <w:trPr>
          <w:jc w:val="center"/>
        </w:trPr>
        <w:tc>
          <w:tcPr>
            <w:tcW w:w="20" w:type="dxa"/>
            <w:tcBorders>
              <w:top w:val="nil"/>
              <w:left w:val="nil"/>
              <w:bottom w:val="nil"/>
              <w:right w:val="nil"/>
            </w:tcBorders>
            <w:shd w:val="clear" w:color="auto" w:fill="auto"/>
            <w:noWrap/>
            <w:vAlign w:val="center"/>
            <w:hideMark/>
          </w:tcPr>
          <w:p w14:paraId="389BD73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D9C3E0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25.0-29.9</w:t>
            </w:r>
          </w:p>
        </w:tc>
        <w:tc>
          <w:tcPr>
            <w:tcW w:w="20" w:type="dxa"/>
            <w:tcBorders>
              <w:top w:val="nil"/>
              <w:left w:val="nil"/>
              <w:bottom w:val="nil"/>
              <w:right w:val="nil"/>
            </w:tcBorders>
            <w:shd w:val="clear" w:color="auto" w:fill="auto"/>
            <w:noWrap/>
            <w:vAlign w:val="center"/>
            <w:hideMark/>
          </w:tcPr>
          <w:p w14:paraId="7E05A08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38ED895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BBB483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ACD5B5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336D74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1.36**</w:t>
            </w:r>
          </w:p>
        </w:tc>
        <w:tc>
          <w:tcPr>
            <w:tcW w:w="20" w:type="dxa"/>
            <w:tcBorders>
              <w:top w:val="nil"/>
              <w:left w:val="nil"/>
              <w:bottom w:val="nil"/>
              <w:right w:val="nil"/>
            </w:tcBorders>
            <w:shd w:val="clear" w:color="auto" w:fill="auto"/>
            <w:noWrap/>
            <w:vAlign w:val="center"/>
            <w:hideMark/>
          </w:tcPr>
          <w:p w14:paraId="09ED862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[1.08,1.70]</w:t>
            </w:r>
          </w:p>
        </w:tc>
        <w:tc>
          <w:tcPr>
            <w:tcW w:w="20" w:type="dxa"/>
            <w:tcBorders>
              <w:top w:val="nil"/>
              <w:left w:val="nil"/>
              <w:bottom w:val="nil"/>
              <w:right w:val="nil"/>
            </w:tcBorders>
            <w:shd w:val="clear" w:color="auto" w:fill="auto"/>
            <w:noWrap/>
            <w:vAlign w:val="center"/>
            <w:hideMark/>
          </w:tcPr>
          <w:p w14:paraId="783F507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1.36**</w:t>
            </w:r>
          </w:p>
        </w:tc>
        <w:tc>
          <w:tcPr>
            <w:tcW w:w="20" w:type="dxa"/>
            <w:tcBorders>
              <w:top w:val="nil"/>
              <w:left w:val="nil"/>
              <w:bottom w:val="nil"/>
              <w:right w:val="nil"/>
            </w:tcBorders>
            <w:shd w:val="clear" w:color="auto" w:fill="auto"/>
            <w:noWrap/>
            <w:vAlign w:val="center"/>
            <w:hideMark/>
          </w:tcPr>
          <w:p w14:paraId="2FFED31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[1.09,1.70]</w:t>
            </w:r>
          </w:p>
        </w:tc>
      </w:tr>
      <w:tr w:rsidR="00F0476A" w:rsidRPr="009E1865" w14:paraId="3B12C882" w14:textId="77777777" w:rsidTr="00F0476A">
        <w:trPr>
          <w:jc w:val="center"/>
        </w:trPr>
        <w:tc>
          <w:tcPr>
            <w:tcW w:w="20" w:type="dxa"/>
            <w:tcBorders>
              <w:top w:val="nil"/>
              <w:left w:val="nil"/>
              <w:bottom w:val="nil"/>
              <w:right w:val="nil"/>
            </w:tcBorders>
            <w:shd w:val="clear" w:color="auto" w:fill="auto"/>
            <w:noWrap/>
            <w:vAlign w:val="center"/>
            <w:hideMark/>
          </w:tcPr>
          <w:p w14:paraId="03CD0C8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6C6780D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≥30</w:t>
            </w:r>
          </w:p>
        </w:tc>
        <w:tc>
          <w:tcPr>
            <w:tcW w:w="20" w:type="dxa"/>
            <w:tcBorders>
              <w:top w:val="nil"/>
              <w:left w:val="nil"/>
              <w:bottom w:val="nil"/>
              <w:right w:val="nil"/>
            </w:tcBorders>
            <w:shd w:val="clear" w:color="auto" w:fill="auto"/>
            <w:noWrap/>
            <w:vAlign w:val="center"/>
            <w:hideMark/>
          </w:tcPr>
          <w:p w14:paraId="59C7CA52"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60A9876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62BD400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114F42AA"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28BD249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2.60***</w:t>
            </w:r>
          </w:p>
        </w:tc>
        <w:tc>
          <w:tcPr>
            <w:tcW w:w="20" w:type="dxa"/>
            <w:tcBorders>
              <w:top w:val="nil"/>
              <w:left w:val="nil"/>
              <w:bottom w:val="nil"/>
              <w:right w:val="nil"/>
            </w:tcBorders>
            <w:shd w:val="clear" w:color="auto" w:fill="auto"/>
            <w:noWrap/>
            <w:vAlign w:val="center"/>
            <w:hideMark/>
          </w:tcPr>
          <w:p w14:paraId="7B325EFE"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[1.65,4.10]</w:t>
            </w:r>
          </w:p>
        </w:tc>
        <w:tc>
          <w:tcPr>
            <w:tcW w:w="20" w:type="dxa"/>
            <w:tcBorders>
              <w:top w:val="nil"/>
              <w:left w:val="nil"/>
              <w:bottom w:val="nil"/>
              <w:right w:val="nil"/>
            </w:tcBorders>
            <w:shd w:val="clear" w:color="auto" w:fill="auto"/>
            <w:noWrap/>
            <w:vAlign w:val="center"/>
            <w:hideMark/>
          </w:tcPr>
          <w:p w14:paraId="56732CCF"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2.48***</w:t>
            </w:r>
          </w:p>
        </w:tc>
        <w:tc>
          <w:tcPr>
            <w:tcW w:w="20" w:type="dxa"/>
            <w:tcBorders>
              <w:top w:val="nil"/>
              <w:left w:val="nil"/>
              <w:bottom w:val="nil"/>
              <w:right w:val="nil"/>
            </w:tcBorders>
            <w:shd w:val="clear" w:color="auto" w:fill="auto"/>
            <w:noWrap/>
            <w:vAlign w:val="center"/>
            <w:hideMark/>
          </w:tcPr>
          <w:p w14:paraId="1B8AE8D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[1.55,3.97]</w:t>
            </w:r>
          </w:p>
        </w:tc>
      </w:tr>
      <w:tr w:rsidR="00F0476A" w:rsidRPr="009E1865" w14:paraId="1DA9DC83" w14:textId="77777777" w:rsidTr="00F0476A">
        <w:trPr>
          <w:jc w:val="center"/>
        </w:trPr>
        <w:tc>
          <w:tcPr>
            <w:tcW w:w="20" w:type="dxa"/>
            <w:tcBorders>
              <w:top w:val="nil"/>
              <w:left w:val="nil"/>
              <w:bottom w:val="nil"/>
              <w:right w:val="nil"/>
            </w:tcBorders>
            <w:shd w:val="clear" w:color="auto" w:fill="auto"/>
            <w:noWrap/>
            <w:vAlign w:val="center"/>
            <w:hideMark/>
          </w:tcPr>
          <w:p w14:paraId="5AA3059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3B1AF81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&lt;18.5</w:t>
            </w:r>
          </w:p>
        </w:tc>
        <w:tc>
          <w:tcPr>
            <w:tcW w:w="20" w:type="dxa"/>
            <w:tcBorders>
              <w:top w:val="nil"/>
              <w:left w:val="nil"/>
              <w:bottom w:val="nil"/>
              <w:right w:val="nil"/>
            </w:tcBorders>
            <w:shd w:val="clear" w:color="auto" w:fill="auto"/>
            <w:noWrap/>
            <w:vAlign w:val="center"/>
            <w:hideMark/>
          </w:tcPr>
          <w:p w14:paraId="14ACF3C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A102C0C"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6976A8A4"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08308515"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p>
        </w:tc>
        <w:tc>
          <w:tcPr>
            <w:tcW w:w="20" w:type="dxa"/>
            <w:tcBorders>
              <w:top w:val="nil"/>
              <w:left w:val="nil"/>
              <w:bottom w:val="nil"/>
              <w:right w:val="nil"/>
            </w:tcBorders>
            <w:shd w:val="clear" w:color="auto" w:fill="auto"/>
            <w:noWrap/>
            <w:vAlign w:val="center"/>
            <w:hideMark/>
          </w:tcPr>
          <w:p w14:paraId="486E2083"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0.63**</w:t>
            </w:r>
          </w:p>
        </w:tc>
        <w:tc>
          <w:tcPr>
            <w:tcW w:w="20" w:type="dxa"/>
            <w:tcBorders>
              <w:top w:val="nil"/>
              <w:left w:val="nil"/>
              <w:bottom w:val="nil"/>
              <w:right w:val="nil"/>
            </w:tcBorders>
            <w:shd w:val="clear" w:color="auto" w:fill="auto"/>
            <w:noWrap/>
            <w:vAlign w:val="center"/>
            <w:hideMark/>
          </w:tcPr>
          <w:p w14:paraId="43E2300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[0.44,0.89]</w:t>
            </w:r>
          </w:p>
        </w:tc>
        <w:tc>
          <w:tcPr>
            <w:tcW w:w="20" w:type="dxa"/>
            <w:tcBorders>
              <w:top w:val="nil"/>
              <w:left w:val="nil"/>
              <w:bottom w:val="nil"/>
              <w:right w:val="nil"/>
            </w:tcBorders>
            <w:shd w:val="clear" w:color="auto" w:fill="auto"/>
            <w:noWrap/>
            <w:vAlign w:val="center"/>
            <w:hideMark/>
          </w:tcPr>
          <w:p w14:paraId="57599911"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0.64*</w:t>
            </w:r>
          </w:p>
        </w:tc>
        <w:tc>
          <w:tcPr>
            <w:tcW w:w="20" w:type="dxa"/>
            <w:tcBorders>
              <w:top w:val="nil"/>
              <w:left w:val="nil"/>
              <w:bottom w:val="nil"/>
              <w:right w:val="nil"/>
            </w:tcBorders>
            <w:shd w:val="clear" w:color="auto" w:fill="auto"/>
            <w:noWrap/>
            <w:vAlign w:val="center"/>
            <w:hideMark/>
          </w:tcPr>
          <w:p w14:paraId="23520C2D"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[0.45,0.92]</w:t>
            </w:r>
          </w:p>
        </w:tc>
      </w:tr>
      <w:tr w:rsidR="00F0476A" w:rsidRPr="009E1865" w14:paraId="15692567" w14:textId="77777777" w:rsidTr="00F0476A">
        <w:trPr>
          <w:jc w:val="center"/>
        </w:trPr>
        <w:tc>
          <w:tcPr>
            <w:tcW w:w="20" w:type="dxa"/>
            <w:tcBorders>
              <w:top w:val="nil"/>
              <w:left w:val="nil"/>
              <w:bottom w:val="single" w:sz="8" w:space="0" w:color="auto"/>
              <w:right w:val="nil"/>
            </w:tcBorders>
            <w:shd w:val="clear" w:color="auto" w:fill="auto"/>
            <w:noWrap/>
            <w:vAlign w:val="center"/>
            <w:hideMark/>
          </w:tcPr>
          <w:p w14:paraId="187D4FFB"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No. of chronic diseases</w:t>
            </w:r>
          </w:p>
        </w:tc>
        <w:tc>
          <w:tcPr>
            <w:tcW w:w="20" w:type="dxa"/>
            <w:tcBorders>
              <w:top w:val="nil"/>
              <w:left w:val="nil"/>
              <w:bottom w:val="single" w:sz="8" w:space="0" w:color="auto"/>
              <w:right w:val="nil"/>
            </w:tcBorders>
            <w:shd w:val="clear" w:color="auto" w:fill="auto"/>
            <w:noWrap/>
            <w:vAlign w:val="center"/>
            <w:hideMark/>
          </w:tcPr>
          <w:p w14:paraId="1A72011D" w14:textId="77777777" w:rsidR="003564B6" w:rsidRPr="009E1865" w:rsidRDefault="00F0476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 xml:space="preserve"> </w:t>
            </w:r>
          </w:p>
        </w:tc>
        <w:tc>
          <w:tcPr>
            <w:tcW w:w="20" w:type="dxa"/>
            <w:tcBorders>
              <w:top w:val="nil"/>
              <w:left w:val="nil"/>
              <w:bottom w:val="single" w:sz="8" w:space="0" w:color="auto"/>
              <w:right w:val="nil"/>
            </w:tcBorders>
            <w:shd w:val="clear" w:color="auto" w:fill="auto"/>
            <w:noWrap/>
            <w:vAlign w:val="center"/>
            <w:hideMark/>
          </w:tcPr>
          <w:p w14:paraId="22A18077" w14:textId="77777777" w:rsidR="003564B6" w:rsidRPr="009E1865" w:rsidRDefault="00F0476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 xml:space="preserve"> </w:t>
            </w:r>
          </w:p>
        </w:tc>
        <w:tc>
          <w:tcPr>
            <w:tcW w:w="20" w:type="dxa"/>
            <w:tcBorders>
              <w:top w:val="nil"/>
              <w:left w:val="nil"/>
              <w:bottom w:val="single" w:sz="8" w:space="0" w:color="auto"/>
              <w:right w:val="nil"/>
            </w:tcBorders>
            <w:shd w:val="clear" w:color="auto" w:fill="auto"/>
            <w:noWrap/>
            <w:vAlign w:val="center"/>
            <w:hideMark/>
          </w:tcPr>
          <w:p w14:paraId="28CA2149" w14:textId="77777777" w:rsidR="003564B6" w:rsidRPr="009E1865" w:rsidRDefault="00F0476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 xml:space="preserve"> </w:t>
            </w:r>
          </w:p>
        </w:tc>
        <w:tc>
          <w:tcPr>
            <w:tcW w:w="20" w:type="dxa"/>
            <w:tcBorders>
              <w:top w:val="nil"/>
              <w:left w:val="nil"/>
              <w:bottom w:val="single" w:sz="8" w:space="0" w:color="auto"/>
              <w:right w:val="nil"/>
            </w:tcBorders>
            <w:shd w:val="clear" w:color="auto" w:fill="auto"/>
            <w:noWrap/>
            <w:vAlign w:val="center"/>
            <w:hideMark/>
          </w:tcPr>
          <w:p w14:paraId="6D6BAF01" w14:textId="77777777" w:rsidR="003564B6" w:rsidRPr="009E1865" w:rsidRDefault="00F0476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 xml:space="preserve"> </w:t>
            </w:r>
          </w:p>
        </w:tc>
        <w:tc>
          <w:tcPr>
            <w:tcW w:w="20" w:type="dxa"/>
            <w:tcBorders>
              <w:top w:val="nil"/>
              <w:left w:val="nil"/>
              <w:bottom w:val="single" w:sz="8" w:space="0" w:color="auto"/>
              <w:right w:val="nil"/>
            </w:tcBorders>
            <w:shd w:val="clear" w:color="auto" w:fill="auto"/>
            <w:noWrap/>
            <w:vAlign w:val="center"/>
            <w:hideMark/>
          </w:tcPr>
          <w:p w14:paraId="5725B020" w14:textId="77777777" w:rsidR="003564B6" w:rsidRPr="009E1865" w:rsidRDefault="00F0476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 xml:space="preserve"> </w:t>
            </w:r>
          </w:p>
        </w:tc>
        <w:tc>
          <w:tcPr>
            <w:tcW w:w="20" w:type="dxa"/>
            <w:tcBorders>
              <w:top w:val="nil"/>
              <w:left w:val="nil"/>
              <w:bottom w:val="single" w:sz="8" w:space="0" w:color="auto"/>
              <w:right w:val="nil"/>
            </w:tcBorders>
            <w:shd w:val="clear" w:color="auto" w:fill="auto"/>
            <w:noWrap/>
            <w:vAlign w:val="center"/>
            <w:hideMark/>
          </w:tcPr>
          <w:p w14:paraId="5BE291B7" w14:textId="77777777" w:rsidR="003564B6" w:rsidRPr="009E1865" w:rsidRDefault="00F0476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 xml:space="preserve"> </w:t>
            </w:r>
          </w:p>
        </w:tc>
        <w:tc>
          <w:tcPr>
            <w:tcW w:w="20" w:type="dxa"/>
            <w:tcBorders>
              <w:top w:val="nil"/>
              <w:left w:val="nil"/>
              <w:bottom w:val="single" w:sz="8" w:space="0" w:color="auto"/>
              <w:right w:val="nil"/>
            </w:tcBorders>
            <w:shd w:val="clear" w:color="auto" w:fill="auto"/>
            <w:noWrap/>
            <w:vAlign w:val="center"/>
            <w:hideMark/>
          </w:tcPr>
          <w:p w14:paraId="1DFD0E5F" w14:textId="77777777" w:rsidR="003564B6" w:rsidRPr="009E1865" w:rsidRDefault="00F0476A"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 xml:space="preserve"> </w:t>
            </w:r>
          </w:p>
        </w:tc>
        <w:tc>
          <w:tcPr>
            <w:tcW w:w="20" w:type="dxa"/>
            <w:tcBorders>
              <w:top w:val="nil"/>
              <w:left w:val="nil"/>
              <w:bottom w:val="single" w:sz="8" w:space="0" w:color="auto"/>
              <w:right w:val="nil"/>
            </w:tcBorders>
            <w:shd w:val="clear" w:color="auto" w:fill="auto"/>
            <w:noWrap/>
            <w:vAlign w:val="center"/>
            <w:hideMark/>
          </w:tcPr>
          <w:p w14:paraId="101D13C7"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1.14***</w:t>
            </w:r>
          </w:p>
        </w:tc>
        <w:tc>
          <w:tcPr>
            <w:tcW w:w="20" w:type="dxa"/>
            <w:tcBorders>
              <w:top w:val="nil"/>
              <w:left w:val="nil"/>
              <w:bottom w:val="single" w:sz="8" w:space="0" w:color="auto"/>
              <w:right w:val="nil"/>
            </w:tcBorders>
            <w:shd w:val="clear" w:color="auto" w:fill="auto"/>
            <w:noWrap/>
            <w:vAlign w:val="center"/>
            <w:hideMark/>
          </w:tcPr>
          <w:p w14:paraId="468C74C9" w14:textId="77777777" w:rsidR="003564B6" w:rsidRPr="009E1865" w:rsidRDefault="003564B6" w:rsidP="00F0476A">
            <w:pPr>
              <w:autoSpaceDE w:val="0"/>
              <w:autoSpaceDN w:val="0"/>
              <w:adjustRightInd w:val="0"/>
              <w:snapToGrid w:val="0"/>
              <w:spacing w:line="240" w:lineRule="auto"/>
              <w:jc w:val="center"/>
              <w:rPr>
                <w:noProof w:val="0"/>
                <w:color w:val="000000" w:themeColor="text1"/>
                <w:sz w:val="18"/>
              </w:rPr>
            </w:pPr>
            <w:r w:rsidRPr="009E1865">
              <w:rPr>
                <w:noProof w:val="0"/>
                <w:color w:val="000000" w:themeColor="text1"/>
                <w:sz w:val="18"/>
              </w:rPr>
              <w:t>[1.06,1.22]</w:t>
            </w:r>
          </w:p>
        </w:tc>
      </w:tr>
    </w:tbl>
    <w:p w14:paraId="7DCCA6D9" w14:textId="77777777" w:rsidR="003564B6" w:rsidRPr="009E1865" w:rsidRDefault="003564B6" w:rsidP="00F0476A">
      <w:pPr>
        <w:pStyle w:val="MDPI43tablefooter"/>
        <w:ind w:left="425" w:right="425"/>
        <w:jc w:val="center"/>
        <w:rPr>
          <w:color w:val="000000" w:themeColor="text1"/>
        </w:rPr>
      </w:pPr>
      <w:r w:rsidRPr="009E1865">
        <w:rPr>
          <w:color w:val="000000" w:themeColor="text1"/>
        </w:rPr>
        <w:lastRenderedPageBreak/>
        <w:t>Abbreviation: OR Odds ratio; CI Confidence interval; BMI Body mass index</w:t>
      </w:r>
      <w:r w:rsidR="00F0476A" w:rsidRPr="009E1865">
        <w:rPr>
          <w:color w:val="000000" w:themeColor="text1"/>
        </w:rPr>
        <w:t xml:space="preserve">. </w:t>
      </w:r>
      <w:r w:rsidRPr="009E1865">
        <w:rPr>
          <w:color w:val="000000" w:themeColor="text1"/>
        </w:rPr>
        <w:t>Models are adjusted for all variables in the respective column and country.</w:t>
      </w:r>
      <w:r w:rsidR="00F0476A" w:rsidRPr="009E1865">
        <w:rPr>
          <w:color w:val="000000" w:themeColor="text1"/>
        </w:rPr>
        <w:t xml:space="preserve"> </w:t>
      </w:r>
      <w:r w:rsidRPr="009E1865">
        <w:rPr>
          <w:color w:val="000000" w:themeColor="text1"/>
        </w:rPr>
        <w:t>* p&lt;0.05, ** p&lt;0.01, *** p&lt;0.001</w:t>
      </w:r>
      <w:r w:rsidR="00F0476A" w:rsidRPr="009E1865">
        <w:rPr>
          <w:color w:val="000000" w:themeColor="text1"/>
        </w:rPr>
        <w:t>.</w:t>
      </w:r>
    </w:p>
    <w:p w14:paraId="2F29C925" w14:textId="77777777" w:rsidR="003564B6" w:rsidRPr="009E1865" w:rsidRDefault="003564B6" w:rsidP="00F0476A">
      <w:pPr>
        <w:pStyle w:val="MDPI52figure"/>
        <w:ind w:left="2608"/>
        <w:jc w:val="left"/>
        <w:rPr>
          <w:color w:val="000000" w:themeColor="text1"/>
        </w:rPr>
      </w:pPr>
      <w:r w:rsidRPr="009E1865">
        <w:rPr>
          <w:noProof/>
          <w:color w:val="000000" w:themeColor="text1"/>
          <w:lang w:val="en-GB" w:eastAsia="en-GB" w:bidi="ar-SA"/>
        </w:rPr>
        <w:drawing>
          <wp:inline distT="0" distB="0" distL="0" distR="0" wp14:anchorId="1612FE15" wp14:editId="71AA2758">
            <wp:extent cx="4572000" cy="4133850"/>
            <wp:effectExtent l="0" t="0" r="12700" b="6350"/>
            <wp:docPr id="4" name="Chart 4">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C5CC9BCC-5A9B-0C43-A301-242A487296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1166316" w14:textId="77777777" w:rsidR="003564B6" w:rsidRPr="009E1865" w:rsidRDefault="00AC3DE1" w:rsidP="00AC3DE1">
      <w:pPr>
        <w:pStyle w:val="MDPI51figurecaption"/>
        <w:ind w:left="425" w:right="425"/>
        <w:jc w:val="center"/>
        <w:rPr>
          <w:color w:val="000000" w:themeColor="text1"/>
        </w:rPr>
      </w:pPr>
      <w:r w:rsidRPr="009E1865">
        <w:rPr>
          <w:b/>
          <w:bCs/>
          <w:color w:val="000000" w:themeColor="text1"/>
        </w:rPr>
        <w:t xml:space="preserve">Figure 1. </w:t>
      </w:r>
      <w:r w:rsidR="003564B6" w:rsidRPr="009E1865">
        <w:rPr>
          <w:color w:val="000000" w:themeColor="text1"/>
        </w:rPr>
        <w:t>Prevalence of sarcopenia by food insecurity status (overall and by sex)</w:t>
      </w:r>
      <w:r w:rsidR="00FB29DC" w:rsidRPr="009E1865">
        <w:rPr>
          <w:color w:val="000000" w:themeColor="text1"/>
        </w:rPr>
        <w:t>.</w:t>
      </w:r>
    </w:p>
    <w:p w14:paraId="02E42A3F" w14:textId="77777777" w:rsidR="007D3FBA" w:rsidRPr="009E1865" w:rsidRDefault="007D3FBA" w:rsidP="00F0476A">
      <w:pPr>
        <w:pStyle w:val="MDPI31text"/>
        <w:rPr>
          <w:color w:val="000000" w:themeColor="text1"/>
        </w:rPr>
      </w:pPr>
    </w:p>
    <w:p w14:paraId="0635720E" w14:textId="77777777" w:rsidR="001C1B1D" w:rsidRPr="009E1865" w:rsidRDefault="001C1B1D" w:rsidP="00F0476A">
      <w:pPr>
        <w:pStyle w:val="MDPI21heading1"/>
        <w:rPr>
          <w:color w:val="000000" w:themeColor="text1"/>
        </w:rPr>
        <w:sectPr w:rsidR="001C1B1D" w:rsidRPr="009E1865" w:rsidSect="00AC3DE1">
          <w:pgSz w:w="16838" w:h="11906" w:orient="landscape" w:code="9"/>
          <w:pgMar w:top="1417" w:right="720" w:bottom="1077" w:left="720" w:header="1020" w:footer="340" w:gutter="0"/>
          <w:lnNumType w:countBy="1" w:distance="255" w:restart="continuous"/>
          <w:cols w:space="425"/>
          <w:bidi/>
          <w:docGrid w:type="lines" w:linePitch="326"/>
        </w:sectPr>
      </w:pPr>
    </w:p>
    <w:p w14:paraId="4B653B49" w14:textId="77777777" w:rsidR="00D47EA5" w:rsidRPr="009E1865" w:rsidRDefault="00AC3DE1" w:rsidP="00AC3DE1">
      <w:pPr>
        <w:pStyle w:val="MDPI21heading1"/>
        <w:rPr>
          <w:color w:val="000000" w:themeColor="text1"/>
        </w:rPr>
      </w:pPr>
      <w:r w:rsidRPr="009E1865">
        <w:rPr>
          <w:color w:val="000000" w:themeColor="text1"/>
        </w:rPr>
        <w:lastRenderedPageBreak/>
        <w:t xml:space="preserve">4. </w:t>
      </w:r>
      <w:r w:rsidR="00D47EA5" w:rsidRPr="009E1865">
        <w:rPr>
          <w:color w:val="000000" w:themeColor="text1"/>
        </w:rPr>
        <w:t>Discussion</w:t>
      </w:r>
    </w:p>
    <w:p w14:paraId="05A032D6" w14:textId="77777777" w:rsidR="00483D16" w:rsidRPr="009E1865" w:rsidRDefault="00AC3DE1" w:rsidP="00AC3DE1">
      <w:pPr>
        <w:pStyle w:val="MDPI22heading2"/>
        <w:rPr>
          <w:color w:val="000000" w:themeColor="text1"/>
        </w:rPr>
      </w:pPr>
      <w:r w:rsidRPr="009E1865">
        <w:rPr>
          <w:color w:val="000000" w:themeColor="text1"/>
        </w:rPr>
        <w:t xml:space="preserve">4.1. </w:t>
      </w:r>
      <w:r w:rsidR="00483D16" w:rsidRPr="009E1865">
        <w:rPr>
          <w:color w:val="000000" w:themeColor="text1"/>
        </w:rPr>
        <w:t>Main findings and comparison with previous literature</w:t>
      </w:r>
    </w:p>
    <w:p w14:paraId="6DCADF55" w14:textId="25C0F3D9" w:rsidR="00483D16" w:rsidRPr="009E1865" w:rsidRDefault="00483D16" w:rsidP="00AC3DE1">
      <w:pPr>
        <w:pStyle w:val="MDPI31text"/>
        <w:rPr>
          <w:color w:val="000000" w:themeColor="text1"/>
        </w:rPr>
      </w:pPr>
      <w:r w:rsidRPr="009E1865">
        <w:rPr>
          <w:color w:val="000000" w:themeColor="text1"/>
        </w:rPr>
        <w:t>In this large representative sample of older adults from six LMICs, it was observed that compared to no food insecurity, severe food insecurity was associated with 2.05 times higher odds for sarcopenia. Our findings support literature that has demonstrated an association between food insecurity and a higher risk of sarcopenia</w:t>
      </w:r>
      <w:r w:rsidR="008057DB" w:rsidRPr="009E1865">
        <w:rPr>
          <w:color w:val="000000" w:themeColor="text1"/>
        </w:rPr>
        <w:t xml:space="preserve"> </w:t>
      </w:r>
      <w:r w:rsidR="00F41495" w:rsidRPr="00F41495">
        <w:rPr>
          <w:bCs/>
          <w:color w:val="FF0000"/>
        </w:rPr>
        <w:t>[17</w:t>
      </w:r>
      <w:r w:rsidR="008057DB" w:rsidRPr="00F41495">
        <w:rPr>
          <w:bCs/>
          <w:color w:val="FF0000"/>
        </w:rPr>
        <w:t>]</w:t>
      </w:r>
      <w:r w:rsidR="008057DB" w:rsidRPr="00F41495">
        <w:rPr>
          <w:color w:val="FF0000"/>
        </w:rPr>
        <w:t xml:space="preserve"> </w:t>
      </w:r>
      <w:r w:rsidRPr="009E1865">
        <w:rPr>
          <w:color w:val="000000" w:themeColor="text1"/>
        </w:rPr>
        <w:t>and adds to this by demonstrating such an association in a large representative sample of older adults from six LMICs, which collectively represent nearly half of the worldwide population. The present findings also support literature investigating food insecurity with a more proxy outcome (muscle mass strength and physical performance)</w:t>
      </w:r>
      <w:r w:rsidR="008057DB" w:rsidRPr="009E1865">
        <w:rPr>
          <w:color w:val="000000" w:themeColor="text1"/>
        </w:rPr>
        <w:t xml:space="preserve"> </w:t>
      </w:r>
      <w:r w:rsidR="00F41495" w:rsidRPr="00F41495">
        <w:rPr>
          <w:bCs/>
          <w:color w:val="FF0000"/>
        </w:rPr>
        <w:t>[19</w:t>
      </w:r>
      <w:r w:rsidR="008057DB" w:rsidRPr="00F41495">
        <w:rPr>
          <w:bCs/>
          <w:color w:val="FF0000"/>
        </w:rPr>
        <w:t>]</w:t>
      </w:r>
      <w:r w:rsidRPr="00F41495">
        <w:rPr>
          <w:color w:val="FF0000"/>
        </w:rPr>
        <w:t>.</w:t>
      </w:r>
      <w:r w:rsidR="008057DB" w:rsidRPr="00F41495">
        <w:rPr>
          <w:color w:val="FF0000"/>
        </w:rPr>
        <w:t xml:space="preserve"> </w:t>
      </w:r>
      <w:r w:rsidRPr="009E1865">
        <w:rPr>
          <w:color w:val="000000" w:themeColor="text1"/>
        </w:rPr>
        <w:t>However, the present findings contradict the only other existing study on this topic carried out in a LMIC (Mexico) that observ</w:t>
      </w:r>
      <w:r w:rsidR="008057DB" w:rsidRPr="009E1865">
        <w:rPr>
          <w:color w:val="000000" w:themeColor="text1"/>
        </w:rPr>
        <w:t xml:space="preserve">ed no significant associations </w:t>
      </w:r>
      <w:r w:rsidR="00F41495" w:rsidRPr="00F41495">
        <w:rPr>
          <w:bCs/>
          <w:color w:val="FF0000"/>
        </w:rPr>
        <w:t>[18</w:t>
      </w:r>
      <w:r w:rsidR="008057DB" w:rsidRPr="00F41495">
        <w:rPr>
          <w:bCs/>
          <w:color w:val="FF0000"/>
        </w:rPr>
        <w:t>]</w:t>
      </w:r>
      <w:r w:rsidR="008057DB" w:rsidRPr="00F41495">
        <w:rPr>
          <w:color w:val="FF0000"/>
        </w:rPr>
        <w:t xml:space="preserve">. </w:t>
      </w:r>
      <w:r w:rsidRPr="009E1865">
        <w:rPr>
          <w:color w:val="000000" w:themeColor="text1"/>
        </w:rPr>
        <w:t>However, this study only included 168 participants and it is possible that it lacked statistical power to detect a difference.</w:t>
      </w:r>
    </w:p>
    <w:p w14:paraId="1AE6A46F" w14:textId="77777777" w:rsidR="00483D16" w:rsidRPr="009E1865" w:rsidRDefault="00AC3DE1" w:rsidP="00AC3DE1">
      <w:pPr>
        <w:pStyle w:val="MDPI22heading2"/>
        <w:spacing w:before="240"/>
        <w:rPr>
          <w:color w:val="000000" w:themeColor="text1"/>
        </w:rPr>
      </w:pPr>
      <w:r w:rsidRPr="009E1865">
        <w:rPr>
          <w:color w:val="000000" w:themeColor="text1"/>
        </w:rPr>
        <w:t xml:space="preserve">4.2. </w:t>
      </w:r>
      <w:r w:rsidR="00483D16" w:rsidRPr="009E1865">
        <w:rPr>
          <w:color w:val="000000" w:themeColor="text1"/>
        </w:rPr>
        <w:t>Interpretation of findings</w:t>
      </w:r>
    </w:p>
    <w:p w14:paraId="1D3F072D" w14:textId="2712723D" w:rsidR="00483D16" w:rsidRPr="009E1865" w:rsidRDefault="00483D16" w:rsidP="00AC3DE1">
      <w:pPr>
        <w:pStyle w:val="MDPI31text"/>
        <w:rPr>
          <w:color w:val="000000" w:themeColor="text1"/>
        </w:rPr>
      </w:pPr>
      <w:r w:rsidRPr="009E1865">
        <w:rPr>
          <w:color w:val="000000" w:themeColor="text1"/>
        </w:rPr>
        <w:t>Interestingly, the present analysis demonstrated that the control variables included in this study (e.g., physical activity, BMI, chronic physical diseases) have very little influence in the association between food insecurity and sarcopenia.</w:t>
      </w:r>
      <w:r w:rsidR="00F86D45">
        <w:rPr>
          <w:color w:val="000000" w:themeColor="text1"/>
        </w:rPr>
        <w:t xml:space="preserve"> </w:t>
      </w:r>
      <w:r w:rsidRPr="009E1865">
        <w:rPr>
          <w:color w:val="000000" w:themeColor="text1"/>
        </w:rPr>
        <w:t>Therefore, this association may predominantly be explained by factors which were not included in our study such as nutritional factors. Specifically, food insecurity is associated with multiple micro- and macro-nutrient deficiencies, many of which deficiencies may increase</w:t>
      </w:r>
      <w:r w:rsidR="008057DB" w:rsidRPr="009E1865">
        <w:rPr>
          <w:color w:val="000000" w:themeColor="text1"/>
        </w:rPr>
        <w:t xml:space="preserve"> risk of sarcopenia</w:t>
      </w:r>
      <w:r w:rsidRPr="009E1865">
        <w:rPr>
          <w:color w:val="000000" w:themeColor="text1"/>
        </w:rPr>
        <w:t>.</w:t>
      </w:r>
      <w:r w:rsidR="008057DB" w:rsidRPr="009E1865">
        <w:rPr>
          <w:color w:val="000000" w:themeColor="text1"/>
        </w:rPr>
        <w:t xml:space="preserve"> </w:t>
      </w:r>
      <w:r w:rsidRPr="009E1865">
        <w:rPr>
          <w:color w:val="000000" w:themeColor="text1"/>
        </w:rPr>
        <w:t xml:space="preserve">For example, exogenous antioxidant vitamins </w:t>
      </w:r>
      <w:r w:rsidR="00957099" w:rsidRPr="009E1865">
        <w:rPr>
          <w:color w:val="000000" w:themeColor="text1"/>
        </w:rPr>
        <w:t>contribute to the maintenance of skeletal muscle mass. Importantly, in the ageing population</w:t>
      </w:r>
      <w:r w:rsidRPr="009E1865">
        <w:rPr>
          <w:color w:val="000000" w:themeColor="text1"/>
        </w:rPr>
        <w:t xml:space="preserve"> endogenous antioxidant efficiency is reduced </w:t>
      </w:r>
      <w:r w:rsidR="00F41495" w:rsidRPr="00F41495">
        <w:rPr>
          <w:bCs/>
          <w:color w:val="FF0000"/>
        </w:rPr>
        <w:t>[36</w:t>
      </w:r>
      <w:r w:rsidR="00B0734F" w:rsidRPr="00F41495">
        <w:rPr>
          <w:bCs/>
          <w:color w:val="FF0000"/>
        </w:rPr>
        <w:t>]</w:t>
      </w:r>
      <w:r w:rsidRPr="00F41495">
        <w:rPr>
          <w:color w:val="FF0000"/>
        </w:rPr>
        <w:t>.</w:t>
      </w:r>
      <w:r w:rsidR="00B0734F" w:rsidRPr="00F41495">
        <w:rPr>
          <w:color w:val="FF0000"/>
        </w:rPr>
        <w:t xml:space="preserve"> </w:t>
      </w:r>
      <w:r w:rsidR="00A61049">
        <w:rPr>
          <w:color w:val="000000" w:themeColor="text1"/>
        </w:rPr>
        <w:t>Indeed</w:t>
      </w:r>
      <w:r w:rsidR="00957099" w:rsidRPr="009E1865">
        <w:rPr>
          <w:color w:val="000000" w:themeColor="text1"/>
        </w:rPr>
        <w:t xml:space="preserve">, a higher dietary intake of </w:t>
      </w:r>
      <w:r w:rsidRPr="009E1865">
        <w:rPr>
          <w:color w:val="000000" w:themeColor="text1"/>
        </w:rPr>
        <w:t xml:space="preserve">antioxidants (e.g., vitamin C and beta-carotene) </w:t>
      </w:r>
      <w:r w:rsidR="00957099" w:rsidRPr="009E1865">
        <w:rPr>
          <w:color w:val="000000" w:themeColor="text1"/>
        </w:rPr>
        <w:t xml:space="preserve">have been shown to be </w:t>
      </w:r>
      <w:r w:rsidRPr="009E1865">
        <w:rPr>
          <w:color w:val="000000" w:themeColor="text1"/>
        </w:rPr>
        <w:t xml:space="preserve">associated with higher skeletal muscular strength among </w:t>
      </w:r>
      <w:r w:rsidR="00957099" w:rsidRPr="009E1865">
        <w:rPr>
          <w:color w:val="000000" w:themeColor="text1"/>
        </w:rPr>
        <w:t xml:space="preserve">older adults residing </w:t>
      </w:r>
      <w:r w:rsidRPr="009E1865">
        <w:rPr>
          <w:color w:val="000000" w:themeColor="text1"/>
        </w:rPr>
        <w:t xml:space="preserve">in </w:t>
      </w:r>
      <w:r w:rsidR="00957099" w:rsidRPr="009E1865">
        <w:rPr>
          <w:color w:val="000000" w:themeColor="text1"/>
        </w:rPr>
        <w:t xml:space="preserve">Italy </w:t>
      </w:r>
      <w:r w:rsidR="00F41495" w:rsidRPr="00F41495">
        <w:rPr>
          <w:bCs/>
          <w:color w:val="FF0000"/>
        </w:rPr>
        <w:t>[38</w:t>
      </w:r>
      <w:r w:rsidR="00952C7E" w:rsidRPr="00F41495">
        <w:rPr>
          <w:bCs/>
          <w:color w:val="FF0000"/>
        </w:rPr>
        <w:t>]</w:t>
      </w:r>
      <w:r w:rsidRPr="00F41495">
        <w:rPr>
          <w:color w:val="FF0000"/>
        </w:rPr>
        <w:t>.</w:t>
      </w:r>
      <w:r w:rsidR="00952C7E" w:rsidRPr="00F41495">
        <w:rPr>
          <w:color w:val="FF0000"/>
        </w:rPr>
        <w:t xml:space="preserve"> </w:t>
      </w:r>
      <w:r w:rsidRPr="009E1865">
        <w:rPr>
          <w:color w:val="000000" w:themeColor="text1"/>
        </w:rPr>
        <w:t>Next, food insecurity has been found to be associated with a suboptimal intake of folate</w:t>
      </w:r>
      <w:r w:rsidR="00952C7E" w:rsidRPr="009E1865">
        <w:rPr>
          <w:color w:val="000000" w:themeColor="text1"/>
        </w:rPr>
        <w:t xml:space="preserve"> </w:t>
      </w:r>
      <w:r w:rsidR="00F41495" w:rsidRPr="00F41495">
        <w:rPr>
          <w:bCs/>
          <w:color w:val="FF0000"/>
        </w:rPr>
        <w:t>[39</w:t>
      </w:r>
      <w:r w:rsidR="00952C7E" w:rsidRPr="00F41495">
        <w:rPr>
          <w:bCs/>
          <w:color w:val="FF0000"/>
        </w:rPr>
        <w:t>]</w:t>
      </w:r>
      <w:r w:rsidR="00952C7E" w:rsidRPr="00F41495">
        <w:rPr>
          <w:color w:val="FF0000"/>
        </w:rPr>
        <w:t xml:space="preserve">, </w:t>
      </w:r>
      <w:r w:rsidRPr="009E1865">
        <w:rPr>
          <w:color w:val="000000" w:themeColor="text1"/>
        </w:rPr>
        <w:t>and low folate intake has been found to be associated wi</w:t>
      </w:r>
      <w:r w:rsidR="00952C7E" w:rsidRPr="009E1865">
        <w:rPr>
          <w:color w:val="000000" w:themeColor="text1"/>
        </w:rPr>
        <w:t xml:space="preserve">th increased risk of sarcopenia </w:t>
      </w:r>
      <w:r w:rsidR="00F41495" w:rsidRPr="00F41495">
        <w:rPr>
          <w:bCs/>
          <w:color w:val="FF0000"/>
        </w:rPr>
        <w:t>[40</w:t>
      </w:r>
      <w:r w:rsidR="00952C7E" w:rsidRPr="00F41495">
        <w:rPr>
          <w:bCs/>
          <w:color w:val="FF0000"/>
        </w:rPr>
        <w:t>]</w:t>
      </w:r>
      <w:r w:rsidRPr="00F41495">
        <w:rPr>
          <w:color w:val="FF0000"/>
        </w:rPr>
        <w:t xml:space="preserve">.  </w:t>
      </w:r>
    </w:p>
    <w:p w14:paraId="1602FC74" w14:textId="5692450A" w:rsidR="00483D16" w:rsidRPr="009E1865" w:rsidRDefault="00483D16" w:rsidP="00AC3DE1">
      <w:pPr>
        <w:pStyle w:val="MDPI31text"/>
        <w:rPr>
          <w:color w:val="000000" w:themeColor="text1"/>
        </w:rPr>
      </w:pPr>
      <w:r w:rsidRPr="009E1865">
        <w:rPr>
          <w:color w:val="000000" w:themeColor="text1"/>
        </w:rPr>
        <w:t>Finally, food insecurity, particularly hunger, may lead to energy deficiency. Acute energy deficiency is associated with changes in body composition, as well as a reduced basal metabolic rate, and thus likely increases risk of sarcopenia</w:t>
      </w:r>
      <w:r w:rsidR="00952C7E" w:rsidRPr="009E1865">
        <w:rPr>
          <w:color w:val="000000" w:themeColor="text1"/>
        </w:rPr>
        <w:t xml:space="preserve"> </w:t>
      </w:r>
      <w:r w:rsidR="00F41495" w:rsidRPr="00F41495">
        <w:rPr>
          <w:bCs/>
          <w:color w:val="FF0000"/>
        </w:rPr>
        <w:t>[41</w:t>
      </w:r>
      <w:r w:rsidR="00952C7E" w:rsidRPr="00F41495">
        <w:rPr>
          <w:bCs/>
          <w:color w:val="FF0000"/>
        </w:rPr>
        <w:t>]</w:t>
      </w:r>
      <w:r w:rsidRPr="00F41495">
        <w:rPr>
          <w:color w:val="FF0000"/>
        </w:rPr>
        <w:t xml:space="preserve">. </w:t>
      </w:r>
    </w:p>
    <w:p w14:paraId="0B9B9CF9" w14:textId="77777777" w:rsidR="00483D16" w:rsidRPr="009E1865" w:rsidRDefault="00AC3DE1" w:rsidP="00AC3DE1">
      <w:pPr>
        <w:pStyle w:val="MDPI22heading2"/>
        <w:spacing w:before="240"/>
        <w:rPr>
          <w:color w:val="000000" w:themeColor="text1"/>
        </w:rPr>
      </w:pPr>
      <w:r w:rsidRPr="009E1865">
        <w:rPr>
          <w:color w:val="000000" w:themeColor="text1"/>
        </w:rPr>
        <w:t xml:space="preserve">4.3. </w:t>
      </w:r>
      <w:r w:rsidR="00483D16" w:rsidRPr="009E1865">
        <w:rPr>
          <w:color w:val="000000" w:themeColor="text1"/>
        </w:rPr>
        <w:t>Public health implications and areas for future research</w:t>
      </w:r>
    </w:p>
    <w:p w14:paraId="6BE1C416" w14:textId="63C6E8C2" w:rsidR="00483D16" w:rsidRPr="009E1865" w:rsidRDefault="00483D16" w:rsidP="00AC3DE1">
      <w:pPr>
        <w:pStyle w:val="MDPI31text"/>
        <w:rPr>
          <w:color w:val="000000" w:themeColor="text1"/>
        </w:rPr>
      </w:pPr>
      <w:r w:rsidRPr="009E1865">
        <w:rPr>
          <w:color w:val="000000" w:themeColor="text1"/>
        </w:rPr>
        <w:t>The results of our study show that interventions to combat food insecurity among older people in LMICs may also aid in the prevention of sarcopenia. One such intervention may include the implementation of food banks which have been highly successful in high-income countries to tackle food insecurity</w:t>
      </w:r>
      <w:r w:rsidR="00952C7E" w:rsidRPr="009E1865">
        <w:rPr>
          <w:color w:val="000000" w:themeColor="text1"/>
        </w:rPr>
        <w:t xml:space="preserve"> </w:t>
      </w:r>
      <w:r w:rsidR="00060F5A" w:rsidRPr="00060F5A">
        <w:rPr>
          <w:bCs/>
          <w:color w:val="FF0000"/>
        </w:rPr>
        <w:t>[42</w:t>
      </w:r>
      <w:r w:rsidR="00952C7E" w:rsidRPr="00060F5A">
        <w:rPr>
          <w:bCs/>
          <w:color w:val="FF0000"/>
        </w:rPr>
        <w:t>]</w:t>
      </w:r>
      <w:r w:rsidRPr="00060F5A">
        <w:rPr>
          <w:color w:val="FF0000"/>
        </w:rPr>
        <w:t>.</w:t>
      </w:r>
      <w:r w:rsidR="00952C7E" w:rsidRPr="00060F5A">
        <w:rPr>
          <w:color w:val="FF0000"/>
        </w:rPr>
        <w:t xml:space="preserve"> </w:t>
      </w:r>
      <w:r w:rsidRPr="009E1865">
        <w:rPr>
          <w:color w:val="000000" w:themeColor="text1"/>
        </w:rPr>
        <w:t>Another successful intervention in high-income countries specifically targeted at older adults is home delivery of meals supported by governments</w:t>
      </w:r>
      <w:r w:rsidR="00952C7E" w:rsidRPr="009E1865">
        <w:rPr>
          <w:color w:val="000000" w:themeColor="text1"/>
        </w:rPr>
        <w:t xml:space="preserve"> </w:t>
      </w:r>
      <w:r w:rsidR="00060F5A" w:rsidRPr="00060F5A">
        <w:rPr>
          <w:bCs/>
          <w:color w:val="FF0000"/>
        </w:rPr>
        <w:t>[43, 44</w:t>
      </w:r>
      <w:r w:rsidR="00D0482E" w:rsidRPr="00060F5A">
        <w:rPr>
          <w:bCs/>
          <w:color w:val="FF0000"/>
        </w:rPr>
        <w:t>]</w:t>
      </w:r>
      <w:r w:rsidR="00952C7E" w:rsidRPr="00060F5A">
        <w:rPr>
          <w:color w:val="FF0000"/>
        </w:rPr>
        <w:t xml:space="preserve">. </w:t>
      </w:r>
      <w:r w:rsidRPr="009E1865">
        <w:rPr>
          <w:color w:val="000000" w:themeColor="text1"/>
        </w:rPr>
        <w:t xml:space="preserve">However, such initiatives are rare in LMICs and will require strong governmental “buy in” to implement. In addition, future studies should assess the content of food that food insecure older people tend to consume in LMICs, and how quantity and diversity of food consumed in this population influences health outcomes including sarcopenia. </w:t>
      </w:r>
    </w:p>
    <w:p w14:paraId="4F2C72B5" w14:textId="77777777" w:rsidR="00483D16" w:rsidRPr="009E1865" w:rsidRDefault="00AC3DE1" w:rsidP="00AC3DE1">
      <w:pPr>
        <w:pStyle w:val="MDPI22heading2"/>
        <w:spacing w:before="240"/>
        <w:rPr>
          <w:color w:val="000000" w:themeColor="text1"/>
        </w:rPr>
      </w:pPr>
      <w:r w:rsidRPr="009E1865">
        <w:rPr>
          <w:color w:val="000000" w:themeColor="text1"/>
        </w:rPr>
        <w:t xml:space="preserve">4.4. </w:t>
      </w:r>
      <w:r w:rsidR="00483D16" w:rsidRPr="009E1865">
        <w:rPr>
          <w:color w:val="000000" w:themeColor="text1"/>
        </w:rPr>
        <w:t>Strengths and limitations</w:t>
      </w:r>
    </w:p>
    <w:p w14:paraId="77396730" w14:textId="77777777" w:rsidR="00D47EA5" w:rsidRPr="009E1865" w:rsidRDefault="00483D16" w:rsidP="00AC3DE1">
      <w:pPr>
        <w:pStyle w:val="MDPI31text"/>
        <w:rPr>
          <w:color w:val="000000" w:themeColor="text1"/>
        </w:rPr>
      </w:pPr>
      <w:r w:rsidRPr="009E1865">
        <w:rPr>
          <w:color w:val="000000" w:themeColor="text1"/>
        </w:rPr>
        <w:t xml:space="preserve">The large sample of older adults from multiple LMICs is a clear strength of the present work. However, findings must be considered in light of the study’s limitations. First, the study is cross-sectional in nature and thus the direction of the association cannot be confirmed. However, it is unlikely that sarcopenia drives food insecurity rather than vice versa. Second, the study relied mostly on self-reported data which could have been affected by factors such as recall and social desirability biases. Finally, the measure of food </w:t>
      </w:r>
      <w:r w:rsidRPr="009E1865">
        <w:rPr>
          <w:color w:val="000000" w:themeColor="text1"/>
        </w:rPr>
        <w:lastRenderedPageBreak/>
        <w:t xml:space="preserve">insecurity used in our study was based on two questions and did not constitute a comprehensive food insecurity measure. </w:t>
      </w:r>
      <w:r w:rsidR="00D47EA5" w:rsidRPr="009E1865">
        <w:rPr>
          <w:color w:val="000000" w:themeColor="text1"/>
        </w:rPr>
        <w:t xml:space="preserve"> </w:t>
      </w:r>
    </w:p>
    <w:p w14:paraId="703889AE" w14:textId="77777777" w:rsidR="00D47EA5" w:rsidRPr="009E1865" w:rsidRDefault="00AC3DE1" w:rsidP="00AC3DE1">
      <w:pPr>
        <w:pStyle w:val="MDPI21heading1"/>
        <w:rPr>
          <w:color w:val="000000" w:themeColor="text1"/>
        </w:rPr>
      </w:pPr>
      <w:r w:rsidRPr="009E1865">
        <w:rPr>
          <w:color w:val="000000" w:themeColor="text1"/>
        </w:rPr>
        <w:t xml:space="preserve">5. </w:t>
      </w:r>
      <w:r w:rsidR="00D47EA5" w:rsidRPr="009E1865">
        <w:rPr>
          <w:color w:val="000000" w:themeColor="text1"/>
        </w:rPr>
        <w:t>Conclusions</w:t>
      </w:r>
    </w:p>
    <w:p w14:paraId="4406D21F" w14:textId="77777777" w:rsidR="000E08E6" w:rsidRPr="009E1865" w:rsidRDefault="000E08E6" w:rsidP="00AC3DE1">
      <w:pPr>
        <w:pStyle w:val="MDPI31text"/>
        <w:rPr>
          <w:color w:val="000000" w:themeColor="text1"/>
        </w:rPr>
      </w:pPr>
      <w:r w:rsidRPr="009E1865">
        <w:rPr>
          <w:color w:val="000000" w:themeColor="text1"/>
        </w:rPr>
        <w:t xml:space="preserve">In this large representative sample of older adults from multiple LMICs, it was found that severe food insecurity is associated with higher odds for sarcopenia. Addressing food insecurity in such settings may be an effective strategy to curb the high prevalence of sarcopenia in LMICs. </w:t>
      </w:r>
    </w:p>
    <w:p w14:paraId="54B7B71E" w14:textId="77777777" w:rsidR="00D47EA5" w:rsidRPr="00686CF6" w:rsidRDefault="00AC3DE1" w:rsidP="00AC3DE1">
      <w:pPr>
        <w:pStyle w:val="MDPI62BackMatter"/>
        <w:spacing w:before="240"/>
        <w:rPr>
          <w:color w:val="FF0000"/>
        </w:rPr>
      </w:pPr>
      <w:r w:rsidRPr="009E1865">
        <w:rPr>
          <w:b/>
          <w:color w:val="000000" w:themeColor="text1"/>
        </w:rPr>
        <w:t>Author Contribution</w:t>
      </w:r>
      <w:r w:rsidR="00D47EA5" w:rsidRPr="009E1865">
        <w:rPr>
          <w:b/>
          <w:color w:val="000000" w:themeColor="text1"/>
        </w:rPr>
        <w:t xml:space="preserve">s: </w:t>
      </w:r>
      <w:r w:rsidR="00DF40F3" w:rsidRPr="00686CF6">
        <w:rPr>
          <w:color w:val="FF0000"/>
        </w:rPr>
        <w:t xml:space="preserve">Conceptualization- AK, LS; Analyses AK; Interpretation- AK, LS; </w:t>
      </w:r>
      <w:r w:rsidR="00287F39" w:rsidRPr="00686CF6">
        <w:rPr>
          <w:color w:val="FF0000"/>
        </w:rPr>
        <w:t>W</w:t>
      </w:r>
      <w:r w:rsidR="00D47EA5" w:rsidRPr="00686CF6">
        <w:rPr>
          <w:color w:val="FF0000"/>
        </w:rPr>
        <w:t>riting—</w:t>
      </w:r>
      <w:r w:rsidR="00287F39" w:rsidRPr="00686CF6">
        <w:rPr>
          <w:color w:val="FF0000"/>
        </w:rPr>
        <w:t>original draft preparation, L.S., A.K.</w:t>
      </w:r>
      <w:r w:rsidR="00D47EA5" w:rsidRPr="00686CF6">
        <w:rPr>
          <w:color w:val="FF0000"/>
        </w:rPr>
        <w:t>; w</w:t>
      </w:r>
      <w:r w:rsidR="00287F39" w:rsidRPr="00686CF6">
        <w:rPr>
          <w:color w:val="FF0000"/>
        </w:rPr>
        <w:t>riting—review and editing, L.S., L.J., Y.B., L.T.B., J.I.S., G.F.L.S., P.S., N.V., J.M.H., A.K</w:t>
      </w:r>
      <w:r w:rsidR="008C5304" w:rsidRPr="00686CF6">
        <w:rPr>
          <w:color w:val="FF0000"/>
        </w:rPr>
        <w:t>.</w:t>
      </w:r>
      <w:r w:rsidR="00D47EA5" w:rsidRPr="00686CF6">
        <w:rPr>
          <w:color w:val="FF0000"/>
        </w:rPr>
        <w:t xml:space="preserve"> All authors have read and agreed to the publi</w:t>
      </w:r>
      <w:r w:rsidR="008C5304" w:rsidRPr="00686CF6">
        <w:rPr>
          <w:color w:val="FF0000"/>
        </w:rPr>
        <w:t>shed version of the manuscript.</w:t>
      </w:r>
      <w:r w:rsidR="006349C5" w:rsidRPr="00686CF6">
        <w:rPr>
          <w:color w:val="FF0000"/>
        </w:rPr>
        <w:t xml:space="preserve"> </w:t>
      </w:r>
    </w:p>
    <w:p w14:paraId="26F8DB28" w14:textId="77777777" w:rsidR="00D47EA5" w:rsidRPr="009E1865" w:rsidRDefault="00D47EA5" w:rsidP="00AC3DE1">
      <w:pPr>
        <w:pStyle w:val="MDPI62BackMatter"/>
        <w:rPr>
          <w:color w:val="000000" w:themeColor="text1"/>
        </w:rPr>
      </w:pPr>
      <w:r w:rsidRPr="009E1865">
        <w:rPr>
          <w:b/>
          <w:color w:val="000000" w:themeColor="text1"/>
        </w:rPr>
        <w:t xml:space="preserve">Funding: </w:t>
      </w:r>
      <w:r w:rsidRPr="009E1865">
        <w:rPr>
          <w:color w:val="000000" w:themeColor="text1"/>
        </w:rPr>
        <w:t>This researc</w:t>
      </w:r>
      <w:r w:rsidR="008A4C24" w:rsidRPr="009E1865">
        <w:rPr>
          <w:color w:val="000000" w:themeColor="text1"/>
        </w:rPr>
        <w:t>h received no external funding.</w:t>
      </w:r>
    </w:p>
    <w:p w14:paraId="33FC5E88" w14:textId="77777777" w:rsidR="00D814AA" w:rsidRPr="009E1865" w:rsidRDefault="00D47EA5" w:rsidP="00AC3DE1">
      <w:pPr>
        <w:pStyle w:val="MDPI62BackMatter"/>
        <w:rPr>
          <w:color w:val="000000" w:themeColor="text1"/>
        </w:rPr>
      </w:pPr>
      <w:r w:rsidRPr="009E1865">
        <w:rPr>
          <w:b/>
          <w:color w:val="000000" w:themeColor="text1"/>
        </w:rPr>
        <w:t xml:space="preserve">Institutional Review Board Statement: </w:t>
      </w:r>
      <w:r w:rsidR="006349C5" w:rsidRPr="009E1865">
        <w:rPr>
          <w:color w:val="000000" w:themeColor="text1"/>
        </w:rPr>
        <w:t>The study was conducted according to the guidelines of the Declaration of Helsinki, and approved by</w:t>
      </w:r>
      <w:r w:rsidR="00D814AA" w:rsidRPr="009E1865">
        <w:rPr>
          <w:color w:val="000000" w:themeColor="text1"/>
        </w:rPr>
        <w:t xml:space="preserve"> the WHO Ethical Review Committee and local ethics research review boards. </w:t>
      </w:r>
    </w:p>
    <w:p w14:paraId="73C34871" w14:textId="77777777" w:rsidR="00D47EA5" w:rsidRPr="009E1865" w:rsidRDefault="00D47EA5" w:rsidP="00AC3DE1">
      <w:pPr>
        <w:pStyle w:val="MDPI62BackMatter"/>
        <w:rPr>
          <w:b/>
          <w:color w:val="000000" w:themeColor="text1"/>
        </w:rPr>
      </w:pPr>
      <w:r w:rsidRPr="009E1865">
        <w:rPr>
          <w:b/>
          <w:color w:val="000000" w:themeColor="text1"/>
        </w:rPr>
        <w:t xml:space="preserve">Informed Consent Statement: </w:t>
      </w:r>
      <w:r w:rsidRPr="009E1865">
        <w:rPr>
          <w:color w:val="000000" w:themeColor="text1"/>
        </w:rPr>
        <w:t>Informed consent was obtained from all subjects involved in the study</w:t>
      </w:r>
      <w:r w:rsidR="008A4C24" w:rsidRPr="009E1865">
        <w:rPr>
          <w:color w:val="000000" w:themeColor="text1"/>
        </w:rPr>
        <w:t>.</w:t>
      </w:r>
      <w:r w:rsidRPr="009E1865">
        <w:rPr>
          <w:color w:val="000000" w:themeColor="text1"/>
        </w:rPr>
        <w:t xml:space="preserve"> </w:t>
      </w:r>
    </w:p>
    <w:p w14:paraId="25BF0A5E" w14:textId="77777777" w:rsidR="00D47EA5" w:rsidRPr="009E1865" w:rsidRDefault="00D47EA5" w:rsidP="00AC3DE1">
      <w:pPr>
        <w:pStyle w:val="MDPI62BackMatter"/>
        <w:rPr>
          <w:color w:val="000000" w:themeColor="text1"/>
        </w:rPr>
      </w:pPr>
      <w:r w:rsidRPr="009E1865">
        <w:rPr>
          <w:b/>
          <w:color w:val="000000" w:themeColor="text1"/>
        </w:rPr>
        <w:t xml:space="preserve">Data Availability Statement: </w:t>
      </w:r>
      <w:r w:rsidR="001B6ECA" w:rsidRPr="009E1865">
        <w:rPr>
          <w:color w:val="000000" w:themeColor="text1"/>
        </w:rPr>
        <w:t>The data presented in this study are available on request from the corresponding author.</w:t>
      </w:r>
    </w:p>
    <w:p w14:paraId="2CFD809B" w14:textId="77777777" w:rsidR="00D47EA5" w:rsidRPr="009E1865" w:rsidRDefault="00D47EA5" w:rsidP="00AC3DE1">
      <w:pPr>
        <w:pStyle w:val="MDPI62BackMatter"/>
        <w:rPr>
          <w:color w:val="000000" w:themeColor="text1"/>
        </w:rPr>
      </w:pPr>
      <w:r w:rsidRPr="009E1865">
        <w:rPr>
          <w:b/>
          <w:color w:val="000000" w:themeColor="text1"/>
        </w:rPr>
        <w:t xml:space="preserve">Conflicts of Interest: </w:t>
      </w:r>
      <w:r w:rsidRPr="009E1865">
        <w:rPr>
          <w:color w:val="000000" w:themeColor="text1"/>
        </w:rPr>
        <w:t>The authors de</w:t>
      </w:r>
      <w:r w:rsidR="008A4C24" w:rsidRPr="009E1865">
        <w:rPr>
          <w:color w:val="000000" w:themeColor="text1"/>
        </w:rPr>
        <w:t>clare no conflict of interest.</w:t>
      </w:r>
    </w:p>
    <w:p w14:paraId="143B8697" w14:textId="77777777" w:rsidR="00D47EA5" w:rsidRPr="009E1865" w:rsidRDefault="00D47EA5" w:rsidP="00AC3DE1">
      <w:pPr>
        <w:pStyle w:val="MDPI21heading1"/>
        <w:ind w:left="0"/>
        <w:rPr>
          <w:color w:val="000000" w:themeColor="text1"/>
        </w:rPr>
      </w:pPr>
      <w:r w:rsidRPr="009E1865">
        <w:rPr>
          <w:color w:val="000000" w:themeColor="text1"/>
        </w:rPr>
        <w:t>References</w:t>
      </w:r>
    </w:p>
    <w:p w14:paraId="4AA6FEE2"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Woo, J. Sarcopenia. </w:t>
      </w:r>
      <w:r w:rsidRPr="009E1865">
        <w:rPr>
          <w:i/>
          <w:iCs/>
          <w:color w:val="000000" w:themeColor="text1"/>
        </w:rPr>
        <w:t xml:space="preserve">Clin. </w:t>
      </w:r>
      <w:proofErr w:type="spellStart"/>
      <w:r w:rsidRPr="009E1865">
        <w:rPr>
          <w:i/>
          <w:iCs/>
          <w:color w:val="000000" w:themeColor="text1"/>
        </w:rPr>
        <w:t>Geriatr</w:t>
      </w:r>
      <w:proofErr w:type="spellEnd"/>
      <w:r w:rsidRPr="009E1865">
        <w:rPr>
          <w:i/>
          <w:iCs/>
          <w:color w:val="000000" w:themeColor="text1"/>
        </w:rPr>
        <w:t xml:space="preserve">. Med. </w:t>
      </w:r>
      <w:r w:rsidRPr="009E1865">
        <w:rPr>
          <w:b/>
          <w:bCs/>
          <w:color w:val="000000" w:themeColor="text1"/>
        </w:rPr>
        <w:t>2017</w:t>
      </w:r>
      <w:r w:rsidRPr="009E1865">
        <w:rPr>
          <w:i/>
          <w:iCs/>
          <w:color w:val="000000" w:themeColor="text1"/>
        </w:rPr>
        <w:t>, 33</w:t>
      </w:r>
      <w:r w:rsidRPr="009E1865">
        <w:rPr>
          <w:color w:val="000000" w:themeColor="text1"/>
        </w:rPr>
        <w:t>, 305-314, https://doi.org/10.1016/j.cger.2017.02.003.</w:t>
      </w:r>
    </w:p>
    <w:p w14:paraId="038D0E81"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Anker, S.D.; Morley, J.E.; von </w:t>
      </w:r>
      <w:proofErr w:type="spellStart"/>
      <w:r w:rsidRPr="009E1865">
        <w:rPr>
          <w:color w:val="000000" w:themeColor="text1"/>
        </w:rPr>
        <w:t>Haehling</w:t>
      </w:r>
      <w:proofErr w:type="spellEnd"/>
      <w:r w:rsidRPr="009E1865">
        <w:rPr>
          <w:color w:val="000000" w:themeColor="text1"/>
        </w:rPr>
        <w:t xml:space="preserve">, S. Welcome to the ICD‐10 code for sarcopenia. </w:t>
      </w:r>
      <w:r w:rsidRPr="009E1865">
        <w:rPr>
          <w:i/>
          <w:iCs/>
          <w:color w:val="000000" w:themeColor="text1"/>
        </w:rPr>
        <w:t xml:space="preserve">J Cachexia Sarcopenia Muscle </w:t>
      </w:r>
      <w:r w:rsidRPr="009E1865">
        <w:rPr>
          <w:b/>
          <w:bCs/>
          <w:color w:val="000000" w:themeColor="text1"/>
        </w:rPr>
        <w:t>2016</w:t>
      </w:r>
      <w:r w:rsidRPr="009E1865">
        <w:rPr>
          <w:i/>
          <w:iCs/>
          <w:color w:val="000000" w:themeColor="text1"/>
        </w:rPr>
        <w:t>, 7</w:t>
      </w:r>
      <w:r w:rsidRPr="009E1865">
        <w:rPr>
          <w:color w:val="000000" w:themeColor="text1"/>
        </w:rPr>
        <w:t>, 512-514, https://doi.org/10.1002/jcsm.12147.</w:t>
      </w:r>
    </w:p>
    <w:p w14:paraId="55721BA4"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Morley, J.E.; Anker, S.D.; Von </w:t>
      </w:r>
      <w:proofErr w:type="spellStart"/>
      <w:r w:rsidRPr="009E1865">
        <w:rPr>
          <w:color w:val="000000" w:themeColor="text1"/>
        </w:rPr>
        <w:t>Haehling</w:t>
      </w:r>
      <w:proofErr w:type="spellEnd"/>
      <w:r w:rsidRPr="009E1865">
        <w:rPr>
          <w:color w:val="000000" w:themeColor="text1"/>
        </w:rPr>
        <w:t xml:space="preserve">, S. Prevalence, incidence, and clinical impact of sarcopenia: facts, numbers, and epidemiology—update 2014. </w:t>
      </w:r>
      <w:r w:rsidRPr="009E1865">
        <w:rPr>
          <w:i/>
          <w:iCs/>
          <w:color w:val="000000" w:themeColor="text1"/>
        </w:rPr>
        <w:t xml:space="preserve">J. Cachexia Sarcopenia Muscle </w:t>
      </w:r>
      <w:r w:rsidRPr="009E1865">
        <w:rPr>
          <w:b/>
          <w:bCs/>
          <w:color w:val="000000" w:themeColor="text1"/>
        </w:rPr>
        <w:t>2014</w:t>
      </w:r>
      <w:r w:rsidRPr="009E1865">
        <w:rPr>
          <w:i/>
          <w:iCs/>
          <w:color w:val="000000" w:themeColor="text1"/>
        </w:rPr>
        <w:t>, 5</w:t>
      </w:r>
      <w:r w:rsidRPr="009E1865">
        <w:rPr>
          <w:color w:val="000000" w:themeColor="text1"/>
        </w:rPr>
        <w:t>, 253–259, https://doi.org/10.1007/s13539-014-0161-y.</w:t>
      </w:r>
    </w:p>
    <w:p w14:paraId="159B45F0"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von </w:t>
      </w:r>
      <w:proofErr w:type="spellStart"/>
      <w:r w:rsidRPr="009E1865">
        <w:rPr>
          <w:color w:val="000000" w:themeColor="text1"/>
        </w:rPr>
        <w:t>Haehling</w:t>
      </w:r>
      <w:proofErr w:type="spellEnd"/>
      <w:r w:rsidRPr="009E1865">
        <w:rPr>
          <w:color w:val="000000" w:themeColor="text1"/>
        </w:rPr>
        <w:t xml:space="preserve">, S.; Morley, J.E.; Anker, S.D. From muscle wasting to sarcopenia and </w:t>
      </w:r>
      <w:proofErr w:type="spellStart"/>
      <w:r w:rsidRPr="009E1865">
        <w:rPr>
          <w:color w:val="000000" w:themeColor="text1"/>
        </w:rPr>
        <w:t>myopenia</w:t>
      </w:r>
      <w:proofErr w:type="spellEnd"/>
      <w:r w:rsidRPr="009E1865">
        <w:rPr>
          <w:color w:val="000000" w:themeColor="text1"/>
        </w:rPr>
        <w:t xml:space="preserve">: update 2012. </w:t>
      </w:r>
      <w:r w:rsidRPr="009E1865">
        <w:rPr>
          <w:i/>
          <w:iCs/>
          <w:color w:val="000000" w:themeColor="text1"/>
        </w:rPr>
        <w:t xml:space="preserve">J. Cachexia Sarcopenia Muscle </w:t>
      </w:r>
      <w:r w:rsidRPr="009E1865">
        <w:rPr>
          <w:b/>
          <w:bCs/>
          <w:color w:val="000000" w:themeColor="text1"/>
        </w:rPr>
        <w:t>2012</w:t>
      </w:r>
      <w:r w:rsidRPr="009E1865">
        <w:rPr>
          <w:i/>
          <w:iCs/>
          <w:color w:val="000000" w:themeColor="text1"/>
        </w:rPr>
        <w:t>, 3</w:t>
      </w:r>
      <w:r w:rsidRPr="009E1865">
        <w:rPr>
          <w:color w:val="000000" w:themeColor="text1"/>
        </w:rPr>
        <w:t>, 213–217, https://doi.org/10.1007/s13539-012-0089-z.</w:t>
      </w:r>
    </w:p>
    <w:p w14:paraId="00D6B61F" w14:textId="77777777" w:rsidR="00D0482E" w:rsidRPr="009E1865" w:rsidRDefault="00D0482E" w:rsidP="005B6F6B">
      <w:pPr>
        <w:pStyle w:val="MDPI71References"/>
        <w:numPr>
          <w:ilvl w:val="0"/>
          <w:numId w:val="17"/>
        </w:numPr>
        <w:rPr>
          <w:color w:val="000000" w:themeColor="text1"/>
        </w:rPr>
      </w:pPr>
      <w:proofErr w:type="spellStart"/>
      <w:r w:rsidRPr="009E1865">
        <w:rPr>
          <w:color w:val="000000" w:themeColor="text1"/>
        </w:rPr>
        <w:t>Zengin</w:t>
      </w:r>
      <w:proofErr w:type="spellEnd"/>
      <w:r w:rsidRPr="009E1865">
        <w:rPr>
          <w:color w:val="000000" w:themeColor="text1"/>
        </w:rPr>
        <w:t xml:space="preserve">, A.; </w:t>
      </w:r>
      <w:proofErr w:type="spellStart"/>
      <w:r w:rsidRPr="009E1865">
        <w:rPr>
          <w:color w:val="000000" w:themeColor="text1"/>
        </w:rPr>
        <w:t>Jarjou</w:t>
      </w:r>
      <w:proofErr w:type="spellEnd"/>
      <w:r w:rsidRPr="009E1865">
        <w:rPr>
          <w:color w:val="000000" w:themeColor="text1"/>
        </w:rPr>
        <w:t xml:space="preserve">, L.M.; Prentice, A.; Cooper, C.; Ebeling, P.R.; Ward, K.A. The prevalence of sarcopenia and relationships between muscle and bone in ageing West‐African Gambian men and women. </w:t>
      </w:r>
      <w:r w:rsidRPr="009E1865">
        <w:rPr>
          <w:i/>
          <w:iCs/>
          <w:color w:val="000000" w:themeColor="text1"/>
        </w:rPr>
        <w:t xml:space="preserve">J. Cachexia Sarcopenia Muscle </w:t>
      </w:r>
      <w:r w:rsidRPr="009E1865">
        <w:rPr>
          <w:b/>
          <w:bCs/>
          <w:color w:val="000000" w:themeColor="text1"/>
        </w:rPr>
        <w:t>2018</w:t>
      </w:r>
      <w:r w:rsidRPr="009E1865">
        <w:rPr>
          <w:i/>
          <w:iCs/>
          <w:color w:val="000000" w:themeColor="text1"/>
        </w:rPr>
        <w:t>, 9</w:t>
      </w:r>
      <w:r w:rsidRPr="009E1865">
        <w:rPr>
          <w:color w:val="000000" w:themeColor="text1"/>
        </w:rPr>
        <w:t>, 920-928, https://doi.org/10.1002/jcsm.12341.</w:t>
      </w:r>
    </w:p>
    <w:p w14:paraId="48158400" w14:textId="12D0017F" w:rsidR="00D0482E" w:rsidRDefault="00D0482E" w:rsidP="005B6F6B">
      <w:pPr>
        <w:pStyle w:val="MDPI71References"/>
        <w:numPr>
          <w:ilvl w:val="0"/>
          <w:numId w:val="17"/>
        </w:numPr>
        <w:rPr>
          <w:color w:val="000000" w:themeColor="text1"/>
        </w:rPr>
      </w:pPr>
      <w:r w:rsidRPr="009E1865">
        <w:rPr>
          <w:color w:val="000000" w:themeColor="text1"/>
        </w:rPr>
        <w:t xml:space="preserve">Veronese, N.; </w:t>
      </w:r>
      <w:proofErr w:type="spellStart"/>
      <w:r w:rsidRPr="009E1865">
        <w:rPr>
          <w:color w:val="000000" w:themeColor="text1"/>
        </w:rPr>
        <w:t>Demurtas</w:t>
      </w:r>
      <w:proofErr w:type="spellEnd"/>
      <w:r w:rsidRPr="009E1865">
        <w:rPr>
          <w:color w:val="000000" w:themeColor="text1"/>
        </w:rPr>
        <w:t xml:space="preserve">, J.; </w:t>
      </w:r>
      <w:proofErr w:type="spellStart"/>
      <w:r w:rsidRPr="009E1865">
        <w:rPr>
          <w:color w:val="000000" w:themeColor="text1"/>
        </w:rPr>
        <w:t>Soysal</w:t>
      </w:r>
      <w:proofErr w:type="spellEnd"/>
      <w:r w:rsidRPr="009E1865">
        <w:rPr>
          <w:color w:val="000000" w:themeColor="text1"/>
        </w:rPr>
        <w:t xml:space="preserve">, P.; Smith, L.; </w:t>
      </w:r>
      <w:proofErr w:type="spellStart"/>
      <w:r w:rsidRPr="009E1865">
        <w:rPr>
          <w:color w:val="000000" w:themeColor="text1"/>
        </w:rPr>
        <w:t>Torbahn</w:t>
      </w:r>
      <w:proofErr w:type="spellEnd"/>
      <w:r w:rsidRPr="009E1865">
        <w:rPr>
          <w:color w:val="000000" w:themeColor="text1"/>
        </w:rPr>
        <w:t xml:space="preserve">, G.; Schoene, D.; </w:t>
      </w:r>
      <w:proofErr w:type="spellStart"/>
      <w:r w:rsidRPr="009E1865">
        <w:rPr>
          <w:color w:val="000000" w:themeColor="text1"/>
        </w:rPr>
        <w:t>Schwingshackl</w:t>
      </w:r>
      <w:proofErr w:type="spellEnd"/>
      <w:r w:rsidRPr="009E1865">
        <w:rPr>
          <w:color w:val="000000" w:themeColor="text1"/>
        </w:rPr>
        <w:t xml:space="preserve">, L.; </w:t>
      </w:r>
      <w:proofErr w:type="spellStart"/>
      <w:r w:rsidRPr="009E1865">
        <w:rPr>
          <w:color w:val="000000" w:themeColor="text1"/>
        </w:rPr>
        <w:t>Sieber</w:t>
      </w:r>
      <w:proofErr w:type="spellEnd"/>
      <w:r w:rsidRPr="009E1865">
        <w:rPr>
          <w:color w:val="000000" w:themeColor="text1"/>
        </w:rPr>
        <w:t xml:space="preserve">, C.; Bauer, J.; </w:t>
      </w:r>
      <w:proofErr w:type="spellStart"/>
      <w:r w:rsidRPr="009E1865">
        <w:rPr>
          <w:color w:val="000000" w:themeColor="text1"/>
        </w:rPr>
        <w:t>Cesari</w:t>
      </w:r>
      <w:proofErr w:type="spellEnd"/>
      <w:r w:rsidRPr="009E1865">
        <w:rPr>
          <w:color w:val="000000" w:themeColor="text1"/>
        </w:rPr>
        <w:t xml:space="preserve">, M. Sarcopenia and health-related outcomes: an umbrella review of observational studies. </w:t>
      </w:r>
      <w:proofErr w:type="spellStart"/>
      <w:r w:rsidRPr="009E1865">
        <w:rPr>
          <w:i/>
          <w:iCs/>
          <w:color w:val="000000" w:themeColor="text1"/>
        </w:rPr>
        <w:t>Eur</w:t>
      </w:r>
      <w:proofErr w:type="spellEnd"/>
      <w:r w:rsidRPr="009E1865">
        <w:rPr>
          <w:i/>
          <w:iCs/>
          <w:color w:val="000000" w:themeColor="text1"/>
        </w:rPr>
        <w:t xml:space="preserve"> </w:t>
      </w:r>
      <w:proofErr w:type="spellStart"/>
      <w:r w:rsidRPr="009E1865">
        <w:rPr>
          <w:i/>
          <w:iCs/>
          <w:color w:val="000000" w:themeColor="text1"/>
        </w:rPr>
        <w:t>Geriatr</w:t>
      </w:r>
      <w:proofErr w:type="spellEnd"/>
      <w:r w:rsidRPr="009E1865">
        <w:rPr>
          <w:i/>
          <w:iCs/>
          <w:color w:val="000000" w:themeColor="text1"/>
        </w:rPr>
        <w:t xml:space="preserve"> Med </w:t>
      </w:r>
      <w:r w:rsidRPr="009E1865">
        <w:rPr>
          <w:b/>
          <w:bCs/>
          <w:color w:val="000000" w:themeColor="text1"/>
        </w:rPr>
        <w:t>2019</w:t>
      </w:r>
      <w:r w:rsidRPr="009E1865">
        <w:rPr>
          <w:i/>
          <w:iCs/>
          <w:color w:val="000000" w:themeColor="text1"/>
        </w:rPr>
        <w:t>, 10</w:t>
      </w:r>
      <w:r w:rsidRPr="009E1865">
        <w:rPr>
          <w:color w:val="000000" w:themeColor="text1"/>
        </w:rPr>
        <w:t>, 853-862, https://doi.org/10.1007/s41999-019-00233-w.</w:t>
      </w:r>
    </w:p>
    <w:p w14:paraId="50D612EB" w14:textId="45E386E6" w:rsidR="00A367B9" w:rsidRDefault="00A367B9" w:rsidP="00A367B9">
      <w:pPr>
        <w:pStyle w:val="MDPI71References"/>
        <w:numPr>
          <w:ilvl w:val="0"/>
          <w:numId w:val="17"/>
        </w:numPr>
        <w:rPr>
          <w:color w:val="FF0000"/>
        </w:rPr>
      </w:pPr>
      <w:proofErr w:type="spellStart"/>
      <w:r w:rsidRPr="00A367B9">
        <w:rPr>
          <w:color w:val="FF0000"/>
        </w:rPr>
        <w:t>Roh</w:t>
      </w:r>
      <w:proofErr w:type="spellEnd"/>
      <w:r>
        <w:rPr>
          <w:color w:val="FF0000"/>
        </w:rPr>
        <w:t>,</w:t>
      </w:r>
      <w:r w:rsidRPr="00A367B9">
        <w:rPr>
          <w:color w:val="FF0000"/>
        </w:rPr>
        <w:t xml:space="preserve"> E</w:t>
      </w:r>
      <w:r>
        <w:rPr>
          <w:color w:val="FF0000"/>
        </w:rPr>
        <w:t xml:space="preserve">.; </w:t>
      </w:r>
      <w:r w:rsidRPr="00A367B9">
        <w:rPr>
          <w:color w:val="FF0000"/>
        </w:rPr>
        <w:t>Choi</w:t>
      </w:r>
      <w:r>
        <w:rPr>
          <w:color w:val="FF0000"/>
        </w:rPr>
        <w:t>,</w:t>
      </w:r>
      <w:r w:rsidRPr="00A367B9">
        <w:rPr>
          <w:color w:val="FF0000"/>
        </w:rPr>
        <w:t xml:space="preserve"> K</w:t>
      </w:r>
      <w:r>
        <w:rPr>
          <w:color w:val="FF0000"/>
        </w:rPr>
        <w:t>.</w:t>
      </w:r>
      <w:r w:rsidRPr="00A367B9">
        <w:rPr>
          <w:color w:val="FF0000"/>
        </w:rPr>
        <w:t>M</w:t>
      </w:r>
      <w:r>
        <w:rPr>
          <w:color w:val="FF0000"/>
        </w:rPr>
        <w:t xml:space="preserve">. </w:t>
      </w:r>
      <w:r w:rsidRPr="00A367B9">
        <w:rPr>
          <w:color w:val="FF0000"/>
        </w:rPr>
        <w:t xml:space="preserve">Health Consequences of </w:t>
      </w:r>
      <w:proofErr w:type="spellStart"/>
      <w:r w:rsidRPr="00A367B9">
        <w:rPr>
          <w:color w:val="FF0000"/>
        </w:rPr>
        <w:t>Sarcopenic</w:t>
      </w:r>
      <w:proofErr w:type="spellEnd"/>
      <w:r w:rsidRPr="00A367B9">
        <w:rPr>
          <w:color w:val="FF0000"/>
        </w:rPr>
        <w:t xml:space="preserve"> Obesity: A Narra</w:t>
      </w:r>
      <w:r>
        <w:rPr>
          <w:color w:val="FF0000"/>
        </w:rPr>
        <w:t xml:space="preserve">tive Review. </w:t>
      </w:r>
      <w:r w:rsidRPr="00A367B9">
        <w:rPr>
          <w:i/>
          <w:color w:val="FF0000"/>
        </w:rPr>
        <w:t xml:space="preserve">Front. </w:t>
      </w:r>
      <w:proofErr w:type="spellStart"/>
      <w:r w:rsidRPr="00A367B9">
        <w:rPr>
          <w:i/>
          <w:color w:val="FF0000"/>
        </w:rPr>
        <w:t>Endocrinol</w:t>
      </w:r>
      <w:proofErr w:type="spellEnd"/>
      <w:r>
        <w:rPr>
          <w:color w:val="FF0000"/>
        </w:rPr>
        <w:t xml:space="preserve"> </w:t>
      </w:r>
      <w:r w:rsidRPr="00A367B9">
        <w:rPr>
          <w:b/>
          <w:color w:val="FF0000"/>
        </w:rPr>
        <w:t>2020</w:t>
      </w:r>
      <w:r>
        <w:rPr>
          <w:color w:val="FF0000"/>
        </w:rPr>
        <w:t xml:space="preserve"> 11, 332. </w:t>
      </w:r>
      <w:r w:rsidRPr="00A367B9">
        <w:rPr>
          <w:color w:val="FF0000"/>
        </w:rPr>
        <w:t>https://doi.org/10.3389/fendo.2020.00332</w:t>
      </w:r>
      <w:r>
        <w:rPr>
          <w:color w:val="FF0000"/>
        </w:rPr>
        <w:t xml:space="preserve"> </w:t>
      </w:r>
    </w:p>
    <w:p w14:paraId="44BB0C82" w14:textId="64AD6071" w:rsidR="00A367B9" w:rsidRPr="00A367B9" w:rsidRDefault="00A367B9" w:rsidP="00A367B9">
      <w:pPr>
        <w:pStyle w:val="MDPI71References"/>
        <w:numPr>
          <w:ilvl w:val="0"/>
          <w:numId w:val="17"/>
        </w:numPr>
        <w:rPr>
          <w:color w:val="FF0000"/>
        </w:rPr>
      </w:pPr>
      <w:r w:rsidRPr="00A367B9">
        <w:rPr>
          <w:color w:val="FF0000"/>
        </w:rPr>
        <w:t>Batsis</w:t>
      </w:r>
      <w:r>
        <w:rPr>
          <w:color w:val="FF0000"/>
        </w:rPr>
        <w:t xml:space="preserve">, </w:t>
      </w:r>
      <w:r w:rsidRPr="00A367B9">
        <w:rPr>
          <w:color w:val="FF0000"/>
        </w:rPr>
        <w:t>J</w:t>
      </w:r>
      <w:r>
        <w:rPr>
          <w:color w:val="FF0000"/>
        </w:rPr>
        <w:t>.</w:t>
      </w:r>
      <w:r w:rsidRPr="00A367B9">
        <w:rPr>
          <w:color w:val="FF0000"/>
        </w:rPr>
        <w:t>A</w:t>
      </w:r>
      <w:r>
        <w:rPr>
          <w:color w:val="FF0000"/>
        </w:rPr>
        <w:t>.</w:t>
      </w:r>
      <w:r w:rsidRPr="00A367B9">
        <w:rPr>
          <w:color w:val="FF0000"/>
        </w:rPr>
        <w:t xml:space="preserve">, </w:t>
      </w:r>
      <w:proofErr w:type="spellStart"/>
      <w:r w:rsidRPr="00A367B9">
        <w:rPr>
          <w:color w:val="FF0000"/>
        </w:rPr>
        <w:t>Villareal</w:t>
      </w:r>
      <w:proofErr w:type="spellEnd"/>
      <w:r>
        <w:rPr>
          <w:color w:val="FF0000"/>
        </w:rPr>
        <w:t>,</w:t>
      </w:r>
      <w:r w:rsidRPr="00A367B9">
        <w:rPr>
          <w:color w:val="FF0000"/>
        </w:rPr>
        <w:t xml:space="preserve"> D</w:t>
      </w:r>
      <w:r>
        <w:rPr>
          <w:color w:val="FF0000"/>
        </w:rPr>
        <w:t>.</w:t>
      </w:r>
      <w:r w:rsidRPr="00A367B9">
        <w:rPr>
          <w:color w:val="FF0000"/>
        </w:rPr>
        <w:t xml:space="preserve">T. </w:t>
      </w:r>
      <w:proofErr w:type="spellStart"/>
      <w:r w:rsidRPr="00A367B9">
        <w:rPr>
          <w:color w:val="FF0000"/>
        </w:rPr>
        <w:t>Sarcopenic</w:t>
      </w:r>
      <w:proofErr w:type="spellEnd"/>
      <w:r w:rsidRPr="00A367B9">
        <w:rPr>
          <w:color w:val="FF0000"/>
        </w:rPr>
        <w:t xml:space="preserve"> obesity in older adults: </w:t>
      </w:r>
      <w:proofErr w:type="spellStart"/>
      <w:r w:rsidRPr="00A367B9">
        <w:rPr>
          <w:color w:val="FF0000"/>
        </w:rPr>
        <w:t>aetiology</w:t>
      </w:r>
      <w:proofErr w:type="spellEnd"/>
      <w:r w:rsidRPr="00A367B9">
        <w:rPr>
          <w:color w:val="FF0000"/>
        </w:rPr>
        <w:t xml:space="preserve">, epidemiology and treatment strategies. </w:t>
      </w:r>
      <w:r w:rsidRPr="00A367B9">
        <w:rPr>
          <w:i/>
          <w:color w:val="FF0000"/>
        </w:rPr>
        <w:t xml:space="preserve">Nat Rev </w:t>
      </w:r>
      <w:proofErr w:type="spellStart"/>
      <w:r w:rsidRPr="00A367B9">
        <w:rPr>
          <w:i/>
          <w:color w:val="FF0000"/>
        </w:rPr>
        <w:t>Endocrino</w:t>
      </w:r>
      <w:r>
        <w:rPr>
          <w:i/>
          <w:color w:val="FF0000"/>
        </w:rPr>
        <w:t>l</w:t>
      </w:r>
      <w:proofErr w:type="spellEnd"/>
      <w:r>
        <w:rPr>
          <w:i/>
          <w:color w:val="FF0000"/>
        </w:rPr>
        <w:t xml:space="preserve"> </w:t>
      </w:r>
      <w:r w:rsidRPr="00A367B9">
        <w:rPr>
          <w:b/>
          <w:color w:val="FF0000"/>
        </w:rPr>
        <w:t>2018</w:t>
      </w:r>
      <w:r>
        <w:rPr>
          <w:color w:val="FF0000"/>
        </w:rPr>
        <w:t xml:space="preserve"> 14(9), </w:t>
      </w:r>
      <w:r w:rsidRPr="00A367B9">
        <w:rPr>
          <w:color w:val="FF0000"/>
        </w:rPr>
        <w:t>513-537. https://doi.org/10.1038/s41574-018-0062-9</w:t>
      </w:r>
      <w:r>
        <w:rPr>
          <w:color w:val="FF0000"/>
        </w:rPr>
        <w:t xml:space="preserve"> </w:t>
      </w:r>
    </w:p>
    <w:p w14:paraId="7C75CB70"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Meier, N.F.; Lee, D. Physical activity and sarcopenia in older adults. </w:t>
      </w:r>
      <w:r w:rsidRPr="009E1865">
        <w:rPr>
          <w:i/>
          <w:iCs/>
          <w:color w:val="000000" w:themeColor="text1"/>
        </w:rPr>
        <w:t xml:space="preserve">Aging Clin Exp Res </w:t>
      </w:r>
      <w:r w:rsidRPr="009E1865">
        <w:rPr>
          <w:b/>
          <w:bCs/>
          <w:color w:val="000000" w:themeColor="text1"/>
        </w:rPr>
        <w:t>2019</w:t>
      </w:r>
      <w:r w:rsidRPr="009E1865">
        <w:rPr>
          <w:i/>
          <w:iCs/>
          <w:color w:val="000000" w:themeColor="text1"/>
        </w:rPr>
        <w:t>, 32</w:t>
      </w:r>
      <w:r w:rsidRPr="009E1865">
        <w:rPr>
          <w:color w:val="000000" w:themeColor="text1"/>
        </w:rPr>
        <w:t>, 1675–1687, https://doi.org/10.1007/s40520-019-01371-8.</w:t>
      </w:r>
    </w:p>
    <w:p w14:paraId="4E0A9261"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Koyanagi, A.; Veronese, N.; </w:t>
      </w:r>
      <w:proofErr w:type="spellStart"/>
      <w:r w:rsidRPr="009E1865">
        <w:rPr>
          <w:color w:val="000000" w:themeColor="text1"/>
        </w:rPr>
        <w:t>Solmi</w:t>
      </w:r>
      <w:proofErr w:type="spellEnd"/>
      <w:r w:rsidRPr="009E1865">
        <w:rPr>
          <w:color w:val="000000" w:themeColor="text1"/>
        </w:rPr>
        <w:t xml:space="preserve">, M.; Oh, H.; Shin, J.I.; Jacob, L.; Yang, L.; </w:t>
      </w:r>
      <w:proofErr w:type="spellStart"/>
      <w:r w:rsidRPr="009E1865">
        <w:rPr>
          <w:color w:val="000000" w:themeColor="text1"/>
        </w:rPr>
        <w:t>Haro</w:t>
      </w:r>
      <w:proofErr w:type="spellEnd"/>
      <w:r w:rsidRPr="009E1865">
        <w:rPr>
          <w:color w:val="000000" w:themeColor="text1"/>
        </w:rPr>
        <w:t xml:space="preserve">, J.M.; Smith, L. Fruit and vegetable consumption and sarcopenia among older adults in low-and middle-income countries. </w:t>
      </w:r>
      <w:r w:rsidRPr="009E1865">
        <w:rPr>
          <w:i/>
          <w:iCs/>
          <w:color w:val="000000" w:themeColor="text1"/>
        </w:rPr>
        <w:t xml:space="preserve">Nutrients </w:t>
      </w:r>
      <w:r w:rsidRPr="009E1865">
        <w:rPr>
          <w:b/>
          <w:bCs/>
          <w:color w:val="000000" w:themeColor="text1"/>
        </w:rPr>
        <w:t>2020</w:t>
      </w:r>
      <w:r w:rsidRPr="009E1865">
        <w:rPr>
          <w:i/>
          <w:iCs/>
          <w:color w:val="000000" w:themeColor="text1"/>
        </w:rPr>
        <w:t>, 12</w:t>
      </w:r>
      <w:r w:rsidRPr="009E1865">
        <w:rPr>
          <w:color w:val="000000" w:themeColor="text1"/>
        </w:rPr>
        <w:t>, 706, https://doi.org/10.3390/nu12030706.</w:t>
      </w:r>
    </w:p>
    <w:p w14:paraId="069E7579"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Ganapathy, A.; Nieves, J.W. Nutrition and Sarcopenia—What Do We Know? </w:t>
      </w:r>
      <w:r w:rsidRPr="009E1865">
        <w:rPr>
          <w:i/>
          <w:iCs/>
          <w:color w:val="000000" w:themeColor="text1"/>
        </w:rPr>
        <w:t xml:space="preserve">Nutrients </w:t>
      </w:r>
      <w:r w:rsidRPr="009E1865">
        <w:rPr>
          <w:b/>
          <w:bCs/>
          <w:color w:val="000000" w:themeColor="text1"/>
        </w:rPr>
        <w:t>2020</w:t>
      </w:r>
      <w:r w:rsidRPr="009E1865">
        <w:rPr>
          <w:i/>
          <w:iCs/>
          <w:color w:val="000000" w:themeColor="text1"/>
        </w:rPr>
        <w:t>, 12</w:t>
      </w:r>
      <w:r w:rsidRPr="009E1865">
        <w:rPr>
          <w:color w:val="000000" w:themeColor="text1"/>
        </w:rPr>
        <w:t>, 1755, https://doi.org/10.3390/nu12061755.</w:t>
      </w:r>
    </w:p>
    <w:p w14:paraId="080D5B75"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Liao, C.; Chen, H.; Huang, S.; </w:t>
      </w:r>
      <w:proofErr w:type="spellStart"/>
      <w:r w:rsidRPr="009E1865">
        <w:rPr>
          <w:color w:val="000000" w:themeColor="text1"/>
        </w:rPr>
        <w:t>Liou</w:t>
      </w:r>
      <w:proofErr w:type="spellEnd"/>
      <w:r w:rsidRPr="009E1865">
        <w:rPr>
          <w:color w:val="000000" w:themeColor="text1"/>
        </w:rPr>
        <w:t xml:space="preserve">, T. The role of muscle mass gain following protein supplementation plus exercise therapy in older adults with sarcopenia and frailty risks: a systematic review and meta-regression analysis of randomized trials. </w:t>
      </w:r>
      <w:r w:rsidRPr="009E1865">
        <w:rPr>
          <w:i/>
          <w:iCs/>
          <w:color w:val="000000" w:themeColor="text1"/>
        </w:rPr>
        <w:t xml:space="preserve">Nutrients </w:t>
      </w:r>
      <w:r w:rsidRPr="009E1865">
        <w:rPr>
          <w:b/>
          <w:bCs/>
          <w:color w:val="000000" w:themeColor="text1"/>
        </w:rPr>
        <w:t>2019</w:t>
      </w:r>
      <w:r w:rsidRPr="009E1865">
        <w:rPr>
          <w:i/>
          <w:iCs/>
          <w:color w:val="000000" w:themeColor="text1"/>
        </w:rPr>
        <w:t>, 11</w:t>
      </w:r>
      <w:r w:rsidRPr="009E1865">
        <w:rPr>
          <w:color w:val="000000" w:themeColor="text1"/>
        </w:rPr>
        <w:t>, 1713, https://doi.org/10.3390/nu11081713.</w:t>
      </w:r>
    </w:p>
    <w:p w14:paraId="037A4956"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Robinson, S.; Cooper, C.; </w:t>
      </w:r>
      <w:proofErr w:type="spellStart"/>
      <w:r w:rsidRPr="009E1865">
        <w:rPr>
          <w:color w:val="000000" w:themeColor="text1"/>
        </w:rPr>
        <w:t>Aihie</w:t>
      </w:r>
      <w:proofErr w:type="spellEnd"/>
      <w:r w:rsidRPr="009E1865">
        <w:rPr>
          <w:color w:val="000000" w:themeColor="text1"/>
        </w:rPr>
        <w:t xml:space="preserve"> Sayer, A. Nutrition and sarcopenia: a review of the evidence and implications for preventive strategies. </w:t>
      </w:r>
      <w:r w:rsidRPr="009E1865">
        <w:rPr>
          <w:i/>
          <w:iCs/>
          <w:color w:val="000000" w:themeColor="text1"/>
        </w:rPr>
        <w:t xml:space="preserve">Journal of aging research </w:t>
      </w:r>
      <w:r w:rsidRPr="009E1865">
        <w:rPr>
          <w:b/>
          <w:bCs/>
          <w:color w:val="000000" w:themeColor="text1"/>
        </w:rPr>
        <w:t>2012</w:t>
      </w:r>
      <w:r w:rsidRPr="009E1865">
        <w:rPr>
          <w:i/>
          <w:iCs/>
          <w:color w:val="000000" w:themeColor="text1"/>
        </w:rPr>
        <w:t>, 2012</w:t>
      </w:r>
      <w:r w:rsidRPr="009E1865">
        <w:rPr>
          <w:color w:val="000000" w:themeColor="text1"/>
        </w:rPr>
        <w:t>, 510801, https://doi.org/10.1155/2012/510801.</w:t>
      </w:r>
    </w:p>
    <w:p w14:paraId="055C13B4" w14:textId="77777777" w:rsidR="00D0482E" w:rsidRPr="009E1865" w:rsidRDefault="00D0482E" w:rsidP="005B6F6B">
      <w:pPr>
        <w:pStyle w:val="MDPI71References"/>
        <w:numPr>
          <w:ilvl w:val="0"/>
          <w:numId w:val="17"/>
        </w:numPr>
        <w:rPr>
          <w:color w:val="000000" w:themeColor="text1"/>
        </w:rPr>
      </w:pPr>
      <w:r w:rsidRPr="009E1865">
        <w:rPr>
          <w:color w:val="000000" w:themeColor="text1"/>
        </w:rPr>
        <w:t>Nord, M.; Andrews, M.; Carlson, S.</w:t>
      </w:r>
      <w:r w:rsidRPr="009E1865">
        <w:rPr>
          <w:i/>
          <w:iCs/>
          <w:color w:val="000000" w:themeColor="text1"/>
        </w:rPr>
        <w:t xml:space="preserve"> Household Food Security in the</w:t>
      </w:r>
      <w:r w:rsidRPr="009E1865">
        <w:rPr>
          <w:i/>
          <w:iCs/>
          <w:color w:val="000000" w:themeColor="text1"/>
        </w:rPr>
        <w:br/>
        <w:t xml:space="preserve">United States, 2005; </w:t>
      </w:r>
      <w:r w:rsidRPr="009E1865">
        <w:rPr>
          <w:color w:val="000000" w:themeColor="text1"/>
        </w:rPr>
        <w:t>United States Department of Agriculture; USDA: Washington, D.C., 2006; , pp 1-60.</w:t>
      </w:r>
    </w:p>
    <w:p w14:paraId="386CA15B" w14:textId="77777777" w:rsidR="00D0482E" w:rsidRPr="009E1865" w:rsidRDefault="00D0482E" w:rsidP="005B6F6B">
      <w:pPr>
        <w:pStyle w:val="MDPI71References"/>
        <w:numPr>
          <w:ilvl w:val="0"/>
          <w:numId w:val="17"/>
        </w:numPr>
        <w:rPr>
          <w:color w:val="000000" w:themeColor="text1"/>
        </w:rPr>
      </w:pPr>
      <w:r w:rsidRPr="009E1865">
        <w:rPr>
          <w:color w:val="000000" w:themeColor="text1"/>
        </w:rPr>
        <w:lastRenderedPageBreak/>
        <w:t xml:space="preserve">Koyanagi, A.; Stubbs, B.; Oh, H.; Veronese, N.; Smith, L.; </w:t>
      </w:r>
      <w:proofErr w:type="spellStart"/>
      <w:r w:rsidRPr="009E1865">
        <w:rPr>
          <w:color w:val="000000" w:themeColor="text1"/>
        </w:rPr>
        <w:t>Haro</w:t>
      </w:r>
      <w:proofErr w:type="spellEnd"/>
      <w:r w:rsidRPr="009E1865">
        <w:rPr>
          <w:color w:val="000000" w:themeColor="text1"/>
        </w:rPr>
        <w:t xml:space="preserve">, J.M.; </w:t>
      </w:r>
      <w:proofErr w:type="spellStart"/>
      <w:r w:rsidRPr="009E1865">
        <w:rPr>
          <w:color w:val="000000" w:themeColor="text1"/>
        </w:rPr>
        <w:t>Vancampfort</w:t>
      </w:r>
      <w:proofErr w:type="spellEnd"/>
      <w:r w:rsidRPr="009E1865">
        <w:rPr>
          <w:color w:val="000000" w:themeColor="text1"/>
        </w:rPr>
        <w:t xml:space="preserve">, D. Food insecurity (hunger) and suicide attempts among 179,771 adolescents attending school from 9 high-income, 31 middle-income, and 4 low-income countries: A cross-sectional study. </w:t>
      </w:r>
      <w:r w:rsidRPr="009E1865">
        <w:rPr>
          <w:i/>
          <w:iCs/>
          <w:color w:val="000000" w:themeColor="text1"/>
        </w:rPr>
        <w:t xml:space="preserve">J. Affect. </w:t>
      </w:r>
      <w:proofErr w:type="spellStart"/>
      <w:r w:rsidRPr="009E1865">
        <w:rPr>
          <w:i/>
          <w:iCs/>
          <w:color w:val="000000" w:themeColor="text1"/>
        </w:rPr>
        <w:t>Disord</w:t>
      </w:r>
      <w:proofErr w:type="spellEnd"/>
      <w:r w:rsidRPr="009E1865">
        <w:rPr>
          <w:i/>
          <w:iCs/>
          <w:color w:val="000000" w:themeColor="text1"/>
        </w:rPr>
        <w:t xml:space="preserve">. </w:t>
      </w:r>
      <w:r w:rsidRPr="009E1865">
        <w:rPr>
          <w:b/>
          <w:bCs/>
          <w:color w:val="000000" w:themeColor="text1"/>
        </w:rPr>
        <w:t>2019</w:t>
      </w:r>
      <w:r w:rsidRPr="009E1865">
        <w:rPr>
          <w:i/>
          <w:iCs/>
          <w:color w:val="000000" w:themeColor="text1"/>
        </w:rPr>
        <w:t>, 248</w:t>
      </w:r>
      <w:r w:rsidRPr="009E1865">
        <w:rPr>
          <w:color w:val="000000" w:themeColor="text1"/>
        </w:rPr>
        <w:t>, 91-98, https://doi.org/10.1016/j.jad.2019.01.033.</w:t>
      </w:r>
    </w:p>
    <w:p w14:paraId="3A76E60B"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Lê, K.; </w:t>
      </w:r>
      <w:proofErr w:type="spellStart"/>
      <w:r w:rsidRPr="009E1865">
        <w:rPr>
          <w:color w:val="000000" w:themeColor="text1"/>
        </w:rPr>
        <w:t>Faeh</w:t>
      </w:r>
      <w:proofErr w:type="spellEnd"/>
      <w:r w:rsidRPr="009E1865">
        <w:rPr>
          <w:color w:val="000000" w:themeColor="text1"/>
        </w:rPr>
        <w:t xml:space="preserve">, D.; Stettler, R.; </w:t>
      </w:r>
      <w:proofErr w:type="spellStart"/>
      <w:r w:rsidRPr="009E1865">
        <w:rPr>
          <w:color w:val="000000" w:themeColor="text1"/>
        </w:rPr>
        <w:t>Debard</w:t>
      </w:r>
      <w:proofErr w:type="spellEnd"/>
      <w:r w:rsidRPr="009E1865">
        <w:rPr>
          <w:color w:val="000000" w:themeColor="text1"/>
        </w:rPr>
        <w:t xml:space="preserve">, C.; </w:t>
      </w:r>
      <w:proofErr w:type="spellStart"/>
      <w:r w:rsidRPr="009E1865">
        <w:rPr>
          <w:color w:val="000000" w:themeColor="text1"/>
        </w:rPr>
        <w:t>Loizon</w:t>
      </w:r>
      <w:proofErr w:type="spellEnd"/>
      <w:r w:rsidRPr="009E1865">
        <w:rPr>
          <w:color w:val="000000" w:themeColor="text1"/>
        </w:rPr>
        <w:t xml:space="preserve">, E.; Vidal, H.; </w:t>
      </w:r>
      <w:proofErr w:type="spellStart"/>
      <w:r w:rsidRPr="009E1865">
        <w:rPr>
          <w:color w:val="000000" w:themeColor="text1"/>
        </w:rPr>
        <w:t>Boesch</w:t>
      </w:r>
      <w:proofErr w:type="spellEnd"/>
      <w:r w:rsidRPr="009E1865">
        <w:rPr>
          <w:color w:val="000000" w:themeColor="text1"/>
        </w:rPr>
        <w:t xml:space="preserve">, C.; </w:t>
      </w:r>
      <w:proofErr w:type="spellStart"/>
      <w:r w:rsidRPr="009E1865">
        <w:rPr>
          <w:color w:val="000000" w:themeColor="text1"/>
        </w:rPr>
        <w:t>Ravussin</w:t>
      </w:r>
      <w:proofErr w:type="spellEnd"/>
      <w:r w:rsidRPr="009E1865">
        <w:rPr>
          <w:color w:val="000000" w:themeColor="text1"/>
        </w:rPr>
        <w:t xml:space="preserve">, E.; </w:t>
      </w:r>
      <w:proofErr w:type="spellStart"/>
      <w:r w:rsidRPr="009E1865">
        <w:rPr>
          <w:color w:val="000000" w:themeColor="text1"/>
        </w:rPr>
        <w:t>Tappy</w:t>
      </w:r>
      <w:proofErr w:type="spellEnd"/>
      <w:r w:rsidRPr="009E1865">
        <w:rPr>
          <w:color w:val="000000" w:themeColor="text1"/>
        </w:rPr>
        <w:t xml:space="preserve">, L. Effects of four-week high-fructose diet on gene expression in skeletal muscle of healthy men. </w:t>
      </w:r>
      <w:r w:rsidRPr="009E1865">
        <w:rPr>
          <w:i/>
          <w:iCs/>
          <w:color w:val="000000" w:themeColor="text1"/>
        </w:rPr>
        <w:t xml:space="preserve">Diabetes </w:t>
      </w:r>
      <w:proofErr w:type="spellStart"/>
      <w:r w:rsidRPr="009E1865">
        <w:rPr>
          <w:i/>
          <w:iCs/>
          <w:color w:val="000000" w:themeColor="text1"/>
        </w:rPr>
        <w:t>Metab</w:t>
      </w:r>
      <w:proofErr w:type="spellEnd"/>
      <w:r w:rsidRPr="009E1865">
        <w:rPr>
          <w:i/>
          <w:iCs/>
          <w:color w:val="000000" w:themeColor="text1"/>
        </w:rPr>
        <w:t xml:space="preserve">. </w:t>
      </w:r>
      <w:r w:rsidRPr="009E1865">
        <w:rPr>
          <w:b/>
          <w:bCs/>
          <w:color w:val="000000" w:themeColor="text1"/>
        </w:rPr>
        <w:t>2008</w:t>
      </w:r>
      <w:r w:rsidRPr="009E1865">
        <w:rPr>
          <w:i/>
          <w:iCs/>
          <w:color w:val="000000" w:themeColor="text1"/>
        </w:rPr>
        <w:t>, 34</w:t>
      </w:r>
      <w:r w:rsidRPr="009E1865">
        <w:rPr>
          <w:color w:val="000000" w:themeColor="text1"/>
        </w:rPr>
        <w:t>, 82-85, https://doi.org/10.1016/j.diabet.2007.08.004.</w:t>
      </w:r>
    </w:p>
    <w:p w14:paraId="7E64007F"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Batsis, J.; Petersen, C.; Gooding, T. Association of Food Insecurity and Sarcopenia: The National Health and Nutrition Examination Surveys. </w:t>
      </w:r>
      <w:r w:rsidRPr="009E1865">
        <w:rPr>
          <w:i/>
          <w:iCs/>
          <w:color w:val="000000" w:themeColor="text1"/>
        </w:rPr>
        <w:t xml:space="preserve">Innovation in Aging </w:t>
      </w:r>
      <w:r w:rsidRPr="009E1865">
        <w:rPr>
          <w:b/>
          <w:bCs/>
          <w:color w:val="000000" w:themeColor="text1"/>
        </w:rPr>
        <w:t>2020</w:t>
      </w:r>
      <w:r w:rsidRPr="009E1865">
        <w:rPr>
          <w:i/>
          <w:iCs/>
          <w:color w:val="000000" w:themeColor="text1"/>
        </w:rPr>
        <w:t>, 4</w:t>
      </w:r>
      <w:r w:rsidRPr="009E1865">
        <w:rPr>
          <w:color w:val="000000" w:themeColor="text1"/>
        </w:rPr>
        <w:t>, 773, https://doi.org/10.1093/geroni/igaa057.2793.</w:t>
      </w:r>
    </w:p>
    <w:p w14:paraId="5D73F36F"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Perez-Zepeda, M.U. Food Insecurity and its association with sarcopenia elements. </w:t>
      </w:r>
      <w:r w:rsidRPr="009E1865">
        <w:rPr>
          <w:i/>
          <w:iCs/>
          <w:color w:val="000000" w:themeColor="text1"/>
        </w:rPr>
        <w:t xml:space="preserve">Innovation in Aging </w:t>
      </w:r>
      <w:r w:rsidRPr="009E1865">
        <w:rPr>
          <w:b/>
          <w:bCs/>
          <w:color w:val="000000" w:themeColor="text1"/>
        </w:rPr>
        <w:t>2017</w:t>
      </w:r>
      <w:r w:rsidRPr="009E1865">
        <w:rPr>
          <w:i/>
          <w:iCs/>
          <w:color w:val="000000" w:themeColor="text1"/>
        </w:rPr>
        <w:t>, 1</w:t>
      </w:r>
      <w:r w:rsidRPr="009E1865">
        <w:rPr>
          <w:color w:val="000000" w:themeColor="text1"/>
        </w:rPr>
        <w:t>, 50-51, https://doi.org/10.1093/geroni/igx004.206.</w:t>
      </w:r>
    </w:p>
    <w:p w14:paraId="444EC75C" w14:textId="77777777" w:rsidR="00D0482E" w:rsidRPr="009E1865" w:rsidRDefault="00D0482E" w:rsidP="005B6F6B">
      <w:pPr>
        <w:pStyle w:val="MDPI71References"/>
        <w:numPr>
          <w:ilvl w:val="0"/>
          <w:numId w:val="17"/>
        </w:numPr>
        <w:rPr>
          <w:color w:val="000000" w:themeColor="text1"/>
        </w:rPr>
      </w:pPr>
      <w:proofErr w:type="spellStart"/>
      <w:r w:rsidRPr="009E1865">
        <w:rPr>
          <w:color w:val="000000" w:themeColor="text1"/>
        </w:rPr>
        <w:t>Shafiee</w:t>
      </w:r>
      <w:proofErr w:type="spellEnd"/>
      <w:r w:rsidRPr="009E1865">
        <w:rPr>
          <w:color w:val="000000" w:themeColor="text1"/>
        </w:rPr>
        <w:t xml:space="preserve">, G.; Heshmat, R.; </w:t>
      </w:r>
      <w:proofErr w:type="spellStart"/>
      <w:r w:rsidRPr="009E1865">
        <w:rPr>
          <w:color w:val="000000" w:themeColor="text1"/>
        </w:rPr>
        <w:t>Ostovar</w:t>
      </w:r>
      <w:proofErr w:type="spellEnd"/>
      <w:r w:rsidRPr="009E1865">
        <w:rPr>
          <w:color w:val="000000" w:themeColor="text1"/>
        </w:rPr>
        <w:t xml:space="preserve">, A.; </w:t>
      </w:r>
      <w:proofErr w:type="spellStart"/>
      <w:r w:rsidRPr="009E1865">
        <w:rPr>
          <w:color w:val="000000" w:themeColor="text1"/>
        </w:rPr>
        <w:t>Nabipour</w:t>
      </w:r>
      <w:proofErr w:type="spellEnd"/>
      <w:r w:rsidRPr="009E1865">
        <w:rPr>
          <w:color w:val="000000" w:themeColor="text1"/>
        </w:rPr>
        <w:t xml:space="preserve">, I.; Larijani, B. Sarcopenia disease in Iran: an overview. </w:t>
      </w:r>
      <w:r w:rsidRPr="009E1865">
        <w:rPr>
          <w:i/>
          <w:iCs/>
          <w:color w:val="000000" w:themeColor="text1"/>
        </w:rPr>
        <w:t xml:space="preserve">J Diabetes </w:t>
      </w:r>
      <w:proofErr w:type="spellStart"/>
      <w:r w:rsidRPr="009E1865">
        <w:rPr>
          <w:i/>
          <w:iCs/>
          <w:color w:val="000000" w:themeColor="text1"/>
        </w:rPr>
        <w:t>Metab</w:t>
      </w:r>
      <w:proofErr w:type="spellEnd"/>
      <w:r w:rsidRPr="009E1865">
        <w:rPr>
          <w:i/>
          <w:iCs/>
          <w:color w:val="000000" w:themeColor="text1"/>
        </w:rPr>
        <w:t xml:space="preserve"> </w:t>
      </w:r>
      <w:proofErr w:type="spellStart"/>
      <w:r w:rsidRPr="009E1865">
        <w:rPr>
          <w:i/>
          <w:iCs/>
          <w:color w:val="000000" w:themeColor="text1"/>
        </w:rPr>
        <w:t>Disord</w:t>
      </w:r>
      <w:proofErr w:type="spellEnd"/>
      <w:r w:rsidRPr="009E1865">
        <w:rPr>
          <w:i/>
          <w:iCs/>
          <w:color w:val="000000" w:themeColor="text1"/>
        </w:rPr>
        <w:t xml:space="preserve"> </w:t>
      </w:r>
      <w:r w:rsidRPr="009E1865">
        <w:rPr>
          <w:b/>
          <w:bCs/>
          <w:color w:val="000000" w:themeColor="text1"/>
        </w:rPr>
        <w:t>2019</w:t>
      </w:r>
      <w:r w:rsidRPr="009E1865">
        <w:rPr>
          <w:i/>
          <w:iCs/>
          <w:color w:val="000000" w:themeColor="text1"/>
        </w:rPr>
        <w:t>, 18</w:t>
      </w:r>
      <w:r w:rsidRPr="009E1865">
        <w:rPr>
          <w:color w:val="000000" w:themeColor="text1"/>
        </w:rPr>
        <w:t>, 665-674, https://doi.org/10.1007/s40200-019-00452-9.</w:t>
      </w:r>
    </w:p>
    <w:p w14:paraId="1D42ECB1" w14:textId="77777777" w:rsidR="00D0482E" w:rsidRPr="009E1865" w:rsidRDefault="00D0482E" w:rsidP="005B6F6B">
      <w:pPr>
        <w:pStyle w:val="MDPI71References"/>
        <w:numPr>
          <w:ilvl w:val="0"/>
          <w:numId w:val="17"/>
        </w:numPr>
        <w:rPr>
          <w:color w:val="000000" w:themeColor="text1"/>
        </w:rPr>
      </w:pPr>
      <w:r w:rsidRPr="009E1865">
        <w:rPr>
          <w:color w:val="000000" w:themeColor="text1"/>
        </w:rPr>
        <w:t>World Health Organization The state of food security and nutrition in the world 2020: transforming food systems for affordable healthy diets; Food &amp; Agriculture Org.: Rome, 2020; Vol. 2020.</w:t>
      </w:r>
    </w:p>
    <w:p w14:paraId="2B7EF4BB"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Kowal, P.; </w:t>
      </w:r>
      <w:proofErr w:type="spellStart"/>
      <w:r w:rsidRPr="009E1865">
        <w:rPr>
          <w:color w:val="000000" w:themeColor="text1"/>
        </w:rPr>
        <w:t>Chatterji</w:t>
      </w:r>
      <w:proofErr w:type="spellEnd"/>
      <w:r w:rsidRPr="009E1865">
        <w:rPr>
          <w:color w:val="000000" w:themeColor="text1"/>
        </w:rPr>
        <w:t xml:space="preserve">, S.; Naidoo, N.; </w:t>
      </w:r>
      <w:proofErr w:type="spellStart"/>
      <w:r w:rsidRPr="009E1865">
        <w:rPr>
          <w:color w:val="000000" w:themeColor="text1"/>
        </w:rPr>
        <w:t>Biritwum</w:t>
      </w:r>
      <w:proofErr w:type="spellEnd"/>
      <w:r w:rsidRPr="009E1865">
        <w:rPr>
          <w:color w:val="000000" w:themeColor="text1"/>
        </w:rPr>
        <w:t xml:space="preserve">, R.; Fan, W.; Lopez </w:t>
      </w:r>
      <w:proofErr w:type="spellStart"/>
      <w:r w:rsidRPr="009E1865">
        <w:rPr>
          <w:color w:val="000000" w:themeColor="text1"/>
        </w:rPr>
        <w:t>Ridaura</w:t>
      </w:r>
      <w:proofErr w:type="spellEnd"/>
      <w:r w:rsidRPr="009E1865">
        <w:rPr>
          <w:color w:val="000000" w:themeColor="text1"/>
        </w:rPr>
        <w:t xml:space="preserve">, R.; </w:t>
      </w:r>
      <w:proofErr w:type="spellStart"/>
      <w:r w:rsidRPr="009E1865">
        <w:rPr>
          <w:color w:val="000000" w:themeColor="text1"/>
        </w:rPr>
        <w:t>Maximova</w:t>
      </w:r>
      <w:proofErr w:type="spellEnd"/>
      <w:r w:rsidRPr="009E1865">
        <w:rPr>
          <w:color w:val="000000" w:themeColor="text1"/>
        </w:rPr>
        <w:t xml:space="preserve">, T.; </w:t>
      </w:r>
      <w:proofErr w:type="spellStart"/>
      <w:r w:rsidRPr="009E1865">
        <w:rPr>
          <w:color w:val="000000" w:themeColor="text1"/>
        </w:rPr>
        <w:t>Arokiasamy</w:t>
      </w:r>
      <w:proofErr w:type="spellEnd"/>
      <w:r w:rsidRPr="009E1865">
        <w:rPr>
          <w:color w:val="000000" w:themeColor="text1"/>
        </w:rPr>
        <w:t xml:space="preserve">, P.; </w:t>
      </w:r>
      <w:proofErr w:type="spellStart"/>
      <w:r w:rsidRPr="009E1865">
        <w:rPr>
          <w:color w:val="000000" w:themeColor="text1"/>
        </w:rPr>
        <w:t>Phaswana-Mafuya</w:t>
      </w:r>
      <w:proofErr w:type="spellEnd"/>
      <w:r w:rsidRPr="009E1865">
        <w:rPr>
          <w:color w:val="000000" w:themeColor="text1"/>
        </w:rPr>
        <w:t xml:space="preserve">, N.; Williams, S. Data resource profile: the World Health Organization Study on global </w:t>
      </w:r>
      <w:proofErr w:type="spellStart"/>
      <w:r w:rsidRPr="009E1865">
        <w:rPr>
          <w:color w:val="000000" w:themeColor="text1"/>
        </w:rPr>
        <w:t>AGEing</w:t>
      </w:r>
      <w:proofErr w:type="spellEnd"/>
      <w:r w:rsidRPr="009E1865">
        <w:rPr>
          <w:color w:val="000000" w:themeColor="text1"/>
        </w:rPr>
        <w:t xml:space="preserve"> and adult health (SAGE). </w:t>
      </w:r>
      <w:r w:rsidRPr="009E1865">
        <w:rPr>
          <w:i/>
          <w:iCs/>
          <w:color w:val="000000" w:themeColor="text1"/>
        </w:rPr>
        <w:t xml:space="preserve">Int. J. Epidemiol. </w:t>
      </w:r>
      <w:r w:rsidRPr="009E1865">
        <w:rPr>
          <w:b/>
          <w:bCs/>
          <w:color w:val="000000" w:themeColor="text1"/>
        </w:rPr>
        <w:t>2012</w:t>
      </w:r>
      <w:r w:rsidRPr="009E1865">
        <w:rPr>
          <w:i/>
          <w:iCs/>
          <w:color w:val="000000" w:themeColor="text1"/>
        </w:rPr>
        <w:t>, 41</w:t>
      </w:r>
      <w:r w:rsidRPr="009E1865">
        <w:rPr>
          <w:color w:val="000000" w:themeColor="text1"/>
        </w:rPr>
        <w:t>, 1639-1649, https://doi.org/10.1093/ije/dys210.</w:t>
      </w:r>
    </w:p>
    <w:p w14:paraId="407F66C7"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Tyrovolas, S.; Koyanagi, A.; </w:t>
      </w:r>
      <w:proofErr w:type="spellStart"/>
      <w:r w:rsidRPr="009E1865">
        <w:rPr>
          <w:color w:val="000000" w:themeColor="text1"/>
        </w:rPr>
        <w:t>Olaya</w:t>
      </w:r>
      <w:proofErr w:type="spellEnd"/>
      <w:r w:rsidRPr="009E1865">
        <w:rPr>
          <w:color w:val="000000" w:themeColor="text1"/>
        </w:rPr>
        <w:t xml:space="preserve">, B.; </w:t>
      </w:r>
      <w:proofErr w:type="spellStart"/>
      <w:r w:rsidRPr="009E1865">
        <w:rPr>
          <w:color w:val="000000" w:themeColor="text1"/>
        </w:rPr>
        <w:t>Ayuso‐Mateos</w:t>
      </w:r>
      <w:proofErr w:type="spellEnd"/>
      <w:r w:rsidRPr="009E1865">
        <w:rPr>
          <w:color w:val="000000" w:themeColor="text1"/>
        </w:rPr>
        <w:t xml:space="preserve">, J.L.; </w:t>
      </w:r>
      <w:proofErr w:type="spellStart"/>
      <w:r w:rsidRPr="009E1865">
        <w:rPr>
          <w:color w:val="000000" w:themeColor="text1"/>
        </w:rPr>
        <w:t>Miret</w:t>
      </w:r>
      <w:proofErr w:type="spellEnd"/>
      <w:r w:rsidRPr="009E1865">
        <w:rPr>
          <w:color w:val="000000" w:themeColor="text1"/>
        </w:rPr>
        <w:t xml:space="preserve">, M.; </w:t>
      </w:r>
      <w:proofErr w:type="spellStart"/>
      <w:r w:rsidRPr="009E1865">
        <w:rPr>
          <w:color w:val="000000" w:themeColor="text1"/>
        </w:rPr>
        <w:t>Chatterji</w:t>
      </w:r>
      <w:proofErr w:type="spellEnd"/>
      <w:r w:rsidRPr="009E1865">
        <w:rPr>
          <w:color w:val="000000" w:themeColor="text1"/>
        </w:rPr>
        <w:t xml:space="preserve">, S.; </w:t>
      </w:r>
      <w:proofErr w:type="spellStart"/>
      <w:r w:rsidRPr="009E1865">
        <w:rPr>
          <w:color w:val="000000" w:themeColor="text1"/>
        </w:rPr>
        <w:t>Tobiasz‐Adamczyk</w:t>
      </w:r>
      <w:proofErr w:type="spellEnd"/>
      <w:r w:rsidRPr="009E1865">
        <w:rPr>
          <w:color w:val="000000" w:themeColor="text1"/>
        </w:rPr>
        <w:t xml:space="preserve">, B.; Koskinen, S.; Leonardi, M.; </w:t>
      </w:r>
      <w:proofErr w:type="spellStart"/>
      <w:r w:rsidRPr="009E1865">
        <w:rPr>
          <w:color w:val="000000" w:themeColor="text1"/>
        </w:rPr>
        <w:t>Haro</w:t>
      </w:r>
      <w:proofErr w:type="spellEnd"/>
      <w:r w:rsidRPr="009E1865">
        <w:rPr>
          <w:color w:val="000000" w:themeColor="text1"/>
        </w:rPr>
        <w:t xml:space="preserve">, J.M. Factors associated with skeletal muscle mass, sarcopenia, and sarcopenic obesity in older adults: a multi‐continent study. </w:t>
      </w:r>
      <w:r w:rsidRPr="009E1865">
        <w:rPr>
          <w:i/>
          <w:iCs/>
          <w:color w:val="000000" w:themeColor="text1"/>
        </w:rPr>
        <w:t xml:space="preserve">J. Cachexia Sarcopenia Muscle </w:t>
      </w:r>
      <w:r w:rsidRPr="009E1865">
        <w:rPr>
          <w:b/>
          <w:bCs/>
          <w:color w:val="000000" w:themeColor="text1"/>
        </w:rPr>
        <w:t>2016</w:t>
      </w:r>
      <w:r w:rsidRPr="009E1865">
        <w:rPr>
          <w:i/>
          <w:iCs/>
          <w:color w:val="000000" w:themeColor="text1"/>
        </w:rPr>
        <w:t>, 7</w:t>
      </w:r>
      <w:r w:rsidRPr="009E1865">
        <w:rPr>
          <w:color w:val="000000" w:themeColor="text1"/>
        </w:rPr>
        <w:t>, 312-321, https://doi.org/10.1002/jcsm.12076.</w:t>
      </w:r>
    </w:p>
    <w:p w14:paraId="7296A6A6"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Veronese, N.; Smith, L.; </w:t>
      </w:r>
      <w:proofErr w:type="spellStart"/>
      <w:r w:rsidRPr="009E1865">
        <w:rPr>
          <w:color w:val="000000" w:themeColor="text1"/>
        </w:rPr>
        <w:t>Barbagallo</w:t>
      </w:r>
      <w:proofErr w:type="spellEnd"/>
      <w:r w:rsidRPr="009E1865">
        <w:rPr>
          <w:color w:val="000000" w:themeColor="text1"/>
        </w:rPr>
        <w:t xml:space="preserve">, M.; Yang, L.; Zou, L.; </w:t>
      </w:r>
      <w:proofErr w:type="spellStart"/>
      <w:r w:rsidRPr="009E1865">
        <w:rPr>
          <w:color w:val="000000" w:themeColor="text1"/>
        </w:rPr>
        <w:t>Haro</w:t>
      </w:r>
      <w:proofErr w:type="spellEnd"/>
      <w:r w:rsidRPr="009E1865">
        <w:rPr>
          <w:color w:val="000000" w:themeColor="text1"/>
        </w:rPr>
        <w:t xml:space="preserve">, J.M.; </w:t>
      </w:r>
      <w:proofErr w:type="spellStart"/>
      <w:r w:rsidRPr="009E1865">
        <w:rPr>
          <w:color w:val="000000" w:themeColor="text1"/>
        </w:rPr>
        <w:t>Koyanagi</w:t>
      </w:r>
      <w:proofErr w:type="spellEnd"/>
      <w:r w:rsidRPr="009E1865">
        <w:rPr>
          <w:color w:val="000000" w:themeColor="text1"/>
        </w:rPr>
        <w:t xml:space="preserve">, A. Sarcopenia and fall-related injury among older adults in five low-and middle-income countries. </w:t>
      </w:r>
      <w:r w:rsidRPr="009E1865">
        <w:rPr>
          <w:i/>
          <w:iCs/>
          <w:color w:val="000000" w:themeColor="text1"/>
        </w:rPr>
        <w:t xml:space="preserve">Exp. </w:t>
      </w:r>
      <w:proofErr w:type="spellStart"/>
      <w:r w:rsidRPr="009E1865">
        <w:rPr>
          <w:i/>
          <w:iCs/>
          <w:color w:val="000000" w:themeColor="text1"/>
        </w:rPr>
        <w:t>Gerontol</w:t>
      </w:r>
      <w:proofErr w:type="spellEnd"/>
      <w:r w:rsidRPr="009E1865">
        <w:rPr>
          <w:i/>
          <w:iCs/>
          <w:color w:val="000000" w:themeColor="text1"/>
        </w:rPr>
        <w:t xml:space="preserve">. </w:t>
      </w:r>
      <w:r w:rsidRPr="009E1865">
        <w:rPr>
          <w:b/>
          <w:bCs/>
          <w:color w:val="000000" w:themeColor="text1"/>
        </w:rPr>
        <w:t>2021</w:t>
      </w:r>
      <w:r w:rsidRPr="009E1865">
        <w:rPr>
          <w:i/>
          <w:iCs/>
          <w:color w:val="000000" w:themeColor="text1"/>
        </w:rPr>
        <w:t>, 147</w:t>
      </w:r>
      <w:r w:rsidRPr="009E1865">
        <w:rPr>
          <w:color w:val="000000" w:themeColor="text1"/>
        </w:rPr>
        <w:t>, 111262, https://doi.org/10.1016/j.exger.2021.111262.</w:t>
      </w:r>
    </w:p>
    <w:p w14:paraId="18841DA7"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Dam, T.; Peters, K.W.; </w:t>
      </w:r>
      <w:proofErr w:type="spellStart"/>
      <w:r w:rsidRPr="009E1865">
        <w:rPr>
          <w:color w:val="000000" w:themeColor="text1"/>
        </w:rPr>
        <w:t>Fragala</w:t>
      </w:r>
      <w:proofErr w:type="spellEnd"/>
      <w:r w:rsidRPr="009E1865">
        <w:rPr>
          <w:color w:val="000000" w:themeColor="text1"/>
        </w:rPr>
        <w:t xml:space="preserve">, M.; Cawthon, P.M.; Harris, T.B.; McLean, R.; </w:t>
      </w:r>
      <w:proofErr w:type="spellStart"/>
      <w:r w:rsidRPr="009E1865">
        <w:rPr>
          <w:color w:val="000000" w:themeColor="text1"/>
        </w:rPr>
        <w:t>Shardell</w:t>
      </w:r>
      <w:proofErr w:type="spellEnd"/>
      <w:r w:rsidRPr="009E1865">
        <w:rPr>
          <w:color w:val="000000" w:themeColor="text1"/>
        </w:rPr>
        <w:t xml:space="preserve">, M.; Alley, D.E.; Kenny, A.; </w:t>
      </w:r>
      <w:proofErr w:type="spellStart"/>
      <w:r w:rsidRPr="009E1865">
        <w:rPr>
          <w:color w:val="000000" w:themeColor="text1"/>
        </w:rPr>
        <w:t>Ferrucci</w:t>
      </w:r>
      <w:proofErr w:type="spellEnd"/>
      <w:r w:rsidRPr="009E1865">
        <w:rPr>
          <w:color w:val="000000" w:themeColor="text1"/>
        </w:rPr>
        <w:t xml:space="preserve">, L. An evidence-based comparison of operational criteria for the presence of sarcopenia. </w:t>
      </w:r>
      <w:r w:rsidRPr="009E1865">
        <w:rPr>
          <w:i/>
          <w:iCs/>
          <w:color w:val="000000" w:themeColor="text1"/>
        </w:rPr>
        <w:t xml:space="preserve">J </w:t>
      </w:r>
      <w:proofErr w:type="spellStart"/>
      <w:r w:rsidRPr="009E1865">
        <w:rPr>
          <w:i/>
          <w:iCs/>
          <w:color w:val="000000" w:themeColor="text1"/>
        </w:rPr>
        <w:t>Gerontol</w:t>
      </w:r>
      <w:proofErr w:type="spellEnd"/>
      <w:r w:rsidRPr="009E1865">
        <w:rPr>
          <w:i/>
          <w:iCs/>
          <w:color w:val="000000" w:themeColor="text1"/>
        </w:rPr>
        <w:t xml:space="preserve"> </w:t>
      </w:r>
      <w:proofErr w:type="gramStart"/>
      <w:r w:rsidRPr="009E1865">
        <w:rPr>
          <w:i/>
          <w:iCs/>
          <w:color w:val="000000" w:themeColor="text1"/>
        </w:rPr>
        <w:t>A</w:t>
      </w:r>
      <w:proofErr w:type="gramEnd"/>
      <w:r w:rsidRPr="009E1865">
        <w:rPr>
          <w:i/>
          <w:iCs/>
          <w:color w:val="000000" w:themeColor="text1"/>
        </w:rPr>
        <w:t xml:space="preserve"> </w:t>
      </w:r>
      <w:proofErr w:type="spellStart"/>
      <w:r w:rsidRPr="009E1865">
        <w:rPr>
          <w:i/>
          <w:iCs/>
          <w:color w:val="000000" w:themeColor="text1"/>
        </w:rPr>
        <w:t>Biol</w:t>
      </w:r>
      <w:proofErr w:type="spellEnd"/>
      <w:r w:rsidRPr="009E1865">
        <w:rPr>
          <w:i/>
          <w:iCs/>
          <w:color w:val="000000" w:themeColor="text1"/>
        </w:rPr>
        <w:t xml:space="preserve"> </w:t>
      </w:r>
      <w:proofErr w:type="spellStart"/>
      <w:r w:rsidRPr="009E1865">
        <w:rPr>
          <w:i/>
          <w:iCs/>
          <w:color w:val="000000" w:themeColor="text1"/>
        </w:rPr>
        <w:t>Sci</w:t>
      </w:r>
      <w:proofErr w:type="spellEnd"/>
      <w:r w:rsidRPr="009E1865">
        <w:rPr>
          <w:i/>
          <w:iCs/>
          <w:color w:val="000000" w:themeColor="text1"/>
        </w:rPr>
        <w:t xml:space="preserve"> Med Sci </w:t>
      </w:r>
      <w:r w:rsidRPr="009E1865">
        <w:rPr>
          <w:b/>
          <w:bCs/>
          <w:color w:val="000000" w:themeColor="text1"/>
        </w:rPr>
        <w:t>2014</w:t>
      </w:r>
      <w:r w:rsidRPr="009E1865">
        <w:rPr>
          <w:i/>
          <w:iCs/>
          <w:color w:val="000000" w:themeColor="text1"/>
        </w:rPr>
        <w:t>, 69</w:t>
      </w:r>
      <w:r w:rsidRPr="009E1865">
        <w:rPr>
          <w:color w:val="000000" w:themeColor="text1"/>
        </w:rPr>
        <w:t>, 584-590, https://doi.org/10.1093/gerona/glu013.</w:t>
      </w:r>
    </w:p>
    <w:p w14:paraId="1F724026"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Lee, R.C.; Wang, Z.; </w:t>
      </w:r>
      <w:proofErr w:type="spellStart"/>
      <w:r w:rsidRPr="009E1865">
        <w:rPr>
          <w:color w:val="000000" w:themeColor="text1"/>
        </w:rPr>
        <w:t>Heo</w:t>
      </w:r>
      <w:proofErr w:type="spellEnd"/>
      <w:r w:rsidRPr="009E1865">
        <w:rPr>
          <w:color w:val="000000" w:themeColor="text1"/>
        </w:rPr>
        <w:t xml:space="preserve">, M.; Ross, R.; Janssen, I.; </w:t>
      </w:r>
      <w:proofErr w:type="spellStart"/>
      <w:r w:rsidRPr="009E1865">
        <w:rPr>
          <w:color w:val="000000" w:themeColor="text1"/>
        </w:rPr>
        <w:t>Heymsfield</w:t>
      </w:r>
      <w:proofErr w:type="spellEnd"/>
      <w:r w:rsidRPr="009E1865">
        <w:rPr>
          <w:color w:val="000000" w:themeColor="text1"/>
        </w:rPr>
        <w:t xml:space="preserve">, S.B. Total-body skeletal muscle mass: development and cross-validation of anthropometric prediction models. </w:t>
      </w:r>
      <w:r w:rsidRPr="009E1865">
        <w:rPr>
          <w:i/>
          <w:iCs/>
          <w:color w:val="000000" w:themeColor="text1"/>
        </w:rPr>
        <w:t xml:space="preserve">Am. J. Clin. </w:t>
      </w:r>
      <w:proofErr w:type="spellStart"/>
      <w:r w:rsidRPr="009E1865">
        <w:rPr>
          <w:i/>
          <w:iCs/>
          <w:color w:val="000000" w:themeColor="text1"/>
        </w:rPr>
        <w:t>Nutr</w:t>
      </w:r>
      <w:proofErr w:type="spellEnd"/>
      <w:r w:rsidRPr="009E1865">
        <w:rPr>
          <w:i/>
          <w:iCs/>
          <w:color w:val="000000" w:themeColor="text1"/>
        </w:rPr>
        <w:t xml:space="preserve">. </w:t>
      </w:r>
      <w:r w:rsidRPr="009E1865">
        <w:rPr>
          <w:b/>
          <w:bCs/>
          <w:color w:val="000000" w:themeColor="text1"/>
        </w:rPr>
        <w:t>2000</w:t>
      </w:r>
      <w:r w:rsidRPr="009E1865">
        <w:rPr>
          <w:i/>
          <w:iCs/>
          <w:color w:val="000000" w:themeColor="text1"/>
        </w:rPr>
        <w:t>, 72</w:t>
      </w:r>
      <w:r w:rsidRPr="009E1865">
        <w:rPr>
          <w:color w:val="000000" w:themeColor="text1"/>
        </w:rPr>
        <w:t>, 796-803, https://doi.org/10.1093/ajcn/72.3.796.</w:t>
      </w:r>
    </w:p>
    <w:p w14:paraId="7D13B948" w14:textId="77777777" w:rsidR="00D0482E" w:rsidRPr="009E1865" w:rsidRDefault="00D0482E" w:rsidP="005B6F6B">
      <w:pPr>
        <w:pStyle w:val="MDPI71References"/>
        <w:numPr>
          <w:ilvl w:val="0"/>
          <w:numId w:val="17"/>
        </w:numPr>
        <w:rPr>
          <w:color w:val="000000" w:themeColor="text1"/>
        </w:rPr>
      </w:pPr>
      <w:proofErr w:type="spellStart"/>
      <w:r w:rsidRPr="009E1865">
        <w:rPr>
          <w:color w:val="000000" w:themeColor="text1"/>
        </w:rPr>
        <w:t>Studenski</w:t>
      </w:r>
      <w:proofErr w:type="spellEnd"/>
      <w:r w:rsidRPr="009E1865">
        <w:rPr>
          <w:color w:val="000000" w:themeColor="text1"/>
        </w:rPr>
        <w:t xml:space="preserve">, S.A.; Peters, K.W.; Alley, D.E.; Cawthon, P.M.; McLean, R.R.; Harris, T.B.; </w:t>
      </w:r>
      <w:proofErr w:type="spellStart"/>
      <w:r w:rsidRPr="009E1865">
        <w:rPr>
          <w:color w:val="000000" w:themeColor="text1"/>
        </w:rPr>
        <w:t>Ferrucci</w:t>
      </w:r>
      <w:proofErr w:type="spellEnd"/>
      <w:r w:rsidRPr="009E1865">
        <w:rPr>
          <w:color w:val="000000" w:themeColor="text1"/>
        </w:rPr>
        <w:t xml:space="preserve">, L.; </w:t>
      </w:r>
      <w:proofErr w:type="spellStart"/>
      <w:r w:rsidRPr="009E1865">
        <w:rPr>
          <w:color w:val="000000" w:themeColor="text1"/>
        </w:rPr>
        <w:t>Guralnik</w:t>
      </w:r>
      <w:proofErr w:type="spellEnd"/>
      <w:r w:rsidRPr="009E1865">
        <w:rPr>
          <w:color w:val="000000" w:themeColor="text1"/>
        </w:rPr>
        <w:t xml:space="preserve">, J.M.; </w:t>
      </w:r>
      <w:proofErr w:type="spellStart"/>
      <w:r w:rsidRPr="009E1865">
        <w:rPr>
          <w:color w:val="000000" w:themeColor="text1"/>
        </w:rPr>
        <w:t>Fragala</w:t>
      </w:r>
      <w:proofErr w:type="spellEnd"/>
      <w:r w:rsidRPr="009E1865">
        <w:rPr>
          <w:color w:val="000000" w:themeColor="text1"/>
        </w:rPr>
        <w:t xml:space="preserve">, M.S.; Kenny, A.M. The FNIH sarcopenia project: rationale, study description, conference recommendations, and final estimates. </w:t>
      </w:r>
      <w:r w:rsidRPr="009E1865">
        <w:rPr>
          <w:i/>
          <w:iCs/>
          <w:color w:val="000000" w:themeColor="text1"/>
        </w:rPr>
        <w:t xml:space="preserve">J </w:t>
      </w:r>
      <w:proofErr w:type="spellStart"/>
      <w:r w:rsidRPr="009E1865">
        <w:rPr>
          <w:i/>
          <w:iCs/>
          <w:color w:val="000000" w:themeColor="text1"/>
        </w:rPr>
        <w:t>Gerontol</w:t>
      </w:r>
      <w:proofErr w:type="spellEnd"/>
      <w:r w:rsidRPr="009E1865">
        <w:rPr>
          <w:i/>
          <w:iCs/>
          <w:color w:val="000000" w:themeColor="text1"/>
        </w:rPr>
        <w:t xml:space="preserve"> </w:t>
      </w:r>
      <w:proofErr w:type="gramStart"/>
      <w:r w:rsidRPr="009E1865">
        <w:rPr>
          <w:i/>
          <w:iCs/>
          <w:color w:val="000000" w:themeColor="text1"/>
        </w:rPr>
        <w:t>A</w:t>
      </w:r>
      <w:proofErr w:type="gramEnd"/>
      <w:r w:rsidRPr="009E1865">
        <w:rPr>
          <w:i/>
          <w:iCs/>
          <w:color w:val="000000" w:themeColor="text1"/>
        </w:rPr>
        <w:t xml:space="preserve"> </w:t>
      </w:r>
      <w:proofErr w:type="spellStart"/>
      <w:r w:rsidRPr="009E1865">
        <w:rPr>
          <w:i/>
          <w:iCs/>
          <w:color w:val="000000" w:themeColor="text1"/>
        </w:rPr>
        <w:t>Biol</w:t>
      </w:r>
      <w:proofErr w:type="spellEnd"/>
      <w:r w:rsidRPr="009E1865">
        <w:rPr>
          <w:i/>
          <w:iCs/>
          <w:color w:val="000000" w:themeColor="text1"/>
        </w:rPr>
        <w:t xml:space="preserve"> </w:t>
      </w:r>
      <w:proofErr w:type="spellStart"/>
      <w:r w:rsidRPr="009E1865">
        <w:rPr>
          <w:i/>
          <w:iCs/>
          <w:color w:val="000000" w:themeColor="text1"/>
        </w:rPr>
        <w:t>Sci</w:t>
      </w:r>
      <w:proofErr w:type="spellEnd"/>
      <w:r w:rsidRPr="009E1865">
        <w:rPr>
          <w:i/>
          <w:iCs/>
          <w:color w:val="000000" w:themeColor="text1"/>
        </w:rPr>
        <w:t xml:space="preserve"> Med Sci </w:t>
      </w:r>
      <w:r w:rsidRPr="009E1865">
        <w:rPr>
          <w:b/>
          <w:bCs/>
          <w:color w:val="000000" w:themeColor="text1"/>
        </w:rPr>
        <w:t>2014</w:t>
      </w:r>
      <w:r w:rsidRPr="009E1865">
        <w:rPr>
          <w:i/>
          <w:iCs/>
          <w:color w:val="000000" w:themeColor="text1"/>
        </w:rPr>
        <w:t>, 69</w:t>
      </w:r>
      <w:r w:rsidRPr="009E1865">
        <w:rPr>
          <w:color w:val="000000" w:themeColor="text1"/>
        </w:rPr>
        <w:t>, 547-558, https://doi.org/10.1093/gerona/glu010.</w:t>
      </w:r>
    </w:p>
    <w:p w14:paraId="78B80A4C"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Ortiz, O.; Russell, M.; Daley, T.L.; Baumgartner, R.N.; </w:t>
      </w:r>
      <w:proofErr w:type="spellStart"/>
      <w:r w:rsidRPr="009E1865">
        <w:rPr>
          <w:color w:val="000000" w:themeColor="text1"/>
        </w:rPr>
        <w:t>Waki</w:t>
      </w:r>
      <w:proofErr w:type="spellEnd"/>
      <w:r w:rsidRPr="009E1865">
        <w:rPr>
          <w:color w:val="000000" w:themeColor="text1"/>
        </w:rPr>
        <w:t xml:space="preserve">, M.; Lichtman, S.; Wang, J.; Pierson Jr, R.N.; </w:t>
      </w:r>
      <w:proofErr w:type="spellStart"/>
      <w:r w:rsidRPr="009E1865">
        <w:rPr>
          <w:color w:val="000000" w:themeColor="text1"/>
        </w:rPr>
        <w:t>Heymsfield</w:t>
      </w:r>
      <w:proofErr w:type="spellEnd"/>
      <w:r w:rsidRPr="009E1865">
        <w:rPr>
          <w:color w:val="000000" w:themeColor="text1"/>
        </w:rPr>
        <w:t xml:space="preserve">, S.B. Differences in skeletal muscle and bone mineral mass between black and white females and their relevance to estimates of body composition. </w:t>
      </w:r>
      <w:r w:rsidRPr="009E1865">
        <w:rPr>
          <w:i/>
          <w:iCs/>
          <w:color w:val="000000" w:themeColor="text1"/>
        </w:rPr>
        <w:t xml:space="preserve">Am. J. Clin. </w:t>
      </w:r>
      <w:proofErr w:type="spellStart"/>
      <w:r w:rsidRPr="009E1865">
        <w:rPr>
          <w:i/>
          <w:iCs/>
          <w:color w:val="000000" w:themeColor="text1"/>
        </w:rPr>
        <w:t>Nutr</w:t>
      </w:r>
      <w:proofErr w:type="spellEnd"/>
      <w:r w:rsidRPr="009E1865">
        <w:rPr>
          <w:i/>
          <w:iCs/>
          <w:color w:val="000000" w:themeColor="text1"/>
        </w:rPr>
        <w:t xml:space="preserve">. </w:t>
      </w:r>
      <w:r w:rsidRPr="009E1865">
        <w:rPr>
          <w:b/>
          <w:bCs/>
          <w:color w:val="000000" w:themeColor="text1"/>
        </w:rPr>
        <w:t>1992</w:t>
      </w:r>
      <w:r w:rsidRPr="009E1865">
        <w:rPr>
          <w:i/>
          <w:iCs/>
          <w:color w:val="000000" w:themeColor="text1"/>
        </w:rPr>
        <w:t>, 55</w:t>
      </w:r>
      <w:r w:rsidRPr="009E1865">
        <w:rPr>
          <w:color w:val="000000" w:themeColor="text1"/>
        </w:rPr>
        <w:t>, 8-13, https://doi.org/10.1093/ajcn/55.1.8.</w:t>
      </w:r>
    </w:p>
    <w:p w14:paraId="476FEB49"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Tyrovolas, S.; Koyanagi, A.; </w:t>
      </w:r>
      <w:proofErr w:type="spellStart"/>
      <w:r w:rsidRPr="009E1865">
        <w:rPr>
          <w:color w:val="000000" w:themeColor="text1"/>
        </w:rPr>
        <w:t>Olaya</w:t>
      </w:r>
      <w:proofErr w:type="spellEnd"/>
      <w:r w:rsidRPr="009E1865">
        <w:rPr>
          <w:color w:val="000000" w:themeColor="text1"/>
        </w:rPr>
        <w:t xml:space="preserve">, B.; </w:t>
      </w:r>
      <w:proofErr w:type="spellStart"/>
      <w:r w:rsidRPr="009E1865">
        <w:rPr>
          <w:color w:val="000000" w:themeColor="text1"/>
        </w:rPr>
        <w:t>Ayuso-Mateos</w:t>
      </w:r>
      <w:proofErr w:type="spellEnd"/>
      <w:r w:rsidRPr="009E1865">
        <w:rPr>
          <w:color w:val="000000" w:themeColor="text1"/>
        </w:rPr>
        <w:t xml:space="preserve">, J.L.; </w:t>
      </w:r>
      <w:proofErr w:type="spellStart"/>
      <w:r w:rsidRPr="009E1865">
        <w:rPr>
          <w:color w:val="000000" w:themeColor="text1"/>
        </w:rPr>
        <w:t>Miret</w:t>
      </w:r>
      <w:proofErr w:type="spellEnd"/>
      <w:r w:rsidRPr="009E1865">
        <w:rPr>
          <w:color w:val="000000" w:themeColor="text1"/>
        </w:rPr>
        <w:t xml:space="preserve">, M.; </w:t>
      </w:r>
      <w:proofErr w:type="spellStart"/>
      <w:r w:rsidRPr="009E1865">
        <w:rPr>
          <w:color w:val="000000" w:themeColor="text1"/>
        </w:rPr>
        <w:t>Chatterji</w:t>
      </w:r>
      <w:proofErr w:type="spellEnd"/>
      <w:r w:rsidRPr="009E1865">
        <w:rPr>
          <w:color w:val="000000" w:themeColor="text1"/>
        </w:rPr>
        <w:t xml:space="preserve">, S.; </w:t>
      </w:r>
      <w:proofErr w:type="spellStart"/>
      <w:r w:rsidRPr="009E1865">
        <w:rPr>
          <w:color w:val="000000" w:themeColor="text1"/>
        </w:rPr>
        <w:t>Tobiasz-Adamczyk</w:t>
      </w:r>
      <w:proofErr w:type="spellEnd"/>
      <w:r w:rsidRPr="009E1865">
        <w:rPr>
          <w:color w:val="000000" w:themeColor="text1"/>
        </w:rPr>
        <w:t xml:space="preserve">, B.; Koskinen, S.; Leonardi, M.; </w:t>
      </w:r>
      <w:proofErr w:type="spellStart"/>
      <w:r w:rsidRPr="009E1865">
        <w:rPr>
          <w:color w:val="000000" w:themeColor="text1"/>
        </w:rPr>
        <w:t>Haro</w:t>
      </w:r>
      <w:proofErr w:type="spellEnd"/>
      <w:r w:rsidRPr="009E1865">
        <w:rPr>
          <w:color w:val="000000" w:themeColor="text1"/>
        </w:rPr>
        <w:t xml:space="preserve">, J.M. The role of muscle mass and body fat on disability among older adults: A cross-national analysis. </w:t>
      </w:r>
      <w:r w:rsidRPr="009E1865">
        <w:rPr>
          <w:i/>
          <w:iCs/>
          <w:color w:val="000000" w:themeColor="text1"/>
        </w:rPr>
        <w:t xml:space="preserve">Exp. </w:t>
      </w:r>
      <w:proofErr w:type="spellStart"/>
      <w:r w:rsidRPr="009E1865">
        <w:rPr>
          <w:i/>
          <w:iCs/>
          <w:color w:val="000000" w:themeColor="text1"/>
        </w:rPr>
        <w:t>Gerontol</w:t>
      </w:r>
      <w:proofErr w:type="spellEnd"/>
      <w:r w:rsidRPr="009E1865">
        <w:rPr>
          <w:i/>
          <w:iCs/>
          <w:color w:val="000000" w:themeColor="text1"/>
        </w:rPr>
        <w:t xml:space="preserve">. </w:t>
      </w:r>
      <w:r w:rsidRPr="009E1865">
        <w:rPr>
          <w:b/>
          <w:bCs/>
          <w:color w:val="000000" w:themeColor="text1"/>
        </w:rPr>
        <w:t>2015</w:t>
      </w:r>
      <w:r w:rsidRPr="009E1865">
        <w:rPr>
          <w:i/>
          <w:iCs/>
          <w:color w:val="000000" w:themeColor="text1"/>
        </w:rPr>
        <w:t>, 69</w:t>
      </w:r>
      <w:r w:rsidRPr="009E1865">
        <w:rPr>
          <w:color w:val="000000" w:themeColor="text1"/>
        </w:rPr>
        <w:t>, 27-35, https://doi.org/10.1016/j.exger.2015.06.002.</w:t>
      </w:r>
    </w:p>
    <w:p w14:paraId="2BA23C18" w14:textId="77777777" w:rsidR="00D0482E" w:rsidRPr="009E1865" w:rsidRDefault="00D0482E" w:rsidP="005B6F6B">
      <w:pPr>
        <w:pStyle w:val="MDPI71References"/>
        <w:numPr>
          <w:ilvl w:val="0"/>
          <w:numId w:val="17"/>
        </w:numPr>
        <w:rPr>
          <w:color w:val="000000" w:themeColor="text1"/>
        </w:rPr>
      </w:pPr>
      <w:proofErr w:type="spellStart"/>
      <w:r w:rsidRPr="009E1865">
        <w:rPr>
          <w:color w:val="000000" w:themeColor="text1"/>
        </w:rPr>
        <w:t>Capistrant</w:t>
      </w:r>
      <w:proofErr w:type="spellEnd"/>
      <w:r w:rsidRPr="009E1865">
        <w:rPr>
          <w:color w:val="000000" w:themeColor="text1"/>
        </w:rPr>
        <w:t xml:space="preserve">, B.D.; </w:t>
      </w:r>
      <w:proofErr w:type="spellStart"/>
      <w:r w:rsidRPr="009E1865">
        <w:rPr>
          <w:color w:val="000000" w:themeColor="text1"/>
        </w:rPr>
        <w:t>Glymour</w:t>
      </w:r>
      <w:proofErr w:type="spellEnd"/>
      <w:r w:rsidRPr="009E1865">
        <w:rPr>
          <w:color w:val="000000" w:themeColor="text1"/>
        </w:rPr>
        <w:t xml:space="preserve">, M.M.; Berkman, L.F. Assessing mobility difficulties for cross‐national comparisons: results from the World Health Organization Study on Global </w:t>
      </w:r>
      <w:proofErr w:type="spellStart"/>
      <w:r w:rsidRPr="009E1865">
        <w:rPr>
          <w:color w:val="000000" w:themeColor="text1"/>
        </w:rPr>
        <w:t>AGEing</w:t>
      </w:r>
      <w:proofErr w:type="spellEnd"/>
      <w:r w:rsidRPr="009E1865">
        <w:rPr>
          <w:color w:val="000000" w:themeColor="text1"/>
        </w:rPr>
        <w:t xml:space="preserve"> and Adult Health. </w:t>
      </w:r>
      <w:r w:rsidRPr="009E1865">
        <w:rPr>
          <w:i/>
          <w:iCs/>
          <w:color w:val="000000" w:themeColor="text1"/>
        </w:rPr>
        <w:t xml:space="preserve">J. Am. </w:t>
      </w:r>
      <w:proofErr w:type="spellStart"/>
      <w:r w:rsidRPr="009E1865">
        <w:rPr>
          <w:i/>
          <w:iCs/>
          <w:color w:val="000000" w:themeColor="text1"/>
        </w:rPr>
        <w:t>Geriatr</w:t>
      </w:r>
      <w:proofErr w:type="spellEnd"/>
      <w:r w:rsidRPr="009E1865">
        <w:rPr>
          <w:i/>
          <w:iCs/>
          <w:color w:val="000000" w:themeColor="text1"/>
        </w:rPr>
        <w:t xml:space="preserve">. Soc. </w:t>
      </w:r>
      <w:r w:rsidRPr="009E1865">
        <w:rPr>
          <w:b/>
          <w:bCs/>
          <w:color w:val="000000" w:themeColor="text1"/>
        </w:rPr>
        <w:t>2014</w:t>
      </w:r>
      <w:r w:rsidRPr="009E1865">
        <w:rPr>
          <w:i/>
          <w:iCs/>
          <w:color w:val="000000" w:themeColor="text1"/>
        </w:rPr>
        <w:t>, 62</w:t>
      </w:r>
      <w:r w:rsidRPr="009E1865">
        <w:rPr>
          <w:color w:val="000000" w:themeColor="text1"/>
        </w:rPr>
        <w:t>, 329-335, https://doi.org/10.1111/jgs.12633.</w:t>
      </w:r>
    </w:p>
    <w:p w14:paraId="09E81FC4" w14:textId="77777777" w:rsidR="00D0482E" w:rsidRPr="009E1865" w:rsidRDefault="00D0482E" w:rsidP="005B6F6B">
      <w:pPr>
        <w:pStyle w:val="MDPI71References"/>
        <w:numPr>
          <w:ilvl w:val="0"/>
          <w:numId w:val="17"/>
        </w:numPr>
        <w:rPr>
          <w:color w:val="000000" w:themeColor="text1"/>
        </w:rPr>
      </w:pPr>
      <w:r w:rsidRPr="009E1865">
        <w:rPr>
          <w:color w:val="000000" w:themeColor="text1"/>
        </w:rPr>
        <w:t>Cruz-</w:t>
      </w:r>
      <w:proofErr w:type="spellStart"/>
      <w:r w:rsidRPr="009E1865">
        <w:rPr>
          <w:color w:val="000000" w:themeColor="text1"/>
        </w:rPr>
        <w:t>Jentoft</w:t>
      </w:r>
      <w:proofErr w:type="spellEnd"/>
      <w:r w:rsidRPr="009E1865">
        <w:rPr>
          <w:color w:val="000000" w:themeColor="text1"/>
        </w:rPr>
        <w:t xml:space="preserve">, A.J.; </w:t>
      </w:r>
      <w:proofErr w:type="spellStart"/>
      <w:r w:rsidRPr="009E1865">
        <w:rPr>
          <w:color w:val="000000" w:themeColor="text1"/>
        </w:rPr>
        <w:t>Bahat</w:t>
      </w:r>
      <w:proofErr w:type="spellEnd"/>
      <w:r w:rsidRPr="009E1865">
        <w:rPr>
          <w:color w:val="000000" w:themeColor="text1"/>
        </w:rPr>
        <w:t xml:space="preserve">, G.; Bauer, J.; </w:t>
      </w:r>
      <w:proofErr w:type="spellStart"/>
      <w:r w:rsidRPr="009E1865">
        <w:rPr>
          <w:color w:val="000000" w:themeColor="text1"/>
        </w:rPr>
        <w:t>Boirie</w:t>
      </w:r>
      <w:proofErr w:type="spellEnd"/>
      <w:r w:rsidRPr="009E1865">
        <w:rPr>
          <w:color w:val="000000" w:themeColor="text1"/>
        </w:rPr>
        <w:t xml:space="preserve">, Y.; </w:t>
      </w:r>
      <w:proofErr w:type="spellStart"/>
      <w:r w:rsidRPr="009E1865">
        <w:rPr>
          <w:color w:val="000000" w:themeColor="text1"/>
        </w:rPr>
        <w:t>Bruyère</w:t>
      </w:r>
      <w:proofErr w:type="spellEnd"/>
      <w:r w:rsidRPr="009E1865">
        <w:rPr>
          <w:color w:val="000000" w:themeColor="text1"/>
        </w:rPr>
        <w:t xml:space="preserve">, O.; Cederholm, T.; Cooper, C.; </w:t>
      </w:r>
      <w:proofErr w:type="spellStart"/>
      <w:r w:rsidRPr="009E1865">
        <w:rPr>
          <w:color w:val="000000" w:themeColor="text1"/>
        </w:rPr>
        <w:t>Landi</w:t>
      </w:r>
      <w:proofErr w:type="spellEnd"/>
      <w:r w:rsidRPr="009E1865">
        <w:rPr>
          <w:color w:val="000000" w:themeColor="text1"/>
        </w:rPr>
        <w:t xml:space="preserve">, F.; Rolland, Y.; Sayer, A.A. Sarcopenia: revised European consensus on definition and diagnosis. </w:t>
      </w:r>
      <w:r w:rsidRPr="009E1865">
        <w:rPr>
          <w:i/>
          <w:iCs/>
          <w:color w:val="000000" w:themeColor="text1"/>
        </w:rPr>
        <w:t xml:space="preserve">Age Ageing </w:t>
      </w:r>
      <w:r w:rsidRPr="009E1865">
        <w:rPr>
          <w:b/>
          <w:bCs/>
          <w:color w:val="000000" w:themeColor="text1"/>
        </w:rPr>
        <w:t>2019</w:t>
      </w:r>
      <w:r w:rsidRPr="009E1865">
        <w:rPr>
          <w:i/>
          <w:iCs/>
          <w:color w:val="000000" w:themeColor="text1"/>
        </w:rPr>
        <w:t>, 48</w:t>
      </w:r>
      <w:r w:rsidRPr="009E1865">
        <w:rPr>
          <w:color w:val="000000" w:themeColor="text1"/>
        </w:rPr>
        <w:t>, 16-31, https://doi.org/10.1093/ageing/afy169.</w:t>
      </w:r>
    </w:p>
    <w:p w14:paraId="29175AC7"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Schrock, J.M.; McClure, H.H.; Snodgrass, J.J.; Liebert, M.A.; Charlton, K.E.; </w:t>
      </w:r>
      <w:proofErr w:type="spellStart"/>
      <w:r w:rsidRPr="009E1865">
        <w:rPr>
          <w:color w:val="000000" w:themeColor="text1"/>
        </w:rPr>
        <w:t>Arokiasamy</w:t>
      </w:r>
      <w:proofErr w:type="spellEnd"/>
      <w:r w:rsidRPr="009E1865">
        <w:rPr>
          <w:color w:val="000000" w:themeColor="text1"/>
        </w:rPr>
        <w:t xml:space="preserve">, P.; Naidoo, N.; Kowal, P. Food insecurity partially mediates associations between social disadvantage and body composition among older adults in </w:t>
      </w:r>
      <w:proofErr w:type="spellStart"/>
      <w:r w:rsidRPr="009E1865">
        <w:rPr>
          <w:color w:val="000000" w:themeColor="text1"/>
        </w:rPr>
        <w:t>india</w:t>
      </w:r>
      <w:proofErr w:type="spellEnd"/>
      <w:r w:rsidRPr="009E1865">
        <w:rPr>
          <w:color w:val="000000" w:themeColor="text1"/>
        </w:rPr>
        <w:t xml:space="preserve">: Results from the study on global AGE </w:t>
      </w:r>
      <w:proofErr w:type="spellStart"/>
      <w:r w:rsidRPr="009E1865">
        <w:rPr>
          <w:color w:val="000000" w:themeColor="text1"/>
        </w:rPr>
        <w:t>ing</w:t>
      </w:r>
      <w:proofErr w:type="spellEnd"/>
      <w:r w:rsidRPr="009E1865">
        <w:rPr>
          <w:color w:val="000000" w:themeColor="text1"/>
        </w:rPr>
        <w:t xml:space="preserve"> and adult health (SAGE). </w:t>
      </w:r>
      <w:r w:rsidRPr="009E1865">
        <w:rPr>
          <w:i/>
          <w:iCs/>
          <w:color w:val="000000" w:themeColor="text1"/>
        </w:rPr>
        <w:t xml:space="preserve">Am. J. Hum. Biol. </w:t>
      </w:r>
      <w:r w:rsidRPr="009E1865">
        <w:rPr>
          <w:b/>
          <w:bCs/>
          <w:color w:val="000000" w:themeColor="text1"/>
        </w:rPr>
        <w:t>2017</w:t>
      </w:r>
      <w:r w:rsidRPr="009E1865">
        <w:rPr>
          <w:i/>
          <w:iCs/>
          <w:color w:val="000000" w:themeColor="text1"/>
        </w:rPr>
        <w:t>, 29</w:t>
      </w:r>
      <w:r w:rsidRPr="009E1865">
        <w:rPr>
          <w:color w:val="000000" w:themeColor="text1"/>
        </w:rPr>
        <w:t>, e23033, https://doi.org/10.1002/ajhb.23033.</w:t>
      </w:r>
    </w:p>
    <w:p w14:paraId="00023D18"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Koyanagi, A.; Veronese, N.; Stubbs, B.; </w:t>
      </w:r>
      <w:proofErr w:type="spellStart"/>
      <w:r w:rsidRPr="009E1865">
        <w:rPr>
          <w:color w:val="000000" w:themeColor="text1"/>
        </w:rPr>
        <w:t>Vancampfort</w:t>
      </w:r>
      <w:proofErr w:type="spellEnd"/>
      <w:r w:rsidRPr="009E1865">
        <w:rPr>
          <w:color w:val="000000" w:themeColor="text1"/>
        </w:rPr>
        <w:t xml:space="preserve">, D.; Stickley, A.; Oh, H.; Shin, J.I.; Jackson, S.; Smith, L.; Lara, E. Food insecurity is associated with mild cognitive impairment among middle-aged and older adults in South Africa: findings from a nationally representative survey. </w:t>
      </w:r>
      <w:r w:rsidRPr="009E1865">
        <w:rPr>
          <w:i/>
          <w:iCs/>
          <w:color w:val="000000" w:themeColor="text1"/>
        </w:rPr>
        <w:t xml:space="preserve">Nutrients </w:t>
      </w:r>
      <w:r w:rsidRPr="009E1865">
        <w:rPr>
          <w:b/>
          <w:bCs/>
          <w:color w:val="000000" w:themeColor="text1"/>
        </w:rPr>
        <w:t>2019</w:t>
      </w:r>
      <w:r w:rsidRPr="009E1865">
        <w:rPr>
          <w:i/>
          <w:iCs/>
          <w:color w:val="000000" w:themeColor="text1"/>
        </w:rPr>
        <w:t>, 11</w:t>
      </w:r>
      <w:r w:rsidRPr="009E1865">
        <w:rPr>
          <w:color w:val="000000" w:themeColor="text1"/>
        </w:rPr>
        <w:t>, 749, https://doi.org/10.3390/nu11040749.</w:t>
      </w:r>
    </w:p>
    <w:p w14:paraId="70EE690E"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Bull, F.C.; Maslin, T.S.; Armstrong, T. Global physical activity questionnaire (GPAQ): nine country reliability and validity study. </w:t>
      </w:r>
      <w:r w:rsidRPr="009E1865">
        <w:rPr>
          <w:i/>
          <w:iCs/>
          <w:color w:val="000000" w:themeColor="text1"/>
        </w:rPr>
        <w:t xml:space="preserve">J Phys Act Health </w:t>
      </w:r>
      <w:r w:rsidRPr="009E1865">
        <w:rPr>
          <w:b/>
          <w:bCs/>
          <w:color w:val="000000" w:themeColor="text1"/>
        </w:rPr>
        <w:t>2009</w:t>
      </w:r>
      <w:r w:rsidRPr="009E1865">
        <w:rPr>
          <w:i/>
          <w:iCs/>
          <w:color w:val="000000" w:themeColor="text1"/>
        </w:rPr>
        <w:t>, 6</w:t>
      </w:r>
      <w:r w:rsidRPr="009E1865">
        <w:rPr>
          <w:color w:val="000000" w:themeColor="text1"/>
        </w:rPr>
        <w:t>, 790-804, https://doi.org/10.1123/jpah.6.6.790.</w:t>
      </w:r>
    </w:p>
    <w:p w14:paraId="054125CB"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Stubbs, B.; </w:t>
      </w:r>
      <w:proofErr w:type="spellStart"/>
      <w:r w:rsidRPr="009E1865">
        <w:rPr>
          <w:color w:val="000000" w:themeColor="text1"/>
        </w:rPr>
        <w:t>Vancampfort</w:t>
      </w:r>
      <w:proofErr w:type="spellEnd"/>
      <w:r w:rsidRPr="009E1865">
        <w:rPr>
          <w:color w:val="000000" w:themeColor="text1"/>
        </w:rPr>
        <w:t xml:space="preserve">, D.; Veronese, N.; Schofield, P.; Lin, P.; Tseng, P.; </w:t>
      </w:r>
      <w:proofErr w:type="spellStart"/>
      <w:r w:rsidRPr="009E1865">
        <w:rPr>
          <w:color w:val="000000" w:themeColor="text1"/>
        </w:rPr>
        <w:t>Solmi</w:t>
      </w:r>
      <w:proofErr w:type="spellEnd"/>
      <w:r w:rsidRPr="009E1865">
        <w:rPr>
          <w:color w:val="000000" w:themeColor="text1"/>
        </w:rPr>
        <w:t xml:space="preserve">, M.; Thompson, T.; Carvalho, A.F.; Koyanagi, A. Multimorbidity and perceived stress: a population-based cross-sectional study among older adults across six low-and middle-income countries. </w:t>
      </w:r>
      <w:proofErr w:type="spellStart"/>
      <w:r w:rsidRPr="009E1865">
        <w:rPr>
          <w:i/>
          <w:iCs/>
          <w:color w:val="000000" w:themeColor="text1"/>
        </w:rPr>
        <w:t>Maturitas</w:t>
      </w:r>
      <w:proofErr w:type="spellEnd"/>
      <w:r w:rsidRPr="009E1865">
        <w:rPr>
          <w:i/>
          <w:iCs/>
          <w:color w:val="000000" w:themeColor="text1"/>
        </w:rPr>
        <w:t xml:space="preserve"> </w:t>
      </w:r>
      <w:r w:rsidRPr="009E1865">
        <w:rPr>
          <w:b/>
          <w:bCs/>
          <w:color w:val="000000" w:themeColor="text1"/>
        </w:rPr>
        <w:t>2018</w:t>
      </w:r>
      <w:r w:rsidRPr="009E1865">
        <w:rPr>
          <w:i/>
          <w:iCs/>
          <w:color w:val="000000" w:themeColor="text1"/>
        </w:rPr>
        <w:t>, 107</w:t>
      </w:r>
      <w:r w:rsidRPr="009E1865">
        <w:rPr>
          <w:color w:val="000000" w:themeColor="text1"/>
        </w:rPr>
        <w:t>, 84-91, https://doi.org/10.1016/j.maturitas.2017.10.007.</w:t>
      </w:r>
    </w:p>
    <w:p w14:paraId="2F5386C8"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Stubbs, B.; </w:t>
      </w:r>
      <w:proofErr w:type="spellStart"/>
      <w:r w:rsidRPr="009E1865">
        <w:rPr>
          <w:color w:val="000000" w:themeColor="text1"/>
        </w:rPr>
        <w:t>Vancampfort</w:t>
      </w:r>
      <w:proofErr w:type="spellEnd"/>
      <w:r w:rsidRPr="009E1865">
        <w:rPr>
          <w:color w:val="000000" w:themeColor="text1"/>
        </w:rPr>
        <w:t xml:space="preserve">, D.; Firth, J.; </w:t>
      </w:r>
      <w:proofErr w:type="spellStart"/>
      <w:r w:rsidRPr="009E1865">
        <w:rPr>
          <w:color w:val="000000" w:themeColor="text1"/>
        </w:rPr>
        <w:t>Schuch</w:t>
      </w:r>
      <w:proofErr w:type="spellEnd"/>
      <w:r w:rsidRPr="009E1865">
        <w:rPr>
          <w:color w:val="000000" w:themeColor="text1"/>
        </w:rPr>
        <w:t xml:space="preserve">, F.B.; </w:t>
      </w:r>
      <w:proofErr w:type="spellStart"/>
      <w:r w:rsidRPr="009E1865">
        <w:rPr>
          <w:color w:val="000000" w:themeColor="text1"/>
        </w:rPr>
        <w:t>Hallgren</w:t>
      </w:r>
      <w:proofErr w:type="spellEnd"/>
      <w:r w:rsidRPr="009E1865">
        <w:rPr>
          <w:color w:val="000000" w:themeColor="text1"/>
        </w:rPr>
        <w:t xml:space="preserve">, M.; Smith, L.; Gardner, B.; Kahl, K.G.; Veronese, N.; </w:t>
      </w:r>
      <w:proofErr w:type="spellStart"/>
      <w:r w:rsidRPr="009E1865">
        <w:rPr>
          <w:color w:val="000000" w:themeColor="text1"/>
        </w:rPr>
        <w:t>Solmi</w:t>
      </w:r>
      <w:proofErr w:type="spellEnd"/>
      <w:r w:rsidRPr="009E1865">
        <w:rPr>
          <w:color w:val="000000" w:themeColor="text1"/>
        </w:rPr>
        <w:t xml:space="preserve">, M. Relationship between sedentary behavior and depression: A mediation analysis of influential factors across the lifespan among 42,469 people in low-and middle-income countries. </w:t>
      </w:r>
      <w:r w:rsidRPr="009E1865">
        <w:rPr>
          <w:i/>
          <w:iCs/>
          <w:color w:val="000000" w:themeColor="text1"/>
        </w:rPr>
        <w:t xml:space="preserve">J. Affect. </w:t>
      </w:r>
      <w:proofErr w:type="spellStart"/>
      <w:r w:rsidRPr="009E1865">
        <w:rPr>
          <w:i/>
          <w:iCs/>
          <w:color w:val="000000" w:themeColor="text1"/>
        </w:rPr>
        <w:t>Disord</w:t>
      </w:r>
      <w:proofErr w:type="spellEnd"/>
      <w:r w:rsidRPr="009E1865">
        <w:rPr>
          <w:i/>
          <w:iCs/>
          <w:color w:val="000000" w:themeColor="text1"/>
        </w:rPr>
        <w:t xml:space="preserve">. </w:t>
      </w:r>
      <w:r w:rsidRPr="009E1865">
        <w:rPr>
          <w:b/>
          <w:bCs/>
          <w:color w:val="000000" w:themeColor="text1"/>
        </w:rPr>
        <w:t>2018</w:t>
      </w:r>
      <w:r w:rsidRPr="009E1865">
        <w:rPr>
          <w:i/>
          <w:iCs/>
          <w:color w:val="000000" w:themeColor="text1"/>
        </w:rPr>
        <w:t>, 229</w:t>
      </w:r>
      <w:r w:rsidRPr="009E1865">
        <w:rPr>
          <w:color w:val="000000" w:themeColor="text1"/>
        </w:rPr>
        <w:t>, 231-238, https://doi.org/10.1016/j.jad.2017.12.104.</w:t>
      </w:r>
    </w:p>
    <w:p w14:paraId="32667CAD" w14:textId="77777777" w:rsidR="00D0482E" w:rsidRPr="009E1865" w:rsidRDefault="00D0482E" w:rsidP="005B6F6B">
      <w:pPr>
        <w:pStyle w:val="MDPI71References"/>
        <w:numPr>
          <w:ilvl w:val="0"/>
          <w:numId w:val="17"/>
        </w:numPr>
        <w:rPr>
          <w:color w:val="000000" w:themeColor="text1"/>
        </w:rPr>
      </w:pPr>
      <w:r w:rsidRPr="009E1865">
        <w:rPr>
          <w:color w:val="000000" w:themeColor="text1"/>
        </w:rPr>
        <w:lastRenderedPageBreak/>
        <w:t xml:space="preserve">Conti, V.; Izzo, V.; </w:t>
      </w:r>
      <w:proofErr w:type="spellStart"/>
      <w:r w:rsidRPr="009E1865">
        <w:rPr>
          <w:color w:val="000000" w:themeColor="text1"/>
        </w:rPr>
        <w:t>Corbi</w:t>
      </w:r>
      <w:proofErr w:type="spellEnd"/>
      <w:r w:rsidRPr="009E1865">
        <w:rPr>
          <w:color w:val="000000" w:themeColor="text1"/>
        </w:rPr>
        <w:t xml:space="preserve">, G.; </w:t>
      </w:r>
      <w:proofErr w:type="spellStart"/>
      <w:r w:rsidRPr="009E1865">
        <w:rPr>
          <w:color w:val="000000" w:themeColor="text1"/>
        </w:rPr>
        <w:t>Russomanno</w:t>
      </w:r>
      <w:proofErr w:type="spellEnd"/>
      <w:r w:rsidRPr="009E1865">
        <w:rPr>
          <w:color w:val="000000" w:themeColor="text1"/>
        </w:rPr>
        <w:t xml:space="preserve">, G.; Manzo, V.; De Lise, F.; Di Donato, A.; </w:t>
      </w:r>
      <w:proofErr w:type="spellStart"/>
      <w:r w:rsidRPr="009E1865">
        <w:rPr>
          <w:color w:val="000000" w:themeColor="text1"/>
        </w:rPr>
        <w:t>Filippelli</w:t>
      </w:r>
      <w:proofErr w:type="spellEnd"/>
      <w:r w:rsidRPr="009E1865">
        <w:rPr>
          <w:color w:val="000000" w:themeColor="text1"/>
        </w:rPr>
        <w:t xml:space="preserve">, A. Antioxidant supplementation in the treatment of aging-associated diseases. </w:t>
      </w:r>
      <w:r w:rsidRPr="009E1865">
        <w:rPr>
          <w:i/>
          <w:iCs/>
          <w:color w:val="000000" w:themeColor="text1"/>
        </w:rPr>
        <w:t xml:space="preserve">Frontiers in pharmacology </w:t>
      </w:r>
      <w:r w:rsidRPr="009E1865">
        <w:rPr>
          <w:b/>
          <w:bCs/>
          <w:color w:val="000000" w:themeColor="text1"/>
        </w:rPr>
        <w:t>2016</w:t>
      </w:r>
      <w:r w:rsidRPr="009E1865">
        <w:rPr>
          <w:i/>
          <w:iCs/>
          <w:color w:val="000000" w:themeColor="text1"/>
        </w:rPr>
        <w:t>, 7</w:t>
      </w:r>
      <w:r w:rsidRPr="009E1865">
        <w:rPr>
          <w:color w:val="000000" w:themeColor="text1"/>
        </w:rPr>
        <w:t>, 24, https://doi.org/10.3389/fphar.2016.00024.</w:t>
      </w:r>
    </w:p>
    <w:p w14:paraId="20C9C068"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Saito, K.; Yokoyama, T.; Yoshida, H.; Kim, H.; Shimada, H.; Yoshida, Y.; </w:t>
      </w:r>
      <w:proofErr w:type="spellStart"/>
      <w:r w:rsidRPr="009E1865">
        <w:rPr>
          <w:color w:val="000000" w:themeColor="text1"/>
        </w:rPr>
        <w:t>Iwasa</w:t>
      </w:r>
      <w:proofErr w:type="spellEnd"/>
      <w:r w:rsidRPr="009E1865">
        <w:rPr>
          <w:color w:val="000000" w:themeColor="text1"/>
        </w:rPr>
        <w:t xml:space="preserve">, H.; Shimizu, Y.; Kondo, Y.; </w:t>
      </w:r>
      <w:proofErr w:type="spellStart"/>
      <w:r w:rsidRPr="009E1865">
        <w:rPr>
          <w:color w:val="000000" w:themeColor="text1"/>
        </w:rPr>
        <w:t>Handa</w:t>
      </w:r>
      <w:proofErr w:type="spellEnd"/>
      <w:r w:rsidRPr="009E1865">
        <w:rPr>
          <w:color w:val="000000" w:themeColor="text1"/>
        </w:rPr>
        <w:t xml:space="preserve">, S. A significant relationship between plasma vitamin C concentration and physical performance among Japanese elderly women. </w:t>
      </w:r>
      <w:r w:rsidRPr="009E1865">
        <w:rPr>
          <w:i/>
          <w:iCs/>
          <w:color w:val="000000" w:themeColor="text1"/>
        </w:rPr>
        <w:t xml:space="preserve">J </w:t>
      </w:r>
      <w:proofErr w:type="spellStart"/>
      <w:r w:rsidRPr="009E1865">
        <w:rPr>
          <w:i/>
          <w:iCs/>
          <w:color w:val="000000" w:themeColor="text1"/>
        </w:rPr>
        <w:t>Gerontol</w:t>
      </w:r>
      <w:proofErr w:type="spellEnd"/>
      <w:r w:rsidRPr="009E1865">
        <w:rPr>
          <w:i/>
          <w:iCs/>
          <w:color w:val="000000" w:themeColor="text1"/>
        </w:rPr>
        <w:t xml:space="preserve"> </w:t>
      </w:r>
      <w:proofErr w:type="gramStart"/>
      <w:r w:rsidRPr="009E1865">
        <w:rPr>
          <w:i/>
          <w:iCs/>
          <w:color w:val="000000" w:themeColor="text1"/>
        </w:rPr>
        <w:t>A</w:t>
      </w:r>
      <w:proofErr w:type="gramEnd"/>
      <w:r w:rsidRPr="009E1865">
        <w:rPr>
          <w:i/>
          <w:iCs/>
          <w:color w:val="000000" w:themeColor="text1"/>
        </w:rPr>
        <w:t xml:space="preserve"> </w:t>
      </w:r>
      <w:proofErr w:type="spellStart"/>
      <w:r w:rsidRPr="009E1865">
        <w:rPr>
          <w:i/>
          <w:iCs/>
          <w:color w:val="000000" w:themeColor="text1"/>
        </w:rPr>
        <w:t>Biol</w:t>
      </w:r>
      <w:proofErr w:type="spellEnd"/>
      <w:r w:rsidRPr="009E1865">
        <w:rPr>
          <w:i/>
          <w:iCs/>
          <w:color w:val="000000" w:themeColor="text1"/>
        </w:rPr>
        <w:t xml:space="preserve"> </w:t>
      </w:r>
      <w:proofErr w:type="spellStart"/>
      <w:r w:rsidRPr="009E1865">
        <w:rPr>
          <w:i/>
          <w:iCs/>
          <w:color w:val="000000" w:themeColor="text1"/>
        </w:rPr>
        <w:t>Sci</w:t>
      </w:r>
      <w:proofErr w:type="spellEnd"/>
      <w:r w:rsidRPr="009E1865">
        <w:rPr>
          <w:i/>
          <w:iCs/>
          <w:color w:val="000000" w:themeColor="text1"/>
        </w:rPr>
        <w:t xml:space="preserve"> Med Sci </w:t>
      </w:r>
      <w:r w:rsidRPr="009E1865">
        <w:rPr>
          <w:b/>
          <w:bCs/>
          <w:color w:val="000000" w:themeColor="text1"/>
        </w:rPr>
        <w:t>2012</w:t>
      </w:r>
      <w:r w:rsidRPr="009E1865">
        <w:rPr>
          <w:i/>
          <w:iCs/>
          <w:color w:val="000000" w:themeColor="text1"/>
        </w:rPr>
        <w:t>, 67</w:t>
      </w:r>
      <w:r w:rsidRPr="009E1865">
        <w:rPr>
          <w:color w:val="000000" w:themeColor="text1"/>
        </w:rPr>
        <w:t>, 295-301, https://doi.org/10.1093/gerona/glr174.</w:t>
      </w:r>
    </w:p>
    <w:p w14:paraId="76E71B29" w14:textId="77777777" w:rsidR="00D0482E" w:rsidRPr="009E1865" w:rsidRDefault="00D0482E" w:rsidP="005B6F6B">
      <w:pPr>
        <w:pStyle w:val="MDPI71References"/>
        <w:numPr>
          <w:ilvl w:val="0"/>
          <w:numId w:val="17"/>
        </w:numPr>
        <w:rPr>
          <w:color w:val="000000" w:themeColor="text1"/>
        </w:rPr>
      </w:pPr>
      <w:proofErr w:type="spellStart"/>
      <w:r w:rsidRPr="009E1865">
        <w:rPr>
          <w:color w:val="000000" w:themeColor="text1"/>
        </w:rPr>
        <w:t>Cesari</w:t>
      </w:r>
      <w:proofErr w:type="spellEnd"/>
      <w:r w:rsidRPr="009E1865">
        <w:rPr>
          <w:color w:val="000000" w:themeColor="text1"/>
        </w:rPr>
        <w:t xml:space="preserve">, M.; </w:t>
      </w:r>
      <w:proofErr w:type="spellStart"/>
      <w:r w:rsidRPr="009E1865">
        <w:rPr>
          <w:color w:val="000000" w:themeColor="text1"/>
        </w:rPr>
        <w:t>Pahor</w:t>
      </w:r>
      <w:proofErr w:type="spellEnd"/>
      <w:r w:rsidRPr="009E1865">
        <w:rPr>
          <w:color w:val="000000" w:themeColor="text1"/>
        </w:rPr>
        <w:t xml:space="preserve">, M.; </w:t>
      </w:r>
      <w:proofErr w:type="spellStart"/>
      <w:r w:rsidRPr="009E1865">
        <w:rPr>
          <w:color w:val="000000" w:themeColor="text1"/>
        </w:rPr>
        <w:t>Bartali</w:t>
      </w:r>
      <w:proofErr w:type="spellEnd"/>
      <w:r w:rsidRPr="009E1865">
        <w:rPr>
          <w:color w:val="000000" w:themeColor="text1"/>
        </w:rPr>
        <w:t xml:space="preserve">, B.; Cherubini, A.; </w:t>
      </w:r>
      <w:proofErr w:type="spellStart"/>
      <w:r w:rsidRPr="009E1865">
        <w:rPr>
          <w:color w:val="000000" w:themeColor="text1"/>
        </w:rPr>
        <w:t>Penninx</w:t>
      </w:r>
      <w:proofErr w:type="spellEnd"/>
      <w:r w:rsidRPr="009E1865">
        <w:rPr>
          <w:color w:val="000000" w:themeColor="text1"/>
        </w:rPr>
        <w:t xml:space="preserve">, B.W.; Williams, G.R.; Atkinson, H.; Martin, A.; </w:t>
      </w:r>
      <w:proofErr w:type="spellStart"/>
      <w:r w:rsidRPr="009E1865">
        <w:rPr>
          <w:color w:val="000000" w:themeColor="text1"/>
        </w:rPr>
        <w:t>Guralnik</w:t>
      </w:r>
      <w:proofErr w:type="spellEnd"/>
      <w:r w:rsidRPr="009E1865">
        <w:rPr>
          <w:color w:val="000000" w:themeColor="text1"/>
        </w:rPr>
        <w:t xml:space="preserve">, J.M.; </w:t>
      </w:r>
      <w:proofErr w:type="spellStart"/>
      <w:r w:rsidRPr="009E1865">
        <w:rPr>
          <w:color w:val="000000" w:themeColor="text1"/>
        </w:rPr>
        <w:t>Ferrucci</w:t>
      </w:r>
      <w:proofErr w:type="spellEnd"/>
      <w:r w:rsidRPr="009E1865">
        <w:rPr>
          <w:color w:val="000000" w:themeColor="text1"/>
        </w:rPr>
        <w:t xml:space="preserve">, L. Antioxidants and physical performance in elderly persons: the </w:t>
      </w:r>
      <w:proofErr w:type="spellStart"/>
      <w:r w:rsidRPr="009E1865">
        <w:rPr>
          <w:color w:val="000000" w:themeColor="text1"/>
        </w:rPr>
        <w:t>Invecchiare</w:t>
      </w:r>
      <w:proofErr w:type="spellEnd"/>
      <w:r w:rsidRPr="009E1865">
        <w:rPr>
          <w:color w:val="000000" w:themeColor="text1"/>
        </w:rPr>
        <w:t xml:space="preserve"> in Chianti (</w:t>
      </w:r>
      <w:proofErr w:type="spellStart"/>
      <w:r w:rsidRPr="009E1865">
        <w:rPr>
          <w:color w:val="000000" w:themeColor="text1"/>
        </w:rPr>
        <w:t>InCHIANTI</w:t>
      </w:r>
      <w:proofErr w:type="spellEnd"/>
      <w:r w:rsidRPr="009E1865">
        <w:rPr>
          <w:color w:val="000000" w:themeColor="text1"/>
        </w:rPr>
        <w:t xml:space="preserve">) study. </w:t>
      </w:r>
      <w:r w:rsidRPr="009E1865">
        <w:rPr>
          <w:i/>
          <w:iCs/>
          <w:color w:val="000000" w:themeColor="text1"/>
        </w:rPr>
        <w:t xml:space="preserve">Am. J. Clin. </w:t>
      </w:r>
      <w:proofErr w:type="spellStart"/>
      <w:r w:rsidRPr="009E1865">
        <w:rPr>
          <w:i/>
          <w:iCs/>
          <w:color w:val="000000" w:themeColor="text1"/>
        </w:rPr>
        <w:t>Nutr</w:t>
      </w:r>
      <w:proofErr w:type="spellEnd"/>
      <w:r w:rsidRPr="009E1865">
        <w:rPr>
          <w:i/>
          <w:iCs/>
          <w:color w:val="000000" w:themeColor="text1"/>
        </w:rPr>
        <w:t xml:space="preserve">. </w:t>
      </w:r>
      <w:r w:rsidRPr="009E1865">
        <w:rPr>
          <w:b/>
          <w:bCs/>
          <w:color w:val="000000" w:themeColor="text1"/>
        </w:rPr>
        <w:t>2004</w:t>
      </w:r>
      <w:r w:rsidRPr="009E1865">
        <w:rPr>
          <w:i/>
          <w:iCs/>
          <w:color w:val="000000" w:themeColor="text1"/>
        </w:rPr>
        <w:t>, 79</w:t>
      </w:r>
      <w:r w:rsidRPr="009E1865">
        <w:rPr>
          <w:color w:val="000000" w:themeColor="text1"/>
        </w:rPr>
        <w:t>, 289-294, https://doi.org/10.1093/ajcn/79.2.289.</w:t>
      </w:r>
    </w:p>
    <w:p w14:paraId="1B09FBBE"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Davison, K.M.; </w:t>
      </w:r>
      <w:proofErr w:type="spellStart"/>
      <w:r w:rsidRPr="009E1865">
        <w:rPr>
          <w:color w:val="000000" w:themeColor="text1"/>
        </w:rPr>
        <w:t>Gondara</w:t>
      </w:r>
      <w:proofErr w:type="spellEnd"/>
      <w:r w:rsidRPr="009E1865">
        <w:rPr>
          <w:color w:val="000000" w:themeColor="text1"/>
        </w:rPr>
        <w:t xml:space="preserve">, L.; Kaplan, B.J. Food insecurity, poor diet quality, and suboptimal intakes of folate and iron are independently associated with perceived mental health in Canadian adults. </w:t>
      </w:r>
      <w:r w:rsidRPr="009E1865">
        <w:rPr>
          <w:i/>
          <w:iCs/>
          <w:color w:val="000000" w:themeColor="text1"/>
        </w:rPr>
        <w:t xml:space="preserve">Nutrients </w:t>
      </w:r>
      <w:r w:rsidRPr="009E1865">
        <w:rPr>
          <w:b/>
          <w:bCs/>
          <w:color w:val="000000" w:themeColor="text1"/>
        </w:rPr>
        <w:t>2017</w:t>
      </w:r>
      <w:r w:rsidRPr="009E1865">
        <w:rPr>
          <w:i/>
          <w:iCs/>
          <w:color w:val="000000" w:themeColor="text1"/>
        </w:rPr>
        <w:t>, 9</w:t>
      </w:r>
      <w:r w:rsidRPr="009E1865">
        <w:rPr>
          <w:color w:val="000000" w:themeColor="text1"/>
        </w:rPr>
        <w:t>, 274, https://doi.org/10.3390/nu9030274.</w:t>
      </w:r>
    </w:p>
    <w:p w14:paraId="690B67A3" w14:textId="77777777" w:rsidR="00D0482E" w:rsidRPr="009E1865" w:rsidRDefault="00D0482E" w:rsidP="005B6F6B">
      <w:pPr>
        <w:pStyle w:val="MDPI71References"/>
        <w:numPr>
          <w:ilvl w:val="0"/>
          <w:numId w:val="17"/>
        </w:numPr>
        <w:rPr>
          <w:color w:val="000000" w:themeColor="text1"/>
        </w:rPr>
      </w:pPr>
      <w:proofErr w:type="spellStart"/>
      <w:r w:rsidRPr="009E1865">
        <w:rPr>
          <w:color w:val="000000" w:themeColor="text1"/>
        </w:rPr>
        <w:t>Kuo</w:t>
      </w:r>
      <w:proofErr w:type="spellEnd"/>
      <w:r w:rsidRPr="009E1865">
        <w:rPr>
          <w:color w:val="000000" w:themeColor="text1"/>
        </w:rPr>
        <w:t xml:space="preserve">, Y.; Wang, T.; Liu, L.; Lee, W.; Peng, L.; Chen, L. Epidemiology of sarcopenia and factors associated with it among community-dwelling older adults in Taiwan. </w:t>
      </w:r>
      <w:r w:rsidRPr="009E1865">
        <w:rPr>
          <w:i/>
          <w:iCs/>
          <w:color w:val="000000" w:themeColor="text1"/>
        </w:rPr>
        <w:t xml:space="preserve">Am. J. Med. Sci. </w:t>
      </w:r>
      <w:r w:rsidRPr="009E1865">
        <w:rPr>
          <w:b/>
          <w:bCs/>
          <w:color w:val="000000" w:themeColor="text1"/>
        </w:rPr>
        <w:t>2019</w:t>
      </w:r>
      <w:r w:rsidRPr="009E1865">
        <w:rPr>
          <w:i/>
          <w:iCs/>
          <w:color w:val="000000" w:themeColor="text1"/>
        </w:rPr>
        <w:t>, 357</w:t>
      </w:r>
      <w:r w:rsidRPr="009E1865">
        <w:rPr>
          <w:color w:val="000000" w:themeColor="text1"/>
        </w:rPr>
        <w:t>, 124-133, https://doi.org/10.1016/j.amjms.2018.11.008.</w:t>
      </w:r>
    </w:p>
    <w:p w14:paraId="7593BA38" w14:textId="77777777" w:rsidR="00D0482E" w:rsidRPr="009E1865" w:rsidRDefault="00D0482E" w:rsidP="005B6F6B">
      <w:pPr>
        <w:pStyle w:val="MDPI71References"/>
        <w:numPr>
          <w:ilvl w:val="0"/>
          <w:numId w:val="17"/>
        </w:numPr>
        <w:rPr>
          <w:color w:val="000000" w:themeColor="text1"/>
        </w:rPr>
      </w:pPr>
      <w:proofErr w:type="spellStart"/>
      <w:r w:rsidRPr="009E1865">
        <w:rPr>
          <w:color w:val="000000" w:themeColor="text1"/>
        </w:rPr>
        <w:t>Kurpad</w:t>
      </w:r>
      <w:proofErr w:type="spellEnd"/>
      <w:r w:rsidRPr="009E1865">
        <w:rPr>
          <w:color w:val="000000" w:themeColor="text1"/>
        </w:rPr>
        <w:t xml:space="preserve">, A.V.; </w:t>
      </w:r>
      <w:proofErr w:type="spellStart"/>
      <w:r w:rsidRPr="009E1865">
        <w:rPr>
          <w:color w:val="000000" w:themeColor="text1"/>
        </w:rPr>
        <w:t>Muthayya</w:t>
      </w:r>
      <w:proofErr w:type="spellEnd"/>
      <w:r w:rsidRPr="009E1865">
        <w:rPr>
          <w:color w:val="000000" w:themeColor="text1"/>
        </w:rPr>
        <w:t xml:space="preserve">, S.; </w:t>
      </w:r>
      <w:proofErr w:type="spellStart"/>
      <w:r w:rsidRPr="009E1865">
        <w:rPr>
          <w:color w:val="000000" w:themeColor="text1"/>
        </w:rPr>
        <w:t>Vaz</w:t>
      </w:r>
      <w:proofErr w:type="spellEnd"/>
      <w:r w:rsidRPr="009E1865">
        <w:rPr>
          <w:color w:val="000000" w:themeColor="text1"/>
        </w:rPr>
        <w:t xml:space="preserve">, M. Consequences of inadequate food energy and negative energy balance in humans. </w:t>
      </w:r>
      <w:r w:rsidRPr="009E1865">
        <w:rPr>
          <w:i/>
          <w:iCs/>
          <w:color w:val="000000" w:themeColor="text1"/>
        </w:rPr>
        <w:t xml:space="preserve">Public Health </w:t>
      </w:r>
      <w:proofErr w:type="spellStart"/>
      <w:r w:rsidRPr="009E1865">
        <w:rPr>
          <w:i/>
          <w:iCs/>
          <w:color w:val="000000" w:themeColor="text1"/>
        </w:rPr>
        <w:t>Nutr</w:t>
      </w:r>
      <w:proofErr w:type="spellEnd"/>
      <w:r w:rsidRPr="009E1865">
        <w:rPr>
          <w:i/>
          <w:iCs/>
          <w:color w:val="000000" w:themeColor="text1"/>
        </w:rPr>
        <w:t xml:space="preserve">. </w:t>
      </w:r>
      <w:r w:rsidRPr="009E1865">
        <w:rPr>
          <w:b/>
          <w:bCs/>
          <w:color w:val="000000" w:themeColor="text1"/>
        </w:rPr>
        <w:t>2005</w:t>
      </w:r>
      <w:r w:rsidRPr="009E1865">
        <w:rPr>
          <w:i/>
          <w:iCs/>
          <w:color w:val="000000" w:themeColor="text1"/>
        </w:rPr>
        <w:t>, 8</w:t>
      </w:r>
      <w:r w:rsidRPr="009E1865">
        <w:rPr>
          <w:color w:val="000000" w:themeColor="text1"/>
        </w:rPr>
        <w:t>, 1053-1076, https://doi.org/10.1079/PHN2005796.</w:t>
      </w:r>
    </w:p>
    <w:p w14:paraId="3F5BE6A9" w14:textId="77777777" w:rsidR="00D0482E" w:rsidRPr="009E1865" w:rsidRDefault="00D0482E" w:rsidP="005B6F6B">
      <w:pPr>
        <w:pStyle w:val="MDPI71References"/>
        <w:numPr>
          <w:ilvl w:val="0"/>
          <w:numId w:val="17"/>
        </w:numPr>
        <w:rPr>
          <w:color w:val="000000" w:themeColor="text1"/>
        </w:rPr>
      </w:pPr>
      <w:proofErr w:type="spellStart"/>
      <w:r w:rsidRPr="009E1865">
        <w:rPr>
          <w:color w:val="000000" w:themeColor="text1"/>
        </w:rPr>
        <w:t>Bazerghi</w:t>
      </w:r>
      <w:proofErr w:type="spellEnd"/>
      <w:r w:rsidRPr="009E1865">
        <w:rPr>
          <w:color w:val="000000" w:themeColor="text1"/>
        </w:rPr>
        <w:t xml:space="preserve">, C.; McKay, F.H.; Dunn, M. The role of food banks in addressing food insecurity: a systematic review. </w:t>
      </w:r>
      <w:r w:rsidRPr="009E1865">
        <w:rPr>
          <w:i/>
          <w:iCs/>
          <w:color w:val="000000" w:themeColor="text1"/>
        </w:rPr>
        <w:t xml:space="preserve">J. Community Health </w:t>
      </w:r>
      <w:r w:rsidRPr="009E1865">
        <w:rPr>
          <w:b/>
          <w:bCs/>
          <w:color w:val="000000" w:themeColor="text1"/>
        </w:rPr>
        <w:t>2016</w:t>
      </w:r>
      <w:r w:rsidRPr="009E1865">
        <w:rPr>
          <w:i/>
          <w:iCs/>
          <w:color w:val="000000" w:themeColor="text1"/>
        </w:rPr>
        <w:t>, 41</w:t>
      </w:r>
      <w:r w:rsidRPr="009E1865">
        <w:rPr>
          <w:color w:val="000000" w:themeColor="text1"/>
        </w:rPr>
        <w:t>, 732-740, https://doi.org/10.1007/s10900-015-0147-5.</w:t>
      </w:r>
    </w:p>
    <w:p w14:paraId="43ACC606" w14:textId="77777777" w:rsidR="00D0482E" w:rsidRPr="009E1865" w:rsidRDefault="00D0482E" w:rsidP="005B6F6B">
      <w:pPr>
        <w:pStyle w:val="MDPI71References"/>
        <w:numPr>
          <w:ilvl w:val="0"/>
          <w:numId w:val="17"/>
        </w:numPr>
        <w:rPr>
          <w:color w:val="000000" w:themeColor="text1"/>
        </w:rPr>
      </w:pPr>
      <w:r w:rsidRPr="009E1865">
        <w:rPr>
          <w:color w:val="000000" w:themeColor="text1"/>
        </w:rPr>
        <w:t xml:space="preserve">GOV.UK Get meals at home (meals on wheels). </w:t>
      </w:r>
      <w:r w:rsidRPr="009E1865">
        <w:rPr>
          <w:i/>
          <w:iCs/>
          <w:color w:val="000000" w:themeColor="text1"/>
        </w:rPr>
        <w:t>https://www.gov.uk/meals-home</w:t>
      </w:r>
      <w:r w:rsidRPr="009E1865">
        <w:rPr>
          <w:color w:val="000000" w:themeColor="text1"/>
        </w:rPr>
        <w:t xml:space="preserve"> (accessed 24/04/, 2021).</w:t>
      </w:r>
    </w:p>
    <w:p w14:paraId="5635ABD8" w14:textId="77777777" w:rsidR="00D0482E" w:rsidRPr="009E1865" w:rsidRDefault="00D0482E" w:rsidP="005B6F6B">
      <w:pPr>
        <w:pStyle w:val="MDPI71References"/>
        <w:numPr>
          <w:ilvl w:val="0"/>
          <w:numId w:val="17"/>
        </w:numPr>
        <w:rPr>
          <w:color w:val="000000" w:themeColor="text1"/>
        </w:rPr>
      </w:pPr>
      <w:r w:rsidRPr="009E1865">
        <w:rPr>
          <w:color w:val="000000" w:themeColor="text1"/>
        </w:rPr>
        <w:t>Encyclopedia of Food Safety Meals on Wheels. https://www.sciencedirect.com/topics/agricultural-and-biological-sciences/meals-on-wheels (accessed 24/04/, 2021).</w:t>
      </w:r>
    </w:p>
    <w:p w14:paraId="640E6B3D" w14:textId="77777777" w:rsidR="004E3D9A" w:rsidRPr="009E1865" w:rsidRDefault="004E3D9A" w:rsidP="005B6F6B">
      <w:pPr>
        <w:adjustRightInd w:val="0"/>
        <w:snapToGrid w:val="0"/>
        <w:spacing w:line="228" w:lineRule="auto"/>
        <w:ind w:left="425" w:hanging="345"/>
        <w:rPr>
          <w:noProof w:val="0"/>
          <w:color w:val="000000" w:themeColor="text1"/>
          <w:sz w:val="18"/>
        </w:rPr>
      </w:pPr>
    </w:p>
    <w:sectPr w:rsidR="004E3D9A" w:rsidRPr="009E1865" w:rsidSect="00AC3DE1">
      <w:pgSz w:w="11906" w:h="16838" w:code="9"/>
      <w:pgMar w:top="1417" w:right="720" w:bottom="1077" w:left="720" w:header="1020" w:footer="340" w:gutter="0"/>
      <w:lnNumType w:countBy="1" w:distance="255" w:restart="continuous"/>
      <w:cols w:space="425"/>
      <w:bidi/>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B4F90" w14:textId="77777777" w:rsidR="00B5272B" w:rsidRDefault="00B5272B">
      <w:pPr>
        <w:spacing w:line="240" w:lineRule="auto"/>
      </w:pPr>
      <w:r>
        <w:separator/>
      </w:r>
    </w:p>
  </w:endnote>
  <w:endnote w:type="continuationSeparator" w:id="0">
    <w:p w14:paraId="42C56169" w14:textId="77777777" w:rsidR="00B5272B" w:rsidRDefault="00B52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BDEA1" w14:textId="77777777" w:rsidR="007B54E5" w:rsidRPr="00885BB0" w:rsidRDefault="007B54E5" w:rsidP="00C90B3B">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1812C" w14:textId="77777777" w:rsidR="007B54E5" w:rsidRDefault="007B54E5" w:rsidP="00F25C65">
    <w:pPr>
      <w:pStyle w:val="MDPIfooterfirstpage"/>
      <w:pBdr>
        <w:top w:val="single" w:sz="4" w:space="0" w:color="000000"/>
      </w:pBdr>
      <w:adjustRightInd w:val="0"/>
      <w:snapToGrid w:val="0"/>
      <w:spacing w:before="480" w:line="100" w:lineRule="exact"/>
      <w:rPr>
        <w:i/>
        <w:szCs w:val="16"/>
      </w:rPr>
    </w:pPr>
  </w:p>
  <w:p w14:paraId="7AD54AC6" w14:textId="77777777" w:rsidR="007B54E5" w:rsidRPr="008B308E" w:rsidRDefault="007B54E5" w:rsidP="00F0476A">
    <w:pPr>
      <w:pStyle w:val="MDPIfooterfirstpage"/>
      <w:tabs>
        <w:tab w:val="clear" w:pos="8845"/>
        <w:tab w:val="right" w:pos="10466"/>
      </w:tabs>
      <w:spacing w:line="240" w:lineRule="auto"/>
      <w:jc w:val="both"/>
      <w:rPr>
        <w:lang w:val="fr-CH"/>
      </w:rPr>
    </w:pPr>
    <w:r w:rsidRPr="00141586">
      <w:rPr>
        <w:i/>
        <w:szCs w:val="16"/>
      </w:rPr>
      <w:t>Nutrients</w:t>
    </w:r>
    <w:r w:rsidRPr="00A70616">
      <w:rPr>
        <w:iCs/>
        <w:szCs w:val="16"/>
      </w:rPr>
      <w:t xml:space="preserve"> </w:t>
    </w:r>
    <w:r w:rsidRPr="008C455F">
      <w:rPr>
        <w:b/>
        <w:bCs/>
        <w:iCs/>
        <w:szCs w:val="16"/>
      </w:rPr>
      <w:t>2021</w:t>
    </w:r>
    <w:r w:rsidRPr="008313A9">
      <w:rPr>
        <w:bCs/>
        <w:iCs/>
        <w:szCs w:val="16"/>
      </w:rPr>
      <w:t xml:space="preserve">, </w:t>
    </w:r>
    <w:r w:rsidRPr="008C455F">
      <w:rPr>
        <w:bCs/>
        <w:i/>
        <w:iCs/>
        <w:szCs w:val="16"/>
      </w:rPr>
      <w:t>13</w:t>
    </w:r>
    <w:r w:rsidRPr="008313A9">
      <w:rPr>
        <w:bCs/>
        <w:iCs/>
        <w:szCs w:val="16"/>
      </w:rPr>
      <w:t xml:space="preserve">, </w:t>
    </w:r>
    <w:r>
      <w:rPr>
        <w:bCs/>
        <w:iCs/>
        <w:szCs w:val="16"/>
      </w:rPr>
      <w:t>x. https://doi.org/10.3390/xxxxx</w:t>
    </w:r>
    <w:r>
      <w:rPr>
        <w:lang w:val="fr-CH"/>
      </w:rPr>
      <w:ptab w:relativeTo="margin" w:alignment="right" w:leader="none"/>
    </w:r>
    <w:r w:rsidRPr="008B308E">
      <w:rPr>
        <w:lang w:val="fr-CH"/>
      </w:rPr>
      <w:t>www.mdpi.com/journal/</w:t>
    </w:r>
    <w:r>
      <w:t>nutrients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68E23" w14:textId="77777777" w:rsidR="00B5272B" w:rsidRDefault="00B5272B">
      <w:pPr>
        <w:spacing w:line="240" w:lineRule="auto"/>
      </w:pPr>
      <w:r>
        <w:separator/>
      </w:r>
    </w:p>
  </w:footnote>
  <w:footnote w:type="continuationSeparator" w:id="0">
    <w:p w14:paraId="06A493B7" w14:textId="77777777" w:rsidR="00B5272B" w:rsidRDefault="00B527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26928" w14:textId="77777777" w:rsidR="007B54E5" w:rsidRDefault="007B54E5" w:rsidP="00C90B3B">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91F9E" w14:textId="1F973A42" w:rsidR="007B54E5" w:rsidRDefault="007B54E5" w:rsidP="00F0476A">
    <w:pPr>
      <w:tabs>
        <w:tab w:val="right" w:pos="10466"/>
      </w:tabs>
      <w:adjustRightInd w:val="0"/>
      <w:snapToGrid w:val="0"/>
      <w:spacing w:line="240" w:lineRule="auto"/>
      <w:rPr>
        <w:sz w:val="16"/>
      </w:rPr>
    </w:pPr>
    <w:r>
      <w:rPr>
        <w:i/>
        <w:sz w:val="16"/>
      </w:rPr>
      <w:t xml:space="preserve">Nutrients </w:t>
    </w:r>
    <w:r w:rsidRPr="002C5127">
      <w:rPr>
        <w:b/>
        <w:sz w:val="16"/>
      </w:rPr>
      <w:t>2021</w:t>
    </w:r>
    <w:r w:rsidRPr="008313A9">
      <w:rPr>
        <w:sz w:val="16"/>
      </w:rPr>
      <w:t xml:space="preserve">, </w:t>
    </w:r>
    <w:r w:rsidRPr="002C5127">
      <w:rPr>
        <w:i/>
        <w:sz w:val="16"/>
      </w:rPr>
      <w:t>13</w:t>
    </w:r>
    <w:r>
      <w:rPr>
        <w:sz w:val="16"/>
      </w:rPr>
      <w:t>, x FOR PEER REVIEW</w:t>
    </w:r>
    <w:r>
      <w:rPr>
        <w:sz w:val="16"/>
      </w:rPr>
      <w:ptab w:relativeTo="margin" w:alignment="right" w:leader="none"/>
    </w:r>
    <w:r>
      <w:rPr>
        <w:sz w:val="16"/>
      </w:rPr>
      <w:fldChar w:fldCharType="begin"/>
    </w:r>
    <w:r>
      <w:rPr>
        <w:sz w:val="16"/>
      </w:rPr>
      <w:instrText xml:space="preserve"> PAGE   \* MERGEFORMAT </w:instrText>
    </w:r>
    <w:r>
      <w:rPr>
        <w:sz w:val="16"/>
      </w:rPr>
      <w:fldChar w:fldCharType="separate"/>
    </w:r>
    <w:r w:rsidR="000C31FC">
      <w:rPr>
        <w:sz w:val="16"/>
      </w:rPr>
      <w:t>11</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0C31FC">
      <w:rPr>
        <w:sz w:val="16"/>
      </w:rPr>
      <w:t>11</w:t>
    </w:r>
    <w:r>
      <w:rPr>
        <w:sz w:val="16"/>
      </w:rPr>
      <w:fldChar w:fldCharType="end"/>
    </w:r>
  </w:p>
  <w:p w14:paraId="1CEEC42C" w14:textId="77777777" w:rsidR="007B54E5" w:rsidRPr="00310EBF" w:rsidRDefault="007B54E5" w:rsidP="00F25C65">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87" w:type="dxa"/>
      <w:tblCellMar>
        <w:left w:w="0" w:type="dxa"/>
        <w:right w:w="0" w:type="dxa"/>
      </w:tblCellMar>
      <w:tblLook w:val="04A0" w:firstRow="1" w:lastRow="0" w:firstColumn="1" w:lastColumn="0" w:noHBand="0" w:noVBand="1"/>
    </w:tblPr>
    <w:tblGrid>
      <w:gridCol w:w="3679"/>
      <w:gridCol w:w="4535"/>
      <w:gridCol w:w="2273"/>
    </w:tblGrid>
    <w:tr w:rsidR="007B54E5" w:rsidRPr="000943F3" w14:paraId="6A06B46B" w14:textId="77777777" w:rsidTr="000943F3">
      <w:trPr>
        <w:trHeight w:val="686"/>
      </w:trPr>
      <w:tc>
        <w:tcPr>
          <w:tcW w:w="3679" w:type="dxa"/>
          <w:shd w:val="clear" w:color="auto" w:fill="auto"/>
          <w:vAlign w:val="center"/>
        </w:tcPr>
        <w:p w14:paraId="57E1D09C" w14:textId="77777777" w:rsidR="007B54E5" w:rsidRPr="00D15AC3" w:rsidRDefault="007B54E5" w:rsidP="000943F3">
          <w:pPr>
            <w:pStyle w:val="Header"/>
            <w:pBdr>
              <w:bottom w:val="none" w:sz="0" w:space="0" w:color="auto"/>
            </w:pBdr>
            <w:jc w:val="left"/>
            <w:rPr>
              <w:rFonts w:eastAsia="DengXian"/>
              <w:b/>
              <w:bCs/>
            </w:rPr>
          </w:pPr>
          <w:r w:rsidRPr="00D15AC3">
            <w:rPr>
              <w:rFonts w:eastAsia="DengXian"/>
              <w:b/>
              <w:bCs/>
              <w:lang w:val="en-GB" w:eastAsia="en-GB"/>
            </w:rPr>
            <w:drawing>
              <wp:inline distT="0" distB="0" distL="0" distR="0" wp14:anchorId="0BBCB2C6" wp14:editId="6123202F">
                <wp:extent cx="1704975" cy="428625"/>
                <wp:effectExtent l="0" t="0" r="9525" b="9525"/>
                <wp:docPr id="7" name="Picture 7" descr="C:\Users\home\Desktop\logos\Nutrient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ome\Desktop\logos\Nutrient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428625"/>
                        </a:xfrm>
                        <a:prstGeom prst="rect">
                          <a:avLst/>
                        </a:prstGeom>
                        <a:noFill/>
                        <a:ln>
                          <a:noFill/>
                        </a:ln>
                      </pic:spPr>
                    </pic:pic>
                  </a:graphicData>
                </a:graphic>
              </wp:inline>
            </w:drawing>
          </w:r>
        </w:p>
      </w:tc>
      <w:tc>
        <w:tcPr>
          <w:tcW w:w="4535" w:type="dxa"/>
          <w:shd w:val="clear" w:color="auto" w:fill="auto"/>
          <w:vAlign w:val="center"/>
        </w:tcPr>
        <w:p w14:paraId="0D0CD035" w14:textId="77777777" w:rsidR="007B54E5" w:rsidRPr="00D15AC3" w:rsidRDefault="007B54E5" w:rsidP="000943F3">
          <w:pPr>
            <w:pStyle w:val="Header"/>
            <w:pBdr>
              <w:bottom w:val="none" w:sz="0" w:space="0" w:color="auto"/>
            </w:pBdr>
            <w:rPr>
              <w:rFonts w:eastAsia="DengXian"/>
              <w:b/>
              <w:bCs/>
            </w:rPr>
          </w:pPr>
        </w:p>
      </w:tc>
      <w:tc>
        <w:tcPr>
          <w:tcW w:w="2273" w:type="dxa"/>
          <w:shd w:val="clear" w:color="auto" w:fill="auto"/>
          <w:vAlign w:val="center"/>
        </w:tcPr>
        <w:p w14:paraId="3F9C4B6F" w14:textId="77777777" w:rsidR="007B54E5" w:rsidRPr="00D15AC3" w:rsidRDefault="007B54E5" w:rsidP="000943F3">
          <w:pPr>
            <w:pStyle w:val="Header"/>
            <w:pBdr>
              <w:bottom w:val="none" w:sz="0" w:space="0" w:color="auto"/>
            </w:pBdr>
            <w:jc w:val="right"/>
            <w:rPr>
              <w:rFonts w:eastAsia="DengXian"/>
              <w:b/>
              <w:bCs/>
            </w:rPr>
          </w:pPr>
          <w:r w:rsidRPr="00D15AC3">
            <w:rPr>
              <w:rFonts w:eastAsia="DengXian"/>
              <w:b/>
              <w:bCs/>
              <w:lang w:val="en-GB" w:eastAsia="en-GB"/>
            </w:rPr>
            <w:drawing>
              <wp:inline distT="0" distB="0" distL="0" distR="0" wp14:anchorId="1B968524" wp14:editId="787E764A">
                <wp:extent cx="542925" cy="352425"/>
                <wp:effectExtent l="0" t="0" r="9525" b="9525"/>
                <wp:docPr id="8" name="Picture 8"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c>
    </w:tr>
  </w:tbl>
  <w:p w14:paraId="1E445792" w14:textId="77777777" w:rsidR="007B54E5" w:rsidRPr="0045699E" w:rsidRDefault="007B54E5" w:rsidP="00F25C65">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B35E2"/>
    <w:multiLevelType w:val="hybridMultilevel"/>
    <w:tmpl w:val="C70E1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6"/>
  </w:num>
  <w:num w:numId="9">
    <w:abstractNumId w:val="1"/>
  </w:num>
  <w:num w:numId="10">
    <w:abstractNumId w:val="6"/>
  </w:num>
  <w:num w:numId="11">
    <w:abstractNumId w:val="1"/>
  </w:num>
  <w:num w:numId="12">
    <w:abstractNumId w:val="7"/>
  </w:num>
  <w:num w:numId="13">
    <w:abstractNumId w:val="6"/>
  </w:num>
  <w:num w:numId="14">
    <w:abstractNumId w:val="1"/>
  </w:num>
  <w:num w:numId="15">
    <w:abstractNumId w:val="6"/>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76D"/>
    <w:rsid w:val="000330FF"/>
    <w:rsid w:val="00060F5A"/>
    <w:rsid w:val="00070240"/>
    <w:rsid w:val="00077A11"/>
    <w:rsid w:val="0008055A"/>
    <w:rsid w:val="000943F3"/>
    <w:rsid w:val="000971B8"/>
    <w:rsid w:val="000A0720"/>
    <w:rsid w:val="000B6163"/>
    <w:rsid w:val="000C31FC"/>
    <w:rsid w:val="000E08E6"/>
    <w:rsid w:val="000E5185"/>
    <w:rsid w:val="000F03E2"/>
    <w:rsid w:val="0013434F"/>
    <w:rsid w:val="001376AB"/>
    <w:rsid w:val="001671EA"/>
    <w:rsid w:val="00174CCB"/>
    <w:rsid w:val="00192EF9"/>
    <w:rsid w:val="00197A9B"/>
    <w:rsid w:val="001B0089"/>
    <w:rsid w:val="001B07DB"/>
    <w:rsid w:val="001B6ECA"/>
    <w:rsid w:val="001B7D47"/>
    <w:rsid w:val="001C1B1D"/>
    <w:rsid w:val="001E2AEB"/>
    <w:rsid w:val="001E4BE2"/>
    <w:rsid w:val="00202E01"/>
    <w:rsid w:val="00207002"/>
    <w:rsid w:val="00211C8D"/>
    <w:rsid w:val="0021329E"/>
    <w:rsid w:val="002549C8"/>
    <w:rsid w:val="00287F39"/>
    <w:rsid w:val="0029512B"/>
    <w:rsid w:val="002B13D7"/>
    <w:rsid w:val="002B7677"/>
    <w:rsid w:val="002C21E7"/>
    <w:rsid w:val="002C337D"/>
    <w:rsid w:val="002C5127"/>
    <w:rsid w:val="00326141"/>
    <w:rsid w:val="0034216B"/>
    <w:rsid w:val="00346D7F"/>
    <w:rsid w:val="00355677"/>
    <w:rsid w:val="003564B6"/>
    <w:rsid w:val="00356D4C"/>
    <w:rsid w:val="00372941"/>
    <w:rsid w:val="003872C4"/>
    <w:rsid w:val="00390107"/>
    <w:rsid w:val="003934AC"/>
    <w:rsid w:val="003A2E39"/>
    <w:rsid w:val="003B11AD"/>
    <w:rsid w:val="003C14A5"/>
    <w:rsid w:val="003E4154"/>
    <w:rsid w:val="003E58E7"/>
    <w:rsid w:val="00401D30"/>
    <w:rsid w:val="00415890"/>
    <w:rsid w:val="0042543B"/>
    <w:rsid w:val="00435811"/>
    <w:rsid w:val="00436E87"/>
    <w:rsid w:val="0045699E"/>
    <w:rsid w:val="00461281"/>
    <w:rsid w:val="0048249B"/>
    <w:rsid w:val="00483D16"/>
    <w:rsid w:val="004842FD"/>
    <w:rsid w:val="00490796"/>
    <w:rsid w:val="00493263"/>
    <w:rsid w:val="00497E78"/>
    <w:rsid w:val="004B543E"/>
    <w:rsid w:val="004C025E"/>
    <w:rsid w:val="004C3BAD"/>
    <w:rsid w:val="004C6060"/>
    <w:rsid w:val="004E3B4B"/>
    <w:rsid w:val="004E3D9A"/>
    <w:rsid w:val="005078F9"/>
    <w:rsid w:val="00521B0E"/>
    <w:rsid w:val="0054173A"/>
    <w:rsid w:val="00557412"/>
    <w:rsid w:val="0058522B"/>
    <w:rsid w:val="005902CF"/>
    <w:rsid w:val="005A435E"/>
    <w:rsid w:val="005A79DF"/>
    <w:rsid w:val="005B6F6B"/>
    <w:rsid w:val="005C74F1"/>
    <w:rsid w:val="005D013F"/>
    <w:rsid w:val="005D688C"/>
    <w:rsid w:val="005E3F38"/>
    <w:rsid w:val="005F676D"/>
    <w:rsid w:val="0060709B"/>
    <w:rsid w:val="00610718"/>
    <w:rsid w:val="006128A7"/>
    <w:rsid w:val="00612EEA"/>
    <w:rsid w:val="0061671E"/>
    <w:rsid w:val="006349C5"/>
    <w:rsid w:val="006353DC"/>
    <w:rsid w:val="00645667"/>
    <w:rsid w:val="00657213"/>
    <w:rsid w:val="00657B19"/>
    <w:rsid w:val="006659ED"/>
    <w:rsid w:val="00666D33"/>
    <w:rsid w:val="00686CF6"/>
    <w:rsid w:val="00692393"/>
    <w:rsid w:val="0069485F"/>
    <w:rsid w:val="006B4C15"/>
    <w:rsid w:val="006C47A4"/>
    <w:rsid w:val="006C5F6E"/>
    <w:rsid w:val="006D5B1F"/>
    <w:rsid w:val="006F0855"/>
    <w:rsid w:val="00715799"/>
    <w:rsid w:val="00716ED5"/>
    <w:rsid w:val="00721BCF"/>
    <w:rsid w:val="00742B3E"/>
    <w:rsid w:val="00743AB9"/>
    <w:rsid w:val="007858FA"/>
    <w:rsid w:val="00797D64"/>
    <w:rsid w:val="007B54E5"/>
    <w:rsid w:val="007C03D2"/>
    <w:rsid w:val="007D0BB0"/>
    <w:rsid w:val="007D3FBA"/>
    <w:rsid w:val="008057DB"/>
    <w:rsid w:val="00830F91"/>
    <w:rsid w:val="008313A9"/>
    <w:rsid w:val="00831BDE"/>
    <w:rsid w:val="0084006D"/>
    <w:rsid w:val="008427A3"/>
    <w:rsid w:val="00850CDD"/>
    <w:rsid w:val="0086234D"/>
    <w:rsid w:val="00862462"/>
    <w:rsid w:val="008624F2"/>
    <w:rsid w:val="00863488"/>
    <w:rsid w:val="00880158"/>
    <w:rsid w:val="00891137"/>
    <w:rsid w:val="00892DB0"/>
    <w:rsid w:val="00894906"/>
    <w:rsid w:val="008949C9"/>
    <w:rsid w:val="008A4C24"/>
    <w:rsid w:val="008A6153"/>
    <w:rsid w:val="008B5FC5"/>
    <w:rsid w:val="008C455F"/>
    <w:rsid w:val="008C5304"/>
    <w:rsid w:val="008D534B"/>
    <w:rsid w:val="008D71C4"/>
    <w:rsid w:val="008E0DD3"/>
    <w:rsid w:val="00915BFC"/>
    <w:rsid w:val="009207FA"/>
    <w:rsid w:val="00937C38"/>
    <w:rsid w:val="00952C7E"/>
    <w:rsid w:val="00957099"/>
    <w:rsid w:val="00971CBC"/>
    <w:rsid w:val="00981166"/>
    <w:rsid w:val="00982E15"/>
    <w:rsid w:val="0099746A"/>
    <w:rsid w:val="009A6D00"/>
    <w:rsid w:val="009B16FF"/>
    <w:rsid w:val="009B1D1B"/>
    <w:rsid w:val="009B682C"/>
    <w:rsid w:val="009C50EC"/>
    <w:rsid w:val="009E1865"/>
    <w:rsid w:val="009E2545"/>
    <w:rsid w:val="009E6F3F"/>
    <w:rsid w:val="009F70E6"/>
    <w:rsid w:val="00A367B9"/>
    <w:rsid w:val="00A61049"/>
    <w:rsid w:val="00A61CC6"/>
    <w:rsid w:val="00A977E8"/>
    <w:rsid w:val="00AB7A1A"/>
    <w:rsid w:val="00AC3DE1"/>
    <w:rsid w:val="00AD6A45"/>
    <w:rsid w:val="00AE08CA"/>
    <w:rsid w:val="00AE2C41"/>
    <w:rsid w:val="00AE6B74"/>
    <w:rsid w:val="00AE6C73"/>
    <w:rsid w:val="00AF33F6"/>
    <w:rsid w:val="00AF3A21"/>
    <w:rsid w:val="00B0734F"/>
    <w:rsid w:val="00B1655F"/>
    <w:rsid w:val="00B166F0"/>
    <w:rsid w:val="00B4013D"/>
    <w:rsid w:val="00B42244"/>
    <w:rsid w:val="00B44A94"/>
    <w:rsid w:val="00B5272B"/>
    <w:rsid w:val="00B62F39"/>
    <w:rsid w:val="00B751BD"/>
    <w:rsid w:val="00B84B93"/>
    <w:rsid w:val="00B8646D"/>
    <w:rsid w:val="00B919EF"/>
    <w:rsid w:val="00BA3481"/>
    <w:rsid w:val="00BB77BF"/>
    <w:rsid w:val="00BB7981"/>
    <w:rsid w:val="00BD0170"/>
    <w:rsid w:val="00BD292B"/>
    <w:rsid w:val="00BD2F41"/>
    <w:rsid w:val="00BD3278"/>
    <w:rsid w:val="00BE05D8"/>
    <w:rsid w:val="00BE278E"/>
    <w:rsid w:val="00C06DD9"/>
    <w:rsid w:val="00C07C75"/>
    <w:rsid w:val="00C1192A"/>
    <w:rsid w:val="00C2139D"/>
    <w:rsid w:val="00C31AF5"/>
    <w:rsid w:val="00C40A45"/>
    <w:rsid w:val="00C51ABD"/>
    <w:rsid w:val="00C57E47"/>
    <w:rsid w:val="00C6083F"/>
    <w:rsid w:val="00C64435"/>
    <w:rsid w:val="00C658BF"/>
    <w:rsid w:val="00C77084"/>
    <w:rsid w:val="00C835E3"/>
    <w:rsid w:val="00C862E0"/>
    <w:rsid w:val="00C86505"/>
    <w:rsid w:val="00C876E2"/>
    <w:rsid w:val="00C90B3B"/>
    <w:rsid w:val="00C97651"/>
    <w:rsid w:val="00CC03C7"/>
    <w:rsid w:val="00CC0501"/>
    <w:rsid w:val="00CE591F"/>
    <w:rsid w:val="00CF3B03"/>
    <w:rsid w:val="00CF6AC1"/>
    <w:rsid w:val="00D0482E"/>
    <w:rsid w:val="00D15AC3"/>
    <w:rsid w:val="00D21E28"/>
    <w:rsid w:val="00D42871"/>
    <w:rsid w:val="00D47EA5"/>
    <w:rsid w:val="00D57483"/>
    <w:rsid w:val="00D814AA"/>
    <w:rsid w:val="00D90C11"/>
    <w:rsid w:val="00DA6C33"/>
    <w:rsid w:val="00DD0B2F"/>
    <w:rsid w:val="00DD1D1E"/>
    <w:rsid w:val="00DD1F2B"/>
    <w:rsid w:val="00DD3F21"/>
    <w:rsid w:val="00DE66F9"/>
    <w:rsid w:val="00DF40F3"/>
    <w:rsid w:val="00E22B91"/>
    <w:rsid w:val="00E23D9F"/>
    <w:rsid w:val="00E2439F"/>
    <w:rsid w:val="00E429E6"/>
    <w:rsid w:val="00E45AA3"/>
    <w:rsid w:val="00E713D4"/>
    <w:rsid w:val="00E80413"/>
    <w:rsid w:val="00EB1D02"/>
    <w:rsid w:val="00EB3A9C"/>
    <w:rsid w:val="00EC53AC"/>
    <w:rsid w:val="00EC71B4"/>
    <w:rsid w:val="00ED1635"/>
    <w:rsid w:val="00ED71D9"/>
    <w:rsid w:val="00EE2F65"/>
    <w:rsid w:val="00F009BB"/>
    <w:rsid w:val="00F0476A"/>
    <w:rsid w:val="00F04D2B"/>
    <w:rsid w:val="00F1504F"/>
    <w:rsid w:val="00F25C65"/>
    <w:rsid w:val="00F27086"/>
    <w:rsid w:val="00F300E3"/>
    <w:rsid w:val="00F41495"/>
    <w:rsid w:val="00F41CD5"/>
    <w:rsid w:val="00F51B6A"/>
    <w:rsid w:val="00F6585D"/>
    <w:rsid w:val="00F65AD5"/>
    <w:rsid w:val="00F67187"/>
    <w:rsid w:val="00F732F0"/>
    <w:rsid w:val="00F86D45"/>
    <w:rsid w:val="00F94B1E"/>
    <w:rsid w:val="00FA2128"/>
    <w:rsid w:val="00FA3DA8"/>
    <w:rsid w:val="00FA7192"/>
    <w:rsid w:val="00FB29DC"/>
    <w:rsid w:val="00FC780D"/>
    <w:rsid w:val="00FD1B95"/>
    <w:rsid w:val="00FE7C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FA25C"/>
  <w15:chartTrackingRefBased/>
  <w15:docId w15:val="{0B16028F-A535-46F2-BEF9-9A48EA10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4AA"/>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F0476A"/>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F0476A"/>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F0476A"/>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F0476A"/>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F0476A"/>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F0476A"/>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F0476A"/>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F0476A"/>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2549C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D47EA5"/>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47EA5"/>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D47EA5"/>
    <w:rPr>
      <w:rFonts w:ascii="Palatino Linotype" w:hAnsi="Palatino Linotype"/>
      <w:noProof/>
      <w:color w:val="000000"/>
      <w:szCs w:val="18"/>
    </w:rPr>
  </w:style>
  <w:style w:type="paragraph" w:styleId="Header">
    <w:name w:val="header"/>
    <w:basedOn w:val="Normal"/>
    <w:link w:val="HeaderChar"/>
    <w:uiPriority w:val="99"/>
    <w:rsid w:val="00D47EA5"/>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D47EA5"/>
    <w:rPr>
      <w:rFonts w:ascii="Palatino Linotype" w:hAnsi="Palatino Linotype"/>
      <w:noProof/>
      <w:color w:val="000000"/>
      <w:szCs w:val="18"/>
    </w:rPr>
  </w:style>
  <w:style w:type="paragraph" w:customStyle="1" w:styleId="MDPIheaderjournallogo">
    <w:name w:val="MDPI_header_journal_logo"/>
    <w:qFormat/>
    <w:rsid w:val="00F0476A"/>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F0476A"/>
    <w:pPr>
      <w:ind w:firstLine="0"/>
    </w:pPr>
  </w:style>
  <w:style w:type="paragraph" w:customStyle="1" w:styleId="MDPI31text">
    <w:name w:val="MDPI_3.1_text"/>
    <w:qFormat/>
    <w:rsid w:val="00F0476A"/>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F0476A"/>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F0476A"/>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F0476A"/>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F0476A"/>
    <w:pPr>
      <w:numPr>
        <w:numId w:val="1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F0476A"/>
    <w:pPr>
      <w:numPr>
        <w:numId w:val="16"/>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F0476A"/>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F0476A"/>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F0476A"/>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F0476A"/>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F0476A"/>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F0476A"/>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F0476A"/>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footerfirstpage">
    <w:name w:val="MDPI_footer_firstpage"/>
    <w:qFormat/>
    <w:rsid w:val="00F0476A"/>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F0476A"/>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F0476A"/>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F0476A"/>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F0476A"/>
    <w:pPr>
      <w:adjustRightInd w:val="0"/>
      <w:snapToGrid w:val="0"/>
      <w:spacing w:line="228" w:lineRule="auto"/>
      <w:ind w:left="425" w:hanging="425"/>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D47EA5"/>
    <w:rPr>
      <w:rFonts w:cs="Tahoma"/>
      <w:szCs w:val="18"/>
    </w:rPr>
  </w:style>
  <w:style w:type="character" w:customStyle="1" w:styleId="BalloonTextChar">
    <w:name w:val="Balloon Text Char"/>
    <w:link w:val="BalloonText"/>
    <w:uiPriority w:val="99"/>
    <w:rsid w:val="00D47EA5"/>
    <w:rPr>
      <w:rFonts w:ascii="Palatino Linotype" w:hAnsi="Palatino Linotype" w:cs="Tahoma"/>
      <w:noProof/>
      <w:color w:val="000000"/>
      <w:szCs w:val="18"/>
    </w:rPr>
  </w:style>
  <w:style w:type="character" w:styleId="LineNumber">
    <w:name w:val="line number"/>
    <w:uiPriority w:val="99"/>
    <w:rsid w:val="00F0476A"/>
    <w:rPr>
      <w:rFonts w:ascii="Palatino Linotype" w:hAnsi="Palatino Linotype"/>
      <w:sz w:val="16"/>
    </w:rPr>
  </w:style>
  <w:style w:type="table" w:customStyle="1" w:styleId="MDPI41threelinetable">
    <w:name w:val="MDPI_4.1_three_line_table"/>
    <w:basedOn w:val="TableNormal"/>
    <w:uiPriority w:val="99"/>
    <w:rsid w:val="00F0476A"/>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D47EA5"/>
    <w:rPr>
      <w:color w:val="0000FF"/>
      <w:u w:val="single"/>
    </w:rPr>
  </w:style>
  <w:style w:type="character" w:customStyle="1" w:styleId="UnresolvedMention1">
    <w:name w:val="Unresolved Mention1"/>
    <w:uiPriority w:val="99"/>
    <w:semiHidden/>
    <w:unhideWhenUsed/>
    <w:rsid w:val="00891137"/>
    <w:rPr>
      <w:color w:val="605E5C"/>
      <w:shd w:val="clear" w:color="auto" w:fill="E1DFDD"/>
    </w:rPr>
  </w:style>
  <w:style w:type="table" w:styleId="PlainTable4">
    <w:name w:val="Plain Table 4"/>
    <w:basedOn w:val="TableNormal"/>
    <w:uiPriority w:val="44"/>
    <w:rsid w:val="008313A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F0476A"/>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F0476A"/>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F0476A"/>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F0476A"/>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F0476A"/>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F0476A"/>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F0476A"/>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F0476A"/>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F0476A"/>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F0476A"/>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F0476A"/>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F0476A"/>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F0476A"/>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F0476A"/>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F0476A"/>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F0476A"/>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F0476A"/>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F0476A"/>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F0476A"/>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F0476A"/>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D47EA5"/>
  </w:style>
  <w:style w:type="paragraph" w:styleId="Bibliography">
    <w:name w:val="Bibliography"/>
    <w:basedOn w:val="Normal"/>
    <w:next w:val="Normal"/>
    <w:uiPriority w:val="37"/>
    <w:semiHidden/>
    <w:unhideWhenUsed/>
    <w:rsid w:val="00D47EA5"/>
  </w:style>
  <w:style w:type="paragraph" w:styleId="BodyText">
    <w:name w:val="Body Text"/>
    <w:link w:val="BodyTextChar"/>
    <w:rsid w:val="00D47EA5"/>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D47EA5"/>
    <w:rPr>
      <w:rFonts w:ascii="Palatino Linotype" w:hAnsi="Palatino Linotype"/>
      <w:color w:val="000000"/>
      <w:sz w:val="24"/>
      <w:lang w:eastAsia="de-DE"/>
    </w:rPr>
  </w:style>
  <w:style w:type="character" w:styleId="CommentReference">
    <w:name w:val="annotation reference"/>
    <w:rsid w:val="00D47EA5"/>
    <w:rPr>
      <w:sz w:val="21"/>
      <w:szCs w:val="21"/>
    </w:rPr>
  </w:style>
  <w:style w:type="paragraph" w:styleId="CommentText">
    <w:name w:val="annotation text"/>
    <w:basedOn w:val="Normal"/>
    <w:link w:val="CommentTextChar"/>
    <w:rsid w:val="00D47EA5"/>
  </w:style>
  <w:style w:type="character" w:customStyle="1" w:styleId="CommentTextChar">
    <w:name w:val="Comment Text Char"/>
    <w:link w:val="CommentText"/>
    <w:rsid w:val="00D47EA5"/>
    <w:rPr>
      <w:rFonts w:ascii="Palatino Linotype" w:hAnsi="Palatino Linotype"/>
      <w:noProof/>
      <w:color w:val="000000"/>
    </w:rPr>
  </w:style>
  <w:style w:type="paragraph" w:styleId="CommentSubject">
    <w:name w:val="annotation subject"/>
    <w:basedOn w:val="CommentText"/>
    <w:next w:val="CommentText"/>
    <w:link w:val="CommentSubjectChar"/>
    <w:rsid w:val="00D47EA5"/>
    <w:rPr>
      <w:b/>
      <w:bCs/>
    </w:rPr>
  </w:style>
  <w:style w:type="character" w:customStyle="1" w:styleId="CommentSubjectChar">
    <w:name w:val="Comment Subject Char"/>
    <w:link w:val="CommentSubject"/>
    <w:rsid w:val="00D47EA5"/>
    <w:rPr>
      <w:rFonts w:ascii="Palatino Linotype" w:hAnsi="Palatino Linotype"/>
      <w:b/>
      <w:bCs/>
      <w:noProof/>
      <w:color w:val="000000"/>
    </w:rPr>
  </w:style>
  <w:style w:type="character" w:styleId="EndnoteReference">
    <w:name w:val="endnote reference"/>
    <w:rsid w:val="00D47EA5"/>
    <w:rPr>
      <w:vertAlign w:val="superscript"/>
    </w:rPr>
  </w:style>
  <w:style w:type="paragraph" w:styleId="EndnoteText">
    <w:name w:val="endnote text"/>
    <w:basedOn w:val="Normal"/>
    <w:link w:val="EndnoteTextChar"/>
    <w:semiHidden/>
    <w:unhideWhenUsed/>
    <w:rsid w:val="00D47EA5"/>
    <w:pPr>
      <w:spacing w:line="240" w:lineRule="auto"/>
    </w:pPr>
  </w:style>
  <w:style w:type="character" w:customStyle="1" w:styleId="EndnoteTextChar">
    <w:name w:val="Endnote Text Char"/>
    <w:link w:val="EndnoteText"/>
    <w:semiHidden/>
    <w:rsid w:val="00D47EA5"/>
    <w:rPr>
      <w:rFonts w:ascii="Palatino Linotype" w:hAnsi="Palatino Linotype"/>
      <w:noProof/>
      <w:color w:val="000000"/>
    </w:rPr>
  </w:style>
  <w:style w:type="character" w:styleId="FollowedHyperlink">
    <w:name w:val="FollowedHyperlink"/>
    <w:rsid w:val="00D47EA5"/>
    <w:rPr>
      <w:color w:val="954F72"/>
      <w:u w:val="single"/>
    </w:rPr>
  </w:style>
  <w:style w:type="paragraph" w:styleId="FootnoteText">
    <w:name w:val="footnote text"/>
    <w:basedOn w:val="Normal"/>
    <w:link w:val="FootnoteTextChar"/>
    <w:semiHidden/>
    <w:unhideWhenUsed/>
    <w:rsid w:val="00D47EA5"/>
    <w:pPr>
      <w:spacing w:line="240" w:lineRule="auto"/>
    </w:pPr>
  </w:style>
  <w:style w:type="character" w:customStyle="1" w:styleId="FootnoteTextChar">
    <w:name w:val="Footnote Text Char"/>
    <w:link w:val="FootnoteText"/>
    <w:semiHidden/>
    <w:rsid w:val="00D47EA5"/>
    <w:rPr>
      <w:rFonts w:ascii="Palatino Linotype" w:hAnsi="Palatino Linotype"/>
      <w:noProof/>
      <w:color w:val="000000"/>
    </w:rPr>
  </w:style>
  <w:style w:type="paragraph" w:styleId="NormalWeb">
    <w:name w:val="Normal (Web)"/>
    <w:basedOn w:val="Normal"/>
    <w:uiPriority w:val="99"/>
    <w:rsid w:val="00D47EA5"/>
    <w:rPr>
      <w:szCs w:val="24"/>
    </w:rPr>
  </w:style>
  <w:style w:type="paragraph" w:customStyle="1" w:styleId="MsoFootnoteText0">
    <w:name w:val="MsoFootnoteText"/>
    <w:basedOn w:val="NormalWeb"/>
    <w:qFormat/>
    <w:rsid w:val="00D47EA5"/>
    <w:rPr>
      <w:rFonts w:ascii="Times New Roman" w:hAnsi="Times New Roman"/>
    </w:rPr>
  </w:style>
  <w:style w:type="character" w:styleId="PageNumber">
    <w:name w:val="page number"/>
    <w:rsid w:val="00D47EA5"/>
  </w:style>
  <w:style w:type="character" w:styleId="PlaceholderText">
    <w:name w:val="Placeholder Text"/>
    <w:uiPriority w:val="99"/>
    <w:semiHidden/>
    <w:rsid w:val="00D47EA5"/>
    <w:rPr>
      <w:color w:val="808080"/>
    </w:rPr>
  </w:style>
  <w:style w:type="paragraph" w:customStyle="1" w:styleId="MDPI61Supplementary">
    <w:name w:val="MDPI_6.1_Supplementary"/>
    <w:basedOn w:val="Normal"/>
    <w:qFormat/>
    <w:rsid w:val="00F0476A"/>
    <w:pPr>
      <w:adjustRightInd w:val="0"/>
      <w:snapToGrid w:val="0"/>
      <w:spacing w:before="240" w:line="200" w:lineRule="atLeast"/>
    </w:pPr>
    <w:rPr>
      <w:rFonts w:eastAsia="Times New Roman"/>
      <w:noProof w:val="0"/>
      <w:snapToGrid w:val="0"/>
      <w:sz w:val="18"/>
      <w:lang w:eastAsia="en-US" w:bidi="en-US"/>
    </w:rPr>
  </w:style>
  <w:style w:type="paragraph" w:customStyle="1" w:styleId="MDPI62Acknowledgments">
    <w:name w:val="MDPI_6.2_Acknowledgments"/>
    <w:qFormat/>
    <w:rsid w:val="00F0476A"/>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3AuthorContributions">
    <w:name w:val="MDPI_6.3_AuthorContributions"/>
    <w:basedOn w:val="MDPI62Acknowledgments"/>
    <w:qFormat/>
    <w:rsid w:val="00F0476A"/>
    <w:rPr>
      <w:rFonts w:eastAsia="SimSun"/>
      <w:color w:val="auto"/>
      <w:lang w:eastAsia="en-US"/>
    </w:rPr>
  </w:style>
  <w:style w:type="paragraph" w:customStyle="1" w:styleId="MDPI64CoI">
    <w:name w:val="MDPI_6.4_CoI"/>
    <w:basedOn w:val="MDPI62Acknowledgments"/>
    <w:qFormat/>
    <w:rsid w:val="00F0476A"/>
  </w:style>
  <w:style w:type="paragraph" w:customStyle="1" w:styleId="MDPI74PublishersNote">
    <w:name w:val="MDPI_7.4_Publisher'sNote"/>
    <w:qFormat/>
    <w:rsid w:val="00F0476A"/>
    <w:pPr>
      <w:adjustRightInd w:val="0"/>
      <w:snapToGrid w:val="0"/>
      <w:spacing w:before="240" w:after="240" w:line="200" w:lineRule="atLeast"/>
    </w:pPr>
    <w:rPr>
      <w:rFonts w:ascii="Palatino Linotype" w:hAnsi="Palatino Linotype"/>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1540">
      <w:bodyDiv w:val="1"/>
      <w:marLeft w:val="0"/>
      <w:marRight w:val="0"/>
      <w:marTop w:val="0"/>
      <w:marBottom w:val="0"/>
      <w:divBdr>
        <w:top w:val="none" w:sz="0" w:space="0" w:color="auto"/>
        <w:left w:val="none" w:sz="0" w:space="0" w:color="auto"/>
        <w:bottom w:val="none" w:sz="0" w:space="0" w:color="auto"/>
        <w:right w:val="none" w:sz="0" w:space="0" w:color="auto"/>
      </w:divBdr>
    </w:div>
    <w:div w:id="131295544">
      <w:bodyDiv w:val="1"/>
      <w:marLeft w:val="0"/>
      <w:marRight w:val="0"/>
      <w:marTop w:val="0"/>
      <w:marBottom w:val="0"/>
      <w:divBdr>
        <w:top w:val="none" w:sz="0" w:space="0" w:color="auto"/>
        <w:left w:val="none" w:sz="0" w:space="0" w:color="auto"/>
        <w:bottom w:val="none" w:sz="0" w:space="0" w:color="auto"/>
        <w:right w:val="none" w:sz="0" w:space="0" w:color="auto"/>
      </w:divBdr>
    </w:div>
    <w:div w:id="241378535">
      <w:bodyDiv w:val="1"/>
      <w:marLeft w:val="0"/>
      <w:marRight w:val="0"/>
      <w:marTop w:val="0"/>
      <w:marBottom w:val="0"/>
      <w:divBdr>
        <w:top w:val="none" w:sz="0" w:space="0" w:color="auto"/>
        <w:left w:val="none" w:sz="0" w:space="0" w:color="auto"/>
        <w:bottom w:val="none" w:sz="0" w:space="0" w:color="auto"/>
        <w:right w:val="none" w:sz="0" w:space="0" w:color="auto"/>
      </w:divBdr>
    </w:div>
    <w:div w:id="273177188">
      <w:bodyDiv w:val="1"/>
      <w:marLeft w:val="0"/>
      <w:marRight w:val="0"/>
      <w:marTop w:val="0"/>
      <w:marBottom w:val="0"/>
      <w:divBdr>
        <w:top w:val="none" w:sz="0" w:space="0" w:color="auto"/>
        <w:left w:val="none" w:sz="0" w:space="0" w:color="auto"/>
        <w:bottom w:val="none" w:sz="0" w:space="0" w:color="auto"/>
        <w:right w:val="none" w:sz="0" w:space="0" w:color="auto"/>
      </w:divBdr>
    </w:div>
    <w:div w:id="279073747">
      <w:bodyDiv w:val="1"/>
      <w:marLeft w:val="0"/>
      <w:marRight w:val="0"/>
      <w:marTop w:val="0"/>
      <w:marBottom w:val="0"/>
      <w:divBdr>
        <w:top w:val="none" w:sz="0" w:space="0" w:color="auto"/>
        <w:left w:val="none" w:sz="0" w:space="0" w:color="auto"/>
        <w:bottom w:val="none" w:sz="0" w:space="0" w:color="auto"/>
        <w:right w:val="none" w:sz="0" w:space="0" w:color="auto"/>
      </w:divBdr>
    </w:div>
    <w:div w:id="296185873">
      <w:bodyDiv w:val="1"/>
      <w:marLeft w:val="0"/>
      <w:marRight w:val="0"/>
      <w:marTop w:val="0"/>
      <w:marBottom w:val="0"/>
      <w:divBdr>
        <w:top w:val="none" w:sz="0" w:space="0" w:color="auto"/>
        <w:left w:val="none" w:sz="0" w:space="0" w:color="auto"/>
        <w:bottom w:val="none" w:sz="0" w:space="0" w:color="auto"/>
        <w:right w:val="none" w:sz="0" w:space="0" w:color="auto"/>
      </w:divBdr>
    </w:div>
    <w:div w:id="338385617">
      <w:bodyDiv w:val="1"/>
      <w:marLeft w:val="0"/>
      <w:marRight w:val="0"/>
      <w:marTop w:val="0"/>
      <w:marBottom w:val="0"/>
      <w:divBdr>
        <w:top w:val="none" w:sz="0" w:space="0" w:color="auto"/>
        <w:left w:val="none" w:sz="0" w:space="0" w:color="auto"/>
        <w:bottom w:val="none" w:sz="0" w:space="0" w:color="auto"/>
        <w:right w:val="none" w:sz="0" w:space="0" w:color="auto"/>
      </w:divBdr>
    </w:div>
    <w:div w:id="383413460">
      <w:bodyDiv w:val="1"/>
      <w:marLeft w:val="0"/>
      <w:marRight w:val="0"/>
      <w:marTop w:val="0"/>
      <w:marBottom w:val="0"/>
      <w:divBdr>
        <w:top w:val="none" w:sz="0" w:space="0" w:color="auto"/>
        <w:left w:val="none" w:sz="0" w:space="0" w:color="auto"/>
        <w:bottom w:val="none" w:sz="0" w:space="0" w:color="auto"/>
        <w:right w:val="none" w:sz="0" w:space="0" w:color="auto"/>
      </w:divBdr>
    </w:div>
    <w:div w:id="488208864">
      <w:bodyDiv w:val="1"/>
      <w:marLeft w:val="0"/>
      <w:marRight w:val="0"/>
      <w:marTop w:val="0"/>
      <w:marBottom w:val="0"/>
      <w:divBdr>
        <w:top w:val="none" w:sz="0" w:space="0" w:color="auto"/>
        <w:left w:val="none" w:sz="0" w:space="0" w:color="auto"/>
        <w:bottom w:val="none" w:sz="0" w:space="0" w:color="auto"/>
        <w:right w:val="none" w:sz="0" w:space="0" w:color="auto"/>
      </w:divBdr>
    </w:div>
    <w:div w:id="498347858">
      <w:bodyDiv w:val="1"/>
      <w:marLeft w:val="0"/>
      <w:marRight w:val="0"/>
      <w:marTop w:val="0"/>
      <w:marBottom w:val="0"/>
      <w:divBdr>
        <w:top w:val="none" w:sz="0" w:space="0" w:color="auto"/>
        <w:left w:val="none" w:sz="0" w:space="0" w:color="auto"/>
        <w:bottom w:val="none" w:sz="0" w:space="0" w:color="auto"/>
        <w:right w:val="none" w:sz="0" w:space="0" w:color="auto"/>
      </w:divBdr>
    </w:div>
    <w:div w:id="506334820">
      <w:bodyDiv w:val="1"/>
      <w:marLeft w:val="0"/>
      <w:marRight w:val="0"/>
      <w:marTop w:val="0"/>
      <w:marBottom w:val="0"/>
      <w:divBdr>
        <w:top w:val="none" w:sz="0" w:space="0" w:color="auto"/>
        <w:left w:val="none" w:sz="0" w:space="0" w:color="auto"/>
        <w:bottom w:val="none" w:sz="0" w:space="0" w:color="auto"/>
        <w:right w:val="none" w:sz="0" w:space="0" w:color="auto"/>
      </w:divBdr>
    </w:div>
    <w:div w:id="537857596">
      <w:bodyDiv w:val="1"/>
      <w:marLeft w:val="0"/>
      <w:marRight w:val="0"/>
      <w:marTop w:val="0"/>
      <w:marBottom w:val="0"/>
      <w:divBdr>
        <w:top w:val="none" w:sz="0" w:space="0" w:color="auto"/>
        <w:left w:val="none" w:sz="0" w:space="0" w:color="auto"/>
        <w:bottom w:val="none" w:sz="0" w:space="0" w:color="auto"/>
        <w:right w:val="none" w:sz="0" w:space="0" w:color="auto"/>
      </w:divBdr>
    </w:div>
    <w:div w:id="540097051">
      <w:bodyDiv w:val="1"/>
      <w:marLeft w:val="0"/>
      <w:marRight w:val="0"/>
      <w:marTop w:val="0"/>
      <w:marBottom w:val="0"/>
      <w:divBdr>
        <w:top w:val="none" w:sz="0" w:space="0" w:color="auto"/>
        <w:left w:val="none" w:sz="0" w:space="0" w:color="auto"/>
        <w:bottom w:val="none" w:sz="0" w:space="0" w:color="auto"/>
        <w:right w:val="none" w:sz="0" w:space="0" w:color="auto"/>
      </w:divBdr>
    </w:div>
    <w:div w:id="549347425">
      <w:bodyDiv w:val="1"/>
      <w:marLeft w:val="0"/>
      <w:marRight w:val="0"/>
      <w:marTop w:val="0"/>
      <w:marBottom w:val="0"/>
      <w:divBdr>
        <w:top w:val="none" w:sz="0" w:space="0" w:color="auto"/>
        <w:left w:val="none" w:sz="0" w:space="0" w:color="auto"/>
        <w:bottom w:val="none" w:sz="0" w:space="0" w:color="auto"/>
        <w:right w:val="none" w:sz="0" w:space="0" w:color="auto"/>
      </w:divBdr>
    </w:div>
    <w:div w:id="611740004">
      <w:bodyDiv w:val="1"/>
      <w:marLeft w:val="0"/>
      <w:marRight w:val="0"/>
      <w:marTop w:val="0"/>
      <w:marBottom w:val="0"/>
      <w:divBdr>
        <w:top w:val="none" w:sz="0" w:space="0" w:color="auto"/>
        <w:left w:val="none" w:sz="0" w:space="0" w:color="auto"/>
        <w:bottom w:val="none" w:sz="0" w:space="0" w:color="auto"/>
        <w:right w:val="none" w:sz="0" w:space="0" w:color="auto"/>
      </w:divBdr>
    </w:div>
    <w:div w:id="647126540">
      <w:bodyDiv w:val="1"/>
      <w:marLeft w:val="0"/>
      <w:marRight w:val="0"/>
      <w:marTop w:val="0"/>
      <w:marBottom w:val="0"/>
      <w:divBdr>
        <w:top w:val="none" w:sz="0" w:space="0" w:color="auto"/>
        <w:left w:val="none" w:sz="0" w:space="0" w:color="auto"/>
        <w:bottom w:val="none" w:sz="0" w:space="0" w:color="auto"/>
        <w:right w:val="none" w:sz="0" w:space="0" w:color="auto"/>
      </w:divBdr>
    </w:div>
    <w:div w:id="655187389">
      <w:bodyDiv w:val="1"/>
      <w:marLeft w:val="0"/>
      <w:marRight w:val="0"/>
      <w:marTop w:val="0"/>
      <w:marBottom w:val="0"/>
      <w:divBdr>
        <w:top w:val="none" w:sz="0" w:space="0" w:color="auto"/>
        <w:left w:val="none" w:sz="0" w:space="0" w:color="auto"/>
        <w:bottom w:val="none" w:sz="0" w:space="0" w:color="auto"/>
        <w:right w:val="none" w:sz="0" w:space="0" w:color="auto"/>
      </w:divBdr>
    </w:div>
    <w:div w:id="716205752">
      <w:bodyDiv w:val="1"/>
      <w:marLeft w:val="0"/>
      <w:marRight w:val="0"/>
      <w:marTop w:val="0"/>
      <w:marBottom w:val="0"/>
      <w:divBdr>
        <w:top w:val="none" w:sz="0" w:space="0" w:color="auto"/>
        <w:left w:val="none" w:sz="0" w:space="0" w:color="auto"/>
        <w:bottom w:val="none" w:sz="0" w:space="0" w:color="auto"/>
        <w:right w:val="none" w:sz="0" w:space="0" w:color="auto"/>
      </w:divBdr>
    </w:div>
    <w:div w:id="720132698">
      <w:bodyDiv w:val="1"/>
      <w:marLeft w:val="0"/>
      <w:marRight w:val="0"/>
      <w:marTop w:val="0"/>
      <w:marBottom w:val="0"/>
      <w:divBdr>
        <w:top w:val="none" w:sz="0" w:space="0" w:color="auto"/>
        <w:left w:val="none" w:sz="0" w:space="0" w:color="auto"/>
        <w:bottom w:val="none" w:sz="0" w:space="0" w:color="auto"/>
        <w:right w:val="none" w:sz="0" w:space="0" w:color="auto"/>
      </w:divBdr>
    </w:div>
    <w:div w:id="734016142">
      <w:bodyDiv w:val="1"/>
      <w:marLeft w:val="0"/>
      <w:marRight w:val="0"/>
      <w:marTop w:val="0"/>
      <w:marBottom w:val="0"/>
      <w:divBdr>
        <w:top w:val="none" w:sz="0" w:space="0" w:color="auto"/>
        <w:left w:val="none" w:sz="0" w:space="0" w:color="auto"/>
        <w:bottom w:val="none" w:sz="0" w:space="0" w:color="auto"/>
        <w:right w:val="none" w:sz="0" w:space="0" w:color="auto"/>
      </w:divBdr>
    </w:div>
    <w:div w:id="754984321">
      <w:bodyDiv w:val="1"/>
      <w:marLeft w:val="0"/>
      <w:marRight w:val="0"/>
      <w:marTop w:val="0"/>
      <w:marBottom w:val="0"/>
      <w:divBdr>
        <w:top w:val="none" w:sz="0" w:space="0" w:color="auto"/>
        <w:left w:val="none" w:sz="0" w:space="0" w:color="auto"/>
        <w:bottom w:val="none" w:sz="0" w:space="0" w:color="auto"/>
        <w:right w:val="none" w:sz="0" w:space="0" w:color="auto"/>
      </w:divBdr>
    </w:div>
    <w:div w:id="764034850">
      <w:bodyDiv w:val="1"/>
      <w:marLeft w:val="0"/>
      <w:marRight w:val="0"/>
      <w:marTop w:val="0"/>
      <w:marBottom w:val="0"/>
      <w:divBdr>
        <w:top w:val="none" w:sz="0" w:space="0" w:color="auto"/>
        <w:left w:val="none" w:sz="0" w:space="0" w:color="auto"/>
        <w:bottom w:val="none" w:sz="0" w:space="0" w:color="auto"/>
        <w:right w:val="none" w:sz="0" w:space="0" w:color="auto"/>
      </w:divBdr>
    </w:div>
    <w:div w:id="791751404">
      <w:bodyDiv w:val="1"/>
      <w:marLeft w:val="0"/>
      <w:marRight w:val="0"/>
      <w:marTop w:val="0"/>
      <w:marBottom w:val="0"/>
      <w:divBdr>
        <w:top w:val="none" w:sz="0" w:space="0" w:color="auto"/>
        <w:left w:val="none" w:sz="0" w:space="0" w:color="auto"/>
        <w:bottom w:val="none" w:sz="0" w:space="0" w:color="auto"/>
        <w:right w:val="none" w:sz="0" w:space="0" w:color="auto"/>
      </w:divBdr>
    </w:div>
    <w:div w:id="814419158">
      <w:bodyDiv w:val="1"/>
      <w:marLeft w:val="0"/>
      <w:marRight w:val="0"/>
      <w:marTop w:val="0"/>
      <w:marBottom w:val="0"/>
      <w:divBdr>
        <w:top w:val="none" w:sz="0" w:space="0" w:color="auto"/>
        <w:left w:val="none" w:sz="0" w:space="0" w:color="auto"/>
        <w:bottom w:val="none" w:sz="0" w:space="0" w:color="auto"/>
        <w:right w:val="none" w:sz="0" w:space="0" w:color="auto"/>
      </w:divBdr>
    </w:div>
    <w:div w:id="846600757">
      <w:bodyDiv w:val="1"/>
      <w:marLeft w:val="0"/>
      <w:marRight w:val="0"/>
      <w:marTop w:val="0"/>
      <w:marBottom w:val="0"/>
      <w:divBdr>
        <w:top w:val="none" w:sz="0" w:space="0" w:color="auto"/>
        <w:left w:val="none" w:sz="0" w:space="0" w:color="auto"/>
        <w:bottom w:val="none" w:sz="0" w:space="0" w:color="auto"/>
        <w:right w:val="none" w:sz="0" w:space="0" w:color="auto"/>
      </w:divBdr>
    </w:div>
    <w:div w:id="856966651">
      <w:bodyDiv w:val="1"/>
      <w:marLeft w:val="0"/>
      <w:marRight w:val="0"/>
      <w:marTop w:val="0"/>
      <w:marBottom w:val="0"/>
      <w:divBdr>
        <w:top w:val="none" w:sz="0" w:space="0" w:color="auto"/>
        <w:left w:val="none" w:sz="0" w:space="0" w:color="auto"/>
        <w:bottom w:val="none" w:sz="0" w:space="0" w:color="auto"/>
        <w:right w:val="none" w:sz="0" w:space="0" w:color="auto"/>
      </w:divBdr>
    </w:div>
    <w:div w:id="870924912">
      <w:bodyDiv w:val="1"/>
      <w:marLeft w:val="0"/>
      <w:marRight w:val="0"/>
      <w:marTop w:val="0"/>
      <w:marBottom w:val="0"/>
      <w:divBdr>
        <w:top w:val="none" w:sz="0" w:space="0" w:color="auto"/>
        <w:left w:val="none" w:sz="0" w:space="0" w:color="auto"/>
        <w:bottom w:val="none" w:sz="0" w:space="0" w:color="auto"/>
        <w:right w:val="none" w:sz="0" w:space="0" w:color="auto"/>
      </w:divBdr>
    </w:div>
    <w:div w:id="985469965">
      <w:bodyDiv w:val="1"/>
      <w:marLeft w:val="0"/>
      <w:marRight w:val="0"/>
      <w:marTop w:val="0"/>
      <w:marBottom w:val="0"/>
      <w:divBdr>
        <w:top w:val="none" w:sz="0" w:space="0" w:color="auto"/>
        <w:left w:val="none" w:sz="0" w:space="0" w:color="auto"/>
        <w:bottom w:val="none" w:sz="0" w:space="0" w:color="auto"/>
        <w:right w:val="none" w:sz="0" w:space="0" w:color="auto"/>
      </w:divBdr>
    </w:div>
    <w:div w:id="989986969">
      <w:bodyDiv w:val="1"/>
      <w:marLeft w:val="0"/>
      <w:marRight w:val="0"/>
      <w:marTop w:val="0"/>
      <w:marBottom w:val="0"/>
      <w:divBdr>
        <w:top w:val="none" w:sz="0" w:space="0" w:color="auto"/>
        <w:left w:val="none" w:sz="0" w:space="0" w:color="auto"/>
        <w:bottom w:val="none" w:sz="0" w:space="0" w:color="auto"/>
        <w:right w:val="none" w:sz="0" w:space="0" w:color="auto"/>
      </w:divBdr>
    </w:div>
    <w:div w:id="1067875167">
      <w:bodyDiv w:val="1"/>
      <w:marLeft w:val="0"/>
      <w:marRight w:val="0"/>
      <w:marTop w:val="0"/>
      <w:marBottom w:val="0"/>
      <w:divBdr>
        <w:top w:val="none" w:sz="0" w:space="0" w:color="auto"/>
        <w:left w:val="none" w:sz="0" w:space="0" w:color="auto"/>
        <w:bottom w:val="none" w:sz="0" w:space="0" w:color="auto"/>
        <w:right w:val="none" w:sz="0" w:space="0" w:color="auto"/>
      </w:divBdr>
    </w:div>
    <w:div w:id="1100494591">
      <w:bodyDiv w:val="1"/>
      <w:marLeft w:val="0"/>
      <w:marRight w:val="0"/>
      <w:marTop w:val="0"/>
      <w:marBottom w:val="0"/>
      <w:divBdr>
        <w:top w:val="none" w:sz="0" w:space="0" w:color="auto"/>
        <w:left w:val="none" w:sz="0" w:space="0" w:color="auto"/>
        <w:bottom w:val="none" w:sz="0" w:space="0" w:color="auto"/>
        <w:right w:val="none" w:sz="0" w:space="0" w:color="auto"/>
      </w:divBdr>
    </w:div>
    <w:div w:id="1171919466">
      <w:bodyDiv w:val="1"/>
      <w:marLeft w:val="0"/>
      <w:marRight w:val="0"/>
      <w:marTop w:val="0"/>
      <w:marBottom w:val="0"/>
      <w:divBdr>
        <w:top w:val="none" w:sz="0" w:space="0" w:color="auto"/>
        <w:left w:val="none" w:sz="0" w:space="0" w:color="auto"/>
        <w:bottom w:val="none" w:sz="0" w:space="0" w:color="auto"/>
        <w:right w:val="none" w:sz="0" w:space="0" w:color="auto"/>
      </w:divBdr>
    </w:div>
    <w:div w:id="1177233781">
      <w:bodyDiv w:val="1"/>
      <w:marLeft w:val="0"/>
      <w:marRight w:val="0"/>
      <w:marTop w:val="0"/>
      <w:marBottom w:val="0"/>
      <w:divBdr>
        <w:top w:val="none" w:sz="0" w:space="0" w:color="auto"/>
        <w:left w:val="none" w:sz="0" w:space="0" w:color="auto"/>
        <w:bottom w:val="none" w:sz="0" w:space="0" w:color="auto"/>
        <w:right w:val="none" w:sz="0" w:space="0" w:color="auto"/>
      </w:divBdr>
    </w:div>
    <w:div w:id="1212111911">
      <w:bodyDiv w:val="1"/>
      <w:marLeft w:val="0"/>
      <w:marRight w:val="0"/>
      <w:marTop w:val="0"/>
      <w:marBottom w:val="0"/>
      <w:divBdr>
        <w:top w:val="none" w:sz="0" w:space="0" w:color="auto"/>
        <w:left w:val="none" w:sz="0" w:space="0" w:color="auto"/>
        <w:bottom w:val="none" w:sz="0" w:space="0" w:color="auto"/>
        <w:right w:val="none" w:sz="0" w:space="0" w:color="auto"/>
      </w:divBdr>
    </w:div>
    <w:div w:id="1237129615">
      <w:bodyDiv w:val="1"/>
      <w:marLeft w:val="0"/>
      <w:marRight w:val="0"/>
      <w:marTop w:val="0"/>
      <w:marBottom w:val="0"/>
      <w:divBdr>
        <w:top w:val="none" w:sz="0" w:space="0" w:color="auto"/>
        <w:left w:val="none" w:sz="0" w:space="0" w:color="auto"/>
        <w:bottom w:val="none" w:sz="0" w:space="0" w:color="auto"/>
        <w:right w:val="none" w:sz="0" w:space="0" w:color="auto"/>
      </w:divBdr>
    </w:div>
    <w:div w:id="1324309340">
      <w:bodyDiv w:val="1"/>
      <w:marLeft w:val="0"/>
      <w:marRight w:val="0"/>
      <w:marTop w:val="0"/>
      <w:marBottom w:val="0"/>
      <w:divBdr>
        <w:top w:val="none" w:sz="0" w:space="0" w:color="auto"/>
        <w:left w:val="none" w:sz="0" w:space="0" w:color="auto"/>
        <w:bottom w:val="none" w:sz="0" w:space="0" w:color="auto"/>
        <w:right w:val="none" w:sz="0" w:space="0" w:color="auto"/>
      </w:divBdr>
    </w:div>
    <w:div w:id="1358198113">
      <w:bodyDiv w:val="1"/>
      <w:marLeft w:val="0"/>
      <w:marRight w:val="0"/>
      <w:marTop w:val="0"/>
      <w:marBottom w:val="0"/>
      <w:divBdr>
        <w:top w:val="none" w:sz="0" w:space="0" w:color="auto"/>
        <w:left w:val="none" w:sz="0" w:space="0" w:color="auto"/>
        <w:bottom w:val="none" w:sz="0" w:space="0" w:color="auto"/>
        <w:right w:val="none" w:sz="0" w:space="0" w:color="auto"/>
      </w:divBdr>
    </w:div>
    <w:div w:id="1359771073">
      <w:bodyDiv w:val="1"/>
      <w:marLeft w:val="0"/>
      <w:marRight w:val="0"/>
      <w:marTop w:val="0"/>
      <w:marBottom w:val="0"/>
      <w:divBdr>
        <w:top w:val="none" w:sz="0" w:space="0" w:color="auto"/>
        <w:left w:val="none" w:sz="0" w:space="0" w:color="auto"/>
        <w:bottom w:val="none" w:sz="0" w:space="0" w:color="auto"/>
        <w:right w:val="none" w:sz="0" w:space="0" w:color="auto"/>
      </w:divBdr>
    </w:div>
    <w:div w:id="1365405863">
      <w:bodyDiv w:val="1"/>
      <w:marLeft w:val="0"/>
      <w:marRight w:val="0"/>
      <w:marTop w:val="0"/>
      <w:marBottom w:val="0"/>
      <w:divBdr>
        <w:top w:val="none" w:sz="0" w:space="0" w:color="auto"/>
        <w:left w:val="none" w:sz="0" w:space="0" w:color="auto"/>
        <w:bottom w:val="none" w:sz="0" w:space="0" w:color="auto"/>
        <w:right w:val="none" w:sz="0" w:space="0" w:color="auto"/>
      </w:divBdr>
    </w:div>
    <w:div w:id="1366056803">
      <w:bodyDiv w:val="1"/>
      <w:marLeft w:val="0"/>
      <w:marRight w:val="0"/>
      <w:marTop w:val="0"/>
      <w:marBottom w:val="0"/>
      <w:divBdr>
        <w:top w:val="none" w:sz="0" w:space="0" w:color="auto"/>
        <w:left w:val="none" w:sz="0" w:space="0" w:color="auto"/>
        <w:bottom w:val="none" w:sz="0" w:space="0" w:color="auto"/>
        <w:right w:val="none" w:sz="0" w:space="0" w:color="auto"/>
      </w:divBdr>
    </w:div>
    <w:div w:id="1417937012">
      <w:bodyDiv w:val="1"/>
      <w:marLeft w:val="0"/>
      <w:marRight w:val="0"/>
      <w:marTop w:val="0"/>
      <w:marBottom w:val="0"/>
      <w:divBdr>
        <w:top w:val="none" w:sz="0" w:space="0" w:color="auto"/>
        <w:left w:val="none" w:sz="0" w:space="0" w:color="auto"/>
        <w:bottom w:val="none" w:sz="0" w:space="0" w:color="auto"/>
        <w:right w:val="none" w:sz="0" w:space="0" w:color="auto"/>
      </w:divBdr>
    </w:div>
    <w:div w:id="1485898002">
      <w:bodyDiv w:val="1"/>
      <w:marLeft w:val="0"/>
      <w:marRight w:val="0"/>
      <w:marTop w:val="0"/>
      <w:marBottom w:val="0"/>
      <w:divBdr>
        <w:top w:val="none" w:sz="0" w:space="0" w:color="auto"/>
        <w:left w:val="none" w:sz="0" w:space="0" w:color="auto"/>
        <w:bottom w:val="none" w:sz="0" w:space="0" w:color="auto"/>
        <w:right w:val="none" w:sz="0" w:space="0" w:color="auto"/>
      </w:divBdr>
    </w:div>
    <w:div w:id="1545097008">
      <w:bodyDiv w:val="1"/>
      <w:marLeft w:val="0"/>
      <w:marRight w:val="0"/>
      <w:marTop w:val="0"/>
      <w:marBottom w:val="0"/>
      <w:divBdr>
        <w:top w:val="none" w:sz="0" w:space="0" w:color="auto"/>
        <w:left w:val="none" w:sz="0" w:space="0" w:color="auto"/>
        <w:bottom w:val="none" w:sz="0" w:space="0" w:color="auto"/>
        <w:right w:val="none" w:sz="0" w:space="0" w:color="auto"/>
      </w:divBdr>
    </w:div>
    <w:div w:id="1627194545">
      <w:bodyDiv w:val="1"/>
      <w:marLeft w:val="0"/>
      <w:marRight w:val="0"/>
      <w:marTop w:val="0"/>
      <w:marBottom w:val="0"/>
      <w:divBdr>
        <w:top w:val="none" w:sz="0" w:space="0" w:color="auto"/>
        <w:left w:val="none" w:sz="0" w:space="0" w:color="auto"/>
        <w:bottom w:val="none" w:sz="0" w:space="0" w:color="auto"/>
        <w:right w:val="none" w:sz="0" w:space="0" w:color="auto"/>
      </w:divBdr>
    </w:div>
    <w:div w:id="1700157253">
      <w:bodyDiv w:val="1"/>
      <w:marLeft w:val="0"/>
      <w:marRight w:val="0"/>
      <w:marTop w:val="0"/>
      <w:marBottom w:val="0"/>
      <w:divBdr>
        <w:top w:val="none" w:sz="0" w:space="0" w:color="auto"/>
        <w:left w:val="none" w:sz="0" w:space="0" w:color="auto"/>
        <w:bottom w:val="none" w:sz="0" w:space="0" w:color="auto"/>
        <w:right w:val="none" w:sz="0" w:space="0" w:color="auto"/>
      </w:divBdr>
    </w:div>
    <w:div w:id="1713773681">
      <w:bodyDiv w:val="1"/>
      <w:marLeft w:val="0"/>
      <w:marRight w:val="0"/>
      <w:marTop w:val="0"/>
      <w:marBottom w:val="0"/>
      <w:divBdr>
        <w:top w:val="none" w:sz="0" w:space="0" w:color="auto"/>
        <w:left w:val="none" w:sz="0" w:space="0" w:color="auto"/>
        <w:bottom w:val="none" w:sz="0" w:space="0" w:color="auto"/>
        <w:right w:val="none" w:sz="0" w:space="0" w:color="auto"/>
      </w:divBdr>
    </w:div>
    <w:div w:id="1754861267">
      <w:bodyDiv w:val="1"/>
      <w:marLeft w:val="0"/>
      <w:marRight w:val="0"/>
      <w:marTop w:val="0"/>
      <w:marBottom w:val="0"/>
      <w:divBdr>
        <w:top w:val="none" w:sz="0" w:space="0" w:color="auto"/>
        <w:left w:val="none" w:sz="0" w:space="0" w:color="auto"/>
        <w:bottom w:val="none" w:sz="0" w:space="0" w:color="auto"/>
        <w:right w:val="none" w:sz="0" w:space="0" w:color="auto"/>
      </w:divBdr>
    </w:div>
    <w:div w:id="1762869808">
      <w:bodyDiv w:val="1"/>
      <w:marLeft w:val="0"/>
      <w:marRight w:val="0"/>
      <w:marTop w:val="0"/>
      <w:marBottom w:val="0"/>
      <w:divBdr>
        <w:top w:val="none" w:sz="0" w:space="0" w:color="auto"/>
        <w:left w:val="none" w:sz="0" w:space="0" w:color="auto"/>
        <w:bottom w:val="none" w:sz="0" w:space="0" w:color="auto"/>
        <w:right w:val="none" w:sz="0" w:space="0" w:color="auto"/>
      </w:divBdr>
    </w:div>
    <w:div w:id="1774591617">
      <w:bodyDiv w:val="1"/>
      <w:marLeft w:val="0"/>
      <w:marRight w:val="0"/>
      <w:marTop w:val="0"/>
      <w:marBottom w:val="0"/>
      <w:divBdr>
        <w:top w:val="none" w:sz="0" w:space="0" w:color="auto"/>
        <w:left w:val="none" w:sz="0" w:space="0" w:color="auto"/>
        <w:bottom w:val="none" w:sz="0" w:space="0" w:color="auto"/>
        <w:right w:val="none" w:sz="0" w:space="0" w:color="auto"/>
      </w:divBdr>
    </w:div>
    <w:div w:id="1816414280">
      <w:bodyDiv w:val="1"/>
      <w:marLeft w:val="0"/>
      <w:marRight w:val="0"/>
      <w:marTop w:val="0"/>
      <w:marBottom w:val="0"/>
      <w:divBdr>
        <w:top w:val="none" w:sz="0" w:space="0" w:color="auto"/>
        <w:left w:val="none" w:sz="0" w:space="0" w:color="auto"/>
        <w:bottom w:val="none" w:sz="0" w:space="0" w:color="auto"/>
        <w:right w:val="none" w:sz="0" w:space="0" w:color="auto"/>
      </w:divBdr>
    </w:div>
    <w:div w:id="1827285454">
      <w:bodyDiv w:val="1"/>
      <w:marLeft w:val="0"/>
      <w:marRight w:val="0"/>
      <w:marTop w:val="0"/>
      <w:marBottom w:val="0"/>
      <w:divBdr>
        <w:top w:val="none" w:sz="0" w:space="0" w:color="auto"/>
        <w:left w:val="none" w:sz="0" w:space="0" w:color="auto"/>
        <w:bottom w:val="none" w:sz="0" w:space="0" w:color="auto"/>
        <w:right w:val="none" w:sz="0" w:space="0" w:color="auto"/>
      </w:divBdr>
    </w:div>
    <w:div w:id="1839810996">
      <w:bodyDiv w:val="1"/>
      <w:marLeft w:val="0"/>
      <w:marRight w:val="0"/>
      <w:marTop w:val="0"/>
      <w:marBottom w:val="0"/>
      <w:divBdr>
        <w:top w:val="none" w:sz="0" w:space="0" w:color="auto"/>
        <w:left w:val="none" w:sz="0" w:space="0" w:color="auto"/>
        <w:bottom w:val="none" w:sz="0" w:space="0" w:color="auto"/>
        <w:right w:val="none" w:sz="0" w:space="0" w:color="auto"/>
      </w:divBdr>
    </w:div>
    <w:div w:id="1939294891">
      <w:bodyDiv w:val="1"/>
      <w:marLeft w:val="0"/>
      <w:marRight w:val="0"/>
      <w:marTop w:val="0"/>
      <w:marBottom w:val="0"/>
      <w:divBdr>
        <w:top w:val="none" w:sz="0" w:space="0" w:color="auto"/>
        <w:left w:val="none" w:sz="0" w:space="0" w:color="auto"/>
        <w:bottom w:val="none" w:sz="0" w:space="0" w:color="auto"/>
        <w:right w:val="none" w:sz="0" w:space="0" w:color="auto"/>
      </w:divBdr>
    </w:div>
    <w:div w:id="2043047308">
      <w:bodyDiv w:val="1"/>
      <w:marLeft w:val="0"/>
      <w:marRight w:val="0"/>
      <w:marTop w:val="0"/>
      <w:marBottom w:val="0"/>
      <w:divBdr>
        <w:top w:val="none" w:sz="0" w:space="0" w:color="auto"/>
        <w:left w:val="none" w:sz="0" w:space="0" w:color="auto"/>
        <w:bottom w:val="none" w:sz="0" w:space="0" w:color="auto"/>
        <w:right w:val="none" w:sz="0" w:space="0" w:color="auto"/>
      </w:divBdr>
    </w:div>
    <w:div w:id="2098821579">
      <w:bodyDiv w:val="1"/>
      <w:marLeft w:val="0"/>
      <w:marRight w:val="0"/>
      <w:marTop w:val="0"/>
      <w:marBottom w:val="0"/>
      <w:divBdr>
        <w:top w:val="none" w:sz="0" w:space="0" w:color="auto"/>
        <w:left w:val="none" w:sz="0" w:space="0" w:color="auto"/>
        <w:bottom w:val="none" w:sz="0" w:space="0" w:color="auto"/>
        <w:right w:val="none" w:sz="0" w:space="0" w:color="auto"/>
      </w:divBdr>
    </w:div>
    <w:div w:id="2115400465">
      <w:bodyDiv w:val="1"/>
      <w:marLeft w:val="0"/>
      <w:marRight w:val="0"/>
      <w:marTop w:val="0"/>
      <w:marBottom w:val="0"/>
      <w:divBdr>
        <w:top w:val="none" w:sz="0" w:space="0" w:color="auto"/>
        <w:left w:val="none" w:sz="0" w:space="0" w:color="auto"/>
        <w:bottom w:val="none" w:sz="0" w:space="0" w:color="auto"/>
        <w:right w:val="none" w:sz="0" w:space="0" w:color="auto"/>
      </w:divBdr>
    </w:div>
    <w:div w:id="213274992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AppData\Local\Temp\nutrients-template.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ropbox\SAGE\46_Falls%20&amp;%20FI\FI_sarc_EXCE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Sheet1!$C$1</c:f>
              <c:strCache>
                <c:ptCount val="1"/>
                <c:pt idx="0">
                  <c:v>Overall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Sheet1!$B$2:$B$4</c:f>
              <c:strCache>
                <c:ptCount val="3"/>
                <c:pt idx="0">
                  <c:v>No food insecurity</c:v>
                </c:pt>
                <c:pt idx="1">
                  <c:v>Moderate food insecurity</c:v>
                </c:pt>
                <c:pt idx="2">
                  <c:v>Severe food insecurity</c:v>
                </c:pt>
              </c:strCache>
            </c:strRef>
          </c:cat>
          <c:val>
            <c:numRef>
              <c:f>Sheet1!$C$2:$C$4</c:f>
              <c:numCache>
                <c:formatCode>General</c:formatCode>
                <c:ptCount val="3"/>
                <c:pt idx="0">
                  <c:v>13</c:v>
                </c:pt>
                <c:pt idx="1">
                  <c:v>12.1</c:v>
                </c:pt>
                <c:pt idx="2">
                  <c:v>24.4</c:v>
                </c:pt>
              </c:numCache>
            </c:numRef>
          </c:val>
          <c:smooth val="0"/>
          <c:extLst xmlns:c16r2="http://schemas.microsoft.com/office/drawing/2015/06/chart">
            <c:ext xmlns:c16="http://schemas.microsoft.com/office/drawing/2014/chart" uri="{C3380CC4-5D6E-409C-BE32-E72D297353CC}">
              <c16:uniqueId val="{00000000-5614-45EA-9957-5C0BDDAFE192}"/>
            </c:ext>
          </c:extLst>
        </c:ser>
        <c:ser>
          <c:idx val="1"/>
          <c:order val="1"/>
          <c:tx>
            <c:strRef>
              <c:f>Sheet1!$D$1</c:f>
              <c:strCache>
                <c:ptCount val="1"/>
                <c:pt idx="0">
                  <c:v>Female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Sheet1!$B$2:$B$4</c:f>
              <c:strCache>
                <c:ptCount val="3"/>
                <c:pt idx="0">
                  <c:v>No food insecurity</c:v>
                </c:pt>
                <c:pt idx="1">
                  <c:v>Moderate food insecurity</c:v>
                </c:pt>
                <c:pt idx="2">
                  <c:v>Severe food insecurity</c:v>
                </c:pt>
              </c:strCache>
            </c:strRef>
          </c:cat>
          <c:val>
            <c:numRef>
              <c:f>Sheet1!$D$2:$D$4</c:f>
              <c:numCache>
                <c:formatCode>General</c:formatCode>
                <c:ptCount val="3"/>
                <c:pt idx="0">
                  <c:v>13</c:v>
                </c:pt>
                <c:pt idx="1">
                  <c:v>10.8</c:v>
                </c:pt>
                <c:pt idx="2">
                  <c:v>23.3</c:v>
                </c:pt>
              </c:numCache>
            </c:numRef>
          </c:val>
          <c:smooth val="0"/>
          <c:extLst xmlns:c16r2="http://schemas.microsoft.com/office/drawing/2015/06/chart">
            <c:ext xmlns:c16="http://schemas.microsoft.com/office/drawing/2014/chart" uri="{C3380CC4-5D6E-409C-BE32-E72D297353CC}">
              <c16:uniqueId val="{00000001-5614-45EA-9957-5C0BDDAFE192}"/>
            </c:ext>
          </c:extLst>
        </c:ser>
        <c:ser>
          <c:idx val="2"/>
          <c:order val="2"/>
          <c:tx>
            <c:strRef>
              <c:f>Sheet1!$E$1</c:f>
              <c:strCache>
                <c:ptCount val="1"/>
                <c:pt idx="0">
                  <c:v>Male</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Sheet1!$B$2:$B$4</c:f>
              <c:strCache>
                <c:ptCount val="3"/>
                <c:pt idx="0">
                  <c:v>No food insecurity</c:v>
                </c:pt>
                <c:pt idx="1">
                  <c:v>Moderate food insecurity</c:v>
                </c:pt>
                <c:pt idx="2">
                  <c:v>Severe food insecurity</c:v>
                </c:pt>
              </c:strCache>
            </c:strRef>
          </c:cat>
          <c:val>
            <c:numRef>
              <c:f>Sheet1!$E$2:$E$4</c:f>
              <c:numCache>
                <c:formatCode>General</c:formatCode>
                <c:ptCount val="3"/>
                <c:pt idx="0">
                  <c:v>13.1</c:v>
                </c:pt>
                <c:pt idx="1">
                  <c:v>14</c:v>
                </c:pt>
                <c:pt idx="2">
                  <c:v>26.2</c:v>
                </c:pt>
              </c:numCache>
            </c:numRef>
          </c:val>
          <c:smooth val="0"/>
          <c:extLst xmlns:c16r2="http://schemas.microsoft.com/office/drawing/2015/06/chart">
            <c:ext xmlns:c16="http://schemas.microsoft.com/office/drawing/2014/chart" uri="{C3380CC4-5D6E-409C-BE32-E72D297353CC}">
              <c16:uniqueId val="{00000002-5614-45EA-9957-5C0BDDAFE192}"/>
            </c:ext>
          </c:extLst>
        </c:ser>
        <c:dLbls>
          <c:showLegendKey val="0"/>
          <c:showVal val="0"/>
          <c:showCatName val="0"/>
          <c:showSerName val="0"/>
          <c:showPercent val="0"/>
          <c:showBubbleSize val="0"/>
        </c:dLbls>
        <c:marker val="1"/>
        <c:smooth val="0"/>
        <c:axId val="387618904"/>
        <c:axId val="387616552"/>
      </c:lineChart>
      <c:catAx>
        <c:axId val="387618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7616552"/>
        <c:crosses val="autoZero"/>
        <c:auto val="1"/>
        <c:lblAlgn val="ctr"/>
        <c:lblOffset val="100"/>
        <c:noMultiLvlLbl val="0"/>
      </c:catAx>
      <c:valAx>
        <c:axId val="38761655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of sarcopenia (%)</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761890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nutrients-template</Template>
  <TotalTime>1</TotalTime>
  <Pages>11</Pages>
  <Words>5221</Words>
  <Characters>29763</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A</vt:lpstr>
    </vt:vector>
  </TitlesOfParts>
  <Company/>
  <LinksUpToDate>false</LinksUpToDate>
  <CharactersWithSpaces>34915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MDPI</dc:creator>
  <cp:keywords/>
  <dc:description/>
  <cp:lastModifiedBy>L.Smith</cp:lastModifiedBy>
  <cp:revision>2</cp:revision>
  <dcterms:created xsi:type="dcterms:W3CDTF">2021-05-28T16:49:00Z</dcterms:created>
  <dcterms:modified xsi:type="dcterms:W3CDTF">2021-05-28T16:49:00Z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4232</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Documents///1. Paper Nutrients(1)</vt:lpwstr>
  </property>
</Properties>
</file>