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32EDD" w14:textId="197BBC1B" w:rsidR="00CE31C7" w:rsidRPr="00611C65" w:rsidRDefault="00A22C31" w:rsidP="00521230">
      <w:pPr>
        <w:rPr>
          <w:bCs/>
          <w:sz w:val="28"/>
          <w:szCs w:val="28"/>
        </w:rPr>
      </w:pPr>
      <w:r w:rsidRPr="00611C65">
        <w:rPr>
          <w:b/>
          <w:bCs/>
          <w:sz w:val="28"/>
          <w:szCs w:val="28"/>
        </w:rPr>
        <w:t>Economic</w:t>
      </w:r>
      <w:r w:rsidR="00E265BA" w:rsidRPr="00611C65">
        <w:rPr>
          <w:b/>
          <w:bCs/>
          <w:sz w:val="28"/>
          <w:szCs w:val="28"/>
        </w:rPr>
        <w:t xml:space="preserve"> impacts of achieving </w:t>
      </w:r>
      <w:r w:rsidR="00CD2066" w:rsidRPr="00611C65">
        <w:rPr>
          <w:b/>
          <w:bCs/>
          <w:sz w:val="28"/>
          <w:szCs w:val="28"/>
        </w:rPr>
        <w:t>a</w:t>
      </w:r>
      <w:r w:rsidR="00B72BD4" w:rsidRPr="00611C65">
        <w:rPr>
          <w:b/>
          <w:bCs/>
          <w:sz w:val="28"/>
          <w:szCs w:val="28"/>
        </w:rPr>
        <w:t xml:space="preserve"> </w:t>
      </w:r>
      <w:r w:rsidR="004D23E1" w:rsidRPr="00611C65">
        <w:rPr>
          <w:b/>
          <w:bCs/>
          <w:sz w:val="28"/>
          <w:szCs w:val="28"/>
        </w:rPr>
        <w:t xml:space="preserve">zero </w:t>
      </w:r>
      <w:r w:rsidR="00B72BD4" w:rsidRPr="00611C65">
        <w:rPr>
          <w:b/>
          <w:bCs/>
          <w:sz w:val="28"/>
          <w:szCs w:val="28"/>
        </w:rPr>
        <w:t>emissions target</w:t>
      </w:r>
      <w:r w:rsidR="004D23E1" w:rsidRPr="00611C65">
        <w:rPr>
          <w:b/>
          <w:bCs/>
          <w:sz w:val="28"/>
          <w:szCs w:val="28"/>
        </w:rPr>
        <w:t xml:space="preserve"> </w:t>
      </w:r>
      <w:r w:rsidR="00CD2066" w:rsidRPr="00611C65">
        <w:rPr>
          <w:b/>
          <w:bCs/>
          <w:sz w:val="28"/>
          <w:szCs w:val="28"/>
        </w:rPr>
        <w:t xml:space="preserve">in </w:t>
      </w:r>
      <w:r w:rsidR="004D23E1" w:rsidRPr="00611C65">
        <w:rPr>
          <w:b/>
          <w:bCs/>
          <w:sz w:val="28"/>
          <w:szCs w:val="28"/>
        </w:rPr>
        <w:t>the</w:t>
      </w:r>
      <w:r w:rsidR="00B64C31" w:rsidRPr="00611C65">
        <w:rPr>
          <w:b/>
          <w:bCs/>
          <w:sz w:val="28"/>
          <w:szCs w:val="28"/>
        </w:rPr>
        <w:t xml:space="preserve"> UK</w:t>
      </w:r>
      <w:r w:rsidR="004D23E1" w:rsidRPr="00611C65">
        <w:rPr>
          <w:b/>
          <w:bCs/>
          <w:sz w:val="28"/>
          <w:szCs w:val="28"/>
        </w:rPr>
        <w:t xml:space="preserve"> </w:t>
      </w:r>
      <w:r w:rsidR="00384D8F" w:rsidRPr="00611C65">
        <w:rPr>
          <w:b/>
          <w:bCs/>
          <w:sz w:val="28"/>
          <w:szCs w:val="28"/>
        </w:rPr>
        <w:t xml:space="preserve">power </w:t>
      </w:r>
      <w:r w:rsidR="004D23E1" w:rsidRPr="00611C65">
        <w:rPr>
          <w:b/>
          <w:bCs/>
          <w:sz w:val="28"/>
          <w:szCs w:val="28"/>
        </w:rPr>
        <w:t xml:space="preserve">sector </w:t>
      </w:r>
      <w:r w:rsidRPr="00611C65">
        <w:rPr>
          <w:b/>
          <w:bCs/>
          <w:sz w:val="28"/>
          <w:szCs w:val="28"/>
        </w:rPr>
        <w:t xml:space="preserve"> </w:t>
      </w:r>
    </w:p>
    <w:p w14:paraId="2C4D9AF2" w14:textId="335FB57D" w:rsidR="00CE31C7" w:rsidRPr="00611C65" w:rsidRDefault="00CE31C7" w:rsidP="00521230">
      <w:pPr>
        <w:rPr>
          <w:bCs/>
          <w:sz w:val="24"/>
          <w:szCs w:val="24"/>
        </w:rPr>
      </w:pPr>
      <w:r w:rsidRPr="00611C65">
        <w:rPr>
          <w:b/>
          <w:bCs/>
          <w:sz w:val="24"/>
          <w:szCs w:val="24"/>
        </w:rPr>
        <w:t>Abstract</w:t>
      </w:r>
    </w:p>
    <w:p w14:paraId="77B73055" w14:textId="185F0FB9" w:rsidR="000C4200" w:rsidRPr="00611C65" w:rsidRDefault="00E63AAC" w:rsidP="008A62CB">
      <w:pPr>
        <w:tabs>
          <w:tab w:val="left" w:pos="7513"/>
        </w:tabs>
      </w:pPr>
      <w:r w:rsidRPr="00611C65">
        <w:rPr>
          <w:rFonts w:eastAsia="Calibri" w:cs="Calibri"/>
          <w:szCs w:val="21"/>
        </w:rPr>
        <w:t>With increasing concerns about climate change</w:t>
      </w:r>
      <w:r w:rsidR="001622D2" w:rsidRPr="00611C65">
        <w:rPr>
          <w:rFonts w:eastAsia="Calibri" w:cs="Calibri"/>
          <w:szCs w:val="21"/>
        </w:rPr>
        <w:t>, cal</w:t>
      </w:r>
      <w:r w:rsidRPr="00611C65">
        <w:rPr>
          <w:rFonts w:eastAsia="Calibri" w:cs="Calibri"/>
          <w:szCs w:val="21"/>
        </w:rPr>
        <w:t xml:space="preserve">ls for </w:t>
      </w:r>
      <w:r w:rsidR="00510E39" w:rsidRPr="00611C65">
        <w:rPr>
          <w:rFonts w:eastAsia="Calibri" w:cs="Calibri"/>
          <w:szCs w:val="21"/>
        </w:rPr>
        <w:t xml:space="preserve">the adoption of </w:t>
      </w:r>
      <w:r w:rsidR="00E265BA" w:rsidRPr="00611C65">
        <w:rPr>
          <w:rFonts w:eastAsia="Calibri" w:cs="Calibri"/>
          <w:szCs w:val="21"/>
        </w:rPr>
        <w:t>net-</w:t>
      </w:r>
      <w:r w:rsidR="00510E39" w:rsidRPr="00611C65">
        <w:rPr>
          <w:rFonts w:eastAsia="Calibri" w:cs="Calibri"/>
          <w:szCs w:val="21"/>
        </w:rPr>
        <w:t>zero</w:t>
      </w:r>
      <w:r w:rsidR="00E265BA" w:rsidRPr="00611C65">
        <w:rPr>
          <w:rFonts w:eastAsia="Calibri" w:cs="Calibri"/>
          <w:szCs w:val="21"/>
        </w:rPr>
        <w:t xml:space="preserve"> </w:t>
      </w:r>
      <w:r w:rsidR="00510E39" w:rsidRPr="00611C65">
        <w:rPr>
          <w:rFonts w:eastAsia="Calibri" w:cs="Calibri"/>
          <w:szCs w:val="21"/>
        </w:rPr>
        <w:t>carbon emission</w:t>
      </w:r>
      <w:r w:rsidR="00B72BD4" w:rsidRPr="00611C65">
        <w:rPr>
          <w:rFonts w:eastAsia="Calibri" w:cs="Calibri"/>
          <w:szCs w:val="21"/>
        </w:rPr>
        <w:t>s</w:t>
      </w:r>
      <w:r w:rsidR="00510E39" w:rsidRPr="00611C65">
        <w:rPr>
          <w:rFonts w:eastAsia="Calibri" w:cs="Calibri"/>
          <w:szCs w:val="21"/>
        </w:rPr>
        <w:t xml:space="preserve"> target</w:t>
      </w:r>
      <w:r w:rsidR="003D71B3" w:rsidRPr="00611C65">
        <w:rPr>
          <w:rFonts w:eastAsia="Calibri" w:cs="Calibri"/>
          <w:szCs w:val="21"/>
        </w:rPr>
        <w:t>s</w:t>
      </w:r>
      <w:r w:rsidR="001622D2" w:rsidRPr="00611C65">
        <w:rPr>
          <w:rFonts w:eastAsia="Calibri" w:cs="Calibri"/>
          <w:szCs w:val="21"/>
        </w:rPr>
        <w:t xml:space="preserve"> </w:t>
      </w:r>
      <w:r w:rsidRPr="00611C65">
        <w:rPr>
          <w:rFonts w:eastAsia="Calibri" w:cs="Calibri"/>
          <w:szCs w:val="21"/>
        </w:rPr>
        <w:t>are rising</w:t>
      </w:r>
      <w:r w:rsidR="00510E39" w:rsidRPr="00611C65">
        <w:rPr>
          <w:rFonts w:eastAsia="Calibri" w:cs="Calibri"/>
          <w:szCs w:val="21"/>
        </w:rPr>
        <w:t xml:space="preserve">. </w:t>
      </w:r>
      <w:r w:rsidR="00FB19B5" w:rsidRPr="00611C65">
        <w:rPr>
          <w:rFonts w:eastAsia="Calibri" w:cs="Calibri"/>
          <w:szCs w:val="21"/>
        </w:rPr>
        <w:t>Achieving this target</w:t>
      </w:r>
      <w:r w:rsidRPr="00611C65">
        <w:rPr>
          <w:rFonts w:eastAsia="Calibri" w:cs="Calibri"/>
          <w:szCs w:val="21"/>
        </w:rPr>
        <w:t xml:space="preserve"> </w:t>
      </w:r>
      <w:r w:rsidR="00C433D7" w:rsidRPr="00611C65">
        <w:t>necessitates</w:t>
      </w:r>
      <w:r w:rsidRPr="00611C65">
        <w:rPr>
          <w:rFonts w:eastAsia="Calibri" w:cs="Calibri"/>
          <w:szCs w:val="21"/>
        </w:rPr>
        <w:t xml:space="preserve"> a radical decarbonisation of the </w:t>
      </w:r>
      <w:r w:rsidR="003C636F" w:rsidRPr="00611C65">
        <w:rPr>
          <w:rFonts w:eastAsia="Calibri" w:cs="Calibri"/>
          <w:szCs w:val="21"/>
        </w:rPr>
        <w:t>electric</w:t>
      </w:r>
      <w:r w:rsidR="007C7FE7" w:rsidRPr="00611C65">
        <w:rPr>
          <w:rFonts w:eastAsia="Calibri" w:cs="Calibri"/>
          <w:szCs w:val="21"/>
        </w:rPr>
        <w:t>i</w:t>
      </w:r>
      <w:r w:rsidR="003C636F" w:rsidRPr="00611C65">
        <w:rPr>
          <w:rFonts w:eastAsia="Calibri" w:cs="Calibri"/>
          <w:szCs w:val="21"/>
        </w:rPr>
        <w:t xml:space="preserve">ty </w:t>
      </w:r>
      <w:r w:rsidRPr="00611C65">
        <w:rPr>
          <w:rFonts w:eastAsia="Calibri" w:cs="Calibri"/>
          <w:szCs w:val="21"/>
        </w:rPr>
        <w:t>system</w:t>
      </w:r>
      <w:r w:rsidR="0051614E" w:rsidRPr="00611C65">
        <w:rPr>
          <w:rFonts w:eastAsia="Calibri" w:cs="Calibri"/>
          <w:szCs w:val="21"/>
        </w:rPr>
        <w:t xml:space="preserve">, including the </w:t>
      </w:r>
      <w:r w:rsidR="00510E39" w:rsidRPr="00611C65">
        <w:rPr>
          <w:rFonts w:eastAsia="Calibri" w:cs="Calibri"/>
          <w:szCs w:val="21"/>
        </w:rPr>
        <w:t>shut-down</w:t>
      </w:r>
      <w:r w:rsidR="0051614E" w:rsidRPr="00611C65">
        <w:rPr>
          <w:rFonts w:eastAsia="Calibri" w:cs="Calibri"/>
          <w:szCs w:val="21"/>
        </w:rPr>
        <w:t xml:space="preserve"> of currently operating </w:t>
      </w:r>
      <w:r w:rsidR="003C636F" w:rsidRPr="00611C65">
        <w:rPr>
          <w:rFonts w:eastAsia="Calibri" w:cs="Calibri"/>
          <w:szCs w:val="21"/>
        </w:rPr>
        <w:t xml:space="preserve">high-carbon </w:t>
      </w:r>
      <w:r w:rsidR="0051614E" w:rsidRPr="00611C65">
        <w:rPr>
          <w:rFonts w:eastAsia="Calibri" w:cs="Calibri"/>
          <w:szCs w:val="21"/>
        </w:rPr>
        <w:t>energy infrastructure</w:t>
      </w:r>
      <w:r w:rsidRPr="00611C65">
        <w:rPr>
          <w:rFonts w:eastAsia="Calibri" w:cs="Calibri"/>
          <w:szCs w:val="21"/>
        </w:rPr>
        <w:t xml:space="preserve">. </w:t>
      </w:r>
      <w:r w:rsidR="00695105" w:rsidRPr="00611C65">
        <w:t xml:space="preserve">In the light of this background, we develop a </w:t>
      </w:r>
      <w:r w:rsidR="00814A30" w:rsidRPr="00611C65">
        <w:t>novel s</w:t>
      </w:r>
      <w:r w:rsidR="00585EAC" w:rsidRPr="00611C65">
        <w:t xml:space="preserve">ystem </w:t>
      </w:r>
      <w:r w:rsidR="00695105" w:rsidRPr="00611C65">
        <w:t>dynamic</w:t>
      </w:r>
      <w:r w:rsidR="00585EAC" w:rsidRPr="00611C65">
        <w:t>s</w:t>
      </w:r>
      <w:r w:rsidR="00695105" w:rsidRPr="00611C65">
        <w:t xml:space="preserve"> </w:t>
      </w:r>
      <w:r w:rsidR="00814A30" w:rsidRPr="00611C65">
        <w:t>energy-economy</w:t>
      </w:r>
      <w:r w:rsidR="00510E39" w:rsidRPr="00611C65">
        <w:t xml:space="preserve"> model to explore the </w:t>
      </w:r>
      <w:r w:rsidR="00E265BA" w:rsidRPr="00611C65">
        <w:t xml:space="preserve">long-term </w:t>
      </w:r>
      <w:r w:rsidR="00510E39" w:rsidRPr="00611C65">
        <w:t>macro</w:t>
      </w:r>
      <w:r w:rsidR="00695105" w:rsidRPr="00611C65">
        <w:t>economic</w:t>
      </w:r>
      <w:r w:rsidR="00E46D93" w:rsidRPr="00611C65">
        <w:t xml:space="preserve"> </w:t>
      </w:r>
      <w:r w:rsidR="00695105" w:rsidRPr="00611C65">
        <w:t>effects</w:t>
      </w:r>
      <w:r w:rsidR="00E46D93" w:rsidRPr="00611C65">
        <w:t xml:space="preserve">, and changes in the </w:t>
      </w:r>
      <w:r w:rsidR="003C636F" w:rsidRPr="00611C65">
        <w:t xml:space="preserve">power </w:t>
      </w:r>
      <w:r w:rsidR="00E46D93" w:rsidRPr="00611C65">
        <w:t>system costs</w:t>
      </w:r>
      <w:r w:rsidR="00695105" w:rsidRPr="00611C65">
        <w:t xml:space="preserve"> of</w:t>
      </w:r>
      <w:r w:rsidR="000C789A" w:rsidRPr="00611C65">
        <w:t xml:space="preserve"> </w:t>
      </w:r>
      <w:r w:rsidR="005F35B8" w:rsidRPr="00611C65">
        <w:t>different</w:t>
      </w:r>
      <w:r w:rsidR="00CE31C7" w:rsidRPr="00611C65">
        <w:t xml:space="preserve"> </w:t>
      </w:r>
      <w:r w:rsidR="000C789A" w:rsidRPr="00611C65">
        <w:t xml:space="preserve">low-carbon </w:t>
      </w:r>
      <w:r w:rsidR="003C636F" w:rsidRPr="00611C65">
        <w:t xml:space="preserve">electricity </w:t>
      </w:r>
      <w:r w:rsidR="000C789A" w:rsidRPr="00611C65">
        <w:t>transition scenario</w:t>
      </w:r>
      <w:r w:rsidR="00CE31C7" w:rsidRPr="00611C65">
        <w:t>s</w:t>
      </w:r>
      <w:r w:rsidR="000C789A" w:rsidRPr="00611C65">
        <w:t>.</w:t>
      </w:r>
      <w:r w:rsidR="00E46D93" w:rsidRPr="00611C65">
        <w:t xml:space="preserve"> </w:t>
      </w:r>
      <w:r w:rsidR="00CD2066" w:rsidRPr="00611C65">
        <w:t>Using the UK</w:t>
      </w:r>
      <w:r w:rsidR="00B87561" w:rsidRPr="00611C65">
        <w:t xml:space="preserve"> </w:t>
      </w:r>
      <w:r w:rsidR="00CD2066" w:rsidRPr="00611C65">
        <w:t>as a case study, o</w:t>
      </w:r>
      <w:r w:rsidR="000964E4" w:rsidRPr="00611C65">
        <w:t xml:space="preserve">ur simulations demonstrate that there is no win-win policy solution. </w:t>
      </w:r>
      <w:r w:rsidR="00695105" w:rsidRPr="00611C65">
        <w:t>We</w:t>
      </w:r>
      <w:r w:rsidR="000964E4" w:rsidRPr="00611C65">
        <w:t xml:space="preserve"> </w:t>
      </w:r>
      <w:r w:rsidR="00695105" w:rsidRPr="00611C65">
        <w:t xml:space="preserve">argue that </w:t>
      </w:r>
      <w:r w:rsidR="001622D2" w:rsidRPr="00611C65">
        <w:t xml:space="preserve">while the </w:t>
      </w:r>
      <w:r w:rsidR="000C3012" w:rsidRPr="00611C65">
        <w:t xml:space="preserve">early retirement </w:t>
      </w:r>
      <w:r w:rsidR="001622D2" w:rsidRPr="00611C65">
        <w:t xml:space="preserve">of a certain </w:t>
      </w:r>
      <w:r w:rsidR="00FF4665" w:rsidRPr="00611C65">
        <w:t xml:space="preserve">amount </w:t>
      </w:r>
      <w:r w:rsidR="001622D2" w:rsidRPr="00611C65">
        <w:t>of brown energy infr</w:t>
      </w:r>
      <w:r w:rsidR="0014592A" w:rsidRPr="00611C65">
        <w:t xml:space="preserve">astructure is required for the UK to achieve its </w:t>
      </w:r>
      <w:r w:rsidR="00CE31C7" w:rsidRPr="00611C65">
        <w:t xml:space="preserve">emissions </w:t>
      </w:r>
      <w:r w:rsidR="00B93455" w:rsidRPr="00611C65">
        <w:t>target</w:t>
      </w:r>
      <w:r w:rsidR="001622D2" w:rsidRPr="00611C65">
        <w:t xml:space="preserve">, the amount should be determined with care </w:t>
      </w:r>
      <w:proofErr w:type="gramStart"/>
      <w:r w:rsidR="001622D2" w:rsidRPr="00611C65">
        <w:t xml:space="preserve">in order </w:t>
      </w:r>
      <w:r w:rsidR="003C636F" w:rsidRPr="00611C65">
        <w:t>to</w:t>
      </w:r>
      <w:proofErr w:type="gramEnd"/>
      <w:r w:rsidR="003C636F" w:rsidRPr="00611C65">
        <w:t xml:space="preserve"> </w:t>
      </w:r>
      <w:r w:rsidR="00CE31C7" w:rsidRPr="00611C65">
        <w:t>manage</w:t>
      </w:r>
      <w:r w:rsidR="00582151" w:rsidRPr="00611C65">
        <w:t xml:space="preserve"> the </w:t>
      </w:r>
      <w:r w:rsidR="003C636F" w:rsidRPr="00611C65">
        <w:t xml:space="preserve">electricity </w:t>
      </w:r>
      <w:r w:rsidR="00582151" w:rsidRPr="00611C65">
        <w:t xml:space="preserve">system costs and </w:t>
      </w:r>
      <w:r w:rsidR="00FB19B5" w:rsidRPr="00611C65">
        <w:t>prices.</w:t>
      </w:r>
      <w:r w:rsidR="006A5958" w:rsidRPr="00611C65">
        <w:t xml:space="preserve"> </w:t>
      </w:r>
      <w:r w:rsidR="001A4D2C" w:rsidRPr="00611C65">
        <w:t xml:space="preserve">By using an implicit carbon price, we find that certain trajectories lead to lower energy system costs while achieving </w:t>
      </w:r>
      <w:r w:rsidR="00F4789D" w:rsidRPr="00611C65">
        <w:t>the net-zero target</w:t>
      </w:r>
      <w:r w:rsidR="001A4D2C" w:rsidRPr="00611C65">
        <w:t>.</w:t>
      </w:r>
      <w:r w:rsidR="00C7087A" w:rsidRPr="00611C65">
        <w:t xml:space="preserve"> </w:t>
      </w:r>
    </w:p>
    <w:p w14:paraId="26672C58" w14:textId="4E2B4BE5" w:rsidR="00072236" w:rsidRPr="00611C65" w:rsidRDefault="00072236" w:rsidP="008A62CB">
      <w:pPr>
        <w:tabs>
          <w:tab w:val="left" w:pos="7513"/>
        </w:tabs>
        <w:rPr>
          <w:rFonts w:eastAsia="Calibri" w:cs="Calibri"/>
          <w:b/>
          <w:szCs w:val="21"/>
        </w:rPr>
      </w:pPr>
      <w:r w:rsidRPr="00611C65">
        <w:rPr>
          <w:b/>
        </w:rPr>
        <w:t xml:space="preserve">Keywords: </w:t>
      </w:r>
      <w:r w:rsidR="00B72438" w:rsidRPr="00611C65">
        <w:t>Energy-transition, system dynamics, energy-economy modelling</w:t>
      </w:r>
      <w:r w:rsidR="00FD19E5" w:rsidRPr="00611C65">
        <w:t>, climate change, policy</w:t>
      </w:r>
    </w:p>
    <w:p w14:paraId="49C621D7" w14:textId="77777777" w:rsidR="000C4200" w:rsidRPr="00611C65" w:rsidRDefault="000C4200">
      <w:pPr>
        <w:pStyle w:val="Heading1"/>
        <w:rPr>
          <w:color w:val="auto"/>
        </w:rPr>
      </w:pPr>
      <w:r w:rsidRPr="00611C65">
        <w:rPr>
          <w:color w:val="auto"/>
        </w:rPr>
        <w:t>Introduction</w:t>
      </w:r>
    </w:p>
    <w:p w14:paraId="15E75A43" w14:textId="22EE2A42" w:rsidR="003C636F" w:rsidRPr="00611C65" w:rsidRDefault="003C636F" w:rsidP="003C636F">
      <w:r w:rsidRPr="00611C65">
        <w:t>Along with increasing concerns on the impact of global warming, calls for adopting a net-zero emissions target rise and social movements, such as Extinction Rebellion (XR), call for an immediate halt in the use of brown energy sources citing a relatively short time horizon in which to stop climate change. In response to the call for net-zero carbon emissions, a growing number of research studies have explored energy transition pathways and their related costs and/or macroeconomic implications</w:t>
      </w:r>
      <w:r w:rsidR="005F6ABF" w:rsidRPr="00611C65">
        <w:t xml:space="preserve">. </w:t>
      </w:r>
    </w:p>
    <w:p w14:paraId="0D75C3E1" w14:textId="688B2134" w:rsidR="005B1D47" w:rsidRPr="00611C65" w:rsidRDefault="003C636F" w:rsidP="00276ECC">
      <w:bookmarkStart w:id="0" w:name="OLE_LINK1"/>
      <w:bookmarkStart w:id="1" w:name="OLE_LINK2"/>
      <w:r w:rsidRPr="00611C65">
        <w:t xml:space="preserve">The UK government, as well as the UK independent Climate Change Committee (CCC), predominantly use the well-established macro-hybrid energy-economy UK MACRO Times (successor of the former MACRO MARKAL model) for climate policy analysis and investigating related long-term macroeconomic consequences (Strachan et al., 2007, 2009). This model is a combination of a CGE economic model and a technological-rich bottom-up energy system optimisation model (Strachan et al., 2007; 2008). </w:t>
      </w:r>
      <w:r w:rsidR="00C7087A" w:rsidRPr="00611C65">
        <w:t>Another model</w:t>
      </w:r>
      <w:r w:rsidRPr="00611C65">
        <w:t xml:space="preserve">, </w:t>
      </w:r>
      <w:r w:rsidRPr="00611C65">
        <w:rPr>
          <w:rFonts w:cstheme="minorHAnsi"/>
        </w:rPr>
        <w:t>the Her Majesty's Revenue and Customs (HMRC) CGE model – initially developed for HMRC to assess tax</w:t>
      </w:r>
      <w:r w:rsidRPr="00611C65">
        <w:t xml:space="preserve"> policy changes – has also been applied to climate policy, including evaluating the economic impacts of the fourth carbon budget (see CCC, 2010). Alternatively, UK policy recommendations are derived based on </w:t>
      </w:r>
      <w:proofErr w:type="gramStart"/>
      <w:r w:rsidRPr="00611C65">
        <w:t>econometrically-estimated</w:t>
      </w:r>
      <w:proofErr w:type="gramEnd"/>
      <w:r w:rsidRPr="00611C65">
        <w:t xml:space="preserve"> macroeconomic simulation models, notably the UK Energy-Environment-Economy model MDM-E3 (e.g. Barker et al., 2007; Ekins &amp; Etheridge, 2006; Ekins et al., 2011) or the global Econometric Energy-Environment-Economy Model E3ME (</w:t>
      </w:r>
      <w:r w:rsidR="00C7087A" w:rsidRPr="00611C65">
        <w:t>see</w:t>
      </w:r>
      <w:r w:rsidRPr="00611C65">
        <w:t xml:space="preserve"> CE, 2019).  </w:t>
      </w:r>
    </w:p>
    <w:p w14:paraId="6E428435" w14:textId="5BBA199F" w:rsidR="003C636F" w:rsidRPr="00611C65" w:rsidRDefault="005B1D47" w:rsidP="00276ECC">
      <w:r w:rsidRPr="00611C65">
        <w:t>O</w:t>
      </w:r>
      <w:r w:rsidR="003C636F" w:rsidRPr="00611C65">
        <w:t>ther energy transition simulation models in the field of the ecological macroeconomics are increasingly emerging during recent years. Examples of simulation models in this strand of literature include for example MEDEAS (</w:t>
      </w:r>
      <w:proofErr w:type="spellStart"/>
      <w:r w:rsidR="003C636F" w:rsidRPr="00611C65">
        <w:t>Cappellan</w:t>
      </w:r>
      <w:proofErr w:type="spellEnd"/>
      <w:r w:rsidR="003C636F" w:rsidRPr="00611C65">
        <w:t>-Perez et al., 2017), EUROGREEN (D'Alessandro et al.,</w:t>
      </w:r>
      <w:r w:rsidR="009330A9" w:rsidRPr="00611C65">
        <w:t xml:space="preserve"> </w:t>
      </w:r>
      <w:r w:rsidR="001848E7" w:rsidRPr="00611C65">
        <w:t>2020</w:t>
      </w:r>
      <w:r w:rsidR="003C636F" w:rsidRPr="00611C65">
        <w:t>), SFC low-growth (Jackson &amp; Victor, 2019), EIRIN (Monasterolo &amp; Raberto, 2018), EURACE (Ponta et al., 2018) or the SFC low-growth (Jackson &amp; Victor, 2019) (see Hafner et al., 2020a for a review). These energy-economy models demonstrate different economic (</w:t>
      </w:r>
      <w:proofErr w:type="gramStart"/>
      <w:r w:rsidR="003C636F" w:rsidRPr="00611C65">
        <w:t>e.g.</w:t>
      </w:r>
      <w:proofErr w:type="gramEnd"/>
      <w:r w:rsidR="003C636F" w:rsidRPr="00611C65">
        <w:t xml:space="preserve"> GDP, employment, inequality) implications of climate policies and reveal a variety of different aspects/implications of low-carbon energy transitions, but to date and our best knowledge, none of them has been applied for the evaluation of a rapid low-carbon energy transition, including the immediate halt of high-carbon electricity infrastructure, as called for by different social movements. </w:t>
      </w:r>
    </w:p>
    <w:p w14:paraId="204326D2" w14:textId="69293E28" w:rsidR="00276ECC" w:rsidRPr="00611C65" w:rsidRDefault="00276ECC" w:rsidP="00276ECC">
      <w:r w:rsidRPr="00611C65">
        <w:lastRenderedPageBreak/>
        <w:t xml:space="preserve">In 2019, the UK </w:t>
      </w:r>
      <w:r w:rsidR="0042598F" w:rsidRPr="00611C65">
        <w:t xml:space="preserve">was the first country to </w:t>
      </w:r>
      <w:r w:rsidRPr="00611C65">
        <w:t>adopt a net-zero emission</w:t>
      </w:r>
      <w:r w:rsidR="00B72BD4" w:rsidRPr="00611C65">
        <w:t>s</w:t>
      </w:r>
      <w:r w:rsidRPr="00611C65">
        <w:t xml:space="preserve"> target by 2050 (CCC, 2019</w:t>
      </w:r>
      <w:r w:rsidR="0042598F" w:rsidRPr="00611C65">
        <w:t xml:space="preserve">). </w:t>
      </w:r>
      <w:r w:rsidR="004D23E1" w:rsidRPr="00611C65">
        <w:t>Reaching this target requires a</w:t>
      </w:r>
      <w:r w:rsidR="00B93455" w:rsidRPr="00611C65">
        <w:t xml:space="preserve"> radical</w:t>
      </w:r>
      <w:r w:rsidR="004D23E1" w:rsidRPr="00611C65">
        <w:t xml:space="preserve"> decarbonisation of the UK energy system. </w:t>
      </w:r>
      <w:bookmarkEnd w:id="0"/>
      <w:bookmarkEnd w:id="1"/>
      <w:r w:rsidR="0042598F" w:rsidRPr="00611C65">
        <w:t xml:space="preserve">This paper focusses on the </w:t>
      </w:r>
      <w:r w:rsidRPr="00611C65">
        <w:t>UK as a case-study</w:t>
      </w:r>
      <w:r w:rsidR="00F64140" w:rsidRPr="00611C65">
        <w:t xml:space="preserve"> within this context</w:t>
      </w:r>
      <w:r w:rsidRPr="00611C65">
        <w:t xml:space="preserve">. </w:t>
      </w:r>
    </w:p>
    <w:p w14:paraId="79A73B9B" w14:textId="77777777" w:rsidR="005F35B8" w:rsidRPr="00611C65" w:rsidRDefault="005F35B8" w:rsidP="005F35B8">
      <w:r w:rsidRPr="00611C65">
        <w:t xml:space="preserve">In the light of this background, we seek to understand the following two questions: </w:t>
      </w:r>
    </w:p>
    <w:p w14:paraId="1FA690B6" w14:textId="479F07CE" w:rsidR="005F35B8" w:rsidRPr="00611C65" w:rsidRDefault="005F35B8" w:rsidP="005F35B8">
      <w:pPr>
        <w:pStyle w:val="ListParagraph"/>
        <w:numPr>
          <w:ilvl w:val="0"/>
          <w:numId w:val="7"/>
        </w:numPr>
      </w:pPr>
      <w:r w:rsidRPr="00611C65">
        <w:t xml:space="preserve">What are the financial costs and the macroeconomic implications of a rapid </w:t>
      </w:r>
      <w:r w:rsidR="00AB7695" w:rsidRPr="00611C65">
        <w:t xml:space="preserve">electricity </w:t>
      </w:r>
      <w:r w:rsidRPr="00611C65">
        <w:t xml:space="preserve">transition, involving the immediate stop in using all currently still operating brown energy infrastructure? </w:t>
      </w:r>
    </w:p>
    <w:p w14:paraId="540A6311" w14:textId="3AFB3E48" w:rsidR="005F35B8" w:rsidRPr="00611C65" w:rsidRDefault="005F35B8" w:rsidP="005F35B8">
      <w:pPr>
        <w:pStyle w:val="ListParagraph"/>
        <w:numPr>
          <w:ilvl w:val="0"/>
          <w:numId w:val="7"/>
        </w:numPr>
      </w:pPr>
      <w:r w:rsidRPr="00611C65">
        <w:t xml:space="preserve">How do these financial costs and macroeconomic consequences compare to other – less rapid - low-carbon </w:t>
      </w:r>
      <w:r w:rsidR="00AB7695" w:rsidRPr="00611C65">
        <w:t xml:space="preserve">electricity </w:t>
      </w:r>
      <w:r w:rsidRPr="00611C65">
        <w:t xml:space="preserve">transition scenarios? </w:t>
      </w:r>
    </w:p>
    <w:p w14:paraId="402A300B" w14:textId="559022BD" w:rsidR="005F35B8" w:rsidRPr="00611C65" w:rsidRDefault="005F35B8" w:rsidP="00521230">
      <w:r w:rsidRPr="00611C65">
        <w:t>To address these questions, we develop a new system dynamics energy-economy model, called the Green Investment Barrier Model</w:t>
      </w:r>
      <w:r w:rsidRPr="00611C65">
        <w:rPr>
          <w:rStyle w:val="FootnoteReference"/>
        </w:rPr>
        <w:footnoteReference w:id="1"/>
      </w:r>
      <w:r w:rsidRPr="00611C65">
        <w:t xml:space="preserve"> (GIBM) tailored to evaluate different low-carbon </w:t>
      </w:r>
      <w:r w:rsidR="003C636F" w:rsidRPr="00611C65">
        <w:t xml:space="preserve">electricity </w:t>
      </w:r>
      <w:r w:rsidRPr="00611C65">
        <w:t xml:space="preserve">transition futures of the UK in terms of macro-economic and </w:t>
      </w:r>
      <w:r w:rsidR="003C636F" w:rsidRPr="00611C65">
        <w:t xml:space="preserve">electricity </w:t>
      </w:r>
      <w:r w:rsidRPr="00611C65">
        <w:t xml:space="preserve">system costs. </w:t>
      </w:r>
      <w:r w:rsidR="006D6D15" w:rsidRPr="00611C65">
        <w:t xml:space="preserve">The main purpose of this </w:t>
      </w:r>
      <w:r w:rsidR="00FD36CA" w:rsidRPr="00611C65">
        <w:t>paper</w:t>
      </w:r>
      <w:r w:rsidR="006D6D15" w:rsidRPr="00611C65">
        <w:t xml:space="preserve"> is to provide a holistic and reliable decision-support tool for </w:t>
      </w:r>
      <w:r w:rsidR="005F6ABF" w:rsidRPr="00611C65">
        <w:t xml:space="preserve">policy decisions </w:t>
      </w:r>
      <w:r w:rsidR="00D72DF0" w:rsidRPr="00611C65">
        <w:t>with respect to</w:t>
      </w:r>
      <w:r w:rsidR="005F6ABF" w:rsidRPr="00611C65">
        <w:t xml:space="preserve"> </w:t>
      </w:r>
      <w:r w:rsidR="00A25DD2" w:rsidRPr="00611C65">
        <w:t>the speed of decarbonisation of the electricity supply sector</w:t>
      </w:r>
      <w:r w:rsidR="006D6D15" w:rsidRPr="00611C65">
        <w:t xml:space="preserve">. We highlight that GIBM </w:t>
      </w:r>
      <w:r w:rsidR="005F6ABF" w:rsidRPr="00611C65">
        <w:t>provides only high-level policy insights</w:t>
      </w:r>
      <w:r w:rsidR="00E04783" w:rsidRPr="00611C65">
        <w:t xml:space="preserve">. That is, it </w:t>
      </w:r>
      <w:r w:rsidR="006D6D15" w:rsidRPr="00611C65">
        <w:t xml:space="preserve">does not assess how </w:t>
      </w:r>
      <w:r w:rsidR="005F6ABF" w:rsidRPr="00611C65">
        <w:t xml:space="preserve">to deal with </w:t>
      </w:r>
      <w:r w:rsidR="006D6D15" w:rsidRPr="00611C65">
        <w:t>the</w:t>
      </w:r>
      <w:r w:rsidR="00E04783" w:rsidRPr="00611C65">
        <w:t xml:space="preserve"> </w:t>
      </w:r>
      <w:r w:rsidR="006D6D15" w:rsidRPr="00611C65">
        <w:t>intermittency of renewables (</w:t>
      </w:r>
      <w:proofErr w:type="gramStart"/>
      <w:r w:rsidR="006D6D15" w:rsidRPr="00611C65">
        <w:t>e.g.</w:t>
      </w:r>
      <w:proofErr w:type="gramEnd"/>
      <w:r w:rsidR="006D6D15" w:rsidRPr="00611C65">
        <w:t xml:space="preserve"> by specifying technologies</w:t>
      </w:r>
      <w:r w:rsidR="006D6D15" w:rsidRPr="00611C65">
        <w:rPr>
          <w:rStyle w:val="FootnoteReference"/>
        </w:rPr>
        <w:footnoteReference w:id="2"/>
      </w:r>
      <w:r w:rsidR="006D6D15" w:rsidRPr="00611C65">
        <w:t xml:space="preserve">) and the expansion of renewable </w:t>
      </w:r>
      <w:r w:rsidR="00AB7695" w:rsidRPr="00611C65">
        <w:t>electricity</w:t>
      </w:r>
      <w:r w:rsidR="006D6D15" w:rsidRPr="00611C65">
        <w:t xml:space="preserve"> sources is only restricted by the estimated technical potential of considered</w:t>
      </w:r>
      <w:r w:rsidR="00A25DD2" w:rsidRPr="00611C65">
        <w:t xml:space="preserve"> renewable sources</w:t>
      </w:r>
      <w:r w:rsidR="006D6D15" w:rsidRPr="00611C65">
        <w:t xml:space="preserve">. </w:t>
      </w:r>
      <w:r w:rsidR="00AB7695" w:rsidRPr="00611C65">
        <w:t xml:space="preserve">Furthermore, we focus on the decarbonisation of the power sector and represent electricity demand from the heating and transport sector exogenously, based on the Green Growth scenario of the National Grid (2018). </w:t>
      </w:r>
    </w:p>
    <w:p w14:paraId="7E0E92E9" w14:textId="25D22E00" w:rsidR="005F35B8" w:rsidRPr="00611C65" w:rsidRDefault="005F35B8" w:rsidP="005F35B8">
      <w:r w:rsidRPr="00611C65">
        <w:t xml:space="preserve">Our study complements and extends earlier studies on the economics of low-carbon energy transitions. First, the studies indicated above tested less radical energy decarbonisation scenarios and to our best knowledge, none of the </w:t>
      </w:r>
      <w:r w:rsidR="005F6ABF" w:rsidRPr="00611C65">
        <w:t>these</w:t>
      </w:r>
      <w:r w:rsidRPr="00611C65">
        <w:t xml:space="preserve"> has been used to simulate a scenario, involving</w:t>
      </w:r>
      <w:r w:rsidR="005F6ABF" w:rsidRPr="00611C65">
        <w:t xml:space="preserve"> the</w:t>
      </w:r>
      <w:r w:rsidRPr="00611C65">
        <w:t xml:space="preserve"> immediate shut-down of </w:t>
      </w:r>
      <w:r w:rsidRPr="00611C65">
        <w:rPr>
          <w:i/>
        </w:rPr>
        <w:t>all</w:t>
      </w:r>
      <w:r w:rsidRPr="00611C65">
        <w:t xml:space="preserve"> current </w:t>
      </w:r>
      <w:r w:rsidR="003C636F" w:rsidRPr="00611C65">
        <w:t xml:space="preserve">high-carbon </w:t>
      </w:r>
      <w:r w:rsidRPr="00611C65">
        <w:t xml:space="preserve">energy infrastructure in the UK. Indeed, due to the underlying model assumptions, CGE models are generally not </w:t>
      </w:r>
      <w:r w:rsidR="003C636F" w:rsidRPr="00611C65">
        <w:t xml:space="preserve">applied </w:t>
      </w:r>
      <w:r w:rsidRPr="00611C65">
        <w:t xml:space="preserve">for the investigation of a net-zero emissions target (IPCC, 2014; 2019). The policy scenario tested in this study aims to fill this gap. Second, this study applies a different model methodology compared to other studies. </w:t>
      </w:r>
      <w:r w:rsidR="00C732B0" w:rsidRPr="00611C65">
        <w:t>S</w:t>
      </w:r>
      <w:r w:rsidRPr="00611C65">
        <w:t xml:space="preserve">ystem dynamics </w:t>
      </w:r>
      <w:r w:rsidR="00C732B0" w:rsidRPr="00611C65">
        <w:t>modelling</w:t>
      </w:r>
      <w:r w:rsidRPr="00611C65">
        <w:t xml:space="preserve"> </w:t>
      </w:r>
      <w:r w:rsidR="00C732B0" w:rsidRPr="00611C65">
        <w:t xml:space="preserve">is particularly </w:t>
      </w:r>
      <w:r w:rsidR="002A7D5C" w:rsidRPr="00611C65">
        <w:t>useful</w:t>
      </w:r>
      <w:r w:rsidRPr="00611C65">
        <w:t xml:space="preserve"> for long-term simulation exercises where the understanding of key feedback loops driving </w:t>
      </w:r>
      <w:r w:rsidR="00C732B0" w:rsidRPr="00611C65">
        <w:t>a complex, dynamic</w:t>
      </w:r>
      <w:r w:rsidRPr="00611C65">
        <w:t xml:space="preserve"> system</w:t>
      </w:r>
      <w:r w:rsidR="00C732B0" w:rsidRPr="00611C65">
        <w:t xml:space="preserve"> from a hol</w:t>
      </w:r>
      <w:r w:rsidR="00D36FB5" w:rsidRPr="00611C65">
        <w:t>i</w:t>
      </w:r>
      <w:r w:rsidR="00C732B0" w:rsidRPr="00611C65">
        <w:t>stic perspective</w:t>
      </w:r>
      <w:r w:rsidRPr="00611C65">
        <w:t xml:space="preserve"> is important (Sterman, 2000). By using a different methodology, our study also helps to increase the robustness of previously achieved results on energy transition simulations. </w:t>
      </w:r>
    </w:p>
    <w:p w14:paraId="7F07400B" w14:textId="686F95CB" w:rsidR="006D6D15" w:rsidRPr="00611C65" w:rsidRDefault="00C41EEB" w:rsidP="00276ECC">
      <w:r w:rsidRPr="00611C65">
        <w:t xml:space="preserve">This paper is structured as follows: </w:t>
      </w:r>
      <w:r w:rsidR="006D6D15" w:rsidRPr="00611C65">
        <w:t>s</w:t>
      </w:r>
      <w:r w:rsidRPr="00611C65">
        <w:t xml:space="preserve">ection </w:t>
      </w:r>
      <w:r w:rsidR="006D6D15" w:rsidRPr="00611C65">
        <w:t>2 introduces our meth</w:t>
      </w:r>
      <w:r w:rsidR="00D36FB5" w:rsidRPr="00611C65">
        <w:t>o</w:t>
      </w:r>
      <w:r w:rsidR="006D6D15" w:rsidRPr="00611C65">
        <w:t xml:space="preserve">dology and describes the Green Investment Barrier model. Section 3 presents the model results, section 4 discusses the results and compared them with the results achieved by other energy-economy models. Section 5 concludes and indicates future research avenues. </w:t>
      </w:r>
    </w:p>
    <w:p w14:paraId="5DAA8454" w14:textId="45BF2179" w:rsidR="005F35B8" w:rsidRPr="00611C65" w:rsidRDefault="005F35B8">
      <w:pPr>
        <w:pStyle w:val="Heading1"/>
        <w:rPr>
          <w:color w:val="auto"/>
        </w:rPr>
      </w:pPr>
      <w:r w:rsidRPr="00611C65">
        <w:rPr>
          <w:color w:val="auto"/>
        </w:rPr>
        <w:t>Method</w:t>
      </w:r>
      <w:r w:rsidR="003C636F" w:rsidRPr="00611C65">
        <w:rPr>
          <w:color w:val="auto"/>
        </w:rPr>
        <w:t>ology</w:t>
      </w:r>
    </w:p>
    <w:p w14:paraId="627F10DD" w14:textId="64489DEC" w:rsidR="005F35B8" w:rsidRPr="00611C65" w:rsidRDefault="005F35B8" w:rsidP="005F35B8">
      <w:r w:rsidRPr="00611C65">
        <w:t xml:space="preserve">The developed system dynamics energy-economy model is built with the system dynamics simulation software </w:t>
      </w:r>
      <w:proofErr w:type="spellStart"/>
      <w:r w:rsidRPr="00611C65">
        <w:t>Vensim</w:t>
      </w:r>
      <w:proofErr w:type="spellEnd"/>
      <w:r w:rsidRPr="00611C65">
        <w:t xml:space="preserve">. </w:t>
      </w:r>
      <w:r w:rsidRPr="00611C65">
        <w:rPr>
          <w:rFonts w:cstheme="minorHAnsi"/>
        </w:rPr>
        <w:t xml:space="preserve">System dynamics </w:t>
      </w:r>
      <w:r w:rsidR="00A25DD2" w:rsidRPr="00611C65">
        <w:rPr>
          <w:rFonts w:cstheme="minorHAnsi"/>
        </w:rPr>
        <w:t xml:space="preserve">(SD) </w:t>
      </w:r>
      <w:r w:rsidRPr="00611C65">
        <w:rPr>
          <w:rFonts w:cstheme="minorHAnsi"/>
        </w:rPr>
        <w:t xml:space="preserve">was elaborated by Jay Forrester in the 1960s at MIT and is </w:t>
      </w:r>
      <w:r w:rsidRPr="00611C65">
        <w:rPr>
          <w:rFonts w:cstheme="minorHAnsi"/>
        </w:rPr>
        <w:lastRenderedPageBreak/>
        <w:t xml:space="preserve">grounded in the theory of non-linear dynamics and feedback control developed in mathematics, </w:t>
      </w:r>
      <w:proofErr w:type="gramStart"/>
      <w:r w:rsidRPr="00611C65">
        <w:rPr>
          <w:rFonts w:cstheme="minorHAnsi"/>
        </w:rPr>
        <w:t>physics</w:t>
      </w:r>
      <w:proofErr w:type="gramEnd"/>
      <w:r w:rsidRPr="00611C65">
        <w:rPr>
          <w:rFonts w:cstheme="minorHAnsi"/>
        </w:rPr>
        <w:t xml:space="preserve"> and engineering (Forrester, 1958). SD uses concepts of those disciplines in its modelling approach. For example, the idea to understand and manage systems through feedback loops draws on control theory from engineering. SD has been applied in various areas, including organisation theory, economics, health care, cognitive and social </w:t>
      </w:r>
      <w:proofErr w:type="gramStart"/>
      <w:r w:rsidRPr="00611C65">
        <w:rPr>
          <w:rFonts w:cstheme="minorHAnsi"/>
        </w:rPr>
        <w:t>psychology</w:t>
      </w:r>
      <w:proofErr w:type="gramEnd"/>
      <w:r w:rsidRPr="00611C65">
        <w:rPr>
          <w:rFonts w:cstheme="minorHAnsi"/>
        </w:rPr>
        <w:t xml:space="preserve"> and conflict research (see Sterman, 2000 for case studies). Mathematically, SD is a set of linked differential equations simulated by algorithms. SD models are frequently represented visually through a stock and flow diagram (SFD) or a causal-loop diagram (</w:t>
      </w:r>
      <w:r w:rsidRPr="00611C65">
        <w:rPr>
          <w:rFonts w:cstheme="minorHAnsi"/>
          <w:shd w:val="clear" w:color="auto" w:fill="FFFFFF" w:themeFill="background1"/>
        </w:rPr>
        <w:t xml:space="preserve">CLD) (Sterman, 2000). </w:t>
      </w:r>
      <w:r w:rsidRPr="00611C65">
        <w:t xml:space="preserve">This methodology has been chosen to represent the underlying complexities in both the economy and the energy system, and their interlinkages. In addition, the modelling environment of the system dynamics program is suitable for long-term simulation periods and flexible enough to adjust the developed model relatively easily for new energy-economy related policy challenges. </w:t>
      </w:r>
    </w:p>
    <w:p w14:paraId="6345382C" w14:textId="6E80FBB3" w:rsidR="001848E7" w:rsidRPr="00611C65" w:rsidRDefault="009330A9" w:rsidP="001848E7">
      <w:r w:rsidRPr="00611C65">
        <w:t>Importan</w:t>
      </w:r>
      <w:r w:rsidR="00CF3456" w:rsidRPr="00611C65">
        <w:t>t</w:t>
      </w:r>
      <w:r w:rsidRPr="00611C65">
        <w:t>ly</w:t>
      </w:r>
      <w:r w:rsidR="001848E7" w:rsidRPr="00611C65">
        <w:t>, this study applies a</w:t>
      </w:r>
      <w:r w:rsidRPr="00611C65">
        <w:t xml:space="preserve">nother </w:t>
      </w:r>
      <w:r w:rsidR="001848E7" w:rsidRPr="00611C65">
        <w:t xml:space="preserve">model </w:t>
      </w:r>
      <w:r w:rsidRPr="00611C65">
        <w:t>approach</w:t>
      </w:r>
      <w:r w:rsidR="001848E7" w:rsidRPr="00611C65">
        <w:t xml:space="preserve"> compared to most studies applied to energy transitions that use CGE (CCC,</w:t>
      </w:r>
      <w:r w:rsidRPr="00611C65">
        <w:t xml:space="preserve"> </w:t>
      </w:r>
      <w:r w:rsidR="001848E7" w:rsidRPr="00611C65">
        <w:t xml:space="preserve">2010) or macro-economic modelling (CE, 2019). Specifically, on the one side, in </w:t>
      </w:r>
      <w:r w:rsidR="001848E7" w:rsidRPr="00611C65">
        <w:rPr>
          <w:rFonts w:cstheme="minorHAnsi"/>
        </w:rPr>
        <w:t>comparison to CGE and other equilibrium models, system dynamics modelling abstracts away from the adoption of (bounded) rational model agents and cleared markets (in the long-term). Instead, the model results are calculated for each time step, and model agents take decisions and form expectations, using heuristics and information on the current state of the model world. On the</w:t>
      </w:r>
      <w:r w:rsidR="001848E7" w:rsidRPr="00611C65">
        <w:t xml:space="preserve"> other side, in comparison to macro-econometric models, system dynamics models can be said to be more flexible. That is, while system dynamics models sometimes apply econometrically estimated parameter values, they also allow parameters and/or parameter values – or changes thereof - informed by qualitative research or expert consultation. </w:t>
      </w:r>
    </w:p>
    <w:p w14:paraId="3FB6E5DF" w14:textId="239E8151" w:rsidR="005F35B8" w:rsidRPr="00611C65" w:rsidRDefault="00D62305" w:rsidP="005F35B8">
      <w:r w:rsidRPr="00611C65">
        <w:t>T</w:t>
      </w:r>
      <w:r w:rsidR="005F35B8" w:rsidRPr="00611C65">
        <w:t xml:space="preserve">he economic model sectors </w:t>
      </w:r>
      <w:r w:rsidR="001848E7" w:rsidRPr="00611C65">
        <w:t xml:space="preserve">of GIBM </w:t>
      </w:r>
      <w:r w:rsidR="005F35B8" w:rsidRPr="00611C65">
        <w:t>can be said to be embedded in a post-Keynesian/ecological macroeconomic framework (Sawyer &amp; Fontana, 2016; Hardt &amp; O’Neill, 2017). Specific model equations build generally on different non-equilibrium modelling approaches, including post-Keynesian economics, ecological economics or system dynamics (</w:t>
      </w:r>
      <w:proofErr w:type="gramStart"/>
      <w:r w:rsidR="005F35B8" w:rsidRPr="00611C65">
        <w:t>e.g.</w:t>
      </w:r>
      <w:proofErr w:type="gramEnd"/>
      <w:r w:rsidR="005F35B8" w:rsidRPr="00611C65">
        <w:t xml:space="preserve"> Sterman, 2002)</w:t>
      </w:r>
      <w:r w:rsidR="00A25DD2" w:rsidRPr="00611C65">
        <w:t>, but also equilibrium approaches (e.g. CES production function)</w:t>
      </w:r>
      <w:r w:rsidR="005F35B8" w:rsidRPr="00611C65">
        <w:t>. Non-equilibrium modelling approaches share a set of common presuppositions or metaphysical beliefs, which cannot be put in formal form, but are part of, and influence, the analytical framework of economic models (Lavoie, 2014). For example, non-equilibrium modelling approaches perceive the economic environment as complex, dynamically evolving, interrelated with other environments (</w:t>
      </w:r>
      <w:proofErr w:type="gramStart"/>
      <w:r w:rsidR="005F35B8" w:rsidRPr="00611C65">
        <w:t>e.g.</w:t>
      </w:r>
      <w:proofErr w:type="gramEnd"/>
      <w:r w:rsidR="005F35B8" w:rsidRPr="00611C65">
        <w:t xml:space="preserve"> institutional setting) and characterised by deep uncertainty (i.e. probabilities cannot be assessed) and path-dependency. Model agents do</w:t>
      </w:r>
      <w:r w:rsidR="00A25DD2" w:rsidRPr="00611C65">
        <w:t xml:space="preserve"> not </w:t>
      </w:r>
      <w:r w:rsidR="005F35B8" w:rsidRPr="00611C65">
        <w:t>possess near-perfect information and optimize their outcomes (</w:t>
      </w:r>
      <w:proofErr w:type="gramStart"/>
      <w:r w:rsidR="005F35B8" w:rsidRPr="00611C65">
        <w:t>e.g.</w:t>
      </w:r>
      <w:proofErr w:type="gramEnd"/>
      <w:r w:rsidR="005F35B8" w:rsidRPr="00611C65">
        <w:t xml:space="preserve"> utility, profit), but often use simple decision-rules to operate in the complex economic environment (e.g. Mercure et al. 2019). </w:t>
      </w:r>
    </w:p>
    <w:p w14:paraId="669D71F4" w14:textId="163BF3F7" w:rsidR="005F35B8" w:rsidRPr="00611C65" w:rsidRDefault="005F35B8" w:rsidP="005F35B8">
      <w:r w:rsidRPr="00611C65">
        <w:t xml:space="preserve">The empirical calibration of the </w:t>
      </w:r>
      <w:r w:rsidR="0017021B" w:rsidRPr="00611C65">
        <w:t xml:space="preserve">GIBM </w:t>
      </w:r>
      <w:r w:rsidRPr="00611C65">
        <w:t xml:space="preserve">parameters and initial values for the UK provide a realistic basis for the investigation of the economics of different low-carbon </w:t>
      </w:r>
      <w:r w:rsidR="00AB7695" w:rsidRPr="00611C65">
        <w:t xml:space="preserve">electricity </w:t>
      </w:r>
      <w:r w:rsidRPr="00611C65">
        <w:t xml:space="preserve">transition pathways. The main data sources used to calibrate the initial conditions, for the UK economy and energy system in the year 2016, are from ONS, EUROSTAT and policy reports (in the case for the energy system). </w:t>
      </w:r>
    </w:p>
    <w:p w14:paraId="4870DEE2" w14:textId="4C873A36" w:rsidR="00513867" w:rsidRPr="00611C65" w:rsidRDefault="00202100" w:rsidP="005A66CF">
      <w:r w:rsidRPr="00611C65">
        <w:t>GIBM</w:t>
      </w:r>
      <w:r w:rsidR="005A66CF" w:rsidRPr="00611C65">
        <w:t xml:space="preserve"> </w:t>
      </w:r>
      <w:r w:rsidR="00F63164" w:rsidRPr="00611C65">
        <w:t xml:space="preserve">(see Figure 1) </w:t>
      </w:r>
      <w:r w:rsidR="005A66CF" w:rsidRPr="00611C65">
        <w:t>includes key macroeconomic sectors (</w:t>
      </w:r>
      <w:proofErr w:type="gramStart"/>
      <w:r w:rsidR="005A66CF" w:rsidRPr="00611C65">
        <w:t>e.g.</w:t>
      </w:r>
      <w:proofErr w:type="gramEnd"/>
      <w:r w:rsidR="005A66CF" w:rsidRPr="00611C65">
        <w:t xml:space="preserve"> production, consumption, and labour market), a public sector and an </w:t>
      </w:r>
      <w:r w:rsidR="00AB7695" w:rsidRPr="00611C65">
        <w:t xml:space="preserve">electricity </w:t>
      </w:r>
      <w:r w:rsidR="005A66CF" w:rsidRPr="00611C65">
        <w:t xml:space="preserve">supply sector. The production process at the macroeconomic level is represented with a demand-led CES production function – that is, the production inputs, labour, capital, </w:t>
      </w:r>
      <w:proofErr w:type="gramStart"/>
      <w:r w:rsidR="005A66CF" w:rsidRPr="00611C65">
        <w:t>energy</w:t>
      </w:r>
      <w:proofErr w:type="gramEnd"/>
      <w:r w:rsidR="005A66CF" w:rsidRPr="00611C65">
        <w:t xml:space="preserve"> and intermediate inputs are not (necessarily) fully utilised. The production sector also includes the simulation of prices; the consumption sector simulates </w:t>
      </w:r>
      <w:r w:rsidR="005A66CF" w:rsidRPr="00611C65">
        <w:lastRenderedPageBreak/>
        <w:t xml:space="preserve">household consumption per industry; the labour market sector determines employment and simulates unemployment as the difference between labour demand coming from the production sector and the available labour force. In addition, the labour market represents the wage level and includes a sub-sector that simulates the UK working population endogenously; the exchange and interest rate sector includes the exchange rate between the UK and its main trading partners, and the average interest rate for credits of UK firms; the public or government sector tracks state income and expenditure. Finally, the </w:t>
      </w:r>
      <w:r w:rsidR="00AB7695" w:rsidRPr="00611C65">
        <w:t xml:space="preserve">electricity </w:t>
      </w:r>
      <w:r w:rsidR="005A66CF" w:rsidRPr="00611C65">
        <w:t xml:space="preserve">supply sector includes a detailed representation of the </w:t>
      </w:r>
      <w:r w:rsidR="00AB7695" w:rsidRPr="00611C65">
        <w:t xml:space="preserve">electricity </w:t>
      </w:r>
      <w:r w:rsidR="005A66CF" w:rsidRPr="00611C65">
        <w:t>production capacity</w:t>
      </w:r>
      <w:r w:rsidR="00513867" w:rsidRPr="00611C65">
        <w:t xml:space="preserve"> </w:t>
      </w:r>
      <w:r w:rsidR="005A66CF" w:rsidRPr="00611C65">
        <w:t>and determines annual energy produced in the UK</w:t>
      </w:r>
      <w:r w:rsidR="00D62305" w:rsidRPr="00611C65">
        <w:t xml:space="preserve">. </w:t>
      </w:r>
      <w:r w:rsidR="00513867" w:rsidRPr="00611C65">
        <w:t xml:space="preserve">The power supply sector is differentiated by 12 </w:t>
      </w:r>
      <w:r w:rsidR="00AB7695" w:rsidRPr="00611C65">
        <w:t xml:space="preserve">electricity </w:t>
      </w:r>
      <w:r w:rsidR="00513867" w:rsidRPr="00611C65">
        <w:t xml:space="preserve">production technologies, including biomass, hydro, marine, onshore wind, offshore wind, solar, other thermal and other renewable energies as renewable technologies, nuclear and CCS gas as other low-carbon technologies and finally coal and gas as brown technologies. </w:t>
      </w:r>
    </w:p>
    <w:p w14:paraId="6752AA95" w14:textId="3FE30CA6" w:rsidR="005A66CF" w:rsidRPr="00611C65" w:rsidRDefault="005A66CF" w:rsidP="005A66CF">
      <w:r w:rsidRPr="00611C65">
        <w:t xml:space="preserve">These features allow us to understand what the macroeconomics implications and </w:t>
      </w:r>
      <w:r w:rsidR="00AB7695" w:rsidRPr="00611C65">
        <w:t xml:space="preserve">electricity </w:t>
      </w:r>
      <w:r w:rsidRPr="00611C65">
        <w:t xml:space="preserve">system costs of different </w:t>
      </w:r>
      <w:r w:rsidR="00AB7695" w:rsidRPr="00611C65">
        <w:t xml:space="preserve">electricity </w:t>
      </w:r>
      <w:r w:rsidRPr="00611C65">
        <w:t xml:space="preserve">-transition scenarios are. </w:t>
      </w:r>
      <w:r w:rsidR="00F63164" w:rsidRPr="00611C65">
        <w:t>See the</w:t>
      </w:r>
      <w:r w:rsidR="006A617F" w:rsidRPr="00611C65">
        <w:t xml:space="preserve"> Supplementary material for a full documentation of model equations</w:t>
      </w:r>
      <w:r w:rsidR="00F63164" w:rsidRPr="00611C65">
        <w:t xml:space="preserve">. </w:t>
      </w:r>
    </w:p>
    <w:p w14:paraId="2F8EF20E" w14:textId="1B3177A0" w:rsidR="005A66CF" w:rsidRPr="00611C65" w:rsidRDefault="005A66CF" w:rsidP="00521230">
      <w:r w:rsidRPr="00611C65">
        <w:rPr>
          <w:b/>
        </w:rPr>
        <w:t xml:space="preserve">Figure </w:t>
      </w:r>
      <w:r w:rsidR="00F21313" w:rsidRPr="00611C65">
        <w:rPr>
          <w:b/>
        </w:rPr>
        <w:fldChar w:fldCharType="begin"/>
      </w:r>
      <w:r w:rsidR="00F21313" w:rsidRPr="00611C65">
        <w:rPr>
          <w:b/>
        </w:rPr>
        <w:instrText xml:space="preserve"> SEQ Figure \* ARABIC </w:instrText>
      </w:r>
      <w:r w:rsidR="00F21313" w:rsidRPr="00611C65">
        <w:rPr>
          <w:b/>
        </w:rPr>
        <w:fldChar w:fldCharType="separate"/>
      </w:r>
      <w:r w:rsidR="00F21313" w:rsidRPr="00611C65">
        <w:rPr>
          <w:b/>
          <w:noProof/>
        </w:rPr>
        <w:t>1</w:t>
      </w:r>
      <w:r w:rsidR="00F21313" w:rsidRPr="00611C65">
        <w:rPr>
          <w:b/>
        </w:rPr>
        <w:fldChar w:fldCharType="end"/>
      </w:r>
      <w:r w:rsidRPr="00611C65">
        <w:rPr>
          <w:b/>
        </w:rPr>
        <w:t>: Overview of</w:t>
      </w:r>
      <w:r w:rsidRPr="00611C65">
        <w:t xml:space="preserve"> </w:t>
      </w:r>
      <w:r w:rsidRPr="00611C65">
        <w:rPr>
          <w:b/>
        </w:rPr>
        <w:t>GIBM</w:t>
      </w:r>
      <w:r w:rsidRPr="00611C65">
        <w:t xml:space="preserve"> –The main causal relationships between model sectors. GIBM is visualised in the dashed box. </w:t>
      </w:r>
      <w:proofErr w:type="gramStart"/>
      <w:r w:rsidRPr="00611C65">
        <w:t>I.e.</w:t>
      </w:r>
      <w:proofErr w:type="gramEnd"/>
      <w:r w:rsidRPr="00611C65">
        <w:t xml:space="preserve"> the rest of the world is outside the GIBM. The model sectors in the parenthesis in the ‘Rest of the world’ box indicate that additional exogenous inputs from the rest of the world enter the model. </w:t>
      </w:r>
    </w:p>
    <w:p w14:paraId="4BA1E737" w14:textId="5D8580DB" w:rsidR="00D052AB" w:rsidRPr="00611C65" w:rsidRDefault="005A66CF">
      <w:r w:rsidRPr="00611C65">
        <w:rPr>
          <w:noProof/>
          <w:lang w:eastAsia="en-GB"/>
        </w:rPr>
        <w:drawing>
          <wp:inline distT="0" distB="0" distL="0" distR="0" wp14:anchorId="163F3876" wp14:editId="4626D3E5">
            <wp:extent cx="4660900" cy="4627335"/>
            <wp:effectExtent l="0" t="0" r="6350" b="1905"/>
            <wp:docPr id="5"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Figure 1"/>
                    <pic:cNvPicPr>
                      <a:picLocks noChangeAspect="1"/>
                    </pic:cNvPicPr>
                  </pic:nvPicPr>
                  <pic:blipFill>
                    <a:blip r:embed="rId8"/>
                    <a:stretch>
                      <a:fillRect/>
                    </a:stretch>
                  </pic:blipFill>
                  <pic:spPr>
                    <a:xfrm>
                      <a:off x="0" y="0"/>
                      <a:ext cx="4685980" cy="4652234"/>
                    </a:xfrm>
                    <a:prstGeom prst="rect">
                      <a:avLst/>
                    </a:prstGeom>
                  </pic:spPr>
                </pic:pic>
              </a:graphicData>
            </a:graphic>
          </wp:inline>
        </w:drawing>
      </w:r>
      <w:r w:rsidRPr="00611C65">
        <w:t xml:space="preserve"> </w:t>
      </w:r>
    </w:p>
    <w:p w14:paraId="602B259E" w14:textId="2141CD4A" w:rsidR="005B494C" w:rsidRPr="00611C65" w:rsidRDefault="005B494C" w:rsidP="00521230">
      <w:pPr>
        <w:pStyle w:val="Heading2"/>
        <w:rPr>
          <w:color w:val="auto"/>
        </w:rPr>
      </w:pPr>
      <w:r w:rsidRPr="00611C65">
        <w:rPr>
          <w:color w:val="auto"/>
        </w:rPr>
        <w:lastRenderedPageBreak/>
        <w:t>Scenario development</w:t>
      </w:r>
    </w:p>
    <w:p w14:paraId="33794035" w14:textId="4CB5ECC1" w:rsidR="006D312B" w:rsidRPr="00611C65" w:rsidRDefault="005B494C" w:rsidP="005B494C">
      <w:r w:rsidRPr="00611C65">
        <w:t xml:space="preserve">All our tested renewable </w:t>
      </w:r>
      <w:r w:rsidR="003064E3" w:rsidRPr="00611C65">
        <w:t xml:space="preserve">electricity </w:t>
      </w:r>
      <w:r w:rsidRPr="00611C65">
        <w:t xml:space="preserve">policy scenarios imply that new </w:t>
      </w:r>
      <w:r w:rsidR="003064E3" w:rsidRPr="00611C65">
        <w:t xml:space="preserve">electricity </w:t>
      </w:r>
      <w:r w:rsidRPr="00611C65">
        <w:t xml:space="preserve">capacity installations include only renewable </w:t>
      </w:r>
      <w:r w:rsidR="003064E3" w:rsidRPr="00611C65">
        <w:t xml:space="preserve">electricity </w:t>
      </w:r>
      <w:r w:rsidRPr="00611C65">
        <w:t xml:space="preserve">sources </w:t>
      </w:r>
      <w:r w:rsidR="006A617F" w:rsidRPr="00611C65">
        <w:t xml:space="preserve">plus CCS Gas </w:t>
      </w:r>
      <w:r w:rsidRPr="00611C65">
        <w:t>(</w:t>
      </w:r>
      <w:r w:rsidR="006A617F" w:rsidRPr="00611C65">
        <w:t xml:space="preserve">but </w:t>
      </w:r>
      <w:r w:rsidRPr="00611C65">
        <w:t xml:space="preserve">no </w:t>
      </w:r>
      <w:r w:rsidR="006A617F" w:rsidRPr="00611C65">
        <w:t xml:space="preserve">other </w:t>
      </w:r>
      <w:r w:rsidRPr="00611C65">
        <w:t xml:space="preserve">fossil fuel-fired or nuclear </w:t>
      </w:r>
      <w:proofErr w:type="gramStart"/>
      <w:r w:rsidR="006A617F" w:rsidRPr="00611C65">
        <w:t xml:space="preserve">power </w:t>
      </w:r>
      <w:r w:rsidRPr="00611C65">
        <w:t xml:space="preserve"> sources</w:t>
      </w:r>
      <w:proofErr w:type="gramEnd"/>
      <w:r w:rsidRPr="00611C65">
        <w:t xml:space="preserve">). </w:t>
      </w:r>
    </w:p>
    <w:p w14:paraId="50D0D217" w14:textId="3121F642" w:rsidR="006C7A75" w:rsidRPr="00611C65" w:rsidRDefault="005B494C" w:rsidP="005B494C">
      <w:r w:rsidRPr="00611C65">
        <w:t xml:space="preserve">Our moderate renewable </w:t>
      </w:r>
      <w:r w:rsidR="003064E3" w:rsidRPr="00611C65">
        <w:t xml:space="preserve">electricity </w:t>
      </w:r>
      <w:r w:rsidRPr="00611C65">
        <w:t xml:space="preserve">policy scenario includes in addition just enough early retirement of still operating brown </w:t>
      </w:r>
      <w:r w:rsidR="003064E3" w:rsidRPr="00611C65">
        <w:t xml:space="preserve">electricity </w:t>
      </w:r>
      <w:r w:rsidRPr="00611C65">
        <w:t xml:space="preserve">infrastructure to reach the net-zero emissions target for the </w:t>
      </w:r>
      <w:r w:rsidR="003064E3" w:rsidRPr="00611C65">
        <w:t xml:space="preserve">electricity </w:t>
      </w:r>
      <w:r w:rsidRPr="00611C65">
        <w:t xml:space="preserve">sector by 2050. In other words, the moderate </w:t>
      </w:r>
      <w:r w:rsidR="003064E3" w:rsidRPr="00611C65">
        <w:t xml:space="preserve">electricity </w:t>
      </w:r>
      <w:r w:rsidRPr="00611C65">
        <w:t xml:space="preserve">policy scenario corresponds to a scenario that allows the net-zero emissions target by 2050 for the </w:t>
      </w:r>
      <w:r w:rsidR="006A617F" w:rsidRPr="00611C65">
        <w:t xml:space="preserve">electricity </w:t>
      </w:r>
      <w:r w:rsidRPr="00611C65">
        <w:t xml:space="preserve">sector to be reached while maximising the use of existing brown </w:t>
      </w:r>
      <w:r w:rsidR="006A617F" w:rsidRPr="00611C65">
        <w:t>(</w:t>
      </w:r>
      <w:proofErr w:type="gramStart"/>
      <w:r w:rsidR="006A617F" w:rsidRPr="00611C65">
        <w:t>i.e.</w:t>
      </w:r>
      <w:proofErr w:type="gramEnd"/>
      <w:r w:rsidR="006A617F" w:rsidRPr="00611C65">
        <w:t xml:space="preserve"> coal and gas) </w:t>
      </w:r>
      <w:r w:rsidR="003064E3" w:rsidRPr="00611C65">
        <w:t xml:space="preserve">electricity </w:t>
      </w:r>
      <w:r w:rsidRPr="00611C65">
        <w:t xml:space="preserve">infrastructure. In addition, in contrast to the rapid </w:t>
      </w:r>
      <w:r w:rsidR="003064E3" w:rsidRPr="00611C65">
        <w:t xml:space="preserve">electricity </w:t>
      </w:r>
      <w:r w:rsidRPr="00611C65">
        <w:t xml:space="preserve">policy scenario, the moderate </w:t>
      </w:r>
      <w:r w:rsidR="003064E3" w:rsidRPr="00611C65">
        <w:t xml:space="preserve">electricity </w:t>
      </w:r>
      <w:r w:rsidRPr="00611C65">
        <w:t xml:space="preserve">policy scenario adopts the assumption that the shut-down of brown </w:t>
      </w:r>
      <w:r w:rsidR="003064E3" w:rsidRPr="00611C65">
        <w:t xml:space="preserve">electricity </w:t>
      </w:r>
      <w:r w:rsidRPr="00611C65">
        <w:t xml:space="preserve">infrastructure by the beginning of 2049 is planned from now on. Accordingly, the installations of the therefore required renewable </w:t>
      </w:r>
      <w:r w:rsidR="003064E3" w:rsidRPr="00611C65">
        <w:t xml:space="preserve">electricity </w:t>
      </w:r>
      <w:r w:rsidRPr="00611C65">
        <w:t xml:space="preserve">infrastructure start shortly after 2042, taking planning and construction time periods into account and results in emissions dropping sharply to zero in 2050. The medium </w:t>
      </w:r>
      <w:r w:rsidR="003064E3" w:rsidRPr="00611C65">
        <w:t xml:space="preserve">electricity </w:t>
      </w:r>
      <w:r w:rsidRPr="00611C65">
        <w:t xml:space="preserve">policy scenario aims at a linear decrease of installed brown </w:t>
      </w:r>
      <w:r w:rsidR="00513867" w:rsidRPr="00611C65">
        <w:t>(</w:t>
      </w:r>
      <w:proofErr w:type="gramStart"/>
      <w:r w:rsidR="00513867" w:rsidRPr="00611C65">
        <w:t>i.e.</w:t>
      </w:r>
      <w:proofErr w:type="gramEnd"/>
      <w:r w:rsidR="00513867" w:rsidRPr="00611C65">
        <w:t xml:space="preserve"> coal and gas) </w:t>
      </w:r>
      <w:r w:rsidR="003064E3" w:rsidRPr="00611C65">
        <w:t xml:space="preserve">electricity </w:t>
      </w:r>
      <w:r w:rsidRPr="00611C65">
        <w:t xml:space="preserve">capacity and annual emissions from 2020 onwards, and leads to net-zero emissions by 2050. The rapid </w:t>
      </w:r>
      <w:r w:rsidR="003064E3" w:rsidRPr="00611C65">
        <w:t xml:space="preserve">electricity </w:t>
      </w:r>
      <w:r w:rsidRPr="00611C65">
        <w:t xml:space="preserve">policy scenario further implies that all brown </w:t>
      </w:r>
      <w:r w:rsidR="0037207D" w:rsidRPr="00611C65">
        <w:t>(</w:t>
      </w:r>
      <w:proofErr w:type="gramStart"/>
      <w:r w:rsidR="0037207D" w:rsidRPr="00611C65">
        <w:t>i.e.</w:t>
      </w:r>
      <w:proofErr w:type="gramEnd"/>
      <w:r w:rsidR="0037207D" w:rsidRPr="00611C65">
        <w:t xml:space="preserve"> coal and gas) </w:t>
      </w:r>
      <w:r w:rsidRPr="00611C65">
        <w:t>capacity is shut-down immediately and that no new fossil fuel-</w:t>
      </w:r>
      <w:r w:rsidR="003E5BE1" w:rsidRPr="00611C65">
        <w:t xml:space="preserve"> or nuclear-</w:t>
      </w:r>
      <w:r w:rsidR="006A617F" w:rsidRPr="00611C65">
        <w:t>based</w:t>
      </w:r>
      <w:r w:rsidRPr="00611C65">
        <w:t xml:space="preserve"> </w:t>
      </w:r>
      <w:r w:rsidR="003064E3" w:rsidRPr="00611C65">
        <w:t xml:space="preserve">electricity </w:t>
      </w:r>
      <w:r w:rsidRPr="00611C65">
        <w:t xml:space="preserve">capacity is installed. </w:t>
      </w:r>
    </w:p>
    <w:p w14:paraId="6D04EBD6" w14:textId="1DABFA78" w:rsidR="005B494C" w:rsidRPr="00611C65" w:rsidRDefault="005B494C" w:rsidP="005F35B8">
      <w:pPr>
        <w:rPr>
          <w:b/>
        </w:rPr>
      </w:pPr>
      <w:proofErr w:type="gramStart"/>
      <w:r w:rsidRPr="00611C65">
        <w:t>All of</w:t>
      </w:r>
      <w:proofErr w:type="gramEnd"/>
      <w:r w:rsidRPr="00611C65">
        <w:t xml:space="preserve"> these policy scenarios are introduced by assumption and required policies to drive this investment change are not specified in this study. The different scenarios could be interpreted as a situation where government rules mandate </w:t>
      </w:r>
      <w:r w:rsidR="009A494A" w:rsidRPr="00611C65">
        <w:t>nuclear</w:t>
      </w:r>
      <w:r w:rsidR="003E5BE1" w:rsidRPr="00611C65">
        <w:t xml:space="preserve"> and </w:t>
      </w:r>
      <w:r w:rsidRPr="00611C65">
        <w:t xml:space="preserve">fossil fuel-fired plants to be phased out and/or shut-down. </w:t>
      </w:r>
      <w:r w:rsidR="003E5BE1" w:rsidRPr="00611C65">
        <w:t xml:space="preserve">As </w:t>
      </w:r>
      <w:r w:rsidR="009A494A" w:rsidRPr="00611C65">
        <w:t>mentioned</w:t>
      </w:r>
      <w:r w:rsidR="003E5BE1" w:rsidRPr="00611C65">
        <w:t xml:space="preserve"> before, w</w:t>
      </w:r>
      <w:r w:rsidRPr="00611C65">
        <w:t>e highlight that GIBM does not assess how the higher intermittency of higher shares of renewables can be balanced (</w:t>
      </w:r>
      <w:proofErr w:type="gramStart"/>
      <w:r w:rsidRPr="00611C65">
        <w:t>e.g.</w:t>
      </w:r>
      <w:proofErr w:type="gramEnd"/>
      <w:r w:rsidRPr="00611C65">
        <w:t xml:space="preserve"> by specifying technologies to deal with this</w:t>
      </w:r>
      <w:r w:rsidRPr="00611C65">
        <w:rPr>
          <w:rStyle w:val="FootnoteReference"/>
        </w:rPr>
        <w:footnoteReference w:id="3"/>
      </w:r>
      <w:r w:rsidRPr="00611C65">
        <w:t xml:space="preserve">) and that the expansion of renewable </w:t>
      </w:r>
      <w:r w:rsidR="003064E3" w:rsidRPr="00611C65">
        <w:t xml:space="preserve">electricity </w:t>
      </w:r>
      <w:r w:rsidRPr="00611C65">
        <w:t xml:space="preserve">sources is only restricted by the estimated technical potential of considered renewable </w:t>
      </w:r>
      <w:r w:rsidR="003064E3" w:rsidRPr="00611C65">
        <w:t xml:space="preserve">electricity </w:t>
      </w:r>
      <w:r w:rsidRPr="00611C65">
        <w:t xml:space="preserve">technologies. GIBM only simulates centralised </w:t>
      </w:r>
      <w:r w:rsidR="003064E3" w:rsidRPr="00611C65">
        <w:t xml:space="preserve">electricity </w:t>
      </w:r>
      <w:r w:rsidRPr="00611C65">
        <w:t xml:space="preserve">transition scenarios. Also relevant is that the UK low-carbon </w:t>
      </w:r>
      <w:r w:rsidR="003064E3" w:rsidRPr="00611C65">
        <w:t xml:space="preserve">electricity </w:t>
      </w:r>
      <w:r w:rsidRPr="00611C65">
        <w:t>transition scenarios can include carbon removal technologies (</w:t>
      </w:r>
      <w:proofErr w:type="gramStart"/>
      <w:r w:rsidRPr="00611C65">
        <w:t>e.g.</w:t>
      </w:r>
      <w:proofErr w:type="gramEnd"/>
      <w:r w:rsidRPr="00611C65">
        <w:t xml:space="preserve"> CCS, see CCC, 2019), however, while GIBM includes CCS Gas, </w:t>
      </w:r>
      <w:r w:rsidR="003E5BE1" w:rsidRPr="00611C65">
        <w:t xml:space="preserve">none of </w:t>
      </w:r>
      <w:r w:rsidRPr="00611C65">
        <w:t xml:space="preserve">our simulated </w:t>
      </w:r>
      <w:r w:rsidR="003064E3" w:rsidRPr="00611C65">
        <w:t xml:space="preserve">electricity </w:t>
      </w:r>
      <w:r w:rsidRPr="00611C65">
        <w:t>scenarios do</w:t>
      </w:r>
      <w:r w:rsidR="003E5BE1" w:rsidRPr="00611C65">
        <w:t xml:space="preserve">es </w:t>
      </w:r>
      <w:r w:rsidRPr="00611C65">
        <w:t xml:space="preserve">include CCS gas in the </w:t>
      </w:r>
      <w:r w:rsidR="003064E3" w:rsidRPr="00611C65">
        <w:t xml:space="preserve">electricity </w:t>
      </w:r>
      <w:r w:rsidRPr="00611C65">
        <w:t xml:space="preserve">mix due to the currently high costs of this technology. Finally, </w:t>
      </w:r>
      <w:proofErr w:type="gramStart"/>
      <w:r w:rsidRPr="00611C65">
        <w:t>all of</w:t>
      </w:r>
      <w:proofErr w:type="gramEnd"/>
      <w:r w:rsidRPr="00611C65">
        <w:t xml:space="preserve"> the tested low-carbon </w:t>
      </w:r>
      <w:r w:rsidR="003064E3" w:rsidRPr="00611C65">
        <w:t xml:space="preserve">electricity </w:t>
      </w:r>
      <w:r w:rsidRPr="00611C65">
        <w:t xml:space="preserve">transition policy scenarios are compared against the base-run which represents a no policy scenario. Although the UK has implemented </w:t>
      </w:r>
      <w:proofErr w:type="gramStart"/>
      <w:r w:rsidRPr="00611C65">
        <w:t>a number of</w:t>
      </w:r>
      <w:proofErr w:type="gramEnd"/>
      <w:r w:rsidRPr="00611C65">
        <w:t xml:space="preserve"> </w:t>
      </w:r>
      <w:r w:rsidR="003064E3" w:rsidRPr="00611C65">
        <w:t xml:space="preserve">electricity </w:t>
      </w:r>
      <w:r w:rsidRPr="00611C65">
        <w:t xml:space="preserve">policies these are not used as a base-run as the interest of this study lies in understanding the additional costs of different policy scenarios compared with a </w:t>
      </w:r>
      <w:r w:rsidR="003E5BE1" w:rsidRPr="00611C65">
        <w:t>base-run</w:t>
      </w:r>
      <w:r w:rsidRPr="00611C65">
        <w:t xml:space="preserve"> under no </w:t>
      </w:r>
      <w:r w:rsidR="003E5BE1" w:rsidRPr="00611C65">
        <w:t xml:space="preserve">major </w:t>
      </w:r>
      <w:r w:rsidRPr="00611C65">
        <w:t xml:space="preserve">climate constraint. </w:t>
      </w:r>
      <w:r w:rsidR="00864566" w:rsidRPr="00611C65">
        <w:t xml:space="preserve">Thereby, as investment decisions of energy firms are not only influenced by the costs of different energy production technologies, but also by a </w:t>
      </w:r>
      <w:r w:rsidR="009A494A" w:rsidRPr="00611C65">
        <w:t>behavioural</w:t>
      </w:r>
      <w:r w:rsidR="00864566" w:rsidRPr="00611C65">
        <w:t xml:space="preserve"> component, the base-run is not necessarily the most cost-effective scenario. </w:t>
      </w:r>
      <w:r w:rsidRPr="00611C65">
        <w:t xml:space="preserve">We note that the </w:t>
      </w:r>
      <w:proofErr w:type="gramStart"/>
      <w:r w:rsidRPr="00611C65">
        <w:t>all tested</w:t>
      </w:r>
      <w:proofErr w:type="gramEnd"/>
      <w:r w:rsidRPr="00611C65">
        <w:t xml:space="preserve"> scenarios and the base-run consider a carbon price in the operational costs of </w:t>
      </w:r>
      <w:r w:rsidR="003E5BE1" w:rsidRPr="00611C65">
        <w:t>fossil fuel-based</w:t>
      </w:r>
      <w:r w:rsidRPr="00611C65">
        <w:t xml:space="preserve"> </w:t>
      </w:r>
      <w:r w:rsidR="003064E3" w:rsidRPr="00611C65">
        <w:t xml:space="preserve">electricity </w:t>
      </w:r>
      <w:r w:rsidRPr="00611C65">
        <w:t>technologies</w:t>
      </w:r>
      <w:r w:rsidR="003E5BE1" w:rsidRPr="00611C65">
        <w:t xml:space="preserve">, as this is not considered as a major policy scheme. </w:t>
      </w:r>
    </w:p>
    <w:p w14:paraId="02F78292" w14:textId="400C1928" w:rsidR="00265B16" w:rsidRPr="00611C65" w:rsidRDefault="009330A9" w:rsidP="00521230">
      <w:pPr>
        <w:pStyle w:val="Heading2"/>
        <w:rPr>
          <w:color w:val="auto"/>
        </w:rPr>
      </w:pPr>
      <w:r w:rsidRPr="00611C65">
        <w:rPr>
          <w:color w:val="auto"/>
        </w:rPr>
        <w:lastRenderedPageBreak/>
        <w:t>Key features and additional</w:t>
      </w:r>
      <w:r w:rsidR="00B72438" w:rsidRPr="00611C65">
        <w:rPr>
          <w:color w:val="auto"/>
        </w:rPr>
        <w:t xml:space="preserve"> remarks</w:t>
      </w:r>
    </w:p>
    <w:p w14:paraId="740D8253" w14:textId="28939ACD" w:rsidR="00265B16" w:rsidRPr="00611C65" w:rsidRDefault="00265B16" w:rsidP="00265B16">
      <w:r w:rsidRPr="00611C65">
        <w:t xml:space="preserve">GIBM is smaller than a large-scale model, such as for example the Cambridge Economics E3ME model, but is larger than a stylised mathematical model. While the distinction between large-scale and small and stylised mathematical models is certainly not clear-cut, it can be said that large-scale models involve </w:t>
      </w:r>
      <w:proofErr w:type="gramStart"/>
      <w:r w:rsidRPr="00611C65">
        <w:t xml:space="preserve">a large </w:t>
      </w:r>
      <w:r w:rsidR="009A494A" w:rsidRPr="00611C65">
        <w:t>number</w:t>
      </w:r>
      <w:r w:rsidRPr="00611C65">
        <w:t xml:space="preserve"> of</w:t>
      </w:r>
      <w:proofErr w:type="gramEnd"/>
      <w:r w:rsidRPr="00611C65">
        <w:t xml:space="preserve"> variables and equations and cannot generally be solved </w:t>
      </w:r>
      <w:r w:rsidR="009A494A" w:rsidRPr="00611C65">
        <w:t>analytically but</w:t>
      </w:r>
      <w:r w:rsidRPr="00611C65">
        <w:t xml:space="preserve"> are solved numerically. Models are considered as stylized mathematical models if they contain relatively few equations. This latter type of model is more abstract than large-scale models and does not represent details; </w:t>
      </w:r>
      <w:proofErr w:type="gramStart"/>
      <w:r w:rsidRPr="00611C65">
        <w:t>instead</w:t>
      </w:r>
      <w:proofErr w:type="gramEnd"/>
      <w:r w:rsidRPr="00611C65">
        <w:t xml:space="preserve"> stylised models represent the main mechanisms relevant for a certain question or policy issue.</w:t>
      </w:r>
    </w:p>
    <w:p w14:paraId="454DA33D" w14:textId="264A54C8" w:rsidR="00265B16" w:rsidRPr="00611C65" w:rsidRDefault="00265B16" w:rsidP="00265B16">
      <w:r w:rsidRPr="00611C65">
        <w:t xml:space="preserve">Specially, </w:t>
      </w:r>
      <w:r w:rsidR="003E5BE1" w:rsidRPr="00611C65">
        <w:t>GIBM</w:t>
      </w:r>
      <w:r w:rsidRPr="00611C65">
        <w:t xml:space="preserve"> includes 313 stock variables and more than 3000 variables in total. The simulation horizon for this study included the period from 2016 to 2050, with time steps of 0.25 years. </w:t>
      </w:r>
    </w:p>
    <w:p w14:paraId="0B5831B7" w14:textId="1B169DF7" w:rsidR="00265B16" w:rsidRPr="00611C65" w:rsidRDefault="00265B16" w:rsidP="00265B16">
      <w:pPr>
        <w:pStyle w:val="ListParagraph"/>
        <w:numPr>
          <w:ilvl w:val="0"/>
          <w:numId w:val="13"/>
        </w:numPr>
      </w:pPr>
      <w:r w:rsidRPr="00611C65">
        <w:t xml:space="preserve">It includes a representation of the macroeconomy and a simplified representation of the </w:t>
      </w:r>
      <w:r w:rsidR="003064E3" w:rsidRPr="00611C65">
        <w:t xml:space="preserve">electricity </w:t>
      </w:r>
      <w:r w:rsidRPr="00611C65">
        <w:t xml:space="preserve">supply sector from a bottom-up </w:t>
      </w:r>
      <w:proofErr w:type="gramStart"/>
      <w:r w:rsidRPr="00611C65">
        <w:t>perspective;</w:t>
      </w:r>
      <w:proofErr w:type="gramEnd"/>
    </w:p>
    <w:p w14:paraId="5177E41D" w14:textId="2C88658A" w:rsidR="00265B16" w:rsidRPr="00611C65" w:rsidRDefault="00265B16" w:rsidP="00265B16">
      <w:pPr>
        <w:pStyle w:val="ListParagraph"/>
        <w:numPr>
          <w:ilvl w:val="0"/>
          <w:numId w:val="13"/>
        </w:numPr>
      </w:pPr>
      <w:r w:rsidRPr="00611C65">
        <w:t xml:space="preserve">Accordingly, it includes the endogenous simulation of key macroeconomic variables, such as GDP or unemployment, emissions (as key environmental indicators) emitted by the </w:t>
      </w:r>
      <w:r w:rsidR="003064E3" w:rsidRPr="00611C65">
        <w:t xml:space="preserve">electricity </w:t>
      </w:r>
      <w:r w:rsidRPr="00611C65">
        <w:t xml:space="preserve">supply sector and </w:t>
      </w:r>
      <w:r w:rsidR="003064E3" w:rsidRPr="00611C65">
        <w:t xml:space="preserve">electricity </w:t>
      </w:r>
      <w:r w:rsidRPr="00611C65">
        <w:t xml:space="preserve">system </w:t>
      </w:r>
      <w:proofErr w:type="gramStart"/>
      <w:r w:rsidRPr="00611C65">
        <w:t>costs;</w:t>
      </w:r>
      <w:proofErr w:type="gramEnd"/>
    </w:p>
    <w:p w14:paraId="7F7713EF" w14:textId="751B19BD" w:rsidR="00265B16" w:rsidRPr="00611C65" w:rsidRDefault="00265B16" w:rsidP="00265B16">
      <w:pPr>
        <w:pStyle w:val="ListParagraph"/>
        <w:numPr>
          <w:ilvl w:val="0"/>
          <w:numId w:val="13"/>
        </w:numPr>
      </w:pPr>
      <w:r w:rsidRPr="00611C65">
        <w:t xml:space="preserve">It is calibrated to the UK context and includes the most recent available cost projections for </w:t>
      </w:r>
      <w:r w:rsidR="003064E3" w:rsidRPr="00611C65">
        <w:t xml:space="preserve">electricity </w:t>
      </w:r>
      <w:r w:rsidRPr="00611C65">
        <w:t xml:space="preserve">production </w:t>
      </w:r>
      <w:proofErr w:type="gramStart"/>
      <w:r w:rsidRPr="00611C65">
        <w:t>technologies;</w:t>
      </w:r>
      <w:proofErr w:type="gramEnd"/>
    </w:p>
    <w:p w14:paraId="1644AB24" w14:textId="3D14583E" w:rsidR="00265B16" w:rsidRPr="00611C65" w:rsidRDefault="00265B16" w:rsidP="00265B16">
      <w:pPr>
        <w:pStyle w:val="ListParagraph"/>
        <w:numPr>
          <w:ilvl w:val="0"/>
          <w:numId w:val="13"/>
        </w:numPr>
      </w:pPr>
      <w:r w:rsidRPr="00611C65">
        <w:t xml:space="preserve">It allows for the simulation of different low-carbon </w:t>
      </w:r>
      <w:r w:rsidR="003064E3" w:rsidRPr="00611C65">
        <w:t xml:space="preserve">electricity </w:t>
      </w:r>
      <w:r w:rsidRPr="00611C65">
        <w:t xml:space="preserve">transition scenarios and enables their evaluation in terms of effects on GDP, unemployment, </w:t>
      </w:r>
      <w:proofErr w:type="gramStart"/>
      <w:r w:rsidRPr="00611C65">
        <w:t>emissions</w:t>
      </w:r>
      <w:proofErr w:type="gramEnd"/>
      <w:r w:rsidRPr="00611C65">
        <w:t xml:space="preserve"> and </w:t>
      </w:r>
      <w:r w:rsidR="003064E3" w:rsidRPr="00611C65">
        <w:t xml:space="preserve">electricity </w:t>
      </w:r>
      <w:r w:rsidRPr="00611C65">
        <w:t xml:space="preserve">system costs. </w:t>
      </w:r>
    </w:p>
    <w:p w14:paraId="63664C88" w14:textId="391063AF" w:rsidR="00265B16" w:rsidRPr="00611C65" w:rsidRDefault="00265B16" w:rsidP="00521230">
      <w:pPr>
        <w:pStyle w:val="Heading2"/>
        <w:rPr>
          <w:color w:val="auto"/>
        </w:rPr>
      </w:pPr>
      <w:r w:rsidRPr="00611C65">
        <w:rPr>
          <w:color w:val="auto"/>
        </w:rPr>
        <w:t>Model boundary and key limitations</w:t>
      </w:r>
    </w:p>
    <w:p w14:paraId="30474AF2" w14:textId="7197AEE4" w:rsidR="00265B16" w:rsidRPr="00611C65" w:rsidRDefault="00265B16" w:rsidP="00265B16">
      <w:r w:rsidRPr="00611C65">
        <w:t xml:space="preserve">GIBM is characterised by the following key limitations: </w:t>
      </w:r>
    </w:p>
    <w:p w14:paraId="1846B565" w14:textId="77777777" w:rsidR="00384D8F" w:rsidRPr="00611C65" w:rsidRDefault="00384D8F" w:rsidP="00384D8F">
      <w:r w:rsidRPr="00611C65">
        <w:t xml:space="preserve">The key features and novelties proposed by GIBM are summarized as follows: </w:t>
      </w:r>
    </w:p>
    <w:p w14:paraId="6BA9B583" w14:textId="44CD0EFC" w:rsidR="00384D8F" w:rsidRPr="00611C65" w:rsidRDefault="003E5BE1" w:rsidP="00384D8F">
      <w:pPr>
        <w:pStyle w:val="ListParagraph"/>
        <w:numPr>
          <w:ilvl w:val="0"/>
          <w:numId w:val="12"/>
        </w:numPr>
      </w:pPr>
      <w:r w:rsidRPr="00611C65">
        <w:rPr>
          <w:i/>
          <w:iCs/>
        </w:rPr>
        <w:t>Treatment of the energy supply sector</w:t>
      </w:r>
      <w:r w:rsidR="00384D8F" w:rsidRPr="00611C65">
        <w:t xml:space="preserve">: </w:t>
      </w:r>
      <w:bookmarkStart w:id="2" w:name="_Hlk64904105"/>
      <w:r w:rsidR="00384D8F" w:rsidRPr="00611C65">
        <w:t>Importantly, GIBM represent</w:t>
      </w:r>
      <w:r w:rsidRPr="00611C65">
        <w:t>s</w:t>
      </w:r>
      <w:r w:rsidR="00384D8F" w:rsidRPr="00611C65">
        <w:t xml:space="preserve"> the electricity supply sector endogenously. Other energy sources for the heating and transport sector are not covered in GIBM. The demand for ele</w:t>
      </w:r>
      <w:r w:rsidR="003760DB" w:rsidRPr="00611C65">
        <w:t>c</w:t>
      </w:r>
      <w:r w:rsidR="00384D8F" w:rsidRPr="00611C65">
        <w:t xml:space="preserve">tricity from the heating and transport sector are introduced exogenously, based on the Green Growth scenario of the National Grid (2018), which assumes an electrification of the heating and transport sector in line with the UK climate targets (see Supplementary Material). In the case of an </w:t>
      </w:r>
      <w:r w:rsidR="009A494A" w:rsidRPr="00611C65">
        <w:t>immediate</w:t>
      </w:r>
      <w:r w:rsidR="00384D8F" w:rsidRPr="00611C65">
        <w:t xml:space="preserve"> shut-down of fossil-fuel based power production, we do not assume any shifts from electricity-based heating towards traditional fossil-fuel based heating sources (</w:t>
      </w:r>
      <w:proofErr w:type="gramStart"/>
      <w:r w:rsidR="00384D8F" w:rsidRPr="00611C65">
        <w:t>e.g.</w:t>
      </w:r>
      <w:proofErr w:type="gramEnd"/>
      <w:r w:rsidR="00384D8F" w:rsidRPr="00611C65">
        <w:t xml:space="preserve"> gas heater) from the side of the consumers, as this would be ruled out by a decarbonisation scenario demanded for by the different social movements.</w:t>
      </w:r>
      <w:bookmarkEnd w:id="2"/>
      <w:r w:rsidR="00384D8F" w:rsidRPr="00611C65">
        <w:t xml:space="preserve"> </w:t>
      </w:r>
      <w:r w:rsidR="00384D8F" w:rsidRPr="00611C65">
        <w:rPr>
          <w:rFonts w:ascii="Calibri" w:eastAsia="Times New Roman" w:hAnsi="Calibri" w:cs="Calibri"/>
          <w:sz w:val="21"/>
          <w:szCs w:val="21"/>
          <w:lang w:eastAsia="en-GB"/>
        </w:rPr>
        <w:t xml:space="preserve">That is, the economic implications shown by GIBM concern only the decarbonisation of the power supply sector </w:t>
      </w:r>
      <w:r w:rsidR="009A494A" w:rsidRPr="00611C65">
        <w:rPr>
          <w:rFonts w:ascii="Calibri" w:eastAsia="Times New Roman" w:hAnsi="Calibri" w:cs="Calibri"/>
          <w:sz w:val="21"/>
          <w:szCs w:val="21"/>
          <w:lang w:eastAsia="en-GB"/>
        </w:rPr>
        <w:t>under</w:t>
      </w:r>
      <w:r w:rsidR="00384D8F" w:rsidRPr="00611C65">
        <w:rPr>
          <w:rFonts w:ascii="Calibri" w:eastAsia="Times New Roman" w:hAnsi="Calibri" w:cs="Calibri"/>
          <w:sz w:val="21"/>
          <w:szCs w:val="21"/>
          <w:lang w:eastAsia="en-GB"/>
        </w:rPr>
        <w:t xml:space="preserve"> the assumption of an increased electrification of the transport and heating sector as given in the Green Growth scenario of National Grid (2018). </w:t>
      </w:r>
    </w:p>
    <w:p w14:paraId="6692F00B" w14:textId="3152F605" w:rsidR="00265B16" w:rsidRPr="00611C65" w:rsidRDefault="00265B16" w:rsidP="00265B16">
      <w:pPr>
        <w:pStyle w:val="ListParagraph"/>
        <w:numPr>
          <w:ilvl w:val="0"/>
          <w:numId w:val="12"/>
        </w:numPr>
      </w:pPr>
      <w:r w:rsidRPr="00611C65">
        <w:rPr>
          <w:i/>
        </w:rPr>
        <w:t>Technical feasibility</w:t>
      </w:r>
      <w:r w:rsidRPr="00611C65">
        <w:t xml:space="preserve">: GIBM in its current form is not suitable to investigate the technical feasibility of the tested low-carbon </w:t>
      </w:r>
      <w:r w:rsidR="003064E3" w:rsidRPr="00611C65">
        <w:t xml:space="preserve">electricity </w:t>
      </w:r>
      <w:r w:rsidRPr="00611C65">
        <w:t xml:space="preserve">transition scenarios. That is, GIBM does not </w:t>
      </w:r>
      <w:r w:rsidRPr="00611C65">
        <w:lastRenderedPageBreak/>
        <w:t>include specific storage</w:t>
      </w:r>
      <w:r w:rsidRPr="00611C65">
        <w:rPr>
          <w:rStyle w:val="FootnoteReference"/>
        </w:rPr>
        <w:footnoteReference w:id="4"/>
      </w:r>
      <w:r w:rsidRPr="00611C65">
        <w:t>, other balancing (</w:t>
      </w:r>
      <w:proofErr w:type="gramStart"/>
      <w:r w:rsidRPr="00611C65">
        <w:t>e.g.</w:t>
      </w:r>
      <w:proofErr w:type="gramEnd"/>
      <w:r w:rsidRPr="00611C65">
        <w:t xml:space="preserve"> demand-management) or import possibilities that help to deal with higher intermittency of renewable </w:t>
      </w:r>
      <w:r w:rsidR="003064E3" w:rsidRPr="00611C65">
        <w:t xml:space="preserve">electricity </w:t>
      </w:r>
      <w:r w:rsidRPr="00611C65">
        <w:t xml:space="preserve">sources. In addition, the exploration of decentralised </w:t>
      </w:r>
      <w:r w:rsidR="003064E3" w:rsidRPr="00611C65">
        <w:t xml:space="preserve">electricity </w:t>
      </w:r>
      <w:r w:rsidRPr="00611C65">
        <w:t xml:space="preserve">transitions is beyond scope of the current model version. </w:t>
      </w:r>
    </w:p>
    <w:p w14:paraId="2E0FD2C1" w14:textId="01CB63C4" w:rsidR="00265B16" w:rsidRPr="00611C65" w:rsidRDefault="00265B16" w:rsidP="00265B16">
      <w:pPr>
        <w:pStyle w:val="ListParagraph"/>
        <w:numPr>
          <w:ilvl w:val="0"/>
          <w:numId w:val="12"/>
        </w:numPr>
      </w:pPr>
      <w:r w:rsidRPr="00611C65">
        <w:rPr>
          <w:i/>
        </w:rPr>
        <w:t>Stranded assets and instability in the financial system</w:t>
      </w:r>
      <w:r w:rsidRPr="00611C65">
        <w:t xml:space="preserve">: GIBM does not represent financial flows. Therefore, the current version of GIBM is not </w:t>
      </w:r>
      <w:r w:rsidR="002A7D5C" w:rsidRPr="00611C65">
        <w:t>appropriate</w:t>
      </w:r>
      <w:r w:rsidRPr="00611C65">
        <w:t xml:space="preserve"> to assess potential risks of very fast or low green </w:t>
      </w:r>
      <w:r w:rsidR="003064E3" w:rsidRPr="00611C65">
        <w:t xml:space="preserve">electricity </w:t>
      </w:r>
      <w:r w:rsidRPr="00611C65">
        <w:t xml:space="preserve">transition on stranded assets and financial instability. </w:t>
      </w:r>
    </w:p>
    <w:p w14:paraId="3014FA26" w14:textId="77777777" w:rsidR="00265B16" w:rsidRPr="00611C65" w:rsidRDefault="00265B16" w:rsidP="00265B16">
      <w:pPr>
        <w:pStyle w:val="ListParagraph"/>
        <w:numPr>
          <w:ilvl w:val="0"/>
          <w:numId w:val="12"/>
        </w:numPr>
      </w:pPr>
      <w:r w:rsidRPr="00611C65">
        <w:rPr>
          <w:i/>
        </w:rPr>
        <w:t>Country-scale model</w:t>
      </w:r>
      <w:r w:rsidRPr="00611C65">
        <w:t xml:space="preserve">: We opted for a country-scale model and therefore unlike global-scale integrated assessment models, GIBM does not consider global dynamics. The representation of climate change damages, climate change policy intervention of other countries or the representation of resource scarcity depending on global resource use lies beyond scope of the model.  </w:t>
      </w:r>
    </w:p>
    <w:p w14:paraId="3446818A" w14:textId="7EA1677F" w:rsidR="000C4200" w:rsidRPr="00611C65" w:rsidRDefault="000C4200">
      <w:pPr>
        <w:pStyle w:val="Heading1"/>
        <w:rPr>
          <w:color w:val="auto"/>
        </w:rPr>
      </w:pPr>
      <w:r w:rsidRPr="00611C65">
        <w:rPr>
          <w:color w:val="auto"/>
        </w:rPr>
        <w:t>Results</w:t>
      </w:r>
      <w:r w:rsidR="009330A9" w:rsidRPr="00611C65">
        <w:rPr>
          <w:color w:val="auto"/>
        </w:rPr>
        <w:t xml:space="preserve"> </w:t>
      </w:r>
    </w:p>
    <w:p w14:paraId="5867D939" w14:textId="6107C727" w:rsidR="00F80F07" w:rsidRPr="00611C65" w:rsidRDefault="00F80F07" w:rsidP="00123F24">
      <w:r w:rsidRPr="00611C65">
        <w:t>We have</w:t>
      </w:r>
      <w:r w:rsidR="00C5656B" w:rsidRPr="00611C65">
        <w:t xml:space="preserve"> developed </w:t>
      </w:r>
      <w:r w:rsidRPr="00611C65">
        <w:t xml:space="preserve">the </w:t>
      </w:r>
      <w:r w:rsidR="00993A06" w:rsidRPr="00611C65">
        <w:t xml:space="preserve">Green Investment Barrier </w:t>
      </w:r>
      <w:r w:rsidR="007725C5" w:rsidRPr="00611C65">
        <w:t>M</w:t>
      </w:r>
      <w:r w:rsidR="00993A06" w:rsidRPr="00611C65">
        <w:t>odel</w:t>
      </w:r>
      <w:r w:rsidR="007725C5" w:rsidRPr="00611C65">
        <w:t xml:space="preserve"> (GIBM)</w:t>
      </w:r>
      <w:r w:rsidR="000D7440" w:rsidRPr="00611C65">
        <w:t xml:space="preserve"> </w:t>
      </w:r>
      <w:r w:rsidR="0061580E" w:rsidRPr="00611C65">
        <w:t xml:space="preserve">and applied it </w:t>
      </w:r>
      <w:r w:rsidR="000D7440" w:rsidRPr="00611C65">
        <w:t>to the UK, f</w:t>
      </w:r>
      <w:r w:rsidR="0061580E" w:rsidRPr="00611C65">
        <w:t>or</w:t>
      </w:r>
      <w:r w:rsidR="000D7440" w:rsidRPr="00611C65">
        <w:t xml:space="preserve"> the period 2016</w:t>
      </w:r>
      <w:r w:rsidRPr="00611C65">
        <w:t xml:space="preserve"> to 2050</w:t>
      </w:r>
      <w:r w:rsidR="006065C1" w:rsidRPr="00611C65">
        <w:t xml:space="preserve">. </w:t>
      </w:r>
      <w:r w:rsidR="00F72AF3" w:rsidRPr="00611C65">
        <w:t>T</w:t>
      </w:r>
      <w:r w:rsidR="006065C1" w:rsidRPr="00611C65">
        <w:t xml:space="preserve">he different </w:t>
      </w:r>
      <w:r w:rsidR="003064E3" w:rsidRPr="00611C65">
        <w:t xml:space="preserve">electricity </w:t>
      </w:r>
      <w:r w:rsidR="006065C1" w:rsidRPr="00611C65">
        <w:t xml:space="preserve">policy scenarios </w:t>
      </w:r>
      <w:r w:rsidR="00286078" w:rsidRPr="00611C65">
        <w:t>were</w:t>
      </w:r>
      <w:r w:rsidR="00F72AF3" w:rsidRPr="00611C65">
        <w:t xml:space="preserve"> introduced </w:t>
      </w:r>
      <w:r w:rsidR="006065C1" w:rsidRPr="00611C65">
        <w:t>in 20</w:t>
      </w:r>
      <w:r w:rsidR="003D6A4C" w:rsidRPr="00611C65">
        <w:t>16</w:t>
      </w:r>
      <w:r w:rsidR="006065C1" w:rsidRPr="00611C65">
        <w:t xml:space="preserve">. </w:t>
      </w:r>
      <w:r w:rsidRPr="00611C65">
        <w:t xml:space="preserve">We choose to focus </w:t>
      </w:r>
      <w:proofErr w:type="gramStart"/>
      <w:r w:rsidRPr="00611C65">
        <w:t>at</w:t>
      </w:r>
      <w:proofErr w:type="gramEnd"/>
      <w:r w:rsidRPr="00611C65">
        <w:t xml:space="preserve"> country scale since national governments are </w:t>
      </w:r>
      <w:r w:rsidR="001954C3" w:rsidRPr="00611C65">
        <w:t xml:space="preserve">the </w:t>
      </w:r>
      <w:r w:rsidRPr="00611C65">
        <w:t xml:space="preserve">main decision takers on </w:t>
      </w:r>
      <w:r w:rsidR="003064E3" w:rsidRPr="00611C65">
        <w:t xml:space="preserve">electricity </w:t>
      </w:r>
      <w:r w:rsidRPr="00611C65">
        <w:t xml:space="preserve">and climate policies. </w:t>
      </w:r>
      <w:r w:rsidR="00993A06" w:rsidRPr="00611C65">
        <w:t>And as explained previously</w:t>
      </w:r>
      <w:r w:rsidRPr="00611C65">
        <w:t xml:space="preserve">, the UK is the first country that has adopted a net-zero </w:t>
      </w:r>
      <w:r w:rsidR="000279F5" w:rsidRPr="00611C65">
        <w:t xml:space="preserve">emissions </w:t>
      </w:r>
      <w:r w:rsidRPr="00611C65">
        <w:t>target for 2050</w:t>
      </w:r>
      <w:r w:rsidR="00865314" w:rsidRPr="00611C65">
        <w:t xml:space="preserve">. </w:t>
      </w:r>
    </w:p>
    <w:p w14:paraId="50BB8A68" w14:textId="1E9F7CCA" w:rsidR="00147DB3" w:rsidRPr="00611C65" w:rsidRDefault="00147DB3" w:rsidP="00123F24">
      <w:r w:rsidRPr="00611C65">
        <w:t xml:space="preserve">We </w:t>
      </w:r>
      <w:r w:rsidR="00813193" w:rsidRPr="00611C65">
        <w:t>show the simulation results for</w:t>
      </w:r>
      <w:r w:rsidRPr="00611C65">
        <w:t xml:space="preserve"> the following key policy </w:t>
      </w:r>
      <w:r w:rsidR="00813193" w:rsidRPr="00611C65">
        <w:t>indicators</w:t>
      </w:r>
      <w:r w:rsidRPr="00611C65">
        <w:t xml:space="preserve">: </w:t>
      </w:r>
    </w:p>
    <w:p w14:paraId="496B7712" w14:textId="32024CE8" w:rsidR="00EA3AB4" w:rsidRPr="00611C65" w:rsidRDefault="00EA3AB4" w:rsidP="00EA3AB4">
      <w:pPr>
        <w:pStyle w:val="ListParagraph"/>
        <w:numPr>
          <w:ilvl w:val="0"/>
          <w:numId w:val="8"/>
        </w:numPr>
        <w:spacing w:after="120" w:line="288" w:lineRule="auto"/>
        <w:rPr>
          <w:rFonts w:ascii="MinionPro-Regular" w:hAnsi="MinionPro-Regular" w:cs="MinionPro-Regular"/>
          <w:sz w:val="19"/>
          <w:szCs w:val="19"/>
        </w:rPr>
      </w:pPr>
      <w:r w:rsidRPr="00611C65">
        <w:t xml:space="preserve">Greenhouse gas emissions of the </w:t>
      </w:r>
      <w:r w:rsidR="003064E3" w:rsidRPr="00611C65">
        <w:t xml:space="preserve">electricity </w:t>
      </w:r>
      <w:r w:rsidRPr="00611C65">
        <w:t>supply system</w:t>
      </w:r>
    </w:p>
    <w:p w14:paraId="3AC3B745" w14:textId="77777777" w:rsidR="00EA3AB4" w:rsidRPr="00611C65" w:rsidRDefault="00EA3AB4" w:rsidP="00EA3AB4">
      <w:pPr>
        <w:pStyle w:val="ListParagraph"/>
        <w:numPr>
          <w:ilvl w:val="0"/>
          <w:numId w:val="8"/>
        </w:numPr>
        <w:spacing w:after="120" w:line="288" w:lineRule="auto"/>
        <w:rPr>
          <w:rFonts w:ascii="MinionPro-Regular" w:hAnsi="MinionPro-Regular" w:cs="MinionPro-Regular"/>
          <w:sz w:val="19"/>
          <w:szCs w:val="19"/>
        </w:rPr>
      </w:pPr>
      <w:r w:rsidRPr="00611C65">
        <w:t>GDP</w:t>
      </w:r>
    </w:p>
    <w:p w14:paraId="015AA1B8" w14:textId="77777777" w:rsidR="00EA3AB4" w:rsidRPr="00611C65" w:rsidRDefault="00EA3AB4" w:rsidP="00EA3AB4">
      <w:pPr>
        <w:pStyle w:val="ListParagraph"/>
        <w:numPr>
          <w:ilvl w:val="0"/>
          <w:numId w:val="8"/>
        </w:numPr>
        <w:spacing w:after="120" w:line="288" w:lineRule="auto"/>
        <w:rPr>
          <w:rFonts w:ascii="MinionPro-Regular" w:hAnsi="MinionPro-Regular" w:cs="MinionPro-Regular"/>
          <w:sz w:val="19"/>
          <w:szCs w:val="19"/>
        </w:rPr>
      </w:pPr>
      <w:r w:rsidRPr="00611C65">
        <w:t>Unemployed workers plus inactive working age population</w:t>
      </w:r>
    </w:p>
    <w:p w14:paraId="0CFAC68B" w14:textId="77777777" w:rsidR="00EA3AB4" w:rsidRPr="00611C65" w:rsidRDefault="00EA3AB4" w:rsidP="00EA3AB4">
      <w:pPr>
        <w:pStyle w:val="ListParagraph"/>
        <w:numPr>
          <w:ilvl w:val="0"/>
          <w:numId w:val="8"/>
        </w:numPr>
        <w:spacing w:after="120" w:line="288" w:lineRule="auto"/>
        <w:rPr>
          <w:rFonts w:ascii="MinionPro-Regular" w:hAnsi="MinionPro-Regular" w:cs="MinionPro-Regular"/>
          <w:sz w:val="19"/>
          <w:szCs w:val="19"/>
        </w:rPr>
      </w:pPr>
      <w:r w:rsidRPr="00611C65">
        <w:t>Electricity system costs</w:t>
      </w:r>
    </w:p>
    <w:p w14:paraId="0B9F8CE8" w14:textId="6B2D8EBA" w:rsidR="00EA3AB4" w:rsidRPr="00611C65" w:rsidRDefault="00EA3AB4" w:rsidP="00EA3AB4">
      <w:pPr>
        <w:pStyle w:val="ListParagraph"/>
        <w:numPr>
          <w:ilvl w:val="0"/>
          <w:numId w:val="8"/>
        </w:numPr>
        <w:spacing w:after="120" w:line="288" w:lineRule="auto"/>
        <w:rPr>
          <w:rFonts w:ascii="MinionPro-Regular" w:hAnsi="MinionPro-Regular" w:cs="MinionPro-Regular"/>
          <w:sz w:val="19"/>
          <w:szCs w:val="19"/>
        </w:rPr>
      </w:pPr>
      <w:r w:rsidRPr="00611C65">
        <w:t xml:space="preserve">Direct generated employment by the </w:t>
      </w:r>
      <w:r w:rsidR="003064E3" w:rsidRPr="00611C65">
        <w:t xml:space="preserve">electricity </w:t>
      </w:r>
      <w:r w:rsidRPr="00611C65">
        <w:t>transition</w:t>
      </w:r>
    </w:p>
    <w:p w14:paraId="09BF0501" w14:textId="4CC47EDF" w:rsidR="00E52245" w:rsidRPr="00611C65" w:rsidRDefault="000279F5" w:rsidP="00076364">
      <w:pPr>
        <w:pStyle w:val="ListParagraph"/>
        <w:numPr>
          <w:ilvl w:val="0"/>
          <w:numId w:val="8"/>
        </w:numPr>
        <w:rPr>
          <w:rFonts w:ascii="MinionPro-Regular" w:hAnsi="MinionPro-Regular" w:cs="MinionPro-Regular"/>
          <w:sz w:val="19"/>
          <w:szCs w:val="19"/>
        </w:rPr>
      </w:pPr>
      <w:r w:rsidRPr="00611C65">
        <w:t>I</w:t>
      </w:r>
      <w:r w:rsidR="00E52245" w:rsidRPr="00611C65">
        <w:t>mplicit carbon price</w:t>
      </w:r>
    </w:p>
    <w:p w14:paraId="2EF73D80" w14:textId="7D540D84" w:rsidR="006065C1" w:rsidRPr="00611C65" w:rsidRDefault="00FA3389" w:rsidP="00FC3C69">
      <w:r w:rsidRPr="00611C65">
        <w:t xml:space="preserve">We choose to define </w:t>
      </w:r>
      <w:r w:rsidR="00993A06" w:rsidRPr="00611C65">
        <w:t>‘unemployed’ in this study as sum of unemployed</w:t>
      </w:r>
      <w:r w:rsidR="00DB5EDB" w:rsidRPr="00611C65">
        <w:t xml:space="preserve"> and inactive</w:t>
      </w:r>
      <w:r w:rsidR="00993A06" w:rsidRPr="00611C65">
        <w:t xml:space="preserve"> </w:t>
      </w:r>
      <w:r w:rsidR="00435EAE" w:rsidRPr="00611C65">
        <w:t>workers</w:t>
      </w:r>
      <w:r w:rsidR="00DB5EDB" w:rsidRPr="00611C65">
        <w:t xml:space="preserve">, as </w:t>
      </w:r>
      <w:r w:rsidR="005767B4" w:rsidRPr="00611C65">
        <w:t xml:space="preserve">in GIBM, </w:t>
      </w:r>
      <w:r w:rsidR="00DB5EDB" w:rsidRPr="00611C65">
        <w:t>the number of people outside the labour force is dependent on the percentage of unemployme</w:t>
      </w:r>
      <w:r w:rsidR="00993A06" w:rsidRPr="00611C65">
        <w:t>nt du</w:t>
      </w:r>
      <w:r w:rsidR="00DB5EDB" w:rsidRPr="00611C65">
        <w:t>e</w:t>
      </w:r>
      <w:r w:rsidR="00993A06" w:rsidRPr="00611C65">
        <w:t xml:space="preserve"> to the so-called</w:t>
      </w:r>
      <w:r w:rsidR="00DB5EDB" w:rsidRPr="00611C65">
        <w:t xml:space="preserve"> ‘discouraged workers effect’</w:t>
      </w:r>
      <w:r w:rsidR="00993A06" w:rsidRPr="00611C65">
        <w:t xml:space="preserve"> </w:t>
      </w:r>
      <w:r w:rsidR="00A22C31" w:rsidRPr="00611C65">
        <w:t>(</w:t>
      </w:r>
      <w:proofErr w:type="gramStart"/>
      <w:r w:rsidR="00A22C31" w:rsidRPr="00611C65">
        <w:t>e.g.</w:t>
      </w:r>
      <w:proofErr w:type="gramEnd"/>
      <w:r w:rsidR="00A22C31" w:rsidRPr="00611C65">
        <w:t xml:space="preserve"> </w:t>
      </w:r>
      <w:proofErr w:type="spellStart"/>
      <w:r w:rsidR="00A22C31" w:rsidRPr="00611C65">
        <w:rPr>
          <w:shd w:val="clear" w:color="auto" w:fill="FFFFFF"/>
        </w:rPr>
        <w:t>Filatriau</w:t>
      </w:r>
      <w:proofErr w:type="spellEnd"/>
      <w:r w:rsidR="00A22C31" w:rsidRPr="00611C65">
        <w:rPr>
          <w:shd w:val="clear" w:color="auto" w:fill="FFFFFF"/>
        </w:rPr>
        <w:t xml:space="preserve"> &amp; </w:t>
      </w:r>
      <w:proofErr w:type="spellStart"/>
      <w:r w:rsidR="00A22C31" w:rsidRPr="00611C65">
        <w:rPr>
          <w:shd w:val="clear" w:color="auto" w:fill="FFFFFF"/>
        </w:rPr>
        <w:t>Reynès</w:t>
      </w:r>
      <w:proofErr w:type="spellEnd"/>
      <w:r w:rsidR="00A22C31" w:rsidRPr="00611C65">
        <w:rPr>
          <w:shd w:val="clear" w:color="auto" w:fill="FFFFFF"/>
        </w:rPr>
        <w:t>, 2012)</w:t>
      </w:r>
      <w:r w:rsidR="00DB5EDB" w:rsidRPr="00611C65">
        <w:t xml:space="preserve">. </w:t>
      </w:r>
      <w:r w:rsidR="00993A06" w:rsidRPr="00611C65">
        <w:t xml:space="preserve">That is, </w:t>
      </w:r>
      <w:r w:rsidRPr="00611C65">
        <w:t xml:space="preserve">a large part </w:t>
      </w:r>
      <w:r w:rsidR="00D451B9" w:rsidRPr="00611C65">
        <w:t xml:space="preserve">of </w:t>
      </w:r>
      <w:r w:rsidRPr="00611C65">
        <w:t xml:space="preserve">the inactive labour force consists of individuals who although would desire to work, decided to stay outside the labour force. In our study, </w:t>
      </w:r>
      <w:r w:rsidR="00993A06" w:rsidRPr="00611C65">
        <w:t xml:space="preserve">we opted to include these otherwise ‘hidden’ </w:t>
      </w:r>
      <w:r w:rsidRPr="00611C65">
        <w:t xml:space="preserve">individuals </w:t>
      </w:r>
      <w:r w:rsidR="00993A06" w:rsidRPr="00611C65">
        <w:t>in our policy evaluation</w:t>
      </w:r>
      <w:r w:rsidR="00A22C31" w:rsidRPr="00611C65">
        <w:t xml:space="preserve"> (see </w:t>
      </w:r>
      <w:r w:rsidR="00B85BEA" w:rsidRPr="00611C65">
        <w:t xml:space="preserve">also </w:t>
      </w:r>
      <w:r w:rsidR="00A22C31" w:rsidRPr="00611C65">
        <w:t>Supplementary Information)</w:t>
      </w:r>
      <w:r w:rsidR="00993A06" w:rsidRPr="00611C65">
        <w:t xml:space="preserve">. </w:t>
      </w:r>
      <w:r w:rsidR="003064E3" w:rsidRPr="00611C65">
        <w:t xml:space="preserve">Electricity </w:t>
      </w:r>
      <w:r w:rsidR="00813193" w:rsidRPr="00611C65">
        <w:t>system costs are defined as the sum of the</w:t>
      </w:r>
      <w:r w:rsidR="008D6F86" w:rsidRPr="00611C65">
        <w:t xml:space="preserve"> </w:t>
      </w:r>
      <w:proofErr w:type="spellStart"/>
      <w:r w:rsidR="008D6F86" w:rsidRPr="00611C65">
        <w:t>Levelised</w:t>
      </w:r>
      <w:proofErr w:type="spellEnd"/>
      <w:r w:rsidR="008D6F86" w:rsidRPr="00611C65">
        <w:t xml:space="preserve"> Costs of Energy (</w:t>
      </w:r>
      <w:r w:rsidR="00813193" w:rsidRPr="00611C65">
        <w:t>LCOE</w:t>
      </w:r>
      <w:r w:rsidR="008D6F86" w:rsidRPr="00611C65">
        <w:t>)</w:t>
      </w:r>
      <w:r w:rsidR="00813193" w:rsidRPr="00611C65">
        <w:t xml:space="preserve"> for new </w:t>
      </w:r>
      <w:r w:rsidR="003064E3" w:rsidRPr="00611C65">
        <w:t xml:space="preserve">electricity </w:t>
      </w:r>
      <w:r w:rsidR="00993A06" w:rsidRPr="00611C65">
        <w:t xml:space="preserve">infrastructure </w:t>
      </w:r>
      <w:r w:rsidR="00813193" w:rsidRPr="00611C65">
        <w:t xml:space="preserve">and the storage and </w:t>
      </w:r>
      <w:r w:rsidR="00E52245" w:rsidRPr="00611C65">
        <w:t>interconnections</w:t>
      </w:r>
      <w:r w:rsidR="00813193" w:rsidRPr="00611C65">
        <w:t xml:space="preserve"> </w:t>
      </w:r>
      <w:r w:rsidR="00E52245" w:rsidRPr="00611C65">
        <w:t>costs</w:t>
      </w:r>
      <w:r w:rsidR="00993A06" w:rsidRPr="00611C65">
        <w:t xml:space="preserve"> of new installations in a particular year</w:t>
      </w:r>
      <w:r w:rsidR="00813193" w:rsidRPr="00611C65">
        <w:t xml:space="preserve">. The costs of </w:t>
      </w:r>
      <w:r w:rsidR="003064E3" w:rsidRPr="00611C65">
        <w:t xml:space="preserve">electricity </w:t>
      </w:r>
      <w:r w:rsidR="00E52245" w:rsidRPr="00611C65">
        <w:t>imports</w:t>
      </w:r>
      <w:r w:rsidR="00813193" w:rsidRPr="00611C65">
        <w:t xml:space="preserve"> are</w:t>
      </w:r>
      <w:r w:rsidR="00FC3C69" w:rsidRPr="00611C65">
        <w:t xml:space="preserve"> </w:t>
      </w:r>
      <w:r w:rsidR="00813193" w:rsidRPr="00611C65">
        <w:t xml:space="preserve">not included in </w:t>
      </w:r>
      <w:r w:rsidR="003064E3" w:rsidRPr="00611C65">
        <w:t xml:space="preserve">electricity </w:t>
      </w:r>
      <w:r w:rsidR="00993A06" w:rsidRPr="00611C65">
        <w:t>system</w:t>
      </w:r>
      <w:r w:rsidR="00813193" w:rsidRPr="00611C65">
        <w:t xml:space="preserve"> costs for simplicity </w:t>
      </w:r>
      <w:r w:rsidR="00993A06" w:rsidRPr="00611C65">
        <w:t xml:space="preserve">and because </w:t>
      </w:r>
      <w:r w:rsidR="00813193" w:rsidRPr="00611C65">
        <w:t xml:space="preserve">they are assumed to be independent from the </w:t>
      </w:r>
      <w:r w:rsidR="003064E3" w:rsidRPr="00611C65">
        <w:t xml:space="preserve">electricity </w:t>
      </w:r>
      <w:r w:rsidR="00E52245" w:rsidRPr="00611C65">
        <w:t xml:space="preserve">transition scenario chosen (and thus they have no impact on the difference of </w:t>
      </w:r>
      <w:r w:rsidR="003064E3" w:rsidRPr="00611C65">
        <w:t xml:space="preserve">electricity </w:t>
      </w:r>
      <w:r w:rsidR="00E52245" w:rsidRPr="00611C65">
        <w:t xml:space="preserve">system costs between scenarios). </w:t>
      </w:r>
      <w:r w:rsidR="00EA3AB4" w:rsidRPr="00611C65">
        <w:t xml:space="preserve">We also indicate the results </w:t>
      </w:r>
      <w:r w:rsidR="00492D90" w:rsidRPr="00611C65">
        <w:t xml:space="preserve">both in annual and </w:t>
      </w:r>
      <w:r w:rsidR="00EA3AB4" w:rsidRPr="00611C65">
        <w:t xml:space="preserve">accumulated terms </w:t>
      </w:r>
      <w:r w:rsidR="00BD45E1" w:rsidRPr="00611C65">
        <w:t xml:space="preserve">(see table </w:t>
      </w:r>
      <w:r w:rsidR="00866CAC" w:rsidRPr="00611C65">
        <w:t>1</w:t>
      </w:r>
      <w:r w:rsidR="00BD45E1" w:rsidRPr="00611C65">
        <w:t xml:space="preserve">); </w:t>
      </w:r>
      <w:r w:rsidR="00EA3AB4" w:rsidRPr="00611C65">
        <w:t>thereby, ‘accumulated’ means that the annual amount of each of the chosen policy variables is added up/accumulated from 2016 to 2050 (</w:t>
      </w:r>
      <w:proofErr w:type="gramStart"/>
      <w:r w:rsidR="00EA3AB4" w:rsidRPr="00611C65">
        <w:t>i.e.</w:t>
      </w:r>
      <w:proofErr w:type="gramEnd"/>
      <w:r w:rsidR="00EA3AB4" w:rsidRPr="00611C65">
        <w:t xml:space="preserve"> over the simulation time horizon).</w:t>
      </w:r>
      <w:r w:rsidR="00E14132" w:rsidRPr="00611C65">
        <w:t xml:space="preserve"> </w:t>
      </w:r>
      <w:r w:rsidR="00DE31A3" w:rsidRPr="00611C65">
        <w:t>Specifically, t</w:t>
      </w:r>
      <w:r w:rsidR="000536BD" w:rsidRPr="00611C65">
        <w:t xml:space="preserve">able 1 </w:t>
      </w:r>
      <w:r w:rsidRPr="00611C65">
        <w:t>show</w:t>
      </w:r>
      <w:r w:rsidR="00DE31A3" w:rsidRPr="00611C65">
        <w:t>s</w:t>
      </w:r>
      <w:r w:rsidR="00FC3C69" w:rsidRPr="00611C65">
        <w:t xml:space="preserve"> the </w:t>
      </w:r>
      <w:r w:rsidR="00993A06" w:rsidRPr="00611C65">
        <w:t xml:space="preserve">simulation results of the </w:t>
      </w:r>
      <w:r w:rsidR="003064E3" w:rsidRPr="00611C65">
        <w:t xml:space="preserve">electricity </w:t>
      </w:r>
      <w:r w:rsidR="00993A06" w:rsidRPr="00611C65">
        <w:t xml:space="preserve">policy scenarios in </w:t>
      </w:r>
      <w:r w:rsidR="00DE31A3" w:rsidRPr="00611C65">
        <w:lastRenderedPageBreak/>
        <w:t xml:space="preserve">accumulated </w:t>
      </w:r>
      <w:r w:rsidR="00993A06" w:rsidRPr="00611C65">
        <w:t xml:space="preserve">terms of the </w:t>
      </w:r>
      <w:r w:rsidR="00FC3C69" w:rsidRPr="00611C65">
        <w:t xml:space="preserve">chosen policy indicators as percentage against the base-run simulation results. </w:t>
      </w:r>
    </w:p>
    <w:p w14:paraId="73DDF115" w14:textId="5B99F896" w:rsidR="006065C1" w:rsidRPr="00611C65" w:rsidRDefault="006065C1" w:rsidP="00477A4A">
      <w:pPr>
        <w:pStyle w:val="Caption"/>
        <w:keepNext/>
        <w:spacing w:line="276" w:lineRule="auto"/>
        <w:rPr>
          <w:rFonts w:asciiTheme="minorHAnsi" w:hAnsiTheme="minorHAnsi" w:cstheme="minorHAnsi"/>
          <w:b w:val="0"/>
          <w:szCs w:val="20"/>
        </w:rPr>
      </w:pPr>
      <w:r w:rsidRPr="00611C65">
        <w:rPr>
          <w:rFonts w:asciiTheme="minorHAnsi" w:hAnsiTheme="minorHAnsi" w:cstheme="minorHAnsi"/>
          <w:szCs w:val="20"/>
        </w:rPr>
        <w:t xml:space="preserve">Table </w:t>
      </w:r>
      <w:r w:rsidRPr="00611C65">
        <w:rPr>
          <w:rFonts w:cstheme="minorHAnsi"/>
          <w:szCs w:val="20"/>
        </w:rPr>
        <w:fldChar w:fldCharType="begin"/>
      </w:r>
      <w:r w:rsidRPr="00611C65">
        <w:rPr>
          <w:rFonts w:asciiTheme="minorHAnsi" w:hAnsiTheme="minorHAnsi" w:cstheme="minorHAnsi"/>
          <w:szCs w:val="20"/>
        </w:rPr>
        <w:instrText xml:space="preserve"> SEQ Table \* ARABIC </w:instrText>
      </w:r>
      <w:r w:rsidRPr="00611C65">
        <w:rPr>
          <w:rFonts w:cstheme="minorHAnsi"/>
          <w:szCs w:val="20"/>
        </w:rPr>
        <w:fldChar w:fldCharType="separate"/>
      </w:r>
      <w:r w:rsidR="002A7D5C" w:rsidRPr="00611C65">
        <w:rPr>
          <w:rFonts w:asciiTheme="minorHAnsi" w:hAnsiTheme="minorHAnsi" w:cstheme="minorHAnsi"/>
          <w:noProof/>
          <w:szCs w:val="20"/>
        </w:rPr>
        <w:t>1</w:t>
      </w:r>
      <w:r w:rsidRPr="00611C65">
        <w:rPr>
          <w:rFonts w:cstheme="minorHAnsi"/>
          <w:szCs w:val="20"/>
        </w:rPr>
        <w:fldChar w:fldCharType="end"/>
      </w:r>
      <w:r w:rsidRPr="00611C65">
        <w:rPr>
          <w:rFonts w:asciiTheme="minorHAnsi" w:hAnsiTheme="minorHAnsi" w:cstheme="minorHAnsi"/>
          <w:szCs w:val="20"/>
        </w:rPr>
        <w:t xml:space="preserve">: Overview on policy outcomes of the tested scenarios: </w:t>
      </w:r>
      <w:r w:rsidRPr="00611C65">
        <w:rPr>
          <w:rFonts w:asciiTheme="minorHAnsi" w:hAnsiTheme="minorHAnsi" w:cstheme="minorHAnsi"/>
          <w:b w:val="0"/>
          <w:szCs w:val="20"/>
        </w:rPr>
        <w:t xml:space="preserve">red colour highlights the worst achieved results and the blue colour the best achieved one of all tested low-carbon policy scenarios, impacts on </w:t>
      </w:r>
      <w:r w:rsidRPr="00611C65">
        <w:rPr>
          <w:rFonts w:asciiTheme="minorHAnsi" w:hAnsiTheme="minorHAnsi" w:cstheme="minorHAnsi"/>
          <w:bCs/>
          <w:i/>
          <w:iCs w:val="0"/>
          <w:szCs w:val="20"/>
        </w:rPr>
        <w:t>accumulated</w:t>
      </w:r>
      <w:r w:rsidRPr="00611C65">
        <w:rPr>
          <w:rFonts w:asciiTheme="minorHAnsi" w:hAnsiTheme="minorHAnsi" w:cstheme="minorHAnsi"/>
          <w:b w:val="0"/>
          <w:szCs w:val="20"/>
        </w:rPr>
        <w:t xml:space="preserve"> variables from 2020 to 2050</w:t>
      </w:r>
      <w:r w:rsidR="00280EFD" w:rsidRPr="00611C65">
        <w:rPr>
          <w:rFonts w:asciiTheme="minorHAnsi" w:hAnsiTheme="minorHAnsi" w:cstheme="minorHAnsi"/>
          <w:b w:val="0"/>
          <w:szCs w:val="20"/>
        </w:rPr>
        <w:t xml:space="preserve"> in percentage compared to the base-run</w:t>
      </w:r>
      <w:r w:rsidRPr="00611C65">
        <w:rPr>
          <w:rFonts w:asciiTheme="minorHAnsi" w:hAnsiTheme="minorHAnsi" w:cstheme="minorHAnsi"/>
          <w:b w:val="0"/>
          <w:szCs w:val="20"/>
        </w:rPr>
        <w:t xml:space="preserve">. </w:t>
      </w:r>
    </w:p>
    <w:tbl>
      <w:tblPr>
        <w:tblW w:w="5000" w:type="pct"/>
        <w:tblLook w:val="04A0" w:firstRow="1" w:lastRow="0" w:firstColumn="1" w:lastColumn="0" w:noHBand="0" w:noVBand="1"/>
      </w:tblPr>
      <w:tblGrid>
        <w:gridCol w:w="1606"/>
        <w:gridCol w:w="1483"/>
        <w:gridCol w:w="1483"/>
        <w:gridCol w:w="1483"/>
        <w:gridCol w:w="1483"/>
        <w:gridCol w:w="1483"/>
      </w:tblGrid>
      <w:tr w:rsidR="00611C65" w:rsidRPr="00611C65" w14:paraId="41AF796F" w14:textId="77777777" w:rsidTr="00C03862">
        <w:trPr>
          <w:trHeight w:val="290"/>
        </w:trPr>
        <w:tc>
          <w:tcPr>
            <w:tcW w:w="890" w:type="pct"/>
            <w:tcBorders>
              <w:bottom w:val="single" w:sz="4" w:space="0" w:color="auto"/>
              <w:right w:val="single" w:sz="4" w:space="0" w:color="auto"/>
            </w:tcBorders>
            <w:shd w:val="clear" w:color="000000" w:fill="FFFFFF"/>
            <w:noWrap/>
            <w:vAlign w:val="bottom"/>
            <w:hideMark/>
          </w:tcPr>
          <w:p w14:paraId="4D35429D" w14:textId="77777777" w:rsidR="00C03862" w:rsidRPr="00611C65" w:rsidRDefault="00C03862" w:rsidP="00C03862">
            <w:pPr>
              <w:spacing w:after="0" w:line="240" w:lineRule="auto"/>
              <w:jc w:val="left"/>
              <w:rPr>
                <w:rFonts w:ascii="Calibri" w:eastAsia="Times New Roman" w:hAnsi="Calibri" w:cs="Calibri"/>
                <w:sz w:val="18"/>
                <w:szCs w:val="18"/>
                <w:lang w:eastAsia="en-GB"/>
              </w:rPr>
            </w:pPr>
            <w:r w:rsidRPr="00611C65">
              <w:rPr>
                <w:rFonts w:ascii="Calibri" w:eastAsia="Times New Roman" w:hAnsi="Calibri" w:cs="Calibri"/>
                <w:sz w:val="18"/>
                <w:szCs w:val="18"/>
                <w:lang w:eastAsia="en-GB"/>
              </w:rPr>
              <w:t> </w:t>
            </w:r>
          </w:p>
        </w:tc>
        <w:tc>
          <w:tcPr>
            <w:tcW w:w="822"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F4956D5" w14:textId="77777777" w:rsidR="00C03862" w:rsidRPr="00611C65" w:rsidRDefault="00C03862" w:rsidP="00C03862">
            <w:pPr>
              <w:spacing w:after="0" w:line="240" w:lineRule="auto"/>
              <w:jc w:val="center"/>
              <w:rPr>
                <w:rFonts w:ascii="Calibri" w:eastAsia="Times New Roman" w:hAnsi="Calibri" w:cs="Calibri"/>
                <w:i/>
                <w:iCs/>
                <w:sz w:val="18"/>
                <w:szCs w:val="18"/>
                <w:lang w:eastAsia="en-GB"/>
              </w:rPr>
            </w:pPr>
            <w:r w:rsidRPr="00611C65">
              <w:rPr>
                <w:rFonts w:ascii="Calibri" w:eastAsia="Times New Roman" w:hAnsi="Calibri" w:cs="Calibri"/>
                <w:i/>
                <w:iCs/>
                <w:sz w:val="18"/>
                <w:szCs w:val="18"/>
                <w:lang w:eastAsia="en-GB"/>
              </w:rPr>
              <w:t>Emissions (%)</w:t>
            </w:r>
          </w:p>
        </w:tc>
        <w:tc>
          <w:tcPr>
            <w:tcW w:w="822" w:type="pct"/>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0B94DC09" w14:textId="77777777" w:rsidR="00C03862" w:rsidRPr="00611C65" w:rsidRDefault="00C03862" w:rsidP="00C03862">
            <w:pPr>
              <w:spacing w:after="0" w:line="240" w:lineRule="auto"/>
              <w:jc w:val="center"/>
              <w:rPr>
                <w:rFonts w:ascii="Calibri" w:eastAsia="Times New Roman" w:hAnsi="Calibri" w:cs="Calibri"/>
                <w:i/>
                <w:iCs/>
                <w:sz w:val="18"/>
                <w:szCs w:val="18"/>
                <w:lang w:eastAsia="en-GB"/>
              </w:rPr>
            </w:pPr>
            <w:r w:rsidRPr="00611C65">
              <w:rPr>
                <w:rFonts w:ascii="Calibri" w:eastAsia="Times New Roman" w:hAnsi="Calibri" w:cs="Calibri"/>
                <w:i/>
                <w:iCs/>
                <w:sz w:val="18"/>
                <w:szCs w:val="18"/>
                <w:lang w:eastAsia="en-GB"/>
              </w:rPr>
              <w:t>GDP (%)</w:t>
            </w:r>
          </w:p>
        </w:tc>
        <w:tc>
          <w:tcPr>
            <w:tcW w:w="822" w:type="pct"/>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68C9F0A7" w14:textId="77777777" w:rsidR="00C03862" w:rsidRPr="00611C65" w:rsidRDefault="00C03862" w:rsidP="00C03862">
            <w:pPr>
              <w:spacing w:after="0" w:line="240" w:lineRule="auto"/>
              <w:jc w:val="center"/>
              <w:rPr>
                <w:rFonts w:ascii="Calibri" w:eastAsia="Times New Roman" w:hAnsi="Calibri" w:cs="Calibri"/>
                <w:i/>
                <w:iCs/>
                <w:sz w:val="18"/>
                <w:szCs w:val="18"/>
                <w:lang w:eastAsia="en-GB"/>
              </w:rPr>
            </w:pPr>
            <w:r w:rsidRPr="00611C65">
              <w:rPr>
                <w:rFonts w:ascii="Calibri" w:eastAsia="Times New Roman" w:hAnsi="Calibri" w:cs="Calibri"/>
                <w:i/>
                <w:iCs/>
                <w:sz w:val="18"/>
                <w:szCs w:val="18"/>
                <w:lang w:eastAsia="en-GB"/>
              </w:rPr>
              <w:t>Unemployment (%)</w:t>
            </w:r>
          </w:p>
        </w:tc>
        <w:tc>
          <w:tcPr>
            <w:tcW w:w="822" w:type="pct"/>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26221707" w14:textId="77777777" w:rsidR="00C03862" w:rsidRPr="00611C65" w:rsidRDefault="00C03862" w:rsidP="00C03862">
            <w:pPr>
              <w:spacing w:after="0" w:line="240" w:lineRule="auto"/>
              <w:jc w:val="center"/>
              <w:rPr>
                <w:rFonts w:ascii="Calibri" w:eastAsia="Times New Roman" w:hAnsi="Calibri" w:cs="Calibri"/>
                <w:i/>
                <w:iCs/>
                <w:sz w:val="18"/>
                <w:szCs w:val="18"/>
                <w:lang w:eastAsia="en-GB"/>
              </w:rPr>
            </w:pPr>
            <w:r w:rsidRPr="00611C65">
              <w:rPr>
                <w:rFonts w:ascii="Calibri" w:eastAsia="Times New Roman" w:hAnsi="Calibri" w:cs="Calibri"/>
                <w:i/>
                <w:iCs/>
                <w:sz w:val="18"/>
                <w:szCs w:val="18"/>
                <w:lang w:eastAsia="en-GB"/>
              </w:rPr>
              <w:t>Direct employment (%)</w:t>
            </w:r>
          </w:p>
        </w:tc>
        <w:tc>
          <w:tcPr>
            <w:tcW w:w="822" w:type="pct"/>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04DA31A7" w14:textId="77777777" w:rsidR="00C03862" w:rsidRPr="00611C65" w:rsidRDefault="00C03862" w:rsidP="00C03862">
            <w:pPr>
              <w:spacing w:after="0" w:line="240" w:lineRule="auto"/>
              <w:jc w:val="center"/>
              <w:rPr>
                <w:rFonts w:ascii="Calibri" w:eastAsia="Times New Roman" w:hAnsi="Calibri" w:cs="Calibri"/>
                <w:i/>
                <w:iCs/>
                <w:sz w:val="18"/>
                <w:szCs w:val="18"/>
                <w:lang w:eastAsia="en-GB"/>
              </w:rPr>
            </w:pPr>
            <w:r w:rsidRPr="00611C65">
              <w:rPr>
                <w:rFonts w:ascii="Calibri" w:eastAsia="Times New Roman" w:hAnsi="Calibri" w:cs="Calibri"/>
                <w:i/>
                <w:iCs/>
                <w:sz w:val="18"/>
                <w:szCs w:val="18"/>
                <w:lang w:eastAsia="en-GB"/>
              </w:rPr>
              <w:t>Electricity system costs (%)</w:t>
            </w:r>
          </w:p>
        </w:tc>
      </w:tr>
      <w:tr w:rsidR="00611C65" w:rsidRPr="00611C65" w14:paraId="3F561183" w14:textId="77777777" w:rsidTr="00C03862">
        <w:trPr>
          <w:trHeight w:val="290"/>
        </w:trPr>
        <w:tc>
          <w:tcPr>
            <w:tcW w:w="890" w:type="pct"/>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bottom"/>
            <w:hideMark/>
          </w:tcPr>
          <w:p w14:paraId="03D25FC9" w14:textId="77777777" w:rsidR="00781FFB" w:rsidRPr="00611C65" w:rsidRDefault="00781FFB" w:rsidP="00781FFB">
            <w:pPr>
              <w:spacing w:after="0" w:line="240" w:lineRule="auto"/>
              <w:jc w:val="left"/>
              <w:rPr>
                <w:rFonts w:ascii="Calibri" w:eastAsia="Times New Roman" w:hAnsi="Calibri" w:cs="Calibri"/>
                <w:sz w:val="18"/>
                <w:szCs w:val="18"/>
                <w:lang w:eastAsia="en-GB"/>
              </w:rPr>
            </w:pPr>
            <w:r w:rsidRPr="00611C65">
              <w:rPr>
                <w:rFonts w:ascii="Calibri" w:eastAsia="Times New Roman" w:hAnsi="Calibri" w:cs="Calibri"/>
                <w:sz w:val="18"/>
                <w:szCs w:val="18"/>
                <w:lang w:eastAsia="en-GB"/>
              </w:rPr>
              <w:t>Moderate scenario</w:t>
            </w:r>
          </w:p>
        </w:tc>
        <w:tc>
          <w:tcPr>
            <w:tcW w:w="822" w:type="pct"/>
            <w:tcBorders>
              <w:top w:val="single" w:sz="4" w:space="0" w:color="auto"/>
              <w:left w:val="nil"/>
              <w:bottom w:val="single" w:sz="4" w:space="0" w:color="auto"/>
              <w:right w:val="single" w:sz="4" w:space="0" w:color="auto"/>
            </w:tcBorders>
            <w:shd w:val="clear" w:color="000000" w:fill="F4B084"/>
            <w:vAlign w:val="bottom"/>
            <w:hideMark/>
          </w:tcPr>
          <w:p w14:paraId="38B147EF" w14:textId="64A249FB"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-30.69</w:t>
            </w:r>
          </w:p>
        </w:tc>
        <w:tc>
          <w:tcPr>
            <w:tcW w:w="822" w:type="pct"/>
            <w:tcBorders>
              <w:top w:val="nil"/>
              <w:left w:val="nil"/>
              <w:bottom w:val="single" w:sz="4" w:space="0" w:color="auto"/>
              <w:right w:val="single" w:sz="4" w:space="0" w:color="auto"/>
            </w:tcBorders>
            <w:shd w:val="clear" w:color="000000" w:fill="F4B084"/>
            <w:vAlign w:val="bottom"/>
            <w:hideMark/>
          </w:tcPr>
          <w:p w14:paraId="04217238" w14:textId="49E38439"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-0.8614</w:t>
            </w:r>
          </w:p>
        </w:tc>
        <w:tc>
          <w:tcPr>
            <w:tcW w:w="822" w:type="pct"/>
            <w:tcBorders>
              <w:top w:val="nil"/>
              <w:left w:val="nil"/>
              <w:bottom w:val="single" w:sz="4" w:space="0" w:color="auto"/>
              <w:right w:val="single" w:sz="4" w:space="0" w:color="auto"/>
            </w:tcBorders>
            <w:shd w:val="clear" w:color="000000" w:fill="9BC2E6"/>
            <w:vAlign w:val="bottom"/>
            <w:hideMark/>
          </w:tcPr>
          <w:p w14:paraId="12279262" w14:textId="179EFB7B"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-0.41</w:t>
            </w:r>
          </w:p>
        </w:tc>
        <w:tc>
          <w:tcPr>
            <w:tcW w:w="822" w:type="pct"/>
            <w:tcBorders>
              <w:top w:val="nil"/>
              <w:left w:val="nil"/>
              <w:bottom w:val="single" w:sz="4" w:space="0" w:color="auto"/>
              <w:right w:val="single" w:sz="4" w:space="0" w:color="auto"/>
            </w:tcBorders>
            <w:shd w:val="clear" w:color="000000" w:fill="F4B084"/>
            <w:vAlign w:val="bottom"/>
            <w:hideMark/>
          </w:tcPr>
          <w:p w14:paraId="13276A62" w14:textId="47424487"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22.85</w:t>
            </w:r>
          </w:p>
        </w:tc>
        <w:tc>
          <w:tcPr>
            <w:tcW w:w="822" w:type="pct"/>
            <w:tcBorders>
              <w:top w:val="nil"/>
              <w:left w:val="nil"/>
              <w:bottom w:val="single" w:sz="4" w:space="0" w:color="auto"/>
              <w:right w:val="single" w:sz="4" w:space="0" w:color="auto"/>
            </w:tcBorders>
            <w:shd w:val="clear" w:color="000000" w:fill="9BC2E6"/>
            <w:vAlign w:val="bottom"/>
            <w:hideMark/>
          </w:tcPr>
          <w:p w14:paraId="6A28EE97" w14:textId="7B970A10"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-15.88</w:t>
            </w:r>
          </w:p>
        </w:tc>
      </w:tr>
      <w:tr w:rsidR="00611C65" w:rsidRPr="00611C65" w14:paraId="5915B653" w14:textId="77777777" w:rsidTr="00C03862">
        <w:trPr>
          <w:trHeight w:val="290"/>
        </w:trPr>
        <w:tc>
          <w:tcPr>
            <w:tcW w:w="890" w:type="pct"/>
            <w:tcBorders>
              <w:top w:val="nil"/>
              <w:left w:val="single" w:sz="4" w:space="0" w:color="auto"/>
              <w:bottom w:val="single" w:sz="4" w:space="0" w:color="auto"/>
              <w:right w:val="single" w:sz="4" w:space="0" w:color="auto"/>
            </w:tcBorders>
            <w:shd w:val="clear" w:color="auto" w:fill="ACB9CA" w:themeFill="text2" w:themeFillTint="66"/>
            <w:noWrap/>
            <w:vAlign w:val="bottom"/>
            <w:hideMark/>
          </w:tcPr>
          <w:p w14:paraId="63EAB5B0" w14:textId="77777777" w:rsidR="00781FFB" w:rsidRPr="00611C65" w:rsidRDefault="00781FFB" w:rsidP="00781FFB">
            <w:pPr>
              <w:spacing w:after="0" w:line="240" w:lineRule="auto"/>
              <w:jc w:val="left"/>
              <w:rPr>
                <w:rFonts w:ascii="Calibri" w:eastAsia="Times New Roman" w:hAnsi="Calibri" w:cs="Calibri"/>
                <w:sz w:val="18"/>
                <w:szCs w:val="18"/>
                <w:lang w:eastAsia="en-GB"/>
              </w:rPr>
            </w:pPr>
            <w:r w:rsidRPr="00611C65">
              <w:rPr>
                <w:rFonts w:ascii="Calibri" w:eastAsia="Times New Roman" w:hAnsi="Calibri" w:cs="Calibri"/>
                <w:sz w:val="18"/>
                <w:szCs w:val="18"/>
                <w:lang w:eastAsia="en-GB"/>
              </w:rPr>
              <w:t>Medium scenario</w:t>
            </w:r>
          </w:p>
        </w:tc>
        <w:tc>
          <w:tcPr>
            <w:tcW w:w="822" w:type="pct"/>
            <w:tcBorders>
              <w:top w:val="nil"/>
              <w:left w:val="nil"/>
              <w:bottom w:val="single" w:sz="4" w:space="0" w:color="auto"/>
              <w:right w:val="single" w:sz="4" w:space="0" w:color="auto"/>
            </w:tcBorders>
            <w:shd w:val="clear" w:color="000000" w:fill="FFFFFF"/>
            <w:vAlign w:val="bottom"/>
            <w:hideMark/>
          </w:tcPr>
          <w:p w14:paraId="3E491EBE" w14:textId="3877ED95"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-50.66</w:t>
            </w:r>
          </w:p>
        </w:tc>
        <w:tc>
          <w:tcPr>
            <w:tcW w:w="822" w:type="pct"/>
            <w:tcBorders>
              <w:top w:val="nil"/>
              <w:left w:val="nil"/>
              <w:bottom w:val="single" w:sz="4" w:space="0" w:color="auto"/>
              <w:right w:val="single" w:sz="4" w:space="0" w:color="auto"/>
            </w:tcBorders>
            <w:shd w:val="clear" w:color="auto" w:fill="auto"/>
            <w:vAlign w:val="bottom"/>
            <w:hideMark/>
          </w:tcPr>
          <w:p w14:paraId="162D37E4" w14:textId="6347E413"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-0.2925</w:t>
            </w:r>
          </w:p>
        </w:tc>
        <w:tc>
          <w:tcPr>
            <w:tcW w:w="822" w:type="pct"/>
            <w:tcBorders>
              <w:top w:val="nil"/>
              <w:left w:val="nil"/>
              <w:bottom w:val="single" w:sz="4" w:space="0" w:color="auto"/>
              <w:right w:val="single" w:sz="4" w:space="0" w:color="auto"/>
            </w:tcBorders>
            <w:shd w:val="clear" w:color="auto" w:fill="auto"/>
            <w:vAlign w:val="bottom"/>
            <w:hideMark/>
          </w:tcPr>
          <w:p w14:paraId="5FC5E9A3" w14:textId="6895E71B"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-0.08</w:t>
            </w:r>
          </w:p>
        </w:tc>
        <w:tc>
          <w:tcPr>
            <w:tcW w:w="822" w:type="pct"/>
            <w:tcBorders>
              <w:top w:val="nil"/>
              <w:left w:val="nil"/>
              <w:bottom w:val="single" w:sz="4" w:space="0" w:color="auto"/>
              <w:right w:val="single" w:sz="4" w:space="0" w:color="auto"/>
            </w:tcBorders>
            <w:shd w:val="clear" w:color="000000" w:fill="FFFFFF"/>
            <w:vAlign w:val="bottom"/>
            <w:hideMark/>
          </w:tcPr>
          <w:p w14:paraId="46A0FAD1" w14:textId="16B1E8E4"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35.89</w:t>
            </w:r>
          </w:p>
        </w:tc>
        <w:tc>
          <w:tcPr>
            <w:tcW w:w="822" w:type="pct"/>
            <w:tcBorders>
              <w:top w:val="nil"/>
              <w:left w:val="nil"/>
              <w:bottom w:val="single" w:sz="4" w:space="0" w:color="auto"/>
              <w:right w:val="single" w:sz="4" w:space="0" w:color="auto"/>
            </w:tcBorders>
            <w:shd w:val="clear" w:color="auto" w:fill="auto"/>
            <w:vAlign w:val="bottom"/>
            <w:hideMark/>
          </w:tcPr>
          <w:p w14:paraId="28C2ED48" w14:textId="32E4C62E"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-3.37</w:t>
            </w:r>
          </w:p>
        </w:tc>
      </w:tr>
      <w:tr w:rsidR="00611C65" w:rsidRPr="00611C65" w14:paraId="1F64915F" w14:textId="77777777" w:rsidTr="00C03862">
        <w:trPr>
          <w:trHeight w:val="290"/>
        </w:trPr>
        <w:tc>
          <w:tcPr>
            <w:tcW w:w="890" w:type="pct"/>
            <w:tcBorders>
              <w:top w:val="nil"/>
              <w:left w:val="single" w:sz="4" w:space="0" w:color="auto"/>
              <w:bottom w:val="single" w:sz="4" w:space="0" w:color="auto"/>
              <w:right w:val="single" w:sz="4" w:space="0" w:color="auto"/>
            </w:tcBorders>
            <w:shd w:val="clear" w:color="auto" w:fill="ACB9CA" w:themeFill="text2" w:themeFillTint="66"/>
            <w:noWrap/>
            <w:vAlign w:val="bottom"/>
            <w:hideMark/>
          </w:tcPr>
          <w:p w14:paraId="31007FD2" w14:textId="77777777" w:rsidR="00781FFB" w:rsidRPr="00611C65" w:rsidRDefault="00781FFB" w:rsidP="00781FFB">
            <w:pPr>
              <w:spacing w:after="0" w:line="240" w:lineRule="auto"/>
              <w:jc w:val="left"/>
              <w:rPr>
                <w:rFonts w:ascii="Calibri" w:eastAsia="Times New Roman" w:hAnsi="Calibri" w:cs="Calibri"/>
                <w:sz w:val="18"/>
                <w:szCs w:val="18"/>
                <w:lang w:eastAsia="en-GB"/>
              </w:rPr>
            </w:pPr>
            <w:r w:rsidRPr="00611C65">
              <w:rPr>
                <w:rFonts w:ascii="Calibri" w:eastAsia="Times New Roman" w:hAnsi="Calibri" w:cs="Calibri"/>
                <w:sz w:val="18"/>
                <w:szCs w:val="18"/>
                <w:lang w:eastAsia="en-GB"/>
              </w:rPr>
              <w:t>Rapid scenario</w:t>
            </w:r>
          </w:p>
        </w:tc>
        <w:tc>
          <w:tcPr>
            <w:tcW w:w="822" w:type="pct"/>
            <w:tcBorders>
              <w:top w:val="nil"/>
              <w:left w:val="nil"/>
              <w:bottom w:val="single" w:sz="4" w:space="0" w:color="auto"/>
              <w:right w:val="single" w:sz="4" w:space="0" w:color="auto"/>
            </w:tcBorders>
            <w:shd w:val="clear" w:color="000000" w:fill="9BC2E6"/>
            <w:vAlign w:val="bottom"/>
            <w:hideMark/>
          </w:tcPr>
          <w:p w14:paraId="7B3463D1" w14:textId="744CBA88"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-99.23</w:t>
            </w:r>
          </w:p>
        </w:tc>
        <w:tc>
          <w:tcPr>
            <w:tcW w:w="822" w:type="pct"/>
            <w:tcBorders>
              <w:top w:val="nil"/>
              <w:left w:val="nil"/>
              <w:bottom w:val="single" w:sz="4" w:space="0" w:color="auto"/>
              <w:right w:val="single" w:sz="4" w:space="0" w:color="auto"/>
            </w:tcBorders>
            <w:shd w:val="clear" w:color="000000" w:fill="9BC2E6"/>
            <w:vAlign w:val="bottom"/>
            <w:hideMark/>
          </w:tcPr>
          <w:p w14:paraId="23E64289" w14:textId="2440902F"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1.041</w:t>
            </w:r>
          </w:p>
        </w:tc>
        <w:tc>
          <w:tcPr>
            <w:tcW w:w="822" w:type="pct"/>
            <w:tcBorders>
              <w:top w:val="nil"/>
              <w:left w:val="nil"/>
              <w:bottom w:val="single" w:sz="4" w:space="0" w:color="auto"/>
              <w:right w:val="single" w:sz="4" w:space="0" w:color="auto"/>
            </w:tcBorders>
            <w:shd w:val="clear" w:color="000000" w:fill="F4B084"/>
            <w:vAlign w:val="bottom"/>
            <w:hideMark/>
          </w:tcPr>
          <w:p w14:paraId="5393541D" w14:textId="70F323D9"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0.08</w:t>
            </w:r>
          </w:p>
        </w:tc>
        <w:tc>
          <w:tcPr>
            <w:tcW w:w="822" w:type="pct"/>
            <w:tcBorders>
              <w:top w:val="nil"/>
              <w:left w:val="nil"/>
              <w:bottom w:val="single" w:sz="4" w:space="0" w:color="auto"/>
              <w:right w:val="single" w:sz="4" w:space="0" w:color="auto"/>
            </w:tcBorders>
            <w:shd w:val="clear" w:color="000000" w:fill="9BC2E6"/>
            <w:vAlign w:val="bottom"/>
            <w:hideMark/>
          </w:tcPr>
          <w:p w14:paraId="560ECE46" w14:textId="07EAE444"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38.08</w:t>
            </w:r>
          </w:p>
        </w:tc>
        <w:tc>
          <w:tcPr>
            <w:tcW w:w="822" w:type="pct"/>
            <w:tcBorders>
              <w:top w:val="nil"/>
              <w:left w:val="nil"/>
              <w:bottom w:val="single" w:sz="4" w:space="0" w:color="auto"/>
              <w:right w:val="single" w:sz="4" w:space="0" w:color="auto"/>
            </w:tcBorders>
            <w:shd w:val="clear" w:color="000000" w:fill="F4B084"/>
            <w:vAlign w:val="bottom"/>
            <w:hideMark/>
          </w:tcPr>
          <w:p w14:paraId="110C494C" w14:textId="164B2AE5" w:rsidR="00781FFB" w:rsidRPr="00611C65" w:rsidRDefault="00781FFB" w:rsidP="00781FFB">
            <w:pPr>
              <w:spacing w:after="0" w:line="240" w:lineRule="auto"/>
              <w:jc w:val="center"/>
              <w:rPr>
                <w:rFonts w:ascii="Calibri" w:eastAsia="Times New Roman" w:hAnsi="Calibri" w:cs="Calibri"/>
                <w:sz w:val="16"/>
                <w:szCs w:val="16"/>
                <w:lang w:eastAsia="en-GB"/>
              </w:rPr>
            </w:pPr>
            <w:r w:rsidRPr="00611C65">
              <w:rPr>
                <w:rFonts w:ascii="Calibri" w:hAnsi="Calibri" w:cs="Calibri"/>
                <w:sz w:val="16"/>
                <w:szCs w:val="16"/>
              </w:rPr>
              <w:t>15.48</w:t>
            </w:r>
          </w:p>
        </w:tc>
      </w:tr>
    </w:tbl>
    <w:p w14:paraId="4F0420C4" w14:textId="77777777" w:rsidR="00290452" w:rsidRPr="00611C65" w:rsidRDefault="00290452" w:rsidP="00076364">
      <w:pPr>
        <w:rPr>
          <w:rFonts w:ascii="Arial" w:hAnsi="Arial" w:cstheme="minorHAnsi"/>
          <w:b/>
          <w:bCs/>
          <w:sz w:val="20"/>
          <w:szCs w:val="20"/>
        </w:rPr>
      </w:pPr>
    </w:p>
    <w:p w14:paraId="0CDA16E8" w14:textId="64349F2F" w:rsidR="00DD621D" w:rsidRPr="00611C65" w:rsidRDefault="00866CAC" w:rsidP="00076364">
      <w:r w:rsidRPr="00611C65">
        <w:rPr>
          <w:rFonts w:cstheme="minorHAnsi"/>
          <w:bCs/>
          <w:szCs w:val="20"/>
        </w:rPr>
        <w:t>In the following, the achieved results for each policy indicator are described in more detail. The figure below</w:t>
      </w:r>
      <w:r w:rsidR="00D451B9" w:rsidRPr="00611C65">
        <w:t xml:space="preserve"> demonstrate</w:t>
      </w:r>
      <w:r w:rsidR="00BD45E1" w:rsidRPr="00611C65">
        <w:t>s</w:t>
      </w:r>
      <w:r w:rsidR="00FC3C69" w:rsidRPr="00611C65">
        <w:t xml:space="preserve"> </w:t>
      </w:r>
      <w:r w:rsidR="000536BD" w:rsidRPr="00611C65">
        <w:t xml:space="preserve">that </w:t>
      </w:r>
      <w:r w:rsidR="00BD45E1" w:rsidRPr="00611C65">
        <w:t xml:space="preserve">the target of net-zero carbon emissions for the </w:t>
      </w:r>
      <w:r w:rsidRPr="00611C65">
        <w:t>power</w:t>
      </w:r>
      <w:r w:rsidR="00BD45E1" w:rsidRPr="00611C65">
        <w:t xml:space="preserve"> system by 2050 is achieved under all three tested low-carbon </w:t>
      </w:r>
      <w:r w:rsidR="003064E3" w:rsidRPr="00611C65">
        <w:t xml:space="preserve">electricity </w:t>
      </w:r>
      <w:r w:rsidR="00BD45E1" w:rsidRPr="00611C65">
        <w:t xml:space="preserve">policy scenarios. </w:t>
      </w:r>
      <w:r w:rsidRPr="00611C65">
        <w:t>Thereby</w:t>
      </w:r>
      <w:r w:rsidR="00BD45E1" w:rsidRPr="00611C65">
        <w:t xml:space="preserve">, </w:t>
      </w:r>
      <w:r w:rsidR="000536BD" w:rsidRPr="00611C65">
        <w:t>t</w:t>
      </w:r>
      <w:r w:rsidR="00420E85" w:rsidRPr="00611C65">
        <w:t xml:space="preserve">he moderate renewable </w:t>
      </w:r>
      <w:r w:rsidR="003064E3" w:rsidRPr="00611C65">
        <w:t xml:space="preserve">electricity </w:t>
      </w:r>
      <w:r w:rsidR="00420E85" w:rsidRPr="00611C65">
        <w:t xml:space="preserve">transition scenario leads to a reduction of </w:t>
      </w:r>
      <w:r w:rsidR="000279F5" w:rsidRPr="00611C65">
        <w:t xml:space="preserve">around </w:t>
      </w:r>
      <w:r w:rsidR="00781FFB" w:rsidRPr="00611C65">
        <w:t>31</w:t>
      </w:r>
      <w:r w:rsidR="00420E85" w:rsidRPr="00611C65">
        <w:t xml:space="preserve">% </w:t>
      </w:r>
      <w:r w:rsidR="00435EAE" w:rsidRPr="00611C65">
        <w:t>cumulative emissions</w:t>
      </w:r>
      <w:r w:rsidR="00420E85" w:rsidRPr="00611C65">
        <w:t xml:space="preserve"> by 2050. </w:t>
      </w:r>
      <w:r w:rsidR="001E0CDD" w:rsidRPr="00611C65">
        <w:t xml:space="preserve">The drop in 2049 is explained by the (planned) halt of all brown </w:t>
      </w:r>
      <w:r w:rsidR="003064E3" w:rsidRPr="00611C65">
        <w:t xml:space="preserve">electricity </w:t>
      </w:r>
      <w:r w:rsidR="001E0CDD" w:rsidRPr="00611C65">
        <w:t xml:space="preserve">infrastructure still in use by then. </w:t>
      </w:r>
      <w:r w:rsidR="00FC3C69" w:rsidRPr="00611C65">
        <w:t xml:space="preserve">The </w:t>
      </w:r>
      <w:r w:rsidR="007C540A" w:rsidRPr="00611C65">
        <w:t xml:space="preserve">medium policy </w:t>
      </w:r>
      <w:r w:rsidR="00FC3C69" w:rsidRPr="00611C65">
        <w:t xml:space="preserve">scenario results </w:t>
      </w:r>
      <w:r w:rsidR="000536BD" w:rsidRPr="00611C65">
        <w:t>in</w:t>
      </w:r>
      <w:r w:rsidR="00B85BEA" w:rsidRPr="00611C65">
        <w:t xml:space="preserve"> a cumulative </w:t>
      </w:r>
      <w:r w:rsidR="000279F5" w:rsidRPr="00611C65">
        <w:t xml:space="preserve">emission reduction of </w:t>
      </w:r>
      <w:r w:rsidR="00C03862" w:rsidRPr="00611C65">
        <w:t>5</w:t>
      </w:r>
      <w:r w:rsidR="00781FFB" w:rsidRPr="00611C65">
        <w:t>1</w:t>
      </w:r>
      <w:r w:rsidR="00FC3C69" w:rsidRPr="00611C65">
        <w:t xml:space="preserve">%. </w:t>
      </w:r>
      <w:r w:rsidR="00420E85" w:rsidRPr="00611C65">
        <w:t xml:space="preserve">The </w:t>
      </w:r>
      <w:r w:rsidR="007C540A" w:rsidRPr="00611C65">
        <w:t>rapid</w:t>
      </w:r>
      <w:r w:rsidR="00420E85" w:rsidRPr="00611C65">
        <w:t xml:space="preserve"> low-carbon </w:t>
      </w:r>
      <w:r w:rsidR="003064E3" w:rsidRPr="00611C65">
        <w:t xml:space="preserve">electricity </w:t>
      </w:r>
      <w:r w:rsidR="00420E85" w:rsidRPr="00611C65">
        <w:t xml:space="preserve">policy scenario results </w:t>
      </w:r>
      <w:r w:rsidR="00124CF8" w:rsidRPr="00611C65">
        <w:t xml:space="preserve">in </w:t>
      </w:r>
      <w:r w:rsidR="00C03862" w:rsidRPr="00611C65">
        <w:t>almost 100</w:t>
      </w:r>
      <w:r w:rsidR="00420E85" w:rsidRPr="00611C65">
        <w:t xml:space="preserve">% </w:t>
      </w:r>
      <w:r w:rsidR="00B85BEA" w:rsidRPr="00611C65">
        <w:t xml:space="preserve">cumulative </w:t>
      </w:r>
      <w:r w:rsidR="00420E85" w:rsidRPr="00611C65">
        <w:t>emission reduction</w:t>
      </w:r>
      <w:r w:rsidR="002D2352" w:rsidRPr="00611C65">
        <w:t xml:space="preserve">. </w:t>
      </w:r>
      <w:r w:rsidR="00420E85" w:rsidRPr="00611C65">
        <w:t xml:space="preserve">This is because </w:t>
      </w:r>
      <w:r w:rsidR="007C540A" w:rsidRPr="00611C65">
        <w:t>under</w:t>
      </w:r>
      <w:r w:rsidR="00420E85" w:rsidRPr="00611C65">
        <w:t xml:space="preserve"> the </w:t>
      </w:r>
      <w:r w:rsidR="007C540A" w:rsidRPr="00611C65">
        <w:t>rapid</w:t>
      </w:r>
      <w:r w:rsidR="00420E85" w:rsidRPr="00611C65">
        <w:t xml:space="preserve"> </w:t>
      </w:r>
      <w:r w:rsidR="006A617F" w:rsidRPr="00611C65">
        <w:t xml:space="preserve">electricity </w:t>
      </w:r>
      <w:r w:rsidR="00420E85" w:rsidRPr="00611C65">
        <w:t xml:space="preserve">-transition scenario all brown </w:t>
      </w:r>
      <w:r w:rsidR="00F13CCC" w:rsidRPr="00611C65">
        <w:t>(</w:t>
      </w:r>
      <w:proofErr w:type="gramStart"/>
      <w:r w:rsidR="00F13CCC" w:rsidRPr="00611C65">
        <w:t>i.e.</w:t>
      </w:r>
      <w:proofErr w:type="gramEnd"/>
      <w:r w:rsidR="00F13CCC" w:rsidRPr="00611C65">
        <w:t xml:space="preserve"> </w:t>
      </w:r>
      <w:r w:rsidR="006D312B" w:rsidRPr="00611C65">
        <w:t>fossil</w:t>
      </w:r>
      <w:r w:rsidR="00F13CCC" w:rsidRPr="00611C65">
        <w:t xml:space="preserve">-fuel and gas) </w:t>
      </w:r>
      <w:r w:rsidR="006A617F" w:rsidRPr="00611C65">
        <w:t>electricity</w:t>
      </w:r>
      <w:r w:rsidR="00420E85" w:rsidRPr="00611C65">
        <w:t xml:space="preserve"> infrastructure is shut-down immediately and thus there are zero carbon emissions from the moment the policy </w:t>
      </w:r>
      <w:r w:rsidR="00690934" w:rsidRPr="00611C65">
        <w:t xml:space="preserve">is </w:t>
      </w:r>
      <w:r w:rsidR="00420E85" w:rsidRPr="00611C65">
        <w:t xml:space="preserve">implemented. </w:t>
      </w:r>
      <w:r w:rsidR="00225637" w:rsidRPr="00611C65">
        <w:t xml:space="preserve">At the end of the </w:t>
      </w:r>
      <w:r w:rsidR="009A494A" w:rsidRPr="00611C65">
        <w:t>simulation</w:t>
      </w:r>
      <w:r w:rsidR="00225637" w:rsidRPr="00611C65">
        <w:t xml:space="preserve">, all scenarios, but the base-run, lead to zero emissions. </w:t>
      </w:r>
    </w:p>
    <w:p w14:paraId="357570E7" w14:textId="1C976E80" w:rsidR="000F1451" w:rsidRPr="00611C65" w:rsidRDefault="000F1451" w:rsidP="000F1451">
      <w:pPr>
        <w:pStyle w:val="Caption"/>
        <w:keepNext/>
      </w:pPr>
      <w:r w:rsidRPr="00611C65">
        <w:t xml:space="preserve">Figure </w:t>
      </w:r>
      <w:fldSimple w:instr=" SEQ Figure \* ARABIC ">
        <w:r w:rsidR="00CC0F54" w:rsidRPr="00611C65">
          <w:rPr>
            <w:noProof/>
          </w:rPr>
          <w:t>2</w:t>
        </w:r>
      </w:fldSimple>
      <w:r w:rsidRPr="00611C65">
        <w:t xml:space="preserve">: </w:t>
      </w:r>
      <w:r w:rsidR="00492D90" w:rsidRPr="00611C65">
        <w:t>Annual e</w:t>
      </w:r>
      <w:r w:rsidRPr="00611C65">
        <w:t>missions</w:t>
      </w:r>
      <w:r w:rsidR="00CC6615" w:rsidRPr="00611C65">
        <w:t xml:space="preserve"> </w:t>
      </w:r>
      <w:r w:rsidR="00BD45E1" w:rsidRPr="00611C65">
        <w:t xml:space="preserve">from </w:t>
      </w:r>
      <w:r w:rsidR="00CC6615" w:rsidRPr="00611C65">
        <w:t>the UK</w:t>
      </w:r>
      <w:r w:rsidR="00F36227" w:rsidRPr="00611C65">
        <w:t xml:space="preserve"> </w:t>
      </w:r>
      <w:r w:rsidR="00BD45E1" w:rsidRPr="00611C65">
        <w:t xml:space="preserve">power </w:t>
      </w:r>
      <w:r w:rsidR="00F36227" w:rsidRPr="00611C65">
        <w:t>supply sector</w:t>
      </w:r>
    </w:p>
    <w:p w14:paraId="75791DDD" w14:textId="6C7FE741" w:rsidR="000F1451" w:rsidRPr="00611C65" w:rsidRDefault="003D52F1" w:rsidP="000F1451">
      <w:r w:rsidRPr="00611C65">
        <w:rPr>
          <w:noProof/>
        </w:rPr>
        <w:drawing>
          <wp:inline distT="0" distB="0" distL="0" distR="0" wp14:anchorId="01D7ACB7" wp14:editId="2F33D3EE">
            <wp:extent cx="5731510" cy="2600325"/>
            <wp:effectExtent l="0" t="0" r="2540" b="9525"/>
            <wp:docPr id="20" name="Diagramm 20" descr="Figure 2">
              <a:extLst xmlns:a="http://schemas.openxmlformats.org/drawingml/2006/main">
                <a:ext uri="{FF2B5EF4-FFF2-40B4-BE49-F238E27FC236}">
                  <a16:creationId xmlns:a16="http://schemas.microsoft.com/office/drawing/2014/main" id="{E42E40FB-CF82-4104-B380-3DB434C73D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6EA3219" w14:textId="05843E40" w:rsidR="00077213" w:rsidRPr="00611C65" w:rsidRDefault="00402BC5" w:rsidP="005A289B">
      <w:bookmarkStart w:id="3" w:name="_Hlk65919858"/>
      <w:r w:rsidRPr="00611C65">
        <w:t xml:space="preserve">In accumulated terms in 2050, GDP is highest under the rapid scenario – </w:t>
      </w:r>
      <w:r w:rsidR="00781FFB" w:rsidRPr="00611C65">
        <w:t>1</w:t>
      </w:r>
      <w:r w:rsidRPr="00611C65">
        <w:t>.04% higher than the accumulated GDP under the base-run. Moreover, accumulated GDP is lower than under the base-run under the medium (by 0.</w:t>
      </w:r>
      <w:r w:rsidR="00781FFB" w:rsidRPr="00611C65">
        <w:t>3</w:t>
      </w:r>
      <w:r w:rsidRPr="00611C65">
        <w:t xml:space="preserve">%) and moderate (by </w:t>
      </w:r>
      <w:r w:rsidR="00781FFB" w:rsidRPr="00611C65">
        <w:t>0.9</w:t>
      </w:r>
      <w:r w:rsidRPr="00611C65">
        <w:t xml:space="preserve">%) electricity policy scenarios. </w:t>
      </w:r>
      <w:r w:rsidR="00077213" w:rsidRPr="00611C65">
        <w:t>In annual terms</w:t>
      </w:r>
      <w:r w:rsidR="00F13CCC" w:rsidRPr="00611C65">
        <w:t xml:space="preserve"> i</w:t>
      </w:r>
      <w:r w:rsidR="00C03862" w:rsidRPr="00611C65">
        <w:t xml:space="preserve">n 2050, </w:t>
      </w:r>
      <w:r w:rsidR="00492D90" w:rsidRPr="00611C65">
        <w:t xml:space="preserve">annual </w:t>
      </w:r>
      <w:r w:rsidR="00C03862" w:rsidRPr="00611C65">
        <w:t xml:space="preserve">GDP </w:t>
      </w:r>
      <w:r w:rsidR="00F13CCC" w:rsidRPr="00611C65">
        <w:t xml:space="preserve">is </w:t>
      </w:r>
      <w:r w:rsidR="00C03862" w:rsidRPr="00611C65">
        <w:t>1.3% lower under the moderate scenario, 0.3% lower under the medium scenario and 0.</w:t>
      </w:r>
      <w:r w:rsidRPr="00611C65">
        <w:t>5</w:t>
      </w:r>
      <w:r w:rsidR="00C03862" w:rsidRPr="00611C65">
        <w:t xml:space="preserve">% higher under the rapid scenario – always compared to the </w:t>
      </w:r>
      <w:r w:rsidR="008D6F86" w:rsidRPr="00611C65">
        <w:t xml:space="preserve">annual </w:t>
      </w:r>
      <w:r w:rsidR="00492D90" w:rsidRPr="00611C65">
        <w:t xml:space="preserve">GDP </w:t>
      </w:r>
      <w:r w:rsidR="00C03862" w:rsidRPr="00611C65">
        <w:t xml:space="preserve">base-run (see </w:t>
      </w:r>
      <w:r w:rsidR="00C03862" w:rsidRPr="00611C65">
        <w:fldChar w:fldCharType="begin"/>
      </w:r>
      <w:r w:rsidR="00C03862" w:rsidRPr="00611C65">
        <w:instrText xml:space="preserve"> REF _Ref59648028 \h  \* MERGEFORMAT </w:instrText>
      </w:r>
      <w:r w:rsidR="00C03862" w:rsidRPr="00611C65">
        <w:fldChar w:fldCharType="end"/>
      </w:r>
      <w:r w:rsidR="00C03862" w:rsidRPr="00611C65">
        <w:t>figure</w:t>
      </w:r>
      <w:r w:rsidR="008D6F86" w:rsidRPr="00611C65">
        <w:t>3</w:t>
      </w:r>
      <w:r w:rsidR="00C03862" w:rsidRPr="00611C65">
        <w:t xml:space="preserve">). </w:t>
      </w:r>
      <w:bookmarkEnd w:id="3"/>
      <w:r w:rsidR="00077213" w:rsidRPr="00611C65">
        <w:t xml:space="preserve">These numbers can </w:t>
      </w:r>
      <w:r w:rsidR="006D312B" w:rsidRPr="00611C65">
        <w:t>be</w:t>
      </w:r>
      <w:r w:rsidR="00077213" w:rsidRPr="00611C65">
        <w:t xml:space="preserve"> explained by the following key </w:t>
      </w:r>
      <w:r w:rsidR="006D312B" w:rsidRPr="00611C65">
        <w:t>mechanisms</w:t>
      </w:r>
      <w:r w:rsidR="00077213" w:rsidRPr="00611C65">
        <w:t xml:space="preserve">. </w:t>
      </w:r>
    </w:p>
    <w:p w14:paraId="352DE010" w14:textId="7BFC0155" w:rsidR="00402BC5" w:rsidRPr="00611C65" w:rsidRDefault="00077213" w:rsidP="005A289B">
      <w:r w:rsidRPr="00611C65">
        <w:lastRenderedPageBreak/>
        <w:t xml:space="preserve">First, </w:t>
      </w:r>
      <w:r w:rsidR="00DE31A3" w:rsidRPr="00611C65">
        <w:t xml:space="preserve">the rapid scenario reaches </w:t>
      </w:r>
      <w:r w:rsidR="00402BC5" w:rsidRPr="00611C65">
        <w:t>an especially high</w:t>
      </w:r>
      <w:r w:rsidR="00DE31A3" w:rsidRPr="00611C65">
        <w:t xml:space="preserve"> </w:t>
      </w:r>
      <w:r w:rsidR="00492D90" w:rsidRPr="00611C65">
        <w:t xml:space="preserve">annual </w:t>
      </w:r>
      <w:r w:rsidR="00DE31A3" w:rsidRPr="00611C65">
        <w:t>GDP during the period 2022 to 2032</w:t>
      </w:r>
      <w:r w:rsidR="00F13CCC" w:rsidRPr="00611C65">
        <w:t>. T</w:t>
      </w:r>
      <w:r w:rsidR="00DE31A3" w:rsidRPr="00611C65">
        <w:t>he early retirement of brown infrastructure and subsequent rapid installation of renewable electricity infrastructure</w:t>
      </w:r>
      <w:r w:rsidR="00F13CCC" w:rsidRPr="00611C65">
        <w:t xml:space="preserve"> during this period </w:t>
      </w:r>
      <w:r w:rsidR="00DE31A3" w:rsidRPr="00611C65">
        <w:t>leads to higher capital investment and direct employment</w:t>
      </w:r>
      <w:r w:rsidR="00F13CCC" w:rsidRPr="00611C65">
        <w:t>. This in turn leads</w:t>
      </w:r>
      <w:r w:rsidR="00DE31A3" w:rsidRPr="00611C65">
        <w:t xml:space="preserve"> to an increase in aggregate demand and GDP, which is amplified further due the underlying macroeconomic dynamics</w:t>
      </w:r>
      <w:r w:rsidRPr="00611C65">
        <w:t xml:space="preserve">. </w:t>
      </w:r>
      <w:r w:rsidR="00402BC5" w:rsidRPr="00611C65">
        <w:t>Importantly</w:t>
      </w:r>
      <w:r w:rsidR="00F13CCC" w:rsidRPr="00611C65">
        <w:t xml:space="preserve">, the higher power infrastructure costs during this period translate to higher electricity prices, leading to a higher average price level. As the wage-level is indexed to the consumer price index (CPI), </w:t>
      </w:r>
      <w:r w:rsidR="00402BC5" w:rsidRPr="00611C65">
        <w:t>however, this</w:t>
      </w:r>
      <w:r w:rsidR="00F13CCC" w:rsidRPr="00611C65">
        <w:t xml:space="preserve"> does</w:t>
      </w:r>
      <w:r w:rsidR="00402BC5" w:rsidRPr="00611C65">
        <w:t xml:space="preserve"> not</w:t>
      </w:r>
      <w:r w:rsidR="00F13CCC" w:rsidRPr="00611C65">
        <w:t xml:space="preserve"> tran</w:t>
      </w:r>
      <w:r w:rsidRPr="00611C65">
        <w:t>s</w:t>
      </w:r>
      <w:r w:rsidR="00F13CCC" w:rsidRPr="00611C65">
        <w:t xml:space="preserve">late to lower real household income for consumers (see appendix for a scenario where the salary level is not indexed fully to the CPI). </w:t>
      </w:r>
      <w:r w:rsidRPr="00611C65">
        <w:t>Second</w:t>
      </w:r>
      <w:r w:rsidR="00DE31A3" w:rsidRPr="00611C65">
        <w:t xml:space="preserve">, </w:t>
      </w:r>
      <w:r w:rsidR="00492D90" w:rsidRPr="00611C65">
        <w:t xml:space="preserve">annual </w:t>
      </w:r>
      <w:r w:rsidR="00DE31A3" w:rsidRPr="00611C65">
        <w:t>GDP under the medium and moderate electricity policy scenario</w:t>
      </w:r>
      <w:r w:rsidRPr="00611C65">
        <w:t xml:space="preserve"> is </w:t>
      </w:r>
      <w:r w:rsidR="00DE31A3" w:rsidRPr="00611C65">
        <w:t>lower than under the base-run</w:t>
      </w:r>
      <w:r w:rsidRPr="00611C65">
        <w:t xml:space="preserve"> over the entire simulation horizon</w:t>
      </w:r>
      <w:r w:rsidR="00DE31A3" w:rsidRPr="00611C65">
        <w:t xml:space="preserve">. This is because cost projections for renewable electricity sources, including initial capital investments, are </w:t>
      </w:r>
      <w:r w:rsidR="00F1757C" w:rsidRPr="00611C65">
        <w:t>o</w:t>
      </w:r>
      <w:r w:rsidR="00DE31A3" w:rsidRPr="00611C65">
        <w:t xml:space="preserve">n </w:t>
      </w:r>
      <w:r w:rsidR="00402BC5" w:rsidRPr="00611C65">
        <w:t>average lower for renewable power sources</w:t>
      </w:r>
      <w:r w:rsidR="00DE31A3" w:rsidRPr="00611C65">
        <w:t xml:space="preserve"> </w:t>
      </w:r>
      <w:r w:rsidR="00402BC5" w:rsidRPr="00611C65">
        <w:t>compared to</w:t>
      </w:r>
      <w:r w:rsidR="00DE31A3" w:rsidRPr="00611C65">
        <w:t xml:space="preserve"> brown electricity sources</w:t>
      </w:r>
      <w:r w:rsidR="00402BC5" w:rsidRPr="00611C65">
        <w:t>. This</w:t>
      </w:r>
      <w:r w:rsidR="00DE31A3" w:rsidRPr="00611C65">
        <w:t xml:space="preserve"> means </w:t>
      </w:r>
      <w:r w:rsidR="00402BC5" w:rsidRPr="00611C65">
        <w:t xml:space="preserve">that in the scenarios with higher shares of renewable energy sources </w:t>
      </w:r>
      <w:r w:rsidR="00DE31A3" w:rsidRPr="00611C65">
        <w:t>aggregate demand</w:t>
      </w:r>
      <w:r w:rsidR="00402BC5" w:rsidRPr="00611C65">
        <w:t xml:space="preserve"> is lower due the lower capital investments</w:t>
      </w:r>
      <w:r w:rsidRPr="00611C65">
        <w:t xml:space="preserve"> (that are a part of aggregate demand)</w:t>
      </w:r>
      <w:r w:rsidR="00402BC5" w:rsidRPr="00611C65">
        <w:t>. That is, additional aggregate demand is lower</w:t>
      </w:r>
      <w:r w:rsidR="00DE31A3" w:rsidRPr="00611C65">
        <w:t xml:space="preserve"> </w:t>
      </w:r>
      <w:r w:rsidR="00402BC5" w:rsidRPr="00611C65">
        <w:t>in case of</w:t>
      </w:r>
      <w:r w:rsidR="00DE31A3" w:rsidRPr="00611C65">
        <w:t xml:space="preserve"> the medium and moderate electricity policy scenarios (in comparison to the base-run simulation)</w:t>
      </w:r>
      <w:r w:rsidR="00402BC5" w:rsidRPr="00611C65">
        <w:t xml:space="preserve">, leading to lower GDP. </w:t>
      </w:r>
    </w:p>
    <w:p w14:paraId="1F1E7002" w14:textId="3EBC1071" w:rsidR="00033E35" w:rsidRPr="00611C65" w:rsidRDefault="00077213" w:rsidP="005A289B">
      <w:r w:rsidRPr="00611C65">
        <w:t xml:space="preserve">Finally, </w:t>
      </w:r>
      <w:r w:rsidR="00DE31A3" w:rsidRPr="00611C65">
        <w:t xml:space="preserve">the </w:t>
      </w:r>
      <w:r w:rsidRPr="00611C65">
        <w:t xml:space="preserve">simulated </w:t>
      </w:r>
      <w:r w:rsidR="006D312B" w:rsidRPr="00611C65">
        <w:t>behaviour</w:t>
      </w:r>
      <w:r w:rsidRPr="00611C65">
        <w:t xml:space="preserve"> </w:t>
      </w:r>
      <w:r w:rsidR="00DE31A3" w:rsidRPr="00611C65">
        <w:t xml:space="preserve">of </w:t>
      </w:r>
      <w:r w:rsidR="00492D90" w:rsidRPr="00611C65">
        <w:t xml:space="preserve">annual </w:t>
      </w:r>
      <w:r w:rsidR="00DE31A3" w:rsidRPr="00611C65">
        <w:t>GDP</w:t>
      </w:r>
      <w:r w:rsidRPr="00611C65">
        <w:t xml:space="preserve"> for all scenarios plus the base-run</w:t>
      </w:r>
      <w:r w:rsidR="00033E35" w:rsidRPr="00611C65">
        <w:t xml:space="preserve"> is driven by two factors: first, the total factor productivity (TFP) is positively dependent </w:t>
      </w:r>
      <w:r w:rsidR="00DE31A3" w:rsidRPr="00611C65">
        <w:t>on capital investment</w:t>
      </w:r>
      <w:r w:rsidR="00033E35" w:rsidRPr="00611C65">
        <w:t>s</w:t>
      </w:r>
      <w:r w:rsidR="00472EA8" w:rsidRPr="00611C65">
        <w:t xml:space="preserve">. </w:t>
      </w:r>
      <w:r w:rsidR="00033E35" w:rsidRPr="00611C65">
        <w:t xml:space="preserve">Capital investments increase in all scenarios and therefore TFP and in turn GDP. </w:t>
      </w:r>
      <w:r w:rsidR="00472EA8" w:rsidRPr="00611C65">
        <w:t xml:space="preserve">However, the </w:t>
      </w:r>
      <w:r w:rsidR="00033E35" w:rsidRPr="00611C65">
        <w:t>GIBM</w:t>
      </w:r>
      <w:r w:rsidR="00472EA8" w:rsidRPr="00611C65">
        <w:t xml:space="preserve"> </w:t>
      </w:r>
      <w:r w:rsidR="00033E35" w:rsidRPr="00611C65">
        <w:t>adopts</w:t>
      </w:r>
      <w:r w:rsidR="00472EA8" w:rsidRPr="00611C65">
        <w:t xml:space="preserve"> a flattening </w:t>
      </w:r>
      <w:r w:rsidR="00033E35" w:rsidRPr="00611C65">
        <w:t xml:space="preserve">positive relationship between capital investments and TFP. That is, the impact of capital investments in TFP decreases, with increasing levels of capital investments. This explains </w:t>
      </w:r>
      <w:r w:rsidR="006D312B" w:rsidRPr="00611C65">
        <w:t>w</w:t>
      </w:r>
      <w:r w:rsidR="00033E35" w:rsidRPr="00611C65">
        <w:t xml:space="preserve">hy GDP increases strongly at the beginning of the simulation horizon and why the increase </w:t>
      </w:r>
      <w:r w:rsidR="006D312B" w:rsidRPr="00611C65">
        <w:t>flattens</w:t>
      </w:r>
      <w:r w:rsidR="00033E35" w:rsidRPr="00611C65">
        <w:t xml:space="preserve"> </w:t>
      </w:r>
      <w:r w:rsidR="006D312B" w:rsidRPr="00611C65">
        <w:t>towards</w:t>
      </w:r>
      <w:r w:rsidR="00033E35" w:rsidRPr="00611C65">
        <w:t xml:space="preserve"> the second part of the simulation period. Another important driver for GDP outcome of all scenarios and the base-run is the following: GIBM represents the production of the economy as dependen</w:t>
      </w:r>
      <w:r w:rsidR="0051045E" w:rsidRPr="00611C65">
        <w:t>t</w:t>
      </w:r>
      <w:r w:rsidR="00033E35" w:rsidRPr="00611C65">
        <w:t xml:space="preserve"> of the </w:t>
      </w:r>
      <w:r w:rsidR="006D312B" w:rsidRPr="00611C65">
        <w:t>expected demand</w:t>
      </w:r>
      <w:r w:rsidR="00033E35" w:rsidRPr="00611C65">
        <w:t xml:space="preserve"> </w:t>
      </w:r>
      <w:r w:rsidR="0051045E" w:rsidRPr="00611C65">
        <w:t xml:space="preserve">(which is dependent on aggregate demand of the previous periods). This means that if aggregate demand decreases, the production will decrease only with a lag, leading to an </w:t>
      </w:r>
      <w:r w:rsidR="006D312B" w:rsidRPr="00611C65">
        <w:t>increase</w:t>
      </w:r>
      <w:r w:rsidR="0051045E" w:rsidRPr="00611C65">
        <w:t xml:space="preserve"> in the </w:t>
      </w:r>
      <w:proofErr w:type="gramStart"/>
      <w:r w:rsidR="0051045E" w:rsidRPr="00611C65">
        <w:t>firms</w:t>
      </w:r>
      <w:proofErr w:type="gramEnd"/>
      <w:r w:rsidR="0051045E" w:rsidRPr="00611C65">
        <w:t xml:space="preserve"> inventory – as the inventory of the firms is higher compared to the actual demand and its desired inventory, the firms will </w:t>
      </w:r>
      <w:r w:rsidR="00866F39" w:rsidRPr="00611C65">
        <w:t xml:space="preserve">try to </w:t>
      </w:r>
      <w:r w:rsidR="0051045E" w:rsidRPr="00611C65">
        <w:t>adjust their production</w:t>
      </w:r>
      <w:r w:rsidR="00866F39" w:rsidRPr="00611C65">
        <w:t xml:space="preserve"> to actual demand</w:t>
      </w:r>
      <w:r w:rsidR="0051045E" w:rsidRPr="00611C65">
        <w:t xml:space="preserve">, which can lead to small cycles (as displayed in </w:t>
      </w:r>
      <w:r w:rsidR="008D42DB" w:rsidRPr="00611C65">
        <w:t>F</w:t>
      </w:r>
      <w:r w:rsidR="0051045E" w:rsidRPr="00611C65">
        <w:t xml:space="preserve">igure </w:t>
      </w:r>
      <w:r w:rsidR="008D42DB" w:rsidRPr="00611C65">
        <w:t>3</w:t>
      </w:r>
      <w:r w:rsidR="0051045E" w:rsidRPr="00611C65">
        <w:t xml:space="preserve">). </w:t>
      </w:r>
    </w:p>
    <w:p w14:paraId="4DE50C9E" w14:textId="72F982AC" w:rsidR="00C959B8" w:rsidRPr="00611C65" w:rsidRDefault="003B43EF" w:rsidP="00521230">
      <w:pPr>
        <w:pStyle w:val="Caption"/>
        <w:spacing w:line="276" w:lineRule="auto"/>
      </w:pPr>
      <w:r w:rsidRPr="00611C65">
        <w:t xml:space="preserve">Figure </w:t>
      </w:r>
      <w:fldSimple w:instr=" SEQ Figure \* ARABIC ">
        <w:r w:rsidR="00F21313" w:rsidRPr="00611C65">
          <w:rPr>
            <w:noProof/>
          </w:rPr>
          <w:t>3</w:t>
        </w:r>
      </w:fldSimple>
      <w:r w:rsidRPr="00611C65">
        <w:t xml:space="preserve">: </w:t>
      </w:r>
      <w:r w:rsidR="00280EFD" w:rsidRPr="00611C65">
        <w:t xml:space="preserve">Annual </w:t>
      </w:r>
      <w:r w:rsidRPr="00611C65">
        <w:t>GDP</w:t>
      </w:r>
      <w:r w:rsidR="00280EFD" w:rsidRPr="00611C65">
        <w:t xml:space="preserve"> (in real prices, with base year 2016). </w:t>
      </w:r>
    </w:p>
    <w:p w14:paraId="602835B9" w14:textId="64054860" w:rsidR="003B43EF" w:rsidRPr="00611C65" w:rsidRDefault="003D52F1">
      <w:r w:rsidRPr="00611C65">
        <w:rPr>
          <w:noProof/>
        </w:rPr>
        <w:drawing>
          <wp:inline distT="0" distB="0" distL="0" distR="0" wp14:anchorId="39B67B0B" wp14:editId="62CE1BCA">
            <wp:extent cx="5943600" cy="2384474"/>
            <wp:effectExtent l="0" t="0" r="0" b="15875"/>
            <wp:docPr id="21" name="Diagramm 21" descr="Figure 3">
              <a:extLst xmlns:a="http://schemas.openxmlformats.org/drawingml/2006/main">
                <a:ext uri="{FF2B5EF4-FFF2-40B4-BE49-F238E27FC236}">
                  <a16:creationId xmlns:a16="http://schemas.microsoft.com/office/drawing/2014/main" id="{778C68FF-8054-4A7B-B6CA-30243E9537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9290D68" w14:textId="75532DCA" w:rsidR="009A2A04" w:rsidRPr="00611C65" w:rsidRDefault="009A2A04" w:rsidP="005A289B">
      <w:proofErr w:type="gramStart"/>
      <w:r w:rsidRPr="00611C65">
        <w:lastRenderedPageBreak/>
        <w:t>With regard to</w:t>
      </w:r>
      <w:proofErr w:type="gramEnd"/>
      <w:r w:rsidRPr="00611C65">
        <w:t xml:space="preserve"> the policy indicator unemployment, in accumulated terms, the moderate scenario leads to a reduction in accumulated unemployment of 0.</w:t>
      </w:r>
      <w:r w:rsidR="00781FFB" w:rsidRPr="00611C65">
        <w:t>41</w:t>
      </w:r>
      <w:r w:rsidRPr="00611C65">
        <w:t>% and the medium scenario of 0.</w:t>
      </w:r>
      <w:r w:rsidR="00781FFB" w:rsidRPr="00611C65">
        <w:t>08</w:t>
      </w:r>
      <w:r w:rsidRPr="00611C65">
        <w:t>%. In contrast,</w:t>
      </w:r>
      <w:r w:rsidR="00492D90" w:rsidRPr="00611C65">
        <w:t xml:space="preserve"> cumulative</w:t>
      </w:r>
      <w:r w:rsidRPr="00611C65">
        <w:t xml:space="preserve"> unemployment under the rapid policy scenario increases by 0.</w:t>
      </w:r>
      <w:r w:rsidR="003D52F1" w:rsidRPr="00611C65">
        <w:t>08</w:t>
      </w:r>
      <w:r w:rsidRPr="00611C65">
        <w:t>% (always compared to the base-run). In terms of the annual numbers</w:t>
      </w:r>
      <w:r w:rsidR="00C03862" w:rsidRPr="00611C65">
        <w:t xml:space="preserve"> in 2050</w:t>
      </w:r>
      <w:r w:rsidRPr="00611C65">
        <w:t>,</w:t>
      </w:r>
      <w:r w:rsidR="00C03862" w:rsidRPr="00611C65">
        <w:t xml:space="preserve"> unemployment is</w:t>
      </w:r>
      <w:r w:rsidR="00590D06" w:rsidRPr="00611C65">
        <w:t>,</w:t>
      </w:r>
      <w:r w:rsidR="00C03862" w:rsidRPr="00611C65">
        <w:t xml:space="preserve"> compared to the base-run</w:t>
      </w:r>
      <w:r w:rsidR="00492D90" w:rsidRPr="00611C65">
        <w:t xml:space="preserve"> of annual unemployment</w:t>
      </w:r>
      <w:r w:rsidR="00590D06" w:rsidRPr="00611C65">
        <w:t>,</w:t>
      </w:r>
      <w:r w:rsidR="00C03862" w:rsidRPr="00611C65">
        <w:t xml:space="preserve"> 0.18% lower in the moderate scenario, 0.02% higher in the medium scenario and 0.00</w:t>
      </w:r>
      <w:r w:rsidR="00B72D7E" w:rsidRPr="00611C65">
        <w:t>1</w:t>
      </w:r>
      <w:r w:rsidR="00C03862" w:rsidRPr="00611C65">
        <w:t xml:space="preserve">% lower in the rapid scenario. </w:t>
      </w:r>
    </w:p>
    <w:p w14:paraId="759EAA74" w14:textId="600B8478" w:rsidR="009A2A04" w:rsidRPr="00611C65" w:rsidRDefault="009A2A04" w:rsidP="005A289B">
      <w:r w:rsidRPr="00611C65">
        <w:t xml:space="preserve">The higher numbers in </w:t>
      </w:r>
      <w:r w:rsidR="00492D90" w:rsidRPr="00611C65">
        <w:t xml:space="preserve">cumulative </w:t>
      </w:r>
      <w:r w:rsidRPr="00611C65">
        <w:t xml:space="preserve">unemployment under the rapid scenario compared to the other scenarios can be explained due to the path-dependency related to changes in the working-age population and the level of unemployment. That is, under the rapid electricity policy scenario, </w:t>
      </w:r>
      <w:r w:rsidR="00492D90" w:rsidRPr="00611C65">
        <w:t xml:space="preserve">annual </w:t>
      </w:r>
      <w:r w:rsidRPr="00611C65">
        <w:t xml:space="preserve">GDP and therefore employment possibilities increase very quickly at the beginning of the simulation period as the discard of the brown electricity infrastructure necessitates the installation of a comparable amount of new renewable electricity production capacity. This in turn reduces </w:t>
      </w:r>
      <w:r w:rsidR="00492D90" w:rsidRPr="00611C65">
        <w:t xml:space="preserve">annual </w:t>
      </w:r>
      <w:r w:rsidRPr="00611C65">
        <w:t xml:space="preserve">unemployment and increases the wage-level during this initial period, which then leads to increased migration to the UK and therefore to an increase in the working age population. Once the new infrastructure is built, employment possibilities however decrease while the working age population does not decrease significantly, leading to higher accumulated unemployment under the rapid electricity policy scenario in 2050. The moderate and medium scenario instead have a more balanced installation of renewable electricity infrastructure and in the case of the medium scenario discard in brown infrastructure. </w:t>
      </w:r>
      <w:r w:rsidR="006D312B" w:rsidRPr="00611C65">
        <w:t>Therefore,</w:t>
      </w:r>
      <w:r w:rsidRPr="00611C65">
        <w:t xml:space="preserve"> these scenarios are characterised by less path-dependency, leading to lower </w:t>
      </w:r>
      <w:r w:rsidR="00492D90" w:rsidRPr="00611C65">
        <w:t xml:space="preserve">cumulative </w:t>
      </w:r>
      <w:r w:rsidRPr="00611C65">
        <w:t xml:space="preserve">unemployment levels in 2050 of these two scenarios. </w:t>
      </w:r>
    </w:p>
    <w:p w14:paraId="2B834B39" w14:textId="32DABB2C" w:rsidR="003B43EF" w:rsidRPr="00611C65" w:rsidRDefault="006202ED" w:rsidP="005A289B">
      <w:r w:rsidRPr="00611C65">
        <w:t xml:space="preserve">Finally, </w:t>
      </w:r>
      <w:r w:rsidR="00590D06" w:rsidRPr="00611C65">
        <w:t>F</w:t>
      </w:r>
      <w:r w:rsidR="009A2A04" w:rsidRPr="00611C65">
        <w:t xml:space="preserve">igure </w:t>
      </w:r>
      <w:r w:rsidR="00590D06" w:rsidRPr="00611C65">
        <w:t>4</w:t>
      </w:r>
      <w:r w:rsidR="009A2A04" w:rsidRPr="00611C65">
        <w:t xml:space="preserve"> shows that development of </w:t>
      </w:r>
      <w:r w:rsidR="00492D90" w:rsidRPr="00611C65">
        <w:t xml:space="preserve">annual </w:t>
      </w:r>
      <w:r w:rsidR="009A2A04" w:rsidRPr="00611C65">
        <w:t xml:space="preserve">unemployment is similar for all scenarios and that differences are </w:t>
      </w:r>
      <w:r w:rsidRPr="00611C65">
        <w:t>small</w:t>
      </w:r>
      <w:r w:rsidR="009A2A04" w:rsidRPr="00611C65">
        <w:t xml:space="preserve">. </w:t>
      </w:r>
      <w:r w:rsidRPr="00611C65">
        <w:t xml:space="preserve">This is because </w:t>
      </w:r>
      <w:r w:rsidR="009A2A04" w:rsidRPr="00611C65">
        <w:t xml:space="preserve">the development of annual unemployment is closely connected to the development of GDP </w:t>
      </w:r>
      <w:r w:rsidR="00590D06" w:rsidRPr="00611C65">
        <w:t>(</w:t>
      </w:r>
      <w:r w:rsidR="009A2A04" w:rsidRPr="00611C65">
        <w:t>when GDP increases, unemployment decreases due to higher labour demand</w:t>
      </w:r>
      <w:r w:rsidR="00590D06" w:rsidRPr="00611C65">
        <w:t>)</w:t>
      </w:r>
      <w:r w:rsidR="009A2A04" w:rsidRPr="00611C65">
        <w:t xml:space="preserve">. This explains the decrease in </w:t>
      </w:r>
      <w:r w:rsidR="00492D90" w:rsidRPr="00611C65">
        <w:t xml:space="preserve">annual </w:t>
      </w:r>
      <w:r w:rsidRPr="00611C65">
        <w:t>unemployment</w:t>
      </w:r>
      <w:r w:rsidR="009A2A04" w:rsidRPr="00611C65">
        <w:t xml:space="preserve"> from 2016 to 2027 (</w:t>
      </w:r>
      <w:r w:rsidR="00590D06" w:rsidRPr="00611C65">
        <w:t>F</w:t>
      </w:r>
      <w:r w:rsidR="009A2A04" w:rsidRPr="00611C65">
        <w:t xml:space="preserve">igure </w:t>
      </w:r>
      <w:r w:rsidR="00590D06" w:rsidRPr="00611C65">
        <w:t>4</w:t>
      </w:r>
      <w:r w:rsidR="009A2A04" w:rsidRPr="00611C65">
        <w:t xml:space="preserve">). From 2027 onwards, </w:t>
      </w:r>
      <w:r w:rsidR="00492D90" w:rsidRPr="00611C65">
        <w:t xml:space="preserve">annual </w:t>
      </w:r>
      <w:r w:rsidR="009A2A04" w:rsidRPr="00611C65">
        <w:t xml:space="preserve">unemployment increases even though GDP increases again slightly after 2038. This is because, </w:t>
      </w:r>
      <w:r w:rsidRPr="00611C65">
        <w:t xml:space="preserve">as </w:t>
      </w:r>
      <w:r w:rsidR="006D312B" w:rsidRPr="00611C65">
        <w:t>mentioned</w:t>
      </w:r>
      <w:r w:rsidRPr="00611C65">
        <w:t xml:space="preserve"> before, </w:t>
      </w:r>
      <w:r w:rsidR="009A2A04" w:rsidRPr="00611C65">
        <w:t>GIBM includes some path-dependency in terms of unemployment level</w:t>
      </w:r>
      <w:r w:rsidRPr="00611C65">
        <w:t>. In addition, in GIBM</w:t>
      </w:r>
      <w:r w:rsidR="00492D90" w:rsidRPr="00611C65">
        <w:t>,</w:t>
      </w:r>
      <w:r w:rsidRPr="00611C65">
        <w:t xml:space="preserve"> </w:t>
      </w:r>
      <w:r w:rsidR="00590D06" w:rsidRPr="00611C65">
        <w:t xml:space="preserve">UK </w:t>
      </w:r>
      <w:r w:rsidRPr="00611C65">
        <w:t xml:space="preserve">unemployed are less likely to be employed compared to new </w:t>
      </w:r>
      <w:r w:rsidR="00590D06" w:rsidRPr="00611C65">
        <w:t xml:space="preserve">(skilled) </w:t>
      </w:r>
      <w:r w:rsidRPr="00611C65">
        <w:t xml:space="preserve">workers from </w:t>
      </w:r>
      <w:r w:rsidR="006D312B" w:rsidRPr="00611C65">
        <w:t>abroad</w:t>
      </w:r>
      <w:r w:rsidRPr="00611C65">
        <w:t>. This means that whenever GDP increases, but its level is below previous GDP levels, unemployment still decrease</w:t>
      </w:r>
      <w:r w:rsidR="00590D06" w:rsidRPr="00611C65">
        <w:t>s</w:t>
      </w:r>
      <w:r w:rsidRPr="00611C65">
        <w:t xml:space="preserve">. </w:t>
      </w:r>
    </w:p>
    <w:p w14:paraId="06B9B063" w14:textId="78477470" w:rsidR="00F21313" w:rsidRPr="00611C65" w:rsidRDefault="00F21313" w:rsidP="00521230">
      <w:pPr>
        <w:pStyle w:val="Caption"/>
        <w:keepNext/>
      </w:pPr>
      <w:r w:rsidRPr="00611C65">
        <w:lastRenderedPageBreak/>
        <w:t xml:space="preserve">Figure </w:t>
      </w:r>
      <w:fldSimple w:instr=" SEQ Figure \* ARABIC ">
        <w:r w:rsidRPr="00611C65">
          <w:rPr>
            <w:noProof/>
          </w:rPr>
          <w:t>4</w:t>
        </w:r>
      </w:fldSimple>
      <w:r w:rsidRPr="00611C65">
        <w:t xml:space="preserve">: </w:t>
      </w:r>
      <w:r w:rsidR="00280EFD" w:rsidRPr="00611C65">
        <w:t>Annual u</w:t>
      </w:r>
      <w:r w:rsidRPr="00611C65">
        <w:t>nemployment</w:t>
      </w:r>
      <w:r w:rsidR="00280EFD" w:rsidRPr="00611C65">
        <w:t xml:space="preserve"> in the UK</w:t>
      </w:r>
    </w:p>
    <w:p w14:paraId="2DDA63E8" w14:textId="6FB5652A" w:rsidR="00F21313" w:rsidRPr="00611C65" w:rsidRDefault="00E35E1C" w:rsidP="00521230">
      <w:pPr>
        <w:keepNext/>
      </w:pPr>
      <w:r w:rsidRPr="00611C65">
        <w:rPr>
          <w:noProof/>
        </w:rPr>
        <w:drawing>
          <wp:inline distT="0" distB="0" distL="0" distR="0" wp14:anchorId="1CF700E2" wp14:editId="426B9E9A">
            <wp:extent cx="5746652" cy="2447290"/>
            <wp:effectExtent l="0" t="0" r="6985" b="10160"/>
            <wp:docPr id="7" name="Diagramm 7" descr="Figure 4">
              <a:extLst xmlns:a="http://schemas.openxmlformats.org/drawingml/2006/main">
                <a:ext uri="{FF2B5EF4-FFF2-40B4-BE49-F238E27FC236}">
                  <a16:creationId xmlns:a16="http://schemas.microsoft.com/office/drawing/2014/main" id="{5A0C17C9-05E3-4FC9-8C23-5AD2135716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E1E441A" w14:textId="07FEC88A" w:rsidR="00B224FE" w:rsidRPr="00611C65" w:rsidRDefault="00492D90" w:rsidP="00B224FE">
      <w:r w:rsidRPr="00611C65">
        <w:t xml:space="preserve">The </w:t>
      </w:r>
      <w:r w:rsidR="00B224FE" w:rsidRPr="00611C65">
        <w:t xml:space="preserve">accumulated generation of direct employment under the rapid energy policy scenario is </w:t>
      </w:r>
      <w:r w:rsidR="003D52F1" w:rsidRPr="00611C65">
        <w:t>38.1</w:t>
      </w:r>
      <w:r w:rsidR="00B224FE" w:rsidRPr="00611C65">
        <w:t>% higher as compared to the base-</w:t>
      </w:r>
      <w:proofErr w:type="gramStart"/>
      <w:r w:rsidR="00B224FE" w:rsidRPr="00611C65">
        <w:t>run, and</w:t>
      </w:r>
      <w:proofErr w:type="gramEnd"/>
      <w:r w:rsidR="00B224FE" w:rsidRPr="00611C65">
        <w:t xml:space="preserve"> is highest for the tested low-carbon energy transition scenarios. Moreover, accumulated direct employment generated under the medium electricity policy scenario is </w:t>
      </w:r>
      <w:r w:rsidR="003D52F1" w:rsidRPr="00611C65">
        <w:t>35.1</w:t>
      </w:r>
      <w:r w:rsidR="00B224FE" w:rsidRPr="00611C65">
        <w:t>% and under the moderate electricity scenario 2</w:t>
      </w:r>
      <w:r w:rsidR="003D52F1" w:rsidRPr="00611C65">
        <w:t>3.9</w:t>
      </w:r>
      <w:r w:rsidR="00B224FE" w:rsidRPr="00611C65">
        <w:t xml:space="preserve">% higher than </w:t>
      </w:r>
      <w:proofErr w:type="spellStart"/>
      <w:r w:rsidR="003715CE" w:rsidRPr="00611C65">
        <w:t>accmulated</w:t>
      </w:r>
      <w:proofErr w:type="spellEnd"/>
      <w:r w:rsidR="003715CE" w:rsidRPr="00611C65">
        <w:t xml:space="preserve"> direct employment u</w:t>
      </w:r>
      <w:r w:rsidR="00B224FE" w:rsidRPr="00611C65">
        <w:t xml:space="preserve">nder base-run. </w:t>
      </w:r>
      <w:proofErr w:type="gramStart"/>
      <w:r w:rsidR="00B224FE" w:rsidRPr="00611C65">
        <w:t>With regard to</w:t>
      </w:r>
      <w:proofErr w:type="gramEnd"/>
      <w:r w:rsidR="00B224FE" w:rsidRPr="00611C65">
        <w:t xml:space="preserve"> the annual numbers in 2050, annual direct generated employment in comparison to the base-run simulation is 26</w:t>
      </w:r>
      <w:r w:rsidR="00B72D7E" w:rsidRPr="00611C65">
        <w:t>.8</w:t>
      </w:r>
      <w:r w:rsidR="00B224FE" w:rsidRPr="00611C65">
        <w:t>% higher in the moderate scenario, 42.3% higher in the medium scenario and 34.</w:t>
      </w:r>
      <w:r w:rsidR="002134C7" w:rsidRPr="00611C65">
        <w:t>6</w:t>
      </w:r>
      <w:r w:rsidR="00B224FE" w:rsidRPr="00611C65">
        <w:t xml:space="preserve">% higher in the rapid scenario – always </w:t>
      </w:r>
      <w:r w:rsidR="006D312B" w:rsidRPr="00611C65">
        <w:t>compared</w:t>
      </w:r>
      <w:r w:rsidR="00B224FE" w:rsidRPr="00611C65">
        <w:t xml:space="preserve"> to the base-run results </w:t>
      </w:r>
      <w:r w:rsidR="003715CE" w:rsidRPr="00611C65">
        <w:t xml:space="preserve">of annual direct employment </w:t>
      </w:r>
      <w:r w:rsidR="00B224FE" w:rsidRPr="00611C65">
        <w:t>in 2050 (</w:t>
      </w:r>
      <w:r w:rsidR="002134C7" w:rsidRPr="00611C65">
        <w:t>F</w:t>
      </w:r>
      <w:r w:rsidR="00B224FE" w:rsidRPr="00611C65">
        <w:t xml:space="preserve">igure </w:t>
      </w:r>
      <w:r w:rsidR="002134C7" w:rsidRPr="00611C65">
        <w:t>5</w:t>
      </w:r>
      <w:r w:rsidR="00B224FE" w:rsidRPr="00611C65">
        <w:t xml:space="preserve">). </w:t>
      </w:r>
    </w:p>
    <w:p w14:paraId="64F97050" w14:textId="76C9AD50" w:rsidR="00B224FE" w:rsidRPr="00611C65" w:rsidRDefault="00B224FE" w:rsidP="00B224FE">
      <w:r w:rsidRPr="00611C65">
        <w:t>In terms of the key drivers of the observed development of direct employment (</w:t>
      </w:r>
      <w:r w:rsidR="002134C7" w:rsidRPr="00611C65">
        <w:t>F</w:t>
      </w:r>
      <w:r w:rsidRPr="00611C65">
        <w:t xml:space="preserve">igure </w:t>
      </w:r>
      <w:r w:rsidR="002134C7" w:rsidRPr="00611C65">
        <w:t>5</w:t>
      </w:r>
      <w:r w:rsidRPr="00611C65">
        <w:t>), the share of renewables increases over time under all scenarios and the base-</w:t>
      </w:r>
      <w:r w:rsidR="006D312B" w:rsidRPr="00611C65">
        <w:t>run.</w:t>
      </w:r>
      <w:r w:rsidRPr="00611C65">
        <w:t xml:space="preserve"> As direct employment for the installation of new electricity scenarios is </w:t>
      </w:r>
      <w:r w:rsidR="002134C7" w:rsidRPr="00611C65">
        <w:t>o</w:t>
      </w:r>
      <w:r w:rsidRPr="00611C65">
        <w:t xml:space="preserve">n average higher for renewable electricity infrastructure (see Wei et al., 2010), the generated direct employment in the power sector increases over time for all scenarios </w:t>
      </w:r>
      <w:r w:rsidR="00DA4C74" w:rsidRPr="00611C65">
        <w:t>including</w:t>
      </w:r>
      <w:r w:rsidRPr="00611C65">
        <w:t xml:space="preserve"> the base-run. </w:t>
      </w:r>
    </w:p>
    <w:p w14:paraId="1F7A0A68" w14:textId="54601D3D" w:rsidR="00B224FE" w:rsidRPr="00611C65" w:rsidRDefault="00B224FE" w:rsidP="00B224FE">
      <w:proofErr w:type="gramStart"/>
      <w:r w:rsidRPr="00611C65">
        <w:t xml:space="preserve">With </w:t>
      </w:r>
      <w:r w:rsidR="006D312B" w:rsidRPr="00611C65">
        <w:t>regard</w:t>
      </w:r>
      <w:r w:rsidR="00622163" w:rsidRPr="00611C65">
        <w:t xml:space="preserve"> to</w:t>
      </w:r>
      <w:proofErr w:type="gramEnd"/>
      <w:r w:rsidR="00622163" w:rsidRPr="00611C65">
        <w:t xml:space="preserve"> the </w:t>
      </w:r>
      <w:r w:rsidR="006D312B" w:rsidRPr="00611C65">
        <w:t>differences</w:t>
      </w:r>
      <w:r w:rsidR="00622163" w:rsidRPr="00611C65">
        <w:t xml:space="preserve"> between the scenarios, the </w:t>
      </w:r>
      <w:r w:rsidRPr="00611C65">
        <w:t>rapid electricity transition scenario</w:t>
      </w:r>
      <w:r w:rsidR="00622163" w:rsidRPr="00611C65">
        <w:t xml:space="preserve"> </w:t>
      </w:r>
      <w:r w:rsidRPr="00611C65">
        <w:t xml:space="preserve">involves the shut-down of all </w:t>
      </w:r>
      <w:r w:rsidR="00622163" w:rsidRPr="00611C65">
        <w:t>brown</w:t>
      </w:r>
      <w:r w:rsidRPr="00611C65">
        <w:t xml:space="preserve"> electricity infrastructure and the subsequent installation of the same amount of low-carbon electricity production capacity – for which labour force is required. Therefore, </w:t>
      </w:r>
      <w:r w:rsidR="003715CE" w:rsidRPr="00611C65">
        <w:t xml:space="preserve">annual </w:t>
      </w:r>
      <w:r w:rsidRPr="00611C65">
        <w:t xml:space="preserve">direct employment is </w:t>
      </w:r>
      <w:r w:rsidR="006D312B" w:rsidRPr="00611C65">
        <w:t>particularly</w:t>
      </w:r>
      <w:r w:rsidR="00622163" w:rsidRPr="00611C65">
        <w:t xml:space="preserve"> high for the rapid scenario </w:t>
      </w:r>
      <w:r w:rsidRPr="00611C65">
        <w:t>during the period 2016 t</w:t>
      </w:r>
      <w:r w:rsidR="00622163" w:rsidRPr="00611C65">
        <w:t>o</w:t>
      </w:r>
      <w:r w:rsidRPr="00611C65">
        <w:t xml:space="preserve"> 2028</w:t>
      </w:r>
      <w:r w:rsidR="00622163" w:rsidRPr="00611C65">
        <w:t xml:space="preserve">. </w:t>
      </w:r>
      <w:r w:rsidRPr="00611C65">
        <w:t xml:space="preserve">Subsequently, </w:t>
      </w:r>
      <w:r w:rsidR="003715CE" w:rsidRPr="00611C65">
        <w:t xml:space="preserve">annual </w:t>
      </w:r>
      <w:r w:rsidRPr="00611C65">
        <w:t xml:space="preserve">direct employment of the rapid scenario is lower than the medium scenario as </w:t>
      </w:r>
      <w:r w:rsidR="006D312B" w:rsidRPr="00611C65">
        <w:t>comparatively</w:t>
      </w:r>
      <w:r w:rsidR="00622163" w:rsidRPr="00611C65">
        <w:t xml:space="preserve"> less new power infrastructure needs to be built</w:t>
      </w:r>
      <w:r w:rsidR="003715CE" w:rsidRPr="00611C65">
        <w:t xml:space="preserve"> (see figure below)</w:t>
      </w:r>
    </w:p>
    <w:p w14:paraId="2400E944" w14:textId="160EBD72" w:rsidR="00F21313" w:rsidRPr="00611C65" w:rsidRDefault="00F21313" w:rsidP="00521230">
      <w:pPr>
        <w:pStyle w:val="Caption"/>
        <w:keepNext/>
      </w:pPr>
      <w:r w:rsidRPr="00611C65">
        <w:lastRenderedPageBreak/>
        <w:t xml:space="preserve">Figure </w:t>
      </w:r>
      <w:fldSimple w:instr=" SEQ Figure \* ARABIC ">
        <w:r w:rsidRPr="00611C65">
          <w:rPr>
            <w:noProof/>
          </w:rPr>
          <w:t>5</w:t>
        </w:r>
      </w:fldSimple>
      <w:r w:rsidRPr="00611C65">
        <w:t>: Annual direct generated employment</w:t>
      </w:r>
      <w:r w:rsidR="00B224FE" w:rsidRPr="00611C65">
        <w:t xml:space="preserve"> of the power sector</w:t>
      </w:r>
    </w:p>
    <w:p w14:paraId="57A01F21" w14:textId="3BD31023" w:rsidR="00F21313" w:rsidRPr="00611C65" w:rsidRDefault="00C03862" w:rsidP="005A289B">
      <w:r w:rsidRPr="00611C65">
        <w:rPr>
          <w:noProof/>
        </w:rPr>
        <w:drawing>
          <wp:inline distT="0" distB="0" distL="0" distR="0" wp14:anchorId="2B1EE841" wp14:editId="3DDDCE3B">
            <wp:extent cx="5731510" cy="2404110"/>
            <wp:effectExtent l="0" t="0" r="2540" b="15240"/>
            <wp:docPr id="11" name="Diagramm 11" descr="Figure 5">
              <a:extLst xmlns:a="http://schemas.openxmlformats.org/drawingml/2006/main">
                <a:ext uri="{FF2B5EF4-FFF2-40B4-BE49-F238E27FC236}">
                  <a16:creationId xmlns:a16="http://schemas.microsoft.com/office/drawing/2014/main" id="{E1EB3E3D-5DA1-4320-8710-00436BD44E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6DAFCF" w14:textId="04094249" w:rsidR="005E2639" w:rsidRPr="00611C65" w:rsidRDefault="00622163" w:rsidP="005A289B">
      <w:r w:rsidRPr="00611C65">
        <w:t>In accumulated terms, the rapid replacement by new low-carbon energy infrastructure leads to around 1</w:t>
      </w:r>
      <w:r w:rsidR="003D52F1" w:rsidRPr="00611C65">
        <w:t>5.5</w:t>
      </w:r>
      <w:r w:rsidRPr="00611C65">
        <w:t>% higher electricity system costs as compared to the base-run simulation</w:t>
      </w:r>
      <w:r w:rsidR="003D52F1" w:rsidRPr="00611C65">
        <w:t xml:space="preserve">. The </w:t>
      </w:r>
      <w:r w:rsidR="003715CE" w:rsidRPr="00611C65">
        <w:t xml:space="preserve">accumulated </w:t>
      </w:r>
      <w:r w:rsidR="003D52F1" w:rsidRPr="00611C65">
        <w:t>power system costs are 15.9% lower under the moderate scenario and 1.9% lower under the medium scenario.</w:t>
      </w:r>
      <w:r w:rsidRPr="00611C65">
        <w:t xml:space="preserve"> This is because the costs of renewable electricity sources are for most cases lower than for brown electricity sources (as already mentioned and see in the supplementary information for further details). </w:t>
      </w:r>
      <w:r w:rsidR="005F1A55" w:rsidRPr="00611C65">
        <w:t xml:space="preserve">In annual numbers by 2050, </w:t>
      </w:r>
      <w:r w:rsidR="003715CE" w:rsidRPr="00611C65">
        <w:t xml:space="preserve">annual </w:t>
      </w:r>
      <w:r w:rsidR="005F1A55" w:rsidRPr="00611C65">
        <w:t>e</w:t>
      </w:r>
      <w:r w:rsidR="003D6A4C" w:rsidRPr="00611C65">
        <w:t>lectricity system costs are 66.</w:t>
      </w:r>
      <w:r w:rsidR="00B72D7E" w:rsidRPr="00611C65">
        <w:t>4</w:t>
      </w:r>
      <w:r w:rsidR="003D6A4C" w:rsidRPr="00611C65">
        <w:t>% higher under the moderate scenario, 25</w:t>
      </w:r>
      <w:r w:rsidR="00B72D7E" w:rsidRPr="00611C65">
        <w:t>.8</w:t>
      </w:r>
      <w:r w:rsidR="003D6A4C" w:rsidRPr="00611C65">
        <w:t xml:space="preserve">% higher under the medium scenario and 0.3% lower under the rapid scenario </w:t>
      </w:r>
      <w:r w:rsidR="005E2639" w:rsidRPr="00611C65">
        <w:t xml:space="preserve">– always compared to the base-run </w:t>
      </w:r>
      <w:r w:rsidR="003715CE" w:rsidRPr="00611C65">
        <w:t xml:space="preserve">annual </w:t>
      </w:r>
      <w:r w:rsidR="00692074" w:rsidRPr="00611C65">
        <w:t xml:space="preserve">power system costs </w:t>
      </w:r>
      <w:r w:rsidR="002A7D5C" w:rsidRPr="00611C65">
        <w:t>(see figure 6)</w:t>
      </w:r>
      <w:r w:rsidR="00E6629C" w:rsidRPr="00611C65">
        <w:t xml:space="preserve">. </w:t>
      </w:r>
    </w:p>
    <w:p w14:paraId="571A4A0C" w14:textId="064E9577" w:rsidR="005F1A55" w:rsidRPr="00611C65" w:rsidRDefault="005E2639" w:rsidP="005A289B">
      <w:r w:rsidRPr="00611C65">
        <w:t xml:space="preserve">The high </w:t>
      </w:r>
      <w:r w:rsidR="003715CE" w:rsidRPr="00611C65">
        <w:t xml:space="preserve">annual </w:t>
      </w:r>
      <w:r w:rsidRPr="00611C65">
        <w:t xml:space="preserve">electricity system costs under the rapid electricity scenario </w:t>
      </w:r>
      <w:r w:rsidR="005F1A55" w:rsidRPr="00611C65">
        <w:t xml:space="preserve">during the period between 2016 and 2026 </w:t>
      </w:r>
      <w:r w:rsidRPr="00611C65">
        <w:t xml:space="preserve">are </w:t>
      </w:r>
      <w:r w:rsidR="005F1A55" w:rsidRPr="00611C65">
        <w:t>driven</w:t>
      </w:r>
      <w:r w:rsidRPr="00611C65">
        <w:t xml:space="preserve"> by the immediate shut-down of coal and gas electricity </w:t>
      </w:r>
      <w:r w:rsidR="009A494A" w:rsidRPr="00611C65">
        <w:t>infrastructure</w:t>
      </w:r>
      <w:r w:rsidRPr="00611C65">
        <w:t xml:space="preserve">. </w:t>
      </w:r>
      <w:r w:rsidR="00DC11A0" w:rsidRPr="00611C65">
        <w:t xml:space="preserve">In addition, as the rapid </w:t>
      </w:r>
      <w:r w:rsidR="008712F9" w:rsidRPr="00611C65">
        <w:t xml:space="preserve">electricity </w:t>
      </w:r>
      <w:r w:rsidR="00DC11A0" w:rsidRPr="00611C65">
        <w:t xml:space="preserve">scenario is unplanned and as the replacement of the shut-down </w:t>
      </w:r>
      <w:r w:rsidR="006A617F" w:rsidRPr="00611C65">
        <w:t>electricity</w:t>
      </w:r>
      <w:r w:rsidR="00DC11A0" w:rsidRPr="00611C65">
        <w:t xml:space="preserve"> infrastructure with the corresponding renewable </w:t>
      </w:r>
      <w:r w:rsidR="006A617F" w:rsidRPr="00611C65">
        <w:t>electricity</w:t>
      </w:r>
      <w:r w:rsidR="00DC11A0" w:rsidRPr="00611C65">
        <w:t xml:space="preserve"> infrastructure takes time, </w:t>
      </w:r>
      <w:r w:rsidR="00EC0B90" w:rsidRPr="00611C65">
        <w:t xml:space="preserve">higher </w:t>
      </w:r>
      <w:r w:rsidR="006A617F" w:rsidRPr="00611C65">
        <w:t>electricity</w:t>
      </w:r>
      <w:r w:rsidR="00DC11A0" w:rsidRPr="00611C65">
        <w:t xml:space="preserve"> imports </w:t>
      </w:r>
      <w:r w:rsidR="00081449" w:rsidRPr="00611C65">
        <w:t>would likely be</w:t>
      </w:r>
      <w:r w:rsidR="00DC11A0" w:rsidRPr="00611C65">
        <w:t xml:space="preserve"> required and add to </w:t>
      </w:r>
      <w:proofErr w:type="gramStart"/>
      <w:r w:rsidR="00DC11A0" w:rsidRPr="00611C65">
        <w:t>the  costs</w:t>
      </w:r>
      <w:proofErr w:type="gramEnd"/>
      <w:r w:rsidR="00DC11A0" w:rsidRPr="00611C65">
        <w:t xml:space="preserve">, </w:t>
      </w:r>
      <w:r w:rsidR="00081449" w:rsidRPr="00611C65">
        <w:t xml:space="preserve">however, </w:t>
      </w:r>
      <w:r w:rsidR="008C2D9C" w:rsidRPr="00611C65">
        <w:t xml:space="preserve">for simplicity </w:t>
      </w:r>
      <w:r w:rsidR="00081449" w:rsidRPr="00611C65">
        <w:t>we have</w:t>
      </w:r>
      <w:r w:rsidR="001428F2" w:rsidRPr="00611C65">
        <w:t xml:space="preserve"> not</w:t>
      </w:r>
      <w:r w:rsidR="00081449" w:rsidRPr="00611C65">
        <w:t xml:space="preserve"> accounted in this model exercise for an increase in </w:t>
      </w:r>
      <w:r w:rsidR="006A617F" w:rsidRPr="00611C65">
        <w:t>electricity</w:t>
      </w:r>
      <w:r w:rsidR="00081449" w:rsidRPr="00611C65">
        <w:t xml:space="preserve"> imports. </w:t>
      </w:r>
      <w:r w:rsidR="00692074" w:rsidRPr="00611C65">
        <w:t xml:space="preserve">The </w:t>
      </w:r>
      <w:r w:rsidR="005F1A55" w:rsidRPr="00611C65">
        <w:t>lower</w:t>
      </w:r>
      <w:r w:rsidR="00692074" w:rsidRPr="00611C65">
        <w:t xml:space="preserve"> </w:t>
      </w:r>
      <w:r w:rsidR="003715CE" w:rsidRPr="00611C65">
        <w:t xml:space="preserve">annual </w:t>
      </w:r>
      <w:r w:rsidR="00692074" w:rsidRPr="00611C65">
        <w:t xml:space="preserve">system costs </w:t>
      </w:r>
      <w:r w:rsidR="005F1A55" w:rsidRPr="00611C65">
        <w:t xml:space="preserve">from around </w:t>
      </w:r>
      <w:r w:rsidR="00692074" w:rsidRPr="00611C65">
        <w:t xml:space="preserve">2027 </w:t>
      </w:r>
      <w:r w:rsidR="005F1A55" w:rsidRPr="00611C65">
        <w:t>are</w:t>
      </w:r>
      <w:r w:rsidR="00692074" w:rsidRPr="00611C65">
        <w:t xml:space="preserve"> due to the fact that most infrastructure is </w:t>
      </w:r>
      <w:proofErr w:type="gramStart"/>
      <w:r w:rsidR="00352915" w:rsidRPr="00611C65">
        <w:t>shut-down</w:t>
      </w:r>
      <w:proofErr w:type="gramEnd"/>
      <w:r w:rsidR="00352915" w:rsidRPr="00611C65">
        <w:t xml:space="preserve"> and started or already finished to rebuilt</w:t>
      </w:r>
      <w:r w:rsidR="005F1A55" w:rsidRPr="00611C65">
        <w:t xml:space="preserve">. </w:t>
      </w:r>
    </w:p>
    <w:p w14:paraId="2978D363" w14:textId="659740B4" w:rsidR="00692074" w:rsidRPr="00611C65" w:rsidRDefault="00692074" w:rsidP="005A289B">
      <w:r w:rsidRPr="00611C65">
        <w:t xml:space="preserve">Over most of the simulation time horizon, </w:t>
      </w:r>
      <w:r w:rsidR="003715CE" w:rsidRPr="00611C65">
        <w:t xml:space="preserve">annual </w:t>
      </w:r>
      <w:r w:rsidRPr="00611C65">
        <w:t>e</w:t>
      </w:r>
      <w:r w:rsidR="008712F9" w:rsidRPr="00611C65">
        <w:t xml:space="preserve">lectricity </w:t>
      </w:r>
      <w:r w:rsidR="00C53D51" w:rsidRPr="00611C65">
        <w:t>system costs are</w:t>
      </w:r>
      <w:r w:rsidR="008C2D9C" w:rsidRPr="00611C65">
        <w:t xml:space="preserve"> lower</w:t>
      </w:r>
      <w:r w:rsidR="00C53D51" w:rsidRPr="00611C65">
        <w:t xml:space="preserve"> under </w:t>
      </w:r>
      <w:r w:rsidR="008C2D9C" w:rsidRPr="00611C65">
        <w:t xml:space="preserve">the moderate and </w:t>
      </w:r>
      <w:r w:rsidR="00DC11A0" w:rsidRPr="00611C65">
        <w:t xml:space="preserve">medium </w:t>
      </w:r>
      <w:r w:rsidR="006A617F" w:rsidRPr="00611C65">
        <w:t>electricity</w:t>
      </w:r>
      <w:r w:rsidR="00DC11A0" w:rsidRPr="00611C65">
        <w:t xml:space="preserve"> policy scenario</w:t>
      </w:r>
      <w:r w:rsidR="00C53D51" w:rsidRPr="00611C65">
        <w:t xml:space="preserve"> </w:t>
      </w:r>
      <w:r w:rsidR="008C2D9C" w:rsidRPr="00611C65">
        <w:t xml:space="preserve">as compared to the </w:t>
      </w:r>
      <w:r w:rsidRPr="00611C65">
        <w:t xml:space="preserve">rapid electricity scenario and the </w:t>
      </w:r>
      <w:r w:rsidR="008C2D9C" w:rsidRPr="00611C65">
        <w:t>base-run simulation</w:t>
      </w:r>
      <w:r w:rsidR="00C53D51" w:rsidRPr="00611C65">
        <w:t xml:space="preserve">. </w:t>
      </w:r>
      <w:r w:rsidR="005F1A55" w:rsidRPr="00611C65">
        <w:t xml:space="preserve">The reason is that compared to the rapid scenario, these scenarios do not involve a shut-down of all still working born power infrastructure installations and compared to the base-run, they involve higher shares of renewable power sources that are in average cost-effective compared to brown power technologies. The increase of the </w:t>
      </w:r>
      <w:r w:rsidR="003715CE" w:rsidRPr="00611C65">
        <w:t xml:space="preserve">annual </w:t>
      </w:r>
      <w:r w:rsidR="005F1A55" w:rsidRPr="00611C65">
        <w:t xml:space="preserve">system costs of the moderate (and to some extend medium) scenario at the end of the simulation period is explained as in this scenario the shut-down of all still available brown infrastructure is shut down and the corresponding </w:t>
      </w:r>
      <w:r w:rsidR="006D312B" w:rsidRPr="00611C65">
        <w:t>renewable</w:t>
      </w:r>
      <w:r w:rsidR="005F1A55" w:rsidRPr="00611C65">
        <w:t xml:space="preserve"> power infrastructure rebuilt. </w:t>
      </w:r>
    </w:p>
    <w:p w14:paraId="00A6CEB0" w14:textId="311A6770" w:rsidR="00D40BE5" w:rsidRPr="00611C65" w:rsidRDefault="00D40BE5" w:rsidP="00521230">
      <w:pPr>
        <w:pStyle w:val="Caption"/>
        <w:keepNext/>
      </w:pPr>
      <w:r w:rsidRPr="00611C65">
        <w:lastRenderedPageBreak/>
        <w:t xml:space="preserve">Figure </w:t>
      </w:r>
      <w:fldSimple w:instr=" SEQ Figure \* ARABIC ">
        <w:r w:rsidRPr="00611C65">
          <w:rPr>
            <w:noProof/>
          </w:rPr>
          <w:t>6</w:t>
        </w:r>
      </w:fldSimple>
      <w:r w:rsidRPr="00611C65">
        <w:t xml:space="preserve">: </w:t>
      </w:r>
      <w:r w:rsidR="00E6629C" w:rsidRPr="00611C65">
        <w:t>Electricity</w:t>
      </w:r>
      <w:r w:rsidRPr="00611C65">
        <w:t xml:space="preserve"> system cost</w:t>
      </w:r>
    </w:p>
    <w:p w14:paraId="52B4BE37" w14:textId="2DF42407" w:rsidR="00D40BE5" w:rsidRPr="00611C65" w:rsidRDefault="00C03862" w:rsidP="005A289B">
      <w:r w:rsidRPr="00611C65">
        <w:rPr>
          <w:noProof/>
        </w:rPr>
        <w:drawing>
          <wp:inline distT="0" distB="0" distL="0" distR="0" wp14:anchorId="0A16F1B2" wp14:editId="3D40B5DE">
            <wp:extent cx="5731510" cy="2425700"/>
            <wp:effectExtent l="0" t="0" r="2540" b="12700"/>
            <wp:docPr id="13" name="Diagramm 13" descr="Figure 6">
              <a:extLst xmlns:a="http://schemas.openxmlformats.org/drawingml/2006/main">
                <a:ext uri="{FF2B5EF4-FFF2-40B4-BE49-F238E27FC236}">
                  <a16:creationId xmlns:a16="http://schemas.microsoft.com/office/drawing/2014/main" id="{BE0605B5-F5EC-4C7F-8F7D-6996945248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D0436E" w14:textId="013F2C08" w:rsidR="00A24447" w:rsidRPr="00611C65" w:rsidRDefault="00A24447" w:rsidP="005A289B">
      <w:r w:rsidRPr="00611C65">
        <w:t xml:space="preserve">In 2050, the domestic electricity price index </w:t>
      </w:r>
      <w:r w:rsidR="00B93557" w:rsidRPr="00611C65">
        <w:t>is 28% higher under the moderate scenario and 16% higher under the medium scenario. In contrast, it is 0</w:t>
      </w:r>
      <w:r w:rsidR="004B184C" w:rsidRPr="00611C65">
        <w:t>.</w:t>
      </w:r>
      <w:r w:rsidR="00B93557" w:rsidRPr="00611C65">
        <w:t xml:space="preserve">4% lower under the rapid scenario. </w:t>
      </w:r>
      <w:r w:rsidRPr="00611C65">
        <w:t xml:space="preserve">This development is </w:t>
      </w:r>
      <w:r w:rsidR="006D312B" w:rsidRPr="00611C65">
        <w:t>following</w:t>
      </w:r>
      <w:r w:rsidRPr="00611C65">
        <w:t xml:space="preserve"> the simulated outcome of the </w:t>
      </w:r>
      <w:r w:rsidR="003715CE" w:rsidRPr="00611C65">
        <w:t xml:space="preserve">annual </w:t>
      </w:r>
      <w:r w:rsidRPr="00611C65">
        <w:t xml:space="preserve">electricity system costs </w:t>
      </w:r>
      <w:r w:rsidR="00B93557" w:rsidRPr="00611C65">
        <w:t xml:space="preserve">(see </w:t>
      </w:r>
      <w:r w:rsidR="003715CE" w:rsidRPr="00611C65">
        <w:t xml:space="preserve">figure </w:t>
      </w:r>
      <w:r w:rsidR="00B93557" w:rsidRPr="00611C65">
        <w:t xml:space="preserve">above) </w:t>
      </w:r>
      <w:r w:rsidRPr="00611C65">
        <w:t>as higher</w:t>
      </w:r>
      <w:r w:rsidR="003715CE" w:rsidRPr="00611C65">
        <w:t xml:space="preserve"> annual</w:t>
      </w:r>
      <w:r w:rsidRPr="00611C65">
        <w:t xml:space="preserve"> electricity system costs translate </w:t>
      </w:r>
      <w:r w:rsidR="00B93557" w:rsidRPr="00611C65">
        <w:t xml:space="preserve">generally </w:t>
      </w:r>
      <w:r w:rsidRPr="00611C65">
        <w:t>into higher domestic electricity prices</w:t>
      </w:r>
      <w:r w:rsidR="00B93557" w:rsidRPr="00611C65">
        <w:t xml:space="preserve">. For this </w:t>
      </w:r>
      <w:r w:rsidR="006D312B" w:rsidRPr="00611C65">
        <w:t>reason,</w:t>
      </w:r>
      <w:r w:rsidR="00B93557" w:rsidRPr="00611C65">
        <w:t xml:space="preserve"> it is not further explained </w:t>
      </w:r>
      <w:r w:rsidR="00B564F2" w:rsidRPr="00611C65">
        <w:t>here</w:t>
      </w:r>
      <w:r w:rsidR="00B93557" w:rsidRPr="00611C65">
        <w:t xml:space="preserve">. </w:t>
      </w:r>
    </w:p>
    <w:p w14:paraId="55CDF640" w14:textId="74D760E7" w:rsidR="00A24447" w:rsidRPr="00611C65" w:rsidRDefault="00A24447" w:rsidP="005A289B">
      <w:r w:rsidRPr="00611C65">
        <w:t>Moreover, under the rapid electricity policy scenario, domestic electricity prices are on average 2</w:t>
      </w:r>
      <w:r w:rsidR="004B184C" w:rsidRPr="00611C65">
        <w:t>6.6</w:t>
      </w:r>
      <w:r w:rsidRPr="00611C65">
        <w:t xml:space="preserve">% higher; under the medium electricity policy scenario domestic electricity prices are 10% higher and under the moderate electricity policy scenario domestic electricity prices are </w:t>
      </w:r>
      <w:r w:rsidR="00B620E7" w:rsidRPr="00611C65">
        <w:t>o</w:t>
      </w:r>
      <w:r w:rsidRPr="00611C65">
        <w:t>n average 5% lower when compared to the base-run scenario. Importantly</w:t>
      </w:r>
      <w:r w:rsidR="00286078" w:rsidRPr="00611C65">
        <w:t xml:space="preserve">, domestic </w:t>
      </w:r>
      <w:r w:rsidR="006A617F" w:rsidRPr="00611C65">
        <w:t>electricity</w:t>
      </w:r>
      <w:r w:rsidR="00286078" w:rsidRPr="00611C65">
        <w:t xml:space="preserve"> prices under the medium scenario </w:t>
      </w:r>
      <w:r w:rsidRPr="00611C65">
        <w:t xml:space="preserve">are </w:t>
      </w:r>
      <w:r w:rsidR="00B620E7" w:rsidRPr="00611C65">
        <w:t>o</w:t>
      </w:r>
      <w:r w:rsidRPr="00611C65">
        <w:t xml:space="preserve">n average </w:t>
      </w:r>
      <w:r w:rsidRPr="00611C65">
        <w:rPr>
          <w:i/>
          <w:iCs/>
        </w:rPr>
        <w:t>higher</w:t>
      </w:r>
      <w:r w:rsidRPr="00611C65">
        <w:t xml:space="preserve"> than the base-run, yet </w:t>
      </w:r>
      <w:r w:rsidR="00286078" w:rsidRPr="00611C65">
        <w:t xml:space="preserve">the </w:t>
      </w:r>
      <w:r w:rsidR="006A617F" w:rsidRPr="00611C65">
        <w:t>electricity</w:t>
      </w:r>
      <w:r w:rsidR="00286078" w:rsidRPr="00611C65">
        <w:t xml:space="preserve"> system costs </w:t>
      </w:r>
      <w:r w:rsidR="002463D1" w:rsidRPr="00611C65">
        <w:t>under</w:t>
      </w:r>
      <w:r w:rsidR="00286078" w:rsidRPr="00611C65">
        <w:t xml:space="preserve"> this </w:t>
      </w:r>
      <w:r w:rsidR="00B24572" w:rsidRPr="00611C65">
        <w:t xml:space="preserve">scenario </w:t>
      </w:r>
      <w:r w:rsidRPr="00611C65">
        <w:t xml:space="preserve">are higher than the base-run in </w:t>
      </w:r>
      <w:r w:rsidR="006D312B" w:rsidRPr="00611C65">
        <w:t>accumulated</w:t>
      </w:r>
      <w:r w:rsidRPr="00611C65">
        <w:t xml:space="preserve"> terms. This </w:t>
      </w:r>
      <w:r w:rsidR="00B24572" w:rsidRPr="00611C65">
        <w:t xml:space="preserve">can be explained due to </w:t>
      </w:r>
      <w:r w:rsidRPr="00611C65">
        <w:t xml:space="preserve">the case that the system costs </w:t>
      </w:r>
      <w:r w:rsidR="00B93557" w:rsidRPr="00611C65">
        <w:t>indicate</w:t>
      </w:r>
      <w:r w:rsidRPr="00611C65">
        <w:t xml:space="preserve"> the absolute costs of electricity production while the prices reflect the costs per </w:t>
      </w:r>
      <w:r w:rsidR="006D312B" w:rsidRPr="00611C65">
        <w:t>produced</w:t>
      </w:r>
      <w:r w:rsidRPr="00611C65">
        <w:t xml:space="preserve"> unit of </w:t>
      </w:r>
      <w:r w:rsidR="006D312B" w:rsidRPr="00611C65">
        <w:t>electricity</w:t>
      </w:r>
      <w:r w:rsidRPr="00611C65">
        <w:t xml:space="preserve">. Specifically, </w:t>
      </w:r>
      <w:r w:rsidR="00286078" w:rsidRPr="00611C65">
        <w:t>GDP</w:t>
      </w:r>
      <w:r w:rsidR="00484104" w:rsidRPr="00611C65">
        <w:t>,</w:t>
      </w:r>
      <w:r w:rsidR="00286078" w:rsidRPr="00611C65">
        <w:t xml:space="preserve"> and therefore </w:t>
      </w:r>
      <w:r w:rsidR="006A617F" w:rsidRPr="00611C65">
        <w:t>electricity</w:t>
      </w:r>
      <w:r w:rsidR="00286078" w:rsidRPr="00611C65">
        <w:t xml:space="preserve"> production</w:t>
      </w:r>
      <w:r w:rsidR="00484104" w:rsidRPr="00611C65">
        <w:t>,</w:t>
      </w:r>
      <w:r w:rsidR="00286078" w:rsidRPr="00611C65">
        <w:t xml:space="preserve"> is higher under the base-run </w:t>
      </w:r>
      <w:r w:rsidR="00B24572" w:rsidRPr="00611C65">
        <w:t>as compared to</w:t>
      </w:r>
      <w:r w:rsidR="00286078" w:rsidRPr="00611C65">
        <w:t xml:space="preserve"> </w:t>
      </w:r>
      <w:r w:rsidR="00B24572" w:rsidRPr="00611C65">
        <w:t xml:space="preserve">the </w:t>
      </w:r>
      <w:r w:rsidRPr="00611C65">
        <w:t xml:space="preserve">medium </w:t>
      </w:r>
      <w:r w:rsidR="00B24572" w:rsidRPr="00611C65">
        <w:t>scenario</w:t>
      </w:r>
      <w:r w:rsidR="00286078" w:rsidRPr="00611C65">
        <w:t xml:space="preserve"> and therefore the </w:t>
      </w:r>
      <w:r w:rsidR="002463D1" w:rsidRPr="00611C65">
        <w:t xml:space="preserve">average </w:t>
      </w:r>
      <w:r w:rsidR="00286078" w:rsidRPr="00611C65">
        <w:t xml:space="preserve">costs per unit of produced </w:t>
      </w:r>
      <w:r w:rsidR="006A617F" w:rsidRPr="00611C65">
        <w:t>electricity</w:t>
      </w:r>
      <w:r w:rsidR="00286078" w:rsidRPr="00611C65">
        <w:t xml:space="preserve"> or the </w:t>
      </w:r>
      <w:r w:rsidR="006A617F" w:rsidRPr="00611C65">
        <w:t>electricity</w:t>
      </w:r>
      <w:r w:rsidR="00286078" w:rsidRPr="00611C65">
        <w:t xml:space="preserve"> system costs per produced unit of </w:t>
      </w:r>
      <w:r w:rsidR="006A617F" w:rsidRPr="00611C65">
        <w:t>electricity</w:t>
      </w:r>
      <w:r w:rsidR="00286078" w:rsidRPr="00611C65">
        <w:t xml:space="preserve"> are lower under the base-run. </w:t>
      </w:r>
    </w:p>
    <w:p w14:paraId="2F819B13" w14:textId="320BA8F0" w:rsidR="008270BF" w:rsidRPr="00611C65" w:rsidRDefault="008270BF" w:rsidP="00DB493B">
      <w:pPr>
        <w:pStyle w:val="Caption"/>
        <w:keepNext/>
        <w:spacing w:after="0"/>
      </w:pPr>
      <w:r w:rsidRPr="00611C65">
        <w:t xml:space="preserve">Figure </w:t>
      </w:r>
      <w:fldSimple w:instr=" SEQ Figure \* ARABIC ">
        <w:r w:rsidR="00CC0F54" w:rsidRPr="00611C65">
          <w:rPr>
            <w:noProof/>
          </w:rPr>
          <w:t>7</w:t>
        </w:r>
      </w:fldSimple>
      <w:r w:rsidRPr="00611C65">
        <w:t>: Domestic electricity prices</w:t>
      </w:r>
    </w:p>
    <w:p w14:paraId="785D58BA" w14:textId="754CFDC3" w:rsidR="003661DC" w:rsidRPr="00611C65" w:rsidRDefault="00DC1722" w:rsidP="005A289B">
      <w:r w:rsidRPr="00611C65">
        <w:rPr>
          <w:noProof/>
        </w:rPr>
        <w:drawing>
          <wp:inline distT="0" distB="0" distL="0" distR="0" wp14:anchorId="4B972754" wp14:editId="5BDA5C15">
            <wp:extent cx="5731510" cy="2278966"/>
            <wp:effectExtent l="0" t="0" r="2540" b="7620"/>
            <wp:docPr id="6" name="Diagramm 6" descr="Figure 7">
              <a:extLst xmlns:a="http://schemas.openxmlformats.org/drawingml/2006/main">
                <a:ext uri="{FF2B5EF4-FFF2-40B4-BE49-F238E27FC236}">
                  <a16:creationId xmlns:a16="http://schemas.microsoft.com/office/drawing/2014/main" id="{8602BF18-0118-494C-84F8-2586743E7A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42010C0" w14:textId="7AD90EDB" w:rsidR="00E262A2" w:rsidRPr="00611C65" w:rsidRDefault="00333047" w:rsidP="00E262A2">
      <w:r w:rsidRPr="00611C65">
        <w:lastRenderedPageBreak/>
        <w:t>Finally,</w:t>
      </w:r>
      <w:r w:rsidR="00C53D51" w:rsidRPr="00611C65">
        <w:rPr>
          <w:b/>
        </w:rPr>
        <w:t xml:space="preserve"> </w:t>
      </w:r>
      <w:r w:rsidRPr="00611C65">
        <w:t>w</w:t>
      </w:r>
      <w:r w:rsidR="00C72903" w:rsidRPr="00611C65">
        <w:t>e introduce a new policy indicator, called the implicit carbon price or carbon price equivalent</w:t>
      </w:r>
      <w:r w:rsidR="00DB493B" w:rsidRPr="00611C65">
        <w:t xml:space="preserve">, </w:t>
      </w:r>
      <w:proofErr w:type="gramStart"/>
      <w:r w:rsidR="00DB493B" w:rsidRPr="00611C65">
        <w:t>in order to</w:t>
      </w:r>
      <w:proofErr w:type="gramEnd"/>
      <w:r w:rsidR="00DB493B" w:rsidRPr="00611C65">
        <w:t xml:space="preserve"> effectively communicate related </w:t>
      </w:r>
      <w:bookmarkStart w:id="4" w:name="_Hlk64894082"/>
      <w:r w:rsidR="006A617F" w:rsidRPr="00611C65">
        <w:t>electricity</w:t>
      </w:r>
      <w:r w:rsidR="00DB493B" w:rsidRPr="00611C65">
        <w:t xml:space="preserve"> system costs per tonne of reduced emissions</w:t>
      </w:r>
      <w:bookmarkEnd w:id="4"/>
      <w:r w:rsidR="00C72903" w:rsidRPr="00611C65">
        <w:t xml:space="preserve">. </w:t>
      </w:r>
      <w:bookmarkStart w:id="5" w:name="_Hlk64894152"/>
      <w:r w:rsidR="00D7468B" w:rsidRPr="00611C65">
        <w:t>We note that GIBM does not include a carbon price as a policy driver for any of the scenarios</w:t>
      </w:r>
      <w:r w:rsidR="00280EFD" w:rsidRPr="00611C65">
        <w:t xml:space="preserve">, however, a carbon price is included in all </w:t>
      </w:r>
      <w:proofErr w:type="gramStart"/>
      <w:r w:rsidR="00280EFD" w:rsidRPr="00611C65">
        <w:t>scenario</w:t>
      </w:r>
      <w:proofErr w:type="gramEnd"/>
      <w:r w:rsidR="00280EFD" w:rsidRPr="00611C65">
        <w:t xml:space="preserve"> and the base-run, but not sufficiently high to reach the zero carbon emissions by 2050 (see </w:t>
      </w:r>
      <w:proofErr w:type="spellStart"/>
      <w:r w:rsidR="00280EFD" w:rsidRPr="00611C65">
        <w:t>supplemetary</w:t>
      </w:r>
      <w:proofErr w:type="spellEnd"/>
      <w:r w:rsidR="00280EFD" w:rsidRPr="00611C65">
        <w:t xml:space="preserve"> information)</w:t>
      </w:r>
      <w:r w:rsidR="00D7468B" w:rsidRPr="00611C65">
        <w:t xml:space="preserve">. </w:t>
      </w:r>
      <w:r w:rsidR="00280EFD" w:rsidRPr="00611C65">
        <w:t>In</w:t>
      </w:r>
      <w:r w:rsidRPr="00611C65">
        <w:t xml:space="preserve"> this study, t</w:t>
      </w:r>
      <w:r w:rsidR="00C42D19" w:rsidRPr="00611C65">
        <w:t>he implicit carbon price</w:t>
      </w:r>
      <w:r w:rsidR="005A289B" w:rsidRPr="00611C65">
        <w:t xml:space="preserve"> </w:t>
      </w:r>
      <w:r w:rsidRPr="00611C65">
        <w:t>is defined as the costs</w:t>
      </w:r>
      <w:r w:rsidR="00C42D19" w:rsidRPr="00611C65">
        <w:t xml:space="preserve"> </w:t>
      </w:r>
      <w:r w:rsidRPr="00611C65">
        <w:rPr>
          <w:i/>
        </w:rPr>
        <w:t xml:space="preserve">(in terms of accumulated </w:t>
      </w:r>
      <w:r w:rsidR="006A617F" w:rsidRPr="00611C65">
        <w:rPr>
          <w:i/>
        </w:rPr>
        <w:t>electricity</w:t>
      </w:r>
      <w:r w:rsidRPr="00611C65">
        <w:rPr>
          <w:i/>
        </w:rPr>
        <w:t xml:space="preserve"> system costs</w:t>
      </w:r>
      <w:r w:rsidR="00B64C31" w:rsidRPr="00611C65">
        <w:rPr>
          <w:i/>
        </w:rPr>
        <w:t xml:space="preserve">, including the </w:t>
      </w:r>
      <w:r w:rsidR="007A335C" w:rsidRPr="00611C65">
        <w:rPr>
          <w:i/>
        </w:rPr>
        <w:t>investment and operational</w:t>
      </w:r>
      <w:r w:rsidR="00B64C31" w:rsidRPr="00611C65">
        <w:rPr>
          <w:i/>
        </w:rPr>
        <w:t xml:space="preserve"> costs of the power </w:t>
      </w:r>
      <w:r w:rsidR="00724901" w:rsidRPr="00611C65">
        <w:rPr>
          <w:i/>
        </w:rPr>
        <w:t xml:space="preserve">production </w:t>
      </w:r>
      <w:r w:rsidR="00B64C31" w:rsidRPr="00611C65">
        <w:rPr>
          <w:i/>
        </w:rPr>
        <w:t>infrastructure, and the storage and intermittency costs)</w:t>
      </w:r>
      <w:r w:rsidR="006065C1" w:rsidRPr="00611C65">
        <w:rPr>
          <w:i/>
        </w:rPr>
        <w:t xml:space="preserve"> in comparison to these costs in the base-run</w:t>
      </w:r>
      <w:r w:rsidRPr="00611C65">
        <w:rPr>
          <w:i/>
        </w:rPr>
        <w:t>)</w:t>
      </w:r>
      <w:r w:rsidRPr="00611C65">
        <w:t xml:space="preserve"> per</w:t>
      </w:r>
      <w:r w:rsidR="005A289B" w:rsidRPr="00611C65">
        <w:t xml:space="preserve"> tonne of reduced </w:t>
      </w:r>
      <w:r w:rsidR="00B74319" w:rsidRPr="00611C65">
        <w:t xml:space="preserve">accumulated </w:t>
      </w:r>
      <w:r w:rsidR="005A289B" w:rsidRPr="00611C65">
        <w:t>emissions</w:t>
      </w:r>
      <w:r w:rsidR="00EF5294" w:rsidRPr="00611C65">
        <w:t xml:space="preserve"> (from the </w:t>
      </w:r>
      <w:r w:rsidR="006A617F" w:rsidRPr="00611C65">
        <w:t>electricity</w:t>
      </w:r>
      <w:r w:rsidR="00EF5294" w:rsidRPr="00611C65">
        <w:t xml:space="preserve"> supply sector)</w:t>
      </w:r>
      <w:r w:rsidR="006065C1" w:rsidRPr="00611C65">
        <w:t xml:space="preserve">. </w:t>
      </w:r>
      <w:r w:rsidR="005A289B" w:rsidRPr="00611C65">
        <w:t xml:space="preserve">Importantly, this does not mean that introducing a carbon price of that level would lead to this </w:t>
      </w:r>
      <w:proofErr w:type="gramStart"/>
      <w:r w:rsidR="005A289B" w:rsidRPr="00611C65">
        <w:t>particular scenario</w:t>
      </w:r>
      <w:proofErr w:type="gramEnd"/>
      <w:r w:rsidR="005A289B" w:rsidRPr="00611C65">
        <w:t xml:space="preserve"> or </w:t>
      </w:r>
      <w:r w:rsidR="00B93557" w:rsidRPr="00611C65">
        <w:t>the</w:t>
      </w:r>
      <w:r w:rsidR="005A289B" w:rsidRPr="00611C65">
        <w:t xml:space="preserve"> </w:t>
      </w:r>
      <w:r w:rsidR="00B93557" w:rsidRPr="00611C65">
        <w:t xml:space="preserve">indicated </w:t>
      </w:r>
      <w:r w:rsidR="005A289B" w:rsidRPr="00611C65">
        <w:t>amount of carbon reduction, mainly because investment decisions</w:t>
      </w:r>
      <w:r w:rsidR="00C42D19" w:rsidRPr="00611C65">
        <w:t xml:space="preserve"> included in GIBM</w:t>
      </w:r>
      <w:r w:rsidR="005A289B" w:rsidRPr="00611C65">
        <w:t xml:space="preserve"> involve a behavioural component. </w:t>
      </w:r>
      <w:bookmarkStart w:id="6" w:name="_Hlk64898692"/>
      <w:r w:rsidR="00E262A2" w:rsidRPr="00611C65">
        <w:t>As opposed to the carbon price (marginal costs of carbon), our measure indicate</w:t>
      </w:r>
      <w:r w:rsidR="00CC0F54" w:rsidRPr="00611C65">
        <w:t>s</w:t>
      </w:r>
      <w:r w:rsidR="00E262A2" w:rsidRPr="00611C65">
        <w:t xml:space="preserve"> the average </w:t>
      </w:r>
      <w:r w:rsidR="00CC0F54" w:rsidRPr="00611C65">
        <w:t xml:space="preserve">power system </w:t>
      </w:r>
      <w:r w:rsidR="00E262A2" w:rsidRPr="00611C65">
        <w:t>costs per reduced tonne of emissions</w:t>
      </w:r>
      <w:bookmarkStart w:id="7" w:name="_Hlk64899186"/>
      <w:r w:rsidR="00B93557" w:rsidRPr="00611C65">
        <w:t xml:space="preserve">, which is the value we are interested here. </w:t>
      </w:r>
      <w:r w:rsidR="00E262A2" w:rsidRPr="00611C65">
        <w:t xml:space="preserve">We use a different indicator as commonly </w:t>
      </w:r>
      <w:r w:rsidR="00CC0F54" w:rsidRPr="00611C65">
        <w:t>applied in model exercises with</w:t>
      </w:r>
      <w:r w:rsidR="00E262A2" w:rsidRPr="00611C65">
        <w:t xml:space="preserve"> Computable General Equilibrium (CGE) </w:t>
      </w:r>
      <w:r w:rsidR="00CC0F54" w:rsidRPr="00611C65">
        <w:t xml:space="preserve">models </w:t>
      </w:r>
      <w:r w:rsidR="00E262A2" w:rsidRPr="00611C65">
        <w:t xml:space="preserve">or integrated assessment </w:t>
      </w:r>
      <w:r w:rsidR="00CC0F54" w:rsidRPr="00611C65">
        <w:t xml:space="preserve">models (IAM) due </w:t>
      </w:r>
      <w:r w:rsidR="00385DD1" w:rsidRPr="00611C65">
        <w:t xml:space="preserve">to the different </w:t>
      </w:r>
      <w:r w:rsidR="009A494A" w:rsidRPr="00611C65">
        <w:t>methodology</w:t>
      </w:r>
      <w:r w:rsidR="00385DD1" w:rsidRPr="00611C65">
        <w:t xml:space="preserve"> of, and </w:t>
      </w:r>
      <w:proofErr w:type="gramStart"/>
      <w:r w:rsidR="00385DD1" w:rsidRPr="00611C65">
        <w:t>in particular due</w:t>
      </w:r>
      <w:proofErr w:type="gramEnd"/>
      <w:r w:rsidR="00385DD1" w:rsidRPr="00611C65">
        <w:t xml:space="preserve"> to the different </w:t>
      </w:r>
      <w:r w:rsidR="009A494A" w:rsidRPr="00611C65">
        <w:t>representation</w:t>
      </w:r>
      <w:r w:rsidR="00385DD1" w:rsidRPr="00611C65">
        <w:t xml:space="preserve"> of </w:t>
      </w:r>
      <w:r w:rsidR="006A617F" w:rsidRPr="00611C65">
        <w:t>electricity</w:t>
      </w:r>
      <w:r w:rsidR="00385DD1" w:rsidRPr="00611C65">
        <w:t xml:space="preserve"> investment decision in, GIBM as compared to</w:t>
      </w:r>
      <w:r w:rsidR="00E262A2" w:rsidRPr="00611C65">
        <w:t xml:space="preserve"> CGEs or IAMs. </w:t>
      </w:r>
      <w:bookmarkEnd w:id="6"/>
    </w:p>
    <w:bookmarkEnd w:id="5"/>
    <w:bookmarkEnd w:id="7"/>
    <w:p w14:paraId="4630CB14" w14:textId="77777777" w:rsidR="005A289B" w:rsidRPr="00611C65" w:rsidRDefault="005A289B" w:rsidP="005A289B">
      <w:r w:rsidRPr="00611C65">
        <w:t xml:space="preserve">The carbon price equivalent is calculated as follows: </w:t>
      </w:r>
    </w:p>
    <w:p w14:paraId="71C131AC" w14:textId="5A7217A5" w:rsidR="006065C1" w:rsidRPr="00611C65" w:rsidRDefault="005A289B" w:rsidP="006065C1">
      <w:pPr>
        <w:jc w:val="left"/>
        <w:rPr>
          <w:rFonts w:eastAsiaTheme="minorEastAsia"/>
        </w:rPr>
      </w:pPr>
      <w:r w:rsidRPr="00611C65">
        <w:t>Carbon price equivalent (£/tonne) =</w:t>
      </w:r>
      <w:r w:rsidR="009F76BD" w:rsidRPr="00611C65">
        <w:t xml:space="preserve"> </w:t>
      </w:r>
      <m:oMath>
        <m:f>
          <m:fPr>
            <m:ctrlPr>
              <w:rPr>
                <w:rFonts w:ascii="Cambria Math" w:hAnsi="Cambria Math"/>
                <w:i/>
              </w:rPr>
            </m:ctrlPr>
          </m:fPr>
          <m:num>
            <m:r>
              <w:rPr>
                <w:rFonts w:ascii="Cambria Math" w:hAnsi="Cambria Math"/>
              </w:rPr>
              <m:t xml:space="preserve">Difference acc.  energy system costs over simulation period </m:t>
            </m:r>
            <m:d>
              <m:dPr>
                <m:ctrlPr>
                  <w:rPr>
                    <w:rFonts w:ascii="Cambria Math" w:hAnsi="Cambria Math"/>
                    <w:i/>
                  </w:rPr>
                </m:ctrlPr>
              </m:dPr>
              <m:e>
                <m:r>
                  <w:rPr>
                    <w:rFonts w:ascii="Cambria Math" w:hAnsi="Cambria Math"/>
                  </w:rPr>
                  <m:t>£</m:t>
                </m:r>
              </m:e>
            </m:d>
          </m:num>
          <m:den>
            <m:r>
              <w:rPr>
                <w:rFonts w:ascii="Cambria Math" w:hAnsi="Cambria Math"/>
              </w:rPr>
              <m:t xml:space="preserve"> Accumulated emission reduction </m:t>
            </m:r>
            <m:d>
              <m:dPr>
                <m:ctrlPr>
                  <w:rPr>
                    <w:rFonts w:ascii="Cambria Math" w:hAnsi="Cambria Math"/>
                    <w:i/>
                  </w:rPr>
                </m:ctrlPr>
              </m:dPr>
              <m:e>
                <m:r>
                  <w:rPr>
                    <w:rFonts w:ascii="Cambria Math" w:hAnsi="Cambria Math"/>
                  </w:rPr>
                  <m:t>tonnes</m:t>
                </m:r>
              </m:e>
            </m:d>
          </m:den>
        </m:f>
      </m:oMath>
      <w:r w:rsidR="001A4D2C" w:rsidRPr="00611C65">
        <w:rPr>
          <w:rFonts w:eastAsiaTheme="minorEastAsia"/>
        </w:rPr>
        <w:t xml:space="preserve">, </w:t>
      </w:r>
      <w:r w:rsidR="006065C1" w:rsidRPr="00611C65">
        <w:rPr>
          <w:rFonts w:eastAsiaTheme="minorEastAsia"/>
        </w:rPr>
        <w:t xml:space="preserve"> </w:t>
      </w:r>
    </w:p>
    <w:p w14:paraId="24225437" w14:textId="1D18E753" w:rsidR="00786D38" w:rsidRPr="00611C65" w:rsidRDefault="00786D38" w:rsidP="00CC0F54">
      <w:r w:rsidRPr="00611C65">
        <w:t xml:space="preserve">The figure below shows that </w:t>
      </w:r>
      <w:proofErr w:type="gramStart"/>
      <w:r w:rsidRPr="00611C65">
        <w:t>as long as</w:t>
      </w:r>
      <w:proofErr w:type="gramEnd"/>
      <w:r w:rsidRPr="00611C65">
        <w:t xml:space="preserve"> an energy transition is not rapid, the reduction of emissions in the energy supply sector is in fact profitable, indicated in the table below as a negative carbon price equivalent. The reason for the negative carbon price under the moderate and medium transition is that the energy system costs are lower than under the base-run, which in turn is due to the lower total costs of renewable energy in comparison to brown energy technologies. Under the rapid energy transition scenario, the carbon price equivalent becomes positive, which is due to the phase-out of all still operating fossil-fuel based energy technologies and the subsequent installations of renewable energy infrastructure. That is, for the rapid energy policy scenario the carbon price equivalent achieved is seen as £760 per tonne. Overall, we emphasise that in the model, it is assumed that storage or other possibilities to deal with the higher intermittency of RES is available and that related costs lie within the assumed range of this model exercise.  </w:t>
      </w:r>
    </w:p>
    <w:p w14:paraId="32B99BED" w14:textId="4F71D813" w:rsidR="003C3050" w:rsidRPr="00611C65" w:rsidRDefault="003C3050" w:rsidP="00CC0F54">
      <w:pPr>
        <w:rPr>
          <w:b/>
          <w:bCs/>
          <w:sz w:val="20"/>
          <w:szCs w:val="20"/>
        </w:rPr>
      </w:pPr>
      <w:r w:rsidRPr="00611C65">
        <w:rPr>
          <w:b/>
          <w:bCs/>
          <w:sz w:val="20"/>
          <w:szCs w:val="20"/>
        </w:rPr>
        <w:t xml:space="preserve">Figure </w:t>
      </w:r>
      <w:r w:rsidR="00BD1FBD" w:rsidRPr="00611C65">
        <w:rPr>
          <w:b/>
          <w:bCs/>
          <w:noProof/>
          <w:sz w:val="20"/>
          <w:szCs w:val="20"/>
        </w:rPr>
        <w:fldChar w:fldCharType="begin"/>
      </w:r>
      <w:r w:rsidR="00BD1FBD" w:rsidRPr="00611C65">
        <w:rPr>
          <w:b/>
          <w:bCs/>
          <w:noProof/>
          <w:sz w:val="20"/>
          <w:szCs w:val="20"/>
        </w:rPr>
        <w:instrText xml:space="preserve"> SEQ Figure \* ARABIC </w:instrText>
      </w:r>
      <w:r w:rsidR="00BD1FBD" w:rsidRPr="00611C65">
        <w:rPr>
          <w:b/>
          <w:bCs/>
          <w:noProof/>
          <w:sz w:val="20"/>
          <w:szCs w:val="20"/>
        </w:rPr>
        <w:fldChar w:fldCharType="separate"/>
      </w:r>
      <w:r w:rsidR="00CC0F54" w:rsidRPr="00611C65">
        <w:rPr>
          <w:b/>
          <w:bCs/>
          <w:noProof/>
          <w:sz w:val="20"/>
          <w:szCs w:val="20"/>
        </w:rPr>
        <w:t>8</w:t>
      </w:r>
      <w:r w:rsidR="00BD1FBD" w:rsidRPr="00611C65">
        <w:rPr>
          <w:b/>
          <w:bCs/>
          <w:noProof/>
          <w:sz w:val="20"/>
          <w:szCs w:val="20"/>
        </w:rPr>
        <w:fldChar w:fldCharType="end"/>
      </w:r>
      <w:r w:rsidRPr="00611C65">
        <w:rPr>
          <w:b/>
          <w:bCs/>
          <w:sz w:val="20"/>
          <w:szCs w:val="20"/>
        </w:rPr>
        <w:t xml:space="preserve">: Carbon price equivalent for different </w:t>
      </w:r>
      <w:r w:rsidR="006A617F" w:rsidRPr="00611C65">
        <w:rPr>
          <w:b/>
          <w:bCs/>
          <w:sz w:val="20"/>
          <w:szCs w:val="20"/>
        </w:rPr>
        <w:t>electricity</w:t>
      </w:r>
      <w:r w:rsidR="00A56B6C" w:rsidRPr="00611C65">
        <w:rPr>
          <w:b/>
          <w:bCs/>
          <w:sz w:val="20"/>
          <w:szCs w:val="20"/>
        </w:rPr>
        <w:t xml:space="preserve"> </w:t>
      </w:r>
      <w:r w:rsidRPr="00611C65">
        <w:rPr>
          <w:b/>
          <w:bCs/>
          <w:sz w:val="20"/>
          <w:szCs w:val="20"/>
        </w:rPr>
        <w:t>policy scenarios</w:t>
      </w:r>
    </w:p>
    <w:p w14:paraId="296120B2" w14:textId="6601F273" w:rsidR="00123F24" w:rsidRPr="00611C65" w:rsidRDefault="0027284F" w:rsidP="00BD7625">
      <w:pPr>
        <w:pStyle w:val="ListParagraph"/>
        <w:ind w:left="0"/>
      </w:pPr>
      <w:r w:rsidRPr="00611C65">
        <w:rPr>
          <w:noProof/>
        </w:rPr>
        <w:t xml:space="preserve"> </w:t>
      </w:r>
      <w:r w:rsidR="008D6F86" w:rsidRPr="00611C65">
        <w:rPr>
          <w:noProof/>
        </w:rPr>
        <w:t xml:space="preserve"> </w:t>
      </w:r>
      <w:r w:rsidR="008D6F86" w:rsidRPr="00611C65">
        <w:rPr>
          <w:noProof/>
        </w:rPr>
        <w:drawing>
          <wp:inline distT="0" distB="0" distL="0" distR="0" wp14:anchorId="530C180F" wp14:editId="10E9C8F1">
            <wp:extent cx="5731510" cy="2152650"/>
            <wp:effectExtent l="0" t="0" r="2540" b="0"/>
            <wp:docPr id="1" name="Diagramm 1" descr="Figure 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967BD22" w14:textId="77777777" w:rsidR="0041721B" w:rsidRPr="00611C65" w:rsidRDefault="0041721B" w:rsidP="00BD7625">
      <w:pPr>
        <w:pStyle w:val="ListParagraph"/>
        <w:ind w:left="0"/>
      </w:pPr>
    </w:p>
    <w:p w14:paraId="79D01D96" w14:textId="5D7B32C2" w:rsidR="00FA5AD0" w:rsidRPr="00611C65" w:rsidRDefault="00BD7625" w:rsidP="00BD7625">
      <w:pPr>
        <w:pStyle w:val="ListParagraph"/>
        <w:ind w:left="0"/>
      </w:pPr>
      <w:r w:rsidRPr="00611C65">
        <w:t>We have conducted sensitivity testing</w:t>
      </w:r>
      <w:r w:rsidR="00FA5AD0" w:rsidRPr="00611C65">
        <w:t xml:space="preserve"> (see appendix). These results generally lead to the same </w:t>
      </w:r>
      <w:r w:rsidR="006D312B" w:rsidRPr="00611C65">
        <w:t>policy conclusions</w:t>
      </w:r>
      <w:r w:rsidR="00FA5AD0" w:rsidRPr="00611C65">
        <w:t xml:space="preserve"> as described </w:t>
      </w:r>
      <w:r w:rsidR="006D312B" w:rsidRPr="00611C65">
        <w:t>in section 5</w:t>
      </w:r>
      <w:r w:rsidR="00FA5AD0" w:rsidRPr="00611C65">
        <w:t xml:space="preserve">. </w:t>
      </w:r>
      <w:r w:rsidR="006D312B" w:rsidRPr="00611C65">
        <w:t xml:space="preserve">There are two exceptions to this, which are discussed below. </w:t>
      </w:r>
    </w:p>
    <w:p w14:paraId="516C5454" w14:textId="3727BB4D" w:rsidR="00EA3AB4" w:rsidRPr="00611C65" w:rsidRDefault="00EA3AB4" w:rsidP="00EA3AB4">
      <w:pPr>
        <w:pStyle w:val="Heading1"/>
        <w:rPr>
          <w:color w:val="auto"/>
        </w:rPr>
      </w:pPr>
      <w:r w:rsidRPr="00611C65">
        <w:rPr>
          <w:color w:val="auto"/>
        </w:rPr>
        <w:t>Discussion</w:t>
      </w:r>
    </w:p>
    <w:p w14:paraId="2FD9E8FD" w14:textId="242E5A31" w:rsidR="00B37FAC" w:rsidRPr="00611C65" w:rsidRDefault="00B37FAC" w:rsidP="00B37FAC">
      <w:r w:rsidRPr="00611C65">
        <w:t xml:space="preserve">The simulation results displayed in the previous section suggest that there is no </w:t>
      </w:r>
      <w:r w:rsidR="00170EFD" w:rsidRPr="00611C65">
        <w:t xml:space="preserve">optimal </w:t>
      </w:r>
      <w:r w:rsidR="009A494A" w:rsidRPr="00611C65">
        <w:t>solution</w:t>
      </w:r>
      <w:r w:rsidR="00170EFD" w:rsidRPr="00611C65">
        <w:t xml:space="preserve"> </w:t>
      </w:r>
      <w:proofErr w:type="gramStart"/>
      <w:r w:rsidR="00170EFD" w:rsidRPr="00611C65">
        <w:t>i.e.</w:t>
      </w:r>
      <w:proofErr w:type="gramEnd"/>
      <w:r w:rsidR="00170EFD" w:rsidRPr="00611C65">
        <w:t xml:space="preserve"> a </w:t>
      </w:r>
      <w:r w:rsidRPr="00611C65">
        <w:t xml:space="preserve">win-win solution in terms of GDP, unemployment, </w:t>
      </w:r>
      <w:r w:rsidR="006A617F" w:rsidRPr="00611C65">
        <w:t>electricity</w:t>
      </w:r>
      <w:r w:rsidRPr="00611C65">
        <w:t xml:space="preserve"> system costs and emission reduction. Each </w:t>
      </w:r>
      <w:r w:rsidR="006A617F" w:rsidRPr="00611C65">
        <w:t>electricity</w:t>
      </w:r>
      <w:r w:rsidRPr="00611C65">
        <w:t xml:space="preserve"> transition policy scenario generates trade-offs</w:t>
      </w:r>
      <w:r w:rsidR="00170EFD" w:rsidRPr="00611C65">
        <w:t xml:space="preserve"> (see figure </w:t>
      </w:r>
      <w:r w:rsidR="002A7D5C" w:rsidRPr="00611C65">
        <w:t>9</w:t>
      </w:r>
      <w:r w:rsidR="00170EFD" w:rsidRPr="00611C65">
        <w:t xml:space="preserve">). </w:t>
      </w:r>
      <w:proofErr w:type="gramStart"/>
      <w:r w:rsidR="00866CAC" w:rsidRPr="00611C65">
        <w:t>With regard to</w:t>
      </w:r>
      <w:proofErr w:type="gramEnd"/>
      <w:r w:rsidR="00866CAC" w:rsidRPr="00611C65">
        <w:t xml:space="preserve"> the figure below, each axis of the spider diagram shows the chosen policy indicators (GDP, emissions, unemployment etc.) as compared to the base-run simulation, with each policy scenario shown in different colours. A policy scenario that is identical to the base-run would be shown as a 0% difference. The further out the lines – the larger the positive difference and the closer to the centre – the larger the negative difference. </w:t>
      </w:r>
    </w:p>
    <w:p w14:paraId="45E2EAED" w14:textId="3EF18D98" w:rsidR="00170EFD" w:rsidRPr="00611C65" w:rsidRDefault="00170EFD" w:rsidP="00170EFD">
      <w:pPr>
        <w:pStyle w:val="Caption"/>
        <w:keepNext/>
        <w:spacing w:line="276" w:lineRule="auto"/>
        <w:rPr>
          <w:rFonts w:asciiTheme="minorHAnsi" w:hAnsiTheme="minorHAnsi" w:cstheme="minorHAnsi"/>
          <w:i/>
          <w:szCs w:val="20"/>
        </w:rPr>
      </w:pPr>
      <w:r w:rsidRPr="00611C65">
        <w:rPr>
          <w:rFonts w:asciiTheme="minorHAnsi" w:hAnsiTheme="minorHAnsi" w:cstheme="minorHAnsi"/>
          <w:bCs/>
          <w:iCs w:val="0"/>
          <w:szCs w:val="20"/>
        </w:rPr>
        <w:t xml:space="preserve">Figure </w:t>
      </w:r>
      <w:r w:rsidRPr="00611C65">
        <w:rPr>
          <w:rFonts w:asciiTheme="minorHAnsi" w:hAnsiTheme="minorHAnsi" w:cstheme="minorHAnsi"/>
          <w:bCs/>
          <w:noProof/>
          <w:szCs w:val="20"/>
        </w:rPr>
        <w:fldChar w:fldCharType="begin"/>
      </w:r>
      <w:r w:rsidRPr="00611C65">
        <w:rPr>
          <w:rFonts w:asciiTheme="minorHAnsi" w:hAnsiTheme="minorHAnsi" w:cstheme="minorHAnsi"/>
          <w:bCs/>
          <w:iCs w:val="0"/>
          <w:noProof/>
          <w:szCs w:val="20"/>
        </w:rPr>
        <w:instrText xml:space="preserve"> SEQ Figure \* ARABIC </w:instrText>
      </w:r>
      <w:r w:rsidRPr="00611C65">
        <w:rPr>
          <w:rFonts w:asciiTheme="minorHAnsi" w:hAnsiTheme="minorHAnsi" w:cstheme="minorHAnsi"/>
          <w:bCs/>
          <w:noProof/>
          <w:szCs w:val="20"/>
        </w:rPr>
        <w:fldChar w:fldCharType="separate"/>
      </w:r>
      <w:r w:rsidR="00CC0F54" w:rsidRPr="00611C65">
        <w:rPr>
          <w:rFonts w:asciiTheme="minorHAnsi" w:hAnsiTheme="minorHAnsi" w:cstheme="minorHAnsi"/>
          <w:bCs/>
          <w:iCs w:val="0"/>
          <w:noProof/>
          <w:szCs w:val="20"/>
        </w:rPr>
        <w:t>9</w:t>
      </w:r>
      <w:r w:rsidRPr="00611C65">
        <w:rPr>
          <w:rFonts w:asciiTheme="minorHAnsi" w:hAnsiTheme="minorHAnsi" w:cstheme="minorHAnsi"/>
          <w:bCs/>
          <w:noProof/>
          <w:szCs w:val="20"/>
        </w:rPr>
        <w:fldChar w:fldCharType="end"/>
      </w:r>
      <w:r w:rsidRPr="00611C65">
        <w:rPr>
          <w:rFonts w:asciiTheme="minorHAnsi" w:hAnsiTheme="minorHAnsi" w:cstheme="minorHAnsi"/>
          <w:bCs/>
          <w:iCs w:val="0"/>
          <w:szCs w:val="20"/>
        </w:rPr>
        <w:t xml:space="preserve">: Overview on the different tested </w:t>
      </w:r>
      <w:r w:rsidR="006A617F" w:rsidRPr="00611C65">
        <w:rPr>
          <w:rFonts w:asciiTheme="minorHAnsi" w:hAnsiTheme="minorHAnsi" w:cstheme="minorHAnsi"/>
          <w:bCs/>
          <w:iCs w:val="0"/>
          <w:szCs w:val="20"/>
        </w:rPr>
        <w:t>electricity</w:t>
      </w:r>
      <w:r w:rsidRPr="00611C65">
        <w:rPr>
          <w:rFonts w:asciiTheme="minorHAnsi" w:hAnsiTheme="minorHAnsi" w:cstheme="minorHAnsi"/>
          <w:bCs/>
          <w:iCs w:val="0"/>
          <w:szCs w:val="20"/>
        </w:rPr>
        <w:t xml:space="preserve"> transition scenarios:</w:t>
      </w:r>
      <w:r w:rsidRPr="00611C65">
        <w:rPr>
          <w:rFonts w:asciiTheme="minorHAnsi" w:hAnsiTheme="minorHAnsi" w:cstheme="minorHAnsi"/>
          <w:iCs w:val="0"/>
          <w:szCs w:val="20"/>
        </w:rPr>
        <w:t xml:space="preserve"> </w:t>
      </w:r>
      <w:r w:rsidRPr="00611C65">
        <w:rPr>
          <w:rFonts w:asciiTheme="minorHAnsi" w:hAnsiTheme="minorHAnsi" w:cstheme="minorHAnsi"/>
          <w:b w:val="0"/>
          <w:bCs/>
          <w:i/>
          <w:szCs w:val="20"/>
        </w:rPr>
        <w:t xml:space="preserve">A reduction is reported as positive numbers in case of the policy indicators, emissions, </w:t>
      </w:r>
      <w:proofErr w:type="gramStart"/>
      <w:r w:rsidRPr="00611C65">
        <w:rPr>
          <w:rFonts w:asciiTheme="minorHAnsi" w:hAnsiTheme="minorHAnsi" w:cstheme="minorHAnsi"/>
          <w:b w:val="0"/>
          <w:bCs/>
          <w:i/>
          <w:szCs w:val="20"/>
        </w:rPr>
        <w:t>unemployment</w:t>
      </w:r>
      <w:proofErr w:type="gramEnd"/>
      <w:r w:rsidRPr="00611C65">
        <w:rPr>
          <w:rFonts w:asciiTheme="minorHAnsi" w:hAnsiTheme="minorHAnsi" w:cstheme="minorHAnsi"/>
          <w:b w:val="0"/>
          <w:bCs/>
          <w:i/>
          <w:szCs w:val="20"/>
        </w:rPr>
        <w:t xml:space="preserve"> and </w:t>
      </w:r>
      <w:r w:rsidR="006A617F" w:rsidRPr="00611C65">
        <w:rPr>
          <w:rFonts w:asciiTheme="minorHAnsi" w:hAnsiTheme="minorHAnsi" w:cstheme="minorHAnsi"/>
          <w:b w:val="0"/>
          <w:bCs/>
          <w:i/>
          <w:szCs w:val="20"/>
        </w:rPr>
        <w:t>electricity</w:t>
      </w:r>
      <w:r w:rsidRPr="00611C65">
        <w:rPr>
          <w:rFonts w:asciiTheme="minorHAnsi" w:hAnsiTheme="minorHAnsi" w:cstheme="minorHAnsi"/>
          <w:b w:val="0"/>
          <w:bCs/>
          <w:i/>
          <w:szCs w:val="20"/>
        </w:rPr>
        <w:t xml:space="preserve"> system costs. Accordingly, positive changes can always be interpreted as positive in terms of policy outcomes in the illustration below.</w:t>
      </w:r>
      <w:r w:rsidRPr="00611C65">
        <w:rPr>
          <w:rFonts w:asciiTheme="minorHAnsi" w:hAnsiTheme="minorHAnsi" w:cstheme="minorHAnsi"/>
          <w:i/>
          <w:szCs w:val="20"/>
        </w:rPr>
        <w:t xml:space="preserve"> </w:t>
      </w:r>
    </w:p>
    <w:p w14:paraId="406B8F90" w14:textId="77777777" w:rsidR="00170EFD" w:rsidRPr="00611C65" w:rsidRDefault="00170EFD" w:rsidP="00521230">
      <w:pPr>
        <w:rPr>
          <w:b/>
          <w:sz w:val="2"/>
          <w:szCs w:val="2"/>
        </w:rPr>
      </w:pPr>
    </w:p>
    <w:p w14:paraId="2D5B6ED9" w14:textId="6777230D" w:rsidR="00170EFD" w:rsidRPr="00611C65" w:rsidRDefault="00170EFD" w:rsidP="00170EFD">
      <w:r w:rsidRPr="00611C65">
        <w:rPr>
          <w:noProof/>
        </w:rPr>
        <w:drawing>
          <wp:inline distT="0" distB="0" distL="0" distR="0" wp14:anchorId="6088AAE6" wp14:editId="67DB31E1">
            <wp:extent cx="5029200" cy="2757268"/>
            <wp:effectExtent l="0" t="0" r="0" b="5080"/>
            <wp:docPr id="14" name="Diagramm 14" descr="Figure 9">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C53F6AC" w14:textId="35778F3A" w:rsidR="00170EFD" w:rsidRPr="00611C65" w:rsidRDefault="00170EFD" w:rsidP="00B37FAC">
      <w:r w:rsidRPr="00611C65">
        <w:t xml:space="preserve">In more detail, while all simulated </w:t>
      </w:r>
      <w:r w:rsidR="006A617F" w:rsidRPr="00611C65">
        <w:t>electricity</w:t>
      </w:r>
      <w:r w:rsidRPr="00611C65">
        <w:t xml:space="preserve"> transition scenarios reach the net-zero emission target by 2050, cumulative emissions are highest under the rapid scenario. Accumulated GDP and accumulated direct generated employment </w:t>
      </w:r>
      <w:proofErr w:type="gramStart"/>
      <w:r w:rsidRPr="00611C65">
        <w:t>is</w:t>
      </w:r>
      <w:proofErr w:type="gramEnd"/>
      <w:r w:rsidRPr="00611C65">
        <w:t xml:space="preserve"> as well highest under the rapid scenario, however, </w:t>
      </w:r>
      <w:r w:rsidR="00CF7471" w:rsidRPr="00611C65">
        <w:t xml:space="preserve">in terms of negative side-impacts, </w:t>
      </w:r>
      <w:r w:rsidRPr="00611C65">
        <w:t>accumulated unemployment increase</w:t>
      </w:r>
      <w:r w:rsidR="00CF7471" w:rsidRPr="00611C65">
        <w:t>s</w:t>
      </w:r>
      <w:r w:rsidRPr="00611C65">
        <w:t xml:space="preserve"> and the accumulated electricity system costs </w:t>
      </w:r>
      <w:r w:rsidR="00CF7471" w:rsidRPr="00611C65">
        <w:t xml:space="preserve">are </w:t>
      </w:r>
      <w:r w:rsidRPr="00611C65">
        <w:t xml:space="preserve">also highest under the rapid scenario (compared to the base-run simulation). On the other hand, </w:t>
      </w:r>
      <w:r w:rsidR="00EF510F" w:rsidRPr="00611C65">
        <w:t xml:space="preserve">the cumulative emission reduction </w:t>
      </w:r>
      <w:r w:rsidR="003B00CB" w:rsidRPr="00611C65">
        <w:t xml:space="preserve">is </w:t>
      </w:r>
      <w:r w:rsidR="00EF510F" w:rsidRPr="00611C65">
        <w:t>lowest under the moderate scenario, changes in GDP compared to the base-run are negative and cumulative direct employment generation is the lowest among all scenarios compared to the base-run. However, on the other hand, the accumulated reduction in unemployment compared to the base</w:t>
      </w:r>
      <w:r w:rsidR="003B00CB" w:rsidRPr="00611C65">
        <w:t>-</w:t>
      </w:r>
      <w:r w:rsidR="00EF510F" w:rsidRPr="00611C65">
        <w:t xml:space="preserve">run is the highest as well as the reduction in the electricity system costs. The </w:t>
      </w:r>
      <w:r w:rsidR="003B00CB" w:rsidRPr="00611C65">
        <w:t>m</w:t>
      </w:r>
      <w:r w:rsidR="00EF510F" w:rsidRPr="00611C65">
        <w:t xml:space="preserve">edium scenario is situated somewhere in </w:t>
      </w:r>
      <w:r w:rsidR="009A494A" w:rsidRPr="00611C65">
        <w:t>between</w:t>
      </w:r>
      <w:r w:rsidR="00EF510F" w:rsidRPr="00611C65">
        <w:t xml:space="preserve"> these two scenarios</w:t>
      </w:r>
      <w:r w:rsidR="002A7D5C" w:rsidRPr="00611C65">
        <w:t xml:space="preserve">. </w:t>
      </w:r>
    </w:p>
    <w:p w14:paraId="3445D8B6" w14:textId="53BD706A" w:rsidR="003F5E5C" w:rsidRPr="00611C65" w:rsidRDefault="00EF510F" w:rsidP="003F5E5C">
      <w:r w:rsidRPr="00611C65">
        <w:lastRenderedPageBreak/>
        <w:t xml:space="preserve">In terms of the carbon price </w:t>
      </w:r>
      <w:r w:rsidR="009A494A" w:rsidRPr="00611C65">
        <w:t>equivalent</w:t>
      </w:r>
      <w:r w:rsidRPr="00611C65">
        <w:t xml:space="preserve">, our simulation results show that both the moderate and medium scenario imply negative cost for emission </w:t>
      </w:r>
      <w:r w:rsidR="009A494A" w:rsidRPr="00611C65">
        <w:t>reduction</w:t>
      </w:r>
      <w:r w:rsidRPr="00611C65">
        <w:t xml:space="preserve">, while the rapid scenario costs around 390£ per tonne of </w:t>
      </w:r>
      <w:r w:rsidR="009A494A" w:rsidRPr="00611C65">
        <w:t>reduced</w:t>
      </w:r>
      <w:r w:rsidRPr="00611C65">
        <w:t xml:space="preserve"> </w:t>
      </w:r>
      <w:r w:rsidR="009A494A" w:rsidRPr="00611C65">
        <w:t>emissions</w:t>
      </w:r>
      <w:r w:rsidRPr="00611C65">
        <w:t xml:space="preserve">, implying that a very fast transitions, involving the immediate closure of </w:t>
      </w:r>
      <w:r w:rsidR="003B00CB" w:rsidRPr="00611C65">
        <w:t>fossil fuel-based</w:t>
      </w:r>
      <w:r w:rsidRPr="00611C65">
        <w:t xml:space="preserve"> </w:t>
      </w:r>
      <w:r w:rsidR="006A617F" w:rsidRPr="00611C65">
        <w:t>electricity</w:t>
      </w:r>
      <w:r w:rsidRPr="00611C65">
        <w:t xml:space="preserve"> infrastructure, </w:t>
      </w:r>
      <w:r w:rsidR="003B00CB" w:rsidRPr="00611C65">
        <w:t>is</w:t>
      </w:r>
      <w:r w:rsidRPr="00611C65">
        <w:t xml:space="preserve"> difficult in terms of managing the financial costs.</w:t>
      </w:r>
      <w:r w:rsidR="00014102" w:rsidRPr="00611C65">
        <w:t xml:space="preserve"> </w:t>
      </w:r>
      <w:r w:rsidR="00FA5AD0" w:rsidRPr="00611C65">
        <w:t xml:space="preserve">An exception to this finding </w:t>
      </w:r>
      <w:proofErr w:type="gramStart"/>
      <w:r w:rsidR="00FA5AD0" w:rsidRPr="00611C65">
        <w:t>are</w:t>
      </w:r>
      <w:proofErr w:type="gramEnd"/>
      <w:r w:rsidR="00FA5AD0" w:rsidRPr="00611C65">
        <w:t xml:space="preserve"> the results for the </w:t>
      </w:r>
      <w:r w:rsidR="006D312B" w:rsidRPr="00611C65">
        <w:t>implicit</w:t>
      </w:r>
      <w:r w:rsidR="00FA5AD0" w:rsidRPr="00611C65">
        <w:t xml:space="preserve"> carbon price under two sensi</w:t>
      </w:r>
      <w:r w:rsidR="006D312B" w:rsidRPr="00611C65">
        <w:t>ti</w:t>
      </w:r>
      <w:r w:rsidR="00FA5AD0" w:rsidRPr="00611C65">
        <w:t>vity scenarios: both ‘scenario low’ where a variety of relevant parameters in the power sector (e.g. learning rates, cost projections) are not as favourable towards renewable power sources as under the main scenario and a scenario where the wage level does not react to the average price level lead to a positive implicit carbon price under the medium policy scenario. That is 127£/</w:t>
      </w:r>
      <w:r w:rsidR="00781FFB" w:rsidRPr="00611C65">
        <w:t>tonne</w:t>
      </w:r>
      <w:r w:rsidR="00FA5AD0" w:rsidRPr="00611C65">
        <w:t xml:space="preserve"> in the former and 113£/tonne in the latter sensitivity scenario</w:t>
      </w:r>
      <w:r w:rsidR="00781FFB" w:rsidRPr="00611C65">
        <w:t xml:space="preserve"> – which are still substantially lower numbers compared to the numbers of the </w:t>
      </w:r>
      <w:r w:rsidR="006D312B" w:rsidRPr="00611C65">
        <w:t>implicit</w:t>
      </w:r>
      <w:r w:rsidR="00781FFB" w:rsidRPr="00611C65">
        <w:t xml:space="preserve"> carbon price under the rapid scenario (505£/tonne and 509£/tonne)</w:t>
      </w:r>
      <w:r w:rsidR="00FA5AD0" w:rsidRPr="00611C65">
        <w:t xml:space="preserve">. </w:t>
      </w:r>
      <w:r w:rsidR="00781FFB" w:rsidRPr="00611C65">
        <w:t>O</w:t>
      </w:r>
      <w:r w:rsidR="00FA5AD0" w:rsidRPr="00611C65">
        <w:t>verall, t</w:t>
      </w:r>
      <w:r w:rsidR="003B00CB" w:rsidRPr="00611C65">
        <w:t>his means that our study also shows that</w:t>
      </w:r>
      <w:r w:rsidRPr="00611C65">
        <w:t xml:space="preserve"> low-carbon electricity transitions can be financially cost-effective (in terms of system costs) due to the </w:t>
      </w:r>
      <w:r w:rsidR="00014102" w:rsidRPr="00611C65">
        <w:t xml:space="preserve">decreasing and cost-efficient costs of low-carbon </w:t>
      </w:r>
      <w:r w:rsidR="006A617F" w:rsidRPr="00611C65">
        <w:t>electricity</w:t>
      </w:r>
      <w:r w:rsidR="00014102" w:rsidRPr="00611C65">
        <w:t xml:space="preserve"> technologies. That is, the net-zero emission target in the power sector can be achieved cost-efficient, while even generating the co-</w:t>
      </w:r>
      <w:r w:rsidR="009A494A" w:rsidRPr="00611C65">
        <w:t>benefits</w:t>
      </w:r>
      <w:r w:rsidR="00014102" w:rsidRPr="00611C65">
        <w:t xml:space="preserve"> of an increase in direct-employment and a reduction in overall unemployment (see moderate and medium scenario). </w:t>
      </w:r>
      <w:r w:rsidR="003B00CB" w:rsidRPr="00611C65">
        <w:t>However</w:t>
      </w:r>
      <w:r w:rsidR="00014102" w:rsidRPr="00611C65">
        <w:t xml:space="preserve">, under these two scenarios, GDP is lower than under the base-run. The reason is that capital investments are lower due to the lower costs of renewable </w:t>
      </w:r>
      <w:r w:rsidR="006A617F" w:rsidRPr="00611C65">
        <w:t>electricity</w:t>
      </w:r>
      <w:r w:rsidR="00014102" w:rsidRPr="00611C65">
        <w:t xml:space="preserve"> infrastructure – here, it is also important to recall, that under the base-run</w:t>
      </w:r>
      <w:r w:rsidR="003B00CB" w:rsidRPr="00611C65">
        <w:t>,</w:t>
      </w:r>
      <w:r w:rsidR="00014102" w:rsidRPr="00611C65">
        <w:t xml:space="preserve"> </w:t>
      </w:r>
      <w:r w:rsidR="006A617F" w:rsidRPr="00611C65">
        <w:t>electricity</w:t>
      </w:r>
      <w:r w:rsidR="00014102" w:rsidRPr="00611C65">
        <w:t xml:space="preserve"> firms do not always invest in the most cost-efficient technology option, but are </w:t>
      </w:r>
      <w:r w:rsidR="003B00CB" w:rsidRPr="00611C65">
        <w:t xml:space="preserve">also </w:t>
      </w:r>
      <w:r w:rsidR="00014102" w:rsidRPr="00611C65">
        <w:t xml:space="preserve">influenced </w:t>
      </w:r>
      <w:r w:rsidR="003B00CB" w:rsidRPr="00611C65">
        <w:t xml:space="preserve">by </w:t>
      </w:r>
      <w:r w:rsidR="009A494A" w:rsidRPr="00611C65">
        <w:t>behavioural</w:t>
      </w:r>
      <w:r w:rsidR="003B00CB" w:rsidRPr="00611C65">
        <w:t xml:space="preserve"> factors, such as </w:t>
      </w:r>
      <w:r w:rsidR="00014102" w:rsidRPr="00611C65">
        <w:t>past decisions</w:t>
      </w:r>
      <w:r w:rsidR="003B00CB" w:rsidRPr="00611C65">
        <w:t xml:space="preserve"> and </w:t>
      </w:r>
      <w:r w:rsidR="00014102" w:rsidRPr="00611C65">
        <w:t>risk-adversity</w:t>
      </w:r>
      <w:r w:rsidR="003B00CB" w:rsidRPr="00611C65">
        <w:t xml:space="preserve"> for example </w:t>
      </w:r>
      <w:r w:rsidR="00014102" w:rsidRPr="00611C65">
        <w:t xml:space="preserve">– and therefore, aggregate demand </w:t>
      </w:r>
      <w:r w:rsidR="003B00CB" w:rsidRPr="00611C65">
        <w:t xml:space="preserve">and therefore GDP </w:t>
      </w:r>
      <w:r w:rsidR="00014102" w:rsidRPr="00611C65">
        <w:t>is lower under the moderate and medium scenario</w:t>
      </w:r>
      <w:r w:rsidR="003B00CB" w:rsidRPr="00611C65">
        <w:t xml:space="preserve"> </w:t>
      </w:r>
      <w:r w:rsidR="00014102" w:rsidRPr="00611C65">
        <w:t xml:space="preserve">in comparison to the base-run. Here, it is important to note, that GDP can be increased </w:t>
      </w:r>
      <w:r w:rsidR="003B00CB" w:rsidRPr="00611C65">
        <w:t xml:space="preserve">by the government </w:t>
      </w:r>
      <w:r w:rsidR="00014102" w:rsidRPr="00611C65">
        <w:t xml:space="preserve">by spending the difference in financial costs in any infrastructure </w:t>
      </w:r>
      <w:r w:rsidR="003B00CB" w:rsidRPr="00611C65">
        <w:t xml:space="preserve">or other project </w:t>
      </w:r>
      <w:proofErr w:type="gramStart"/>
      <w:r w:rsidR="003B00CB" w:rsidRPr="00611C65">
        <w:t xml:space="preserve">in order </w:t>
      </w:r>
      <w:r w:rsidR="00014102" w:rsidRPr="00611C65">
        <w:t>to</w:t>
      </w:r>
      <w:proofErr w:type="gramEnd"/>
      <w:r w:rsidR="00014102" w:rsidRPr="00611C65">
        <w:t xml:space="preserve"> increase aggregate demand. </w:t>
      </w:r>
      <w:r w:rsidR="003F5E5C" w:rsidRPr="00611C65">
        <w:t>This is due to the Keynesian demand-le</w:t>
      </w:r>
      <w:r w:rsidR="008C5531" w:rsidRPr="00611C65">
        <w:t>d</w:t>
      </w:r>
      <w:r w:rsidR="003F5E5C" w:rsidRPr="00611C65">
        <w:t xml:space="preserve"> nature of the GIBM (see </w:t>
      </w:r>
      <w:r w:rsidR="003B00CB" w:rsidRPr="00611C65">
        <w:t xml:space="preserve">also </w:t>
      </w:r>
      <w:r w:rsidR="003F5E5C" w:rsidRPr="00611C65">
        <w:t xml:space="preserve">Mercure et al., 2016). </w:t>
      </w:r>
      <w:r w:rsidR="00014102" w:rsidRPr="00611C65">
        <w:t xml:space="preserve">That is, changes in GDP due to this reason </w:t>
      </w:r>
      <w:r w:rsidR="009A494A" w:rsidRPr="00611C65">
        <w:t>should</w:t>
      </w:r>
      <w:r w:rsidR="00014102" w:rsidRPr="00611C65">
        <w:t xml:space="preserve"> not justify the choice of the rapid </w:t>
      </w:r>
      <w:r w:rsidR="006A617F" w:rsidRPr="00611C65">
        <w:t>electricity</w:t>
      </w:r>
      <w:r w:rsidR="00014102" w:rsidRPr="00611C65">
        <w:t xml:space="preserve"> transition scenario. </w:t>
      </w:r>
      <w:r w:rsidR="003B00CB" w:rsidRPr="00611C65">
        <w:t>This means i</w:t>
      </w:r>
      <w:r w:rsidR="003F5E5C" w:rsidRPr="00611C65">
        <w:t xml:space="preserve">n a summery, the advantages from a moderate and medium scenario stem on one hand from the lower electricity system costs and therefore the cost-efficient low-carbon electricity pathway, and on the other hand from the </w:t>
      </w:r>
      <w:r w:rsidR="009A494A" w:rsidRPr="00611C65">
        <w:t>positive</w:t>
      </w:r>
      <w:r w:rsidR="003F5E5C" w:rsidRPr="00611C65">
        <w:t xml:space="preserve"> employment-impacts. Moreover, the reduction of GDP comes from the lower electricity investment costs and can therefore be compensated by investing the savings to any other area via investment, </w:t>
      </w:r>
      <w:proofErr w:type="gramStart"/>
      <w:r w:rsidR="009A494A" w:rsidRPr="00611C65">
        <w:t>consumption</w:t>
      </w:r>
      <w:proofErr w:type="gramEnd"/>
      <w:r w:rsidR="003F5E5C" w:rsidRPr="00611C65">
        <w:t xml:space="preserve"> or government </w:t>
      </w:r>
      <w:r w:rsidR="009A494A" w:rsidRPr="00611C65">
        <w:t>spending</w:t>
      </w:r>
      <w:r w:rsidR="003F5E5C" w:rsidRPr="00611C65">
        <w:t xml:space="preserve">. </w:t>
      </w:r>
    </w:p>
    <w:p w14:paraId="6EAA75BF" w14:textId="6073725A" w:rsidR="003F5E5C" w:rsidRPr="00611C65" w:rsidRDefault="003F5E5C" w:rsidP="003F5E5C">
      <w:pPr>
        <w:rPr>
          <w:rFonts w:ascii="Calibri" w:eastAsia="Times New Roman" w:hAnsi="Calibri" w:cs="Calibri"/>
          <w:lang w:eastAsia="de-CH"/>
        </w:rPr>
      </w:pPr>
      <w:r w:rsidRPr="00611C65">
        <w:t xml:space="preserve">In the following, we compare our results achieved by GIBM with </w:t>
      </w:r>
      <w:r w:rsidR="008C5531" w:rsidRPr="00611C65">
        <w:t xml:space="preserve">other simulation models that have been applied for the evaluation of the macroeconomic implications of a low-carbon </w:t>
      </w:r>
      <w:r w:rsidR="006A617F" w:rsidRPr="00611C65">
        <w:t>electricity</w:t>
      </w:r>
      <w:r w:rsidR="008C5531" w:rsidRPr="00611C65">
        <w:t xml:space="preserve"> transition (see Hafner et al., 2020</w:t>
      </w:r>
      <w:r w:rsidR="00CB6E38" w:rsidRPr="00611C65">
        <w:t>a</w:t>
      </w:r>
      <w:r w:rsidR="008C5531" w:rsidRPr="00611C65">
        <w:t xml:space="preserve"> for a review). </w:t>
      </w:r>
      <w:r w:rsidRPr="00611C65">
        <w:rPr>
          <w:rFonts w:ascii="Calibri" w:eastAsia="Times New Roman" w:hAnsi="Calibri" w:cs="Calibri"/>
          <w:lang w:eastAsia="de-CH"/>
        </w:rPr>
        <w:t xml:space="preserve">In addition, results from the </w:t>
      </w:r>
      <w:r w:rsidR="00F5482A" w:rsidRPr="00611C65">
        <w:t>HM Revenue and Customs</w:t>
      </w:r>
      <w:r w:rsidR="00F5482A" w:rsidRPr="00611C65">
        <w:rPr>
          <w:rFonts w:ascii="Calibri" w:eastAsia="Times New Roman" w:hAnsi="Calibri" w:cs="Calibri"/>
          <w:lang w:eastAsia="de-CH"/>
        </w:rPr>
        <w:t xml:space="preserve"> (</w:t>
      </w:r>
      <w:r w:rsidRPr="00611C65">
        <w:rPr>
          <w:rFonts w:ascii="Calibri" w:eastAsia="Times New Roman" w:hAnsi="Calibri" w:cs="Calibri"/>
          <w:lang w:eastAsia="de-CH"/>
        </w:rPr>
        <w:t>HRCM</w:t>
      </w:r>
      <w:r w:rsidR="00F5482A" w:rsidRPr="00611C65">
        <w:rPr>
          <w:rFonts w:ascii="Calibri" w:eastAsia="Times New Roman" w:hAnsi="Calibri" w:cs="Calibri"/>
          <w:lang w:eastAsia="de-CH"/>
        </w:rPr>
        <w:t>)</w:t>
      </w:r>
      <w:r w:rsidRPr="00611C65">
        <w:rPr>
          <w:rFonts w:ascii="Calibri" w:eastAsia="Times New Roman" w:hAnsi="Calibri" w:cs="Calibri"/>
          <w:lang w:eastAsia="de-CH"/>
        </w:rPr>
        <w:t xml:space="preserve"> model, a model that </w:t>
      </w:r>
      <w:r w:rsidR="009A494A" w:rsidRPr="00611C65">
        <w:rPr>
          <w:rFonts w:ascii="Calibri" w:eastAsia="Times New Roman" w:hAnsi="Calibri" w:cs="Calibri"/>
          <w:lang w:eastAsia="de-CH"/>
        </w:rPr>
        <w:t>has played</w:t>
      </w:r>
      <w:r w:rsidRPr="00611C65">
        <w:rPr>
          <w:rFonts w:ascii="Calibri" w:eastAsia="Times New Roman" w:hAnsi="Calibri" w:cs="Calibri"/>
          <w:lang w:eastAsia="de-CH"/>
        </w:rPr>
        <w:t xml:space="preserve"> an important role for the evaluation of the UK climate policy (</w:t>
      </w:r>
      <w:proofErr w:type="gramStart"/>
      <w:r w:rsidRPr="00611C65">
        <w:rPr>
          <w:rFonts w:ascii="Calibri" w:eastAsia="Times New Roman" w:hAnsi="Calibri" w:cs="Calibri"/>
          <w:lang w:eastAsia="de-CH"/>
        </w:rPr>
        <w:t>e.g.</w:t>
      </w:r>
      <w:proofErr w:type="gramEnd"/>
      <w:r w:rsidRPr="00611C65">
        <w:rPr>
          <w:rFonts w:ascii="Calibri" w:eastAsia="Times New Roman" w:hAnsi="Calibri" w:cs="Calibri"/>
          <w:lang w:eastAsia="de-CH"/>
        </w:rPr>
        <w:t xml:space="preserve"> Ackerman, 2014) are used for </w:t>
      </w:r>
      <w:r w:rsidR="009A494A" w:rsidRPr="00611C65">
        <w:rPr>
          <w:rFonts w:ascii="Calibri" w:eastAsia="Times New Roman" w:hAnsi="Calibri" w:cs="Calibri"/>
          <w:lang w:eastAsia="de-CH"/>
        </w:rPr>
        <w:t>comparison</w:t>
      </w:r>
      <w:r w:rsidRPr="00611C65">
        <w:rPr>
          <w:rFonts w:ascii="Calibri" w:eastAsia="Times New Roman" w:hAnsi="Calibri" w:cs="Calibri"/>
          <w:lang w:eastAsia="de-CH"/>
        </w:rPr>
        <w:t xml:space="preserve">. </w:t>
      </w:r>
      <w:r w:rsidR="008C5531" w:rsidRPr="00611C65">
        <w:rPr>
          <w:rFonts w:ascii="Calibri" w:eastAsia="Times New Roman" w:hAnsi="Calibri" w:cs="Calibri"/>
          <w:lang w:eastAsia="de-CH"/>
        </w:rPr>
        <w:t>The t</w:t>
      </w:r>
      <w:r w:rsidRPr="00611C65">
        <w:rPr>
          <w:rFonts w:ascii="Calibri" w:eastAsia="Times New Roman" w:hAnsi="Calibri" w:cs="Calibri"/>
          <w:lang w:eastAsia="de-CH"/>
        </w:rPr>
        <w:t>able below gives an overview of these</w:t>
      </w:r>
      <w:r w:rsidR="008C5531" w:rsidRPr="00611C65">
        <w:rPr>
          <w:rFonts w:ascii="Calibri" w:eastAsia="Times New Roman" w:hAnsi="Calibri" w:cs="Calibri"/>
          <w:lang w:eastAsia="de-CH"/>
        </w:rPr>
        <w:t xml:space="preserve"> </w:t>
      </w:r>
      <w:r w:rsidRPr="00611C65">
        <w:rPr>
          <w:rFonts w:ascii="Calibri" w:eastAsia="Times New Roman" w:hAnsi="Calibri" w:cs="Calibri"/>
          <w:lang w:eastAsia="de-CH"/>
        </w:rPr>
        <w:t xml:space="preserve">models. </w:t>
      </w:r>
    </w:p>
    <w:p w14:paraId="1AC0B2FB" w14:textId="47F6C734" w:rsidR="008C5531" w:rsidRPr="00611C65" w:rsidRDefault="008C5531" w:rsidP="008C5531">
      <w:pPr>
        <w:pStyle w:val="Caption"/>
        <w:keepNext/>
        <w:rPr>
          <w:sz w:val="18"/>
        </w:rPr>
      </w:pPr>
      <w:r w:rsidRPr="00611C65">
        <w:rPr>
          <w:sz w:val="18"/>
        </w:rPr>
        <w:t xml:space="preserve">Table </w:t>
      </w:r>
      <w:r w:rsidR="002A7D5C" w:rsidRPr="00611C65">
        <w:rPr>
          <w:sz w:val="18"/>
        </w:rPr>
        <w:t>2</w:t>
      </w:r>
      <w:r w:rsidRPr="00611C65">
        <w:rPr>
          <w:sz w:val="18"/>
        </w:rPr>
        <w:t>: Overview on the selected model sample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4"/>
        <w:gridCol w:w="1128"/>
        <w:gridCol w:w="847"/>
        <w:gridCol w:w="988"/>
        <w:gridCol w:w="1271"/>
        <w:gridCol w:w="1693"/>
        <w:gridCol w:w="1965"/>
      </w:tblGrid>
      <w:tr w:rsidR="00611C65" w:rsidRPr="00611C65" w14:paraId="02FCBF2F" w14:textId="77777777" w:rsidTr="008C5531">
        <w:trPr>
          <w:trHeight w:val="493"/>
        </w:trPr>
        <w:tc>
          <w:tcPr>
            <w:tcW w:w="623" w:type="pct"/>
            <w:shd w:val="clear" w:color="A5A5A5" w:fill="A5A5A5"/>
            <w:noWrap/>
            <w:vAlign w:val="center"/>
            <w:hideMark/>
          </w:tcPr>
          <w:p w14:paraId="6D9F055F"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Model</w:t>
            </w:r>
          </w:p>
        </w:tc>
        <w:tc>
          <w:tcPr>
            <w:tcW w:w="625" w:type="pct"/>
            <w:shd w:val="clear" w:color="A5A5A5" w:fill="A5A5A5"/>
            <w:noWrap/>
            <w:vAlign w:val="center"/>
            <w:hideMark/>
          </w:tcPr>
          <w:p w14:paraId="089E0494" w14:textId="77777777" w:rsidR="008C5531" w:rsidRPr="00611C65" w:rsidRDefault="008C5531" w:rsidP="008C5531">
            <w:pPr>
              <w:spacing w:after="0" w:line="240" w:lineRule="auto"/>
              <w:rPr>
                <w:rFonts w:eastAsia="Times New Roman" w:cstheme="minorHAnsi"/>
                <w:b/>
                <w:bCs/>
                <w:sz w:val="18"/>
                <w:szCs w:val="18"/>
                <w:lang w:eastAsia="de-CH"/>
              </w:rPr>
            </w:pPr>
            <w:r w:rsidRPr="00611C65">
              <w:rPr>
                <w:rFonts w:eastAsia="Times New Roman" w:cstheme="minorHAnsi"/>
                <w:b/>
                <w:bCs/>
                <w:sz w:val="18"/>
                <w:szCs w:val="18"/>
                <w:lang w:eastAsia="de-CH"/>
              </w:rPr>
              <w:t>Study</w:t>
            </w:r>
          </w:p>
        </w:tc>
        <w:tc>
          <w:tcPr>
            <w:tcW w:w="469" w:type="pct"/>
            <w:shd w:val="clear" w:color="A5A5A5" w:fill="A5A5A5"/>
            <w:noWrap/>
            <w:vAlign w:val="center"/>
            <w:hideMark/>
          </w:tcPr>
          <w:p w14:paraId="31224702" w14:textId="77777777" w:rsidR="008C5531" w:rsidRPr="00611C65" w:rsidRDefault="008C5531" w:rsidP="008C5531">
            <w:pPr>
              <w:spacing w:after="0" w:line="240" w:lineRule="auto"/>
              <w:rPr>
                <w:rFonts w:eastAsia="Times New Roman" w:cstheme="minorHAnsi"/>
                <w:b/>
                <w:bCs/>
                <w:sz w:val="18"/>
                <w:szCs w:val="18"/>
                <w:lang w:eastAsia="de-CH"/>
              </w:rPr>
            </w:pPr>
            <w:r w:rsidRPr="00611C65">
              <w:rPr>
                <w:rFonts w:eastAsia="Times New Roman" w:cstheme="minorHAnsi"/>
                <w:b/>
                <w:bCs/>
                <w:sz w:val="18"/>
                <w:szCs w:val="18"/>
                <w:lang w:eastAsia="de-CH"/>
              </w:rPr>
              <w:t>Time horizon</w:t>
            </w:r>
          </w:p>
        </w:tc>
        <w:tc>
          <w:tcPr>
            <w:tcW w:w="548" w:type="pct"/>
            <w:shd w:val="clear" w:color="A5A5A5" w:fill="A5A5A5"/>
            <w:noWrap/>
            <w:vAlign w:val="center"/>
            <w:hideMark/>
          </w:tcPr>
          <w:p w14:paraId="0B0AD5C5" w14:textId="77777777" w:rsidR="008C5531" w:rsidRPr="00611C65" w:rsidRDefault="008C5531" w:rsidP="008C5531">
            <w:pPr>
              <w:spacing w:after="0" w:line="240" w:lineRule="auto"/>
              <w:rPr>
                <w:rFonts w:eastAsia="Times New Roman" w:cstheme="minorHAnsi"/>
                <w:b/>
                <w:bCs/>
                <w:sz w:val="18"/>
                <w:szCs w:val="18"/>
                <w:lang w:eastAsia="de-CH"/>
              </w:rPr>
            </w:pPr>
            <w:r w:rsidRPr="00611C65">
              <w:rPr>
                <w:rFonts w:eastAsia="Times New Roman" w:cstheme="minorHAnsi"/>
                <w:b/>
                <w:bCs/>
                <w:sz w:val="18"/>
                <w:szCs w:val="18"/>
                <w:lang w:eastAsia="de-CH"/>
              </w:rPr>
              <w:t>Geographical scope</w:t>
            </w:r>
          </w:p>
        </w:tc>
        <w:tc>
          <w:tcPr>
            <w:tcW w:w="705" w:type="pct"/>
            <w:shd w:val="clear" w:color="A5A5A5" w:fill="A5A5A5"/>
            <w:noWrap/>
            <w:vAlign w:val="center"/>
            <w:hideMark/>
          </w:tcPr>
          <w:p w14:paraId="39B7A954" w14:textId="77777777" w:rsidR="008C5531" w:rsidRPr="00611C65" w:rsidRDefault="008C5531" w:rsidP="008C5531">
            <w:pPr>
              <w:spacing w:after="0" w:line="240" w:lineRule="auto"/>
              <w:rPr>
                <w:rFonts w:eastAsia="Times New Roman" w:cstheme="minorHAnsi"/>
                <w:b/>
                <w:bCs/>
                <w:sz w:val="18"/>
                <w:szCs w:val="18"/>
                <w:lang w:eastAsia="de-CH"/>
              </w:rPr>
            </w:pPr>
            <w:r w:rsidRPr="00611C65">
              <w:rPr>
                <w:rFonts w:eastAsia="Times New Roman" w:cstheme="minorHAnsi"/>
                <w:b/>
                <w:bCs/>
                <w:sz w:val="18"/>
                <w:szCs w:val="18"/>
                <w:lang w:eastAsia="de-CH"/>
              </w:rPr>
              <w:t>Modelling approach</w:t>
            </w:r>
          </w:p>
        </w:tc>
        <w:tc>
          <w:tcPr>
            <w:tcW w:w="939" w:type="pct"/>
            <w:shd w:val="clear" w:color="A5A5A5" w:fill="A5A5A5"/>
            <w:noWrap/>
            <w:vAlign w:val="center"/>
            <w:hideMark/>
          </w:tcPr>
          <w:p w14:paraId="55E7CF49" w14:textId="77777777" w:rsidR="008C5531" w:rsidRPr="00611C65" w:rsidRDefault="008C5531" w:rsidP="008C5531">
            <w:pPr>
              <w:spacing w:after="0" w:line="240" w:lineRule="auto"/>
              <w:rPr>
                <w:rFonts w:eastAsia="Times New Roman" w:cstheme="minorHAnsi"/>
                <w:b/>
                <w:bCs/>
                <w:sz w:val="18"/>
                <w:szCs w:val="18"/>
                <w:lang w:eastAsia="de-CH"/>
              </w:rPr>
            </w:pPr>
            <w:r w:rsidRPr="00611C65">
              <w:rPr>
                <w:rFonts w:eastAsia="Times New Roman" w:cstheme="minorHAnsi"/>
                <w:b/>
                <w:bCs/>
                <w:sz w:val="18"/>
                <w:szCs w:val="18"/>
                <w:lang w:eastAsia="de-CH"/>
              </w:rPr>
              <w:t>Modelling type</w:t>
            </w:r>
          </w:p>
        </w:tc>
        <w:tc>
          <w:tcPr>
            <w:tcW w:w="1090" w:type="pct"/>
            <w:shd w:val="clear" w:color="A5A5A5" w:fill="A5A5A5"/>
            <w:noWrap/>
            <w:vAlign w:val="center"/>
            <w:hideMark/>
          </w:tcPr>
          <w:p w14:paraId="39080035" w14:textId="77777777" w:rsidR="008C5531" w:rsidRPr="00611C65" w:rsidRDefault="008C5531" w:rsidP="008C5531">
            <w:pPr>
              <w:spacing w:after="0" w:line="240" w:lineRule="auto"/>
              <w:rPr>
                <w:rFonts w:eastAsia="Times New Roman" w:cstheme="minorHAnsi"/>
                <w:b/>
                <w:bCs/>
                <w:sz w:val="18"/>
                <w:szCs w:val="18"/>
                <w:lang w:eastAsia="de-CH"/>
              </w:rPr>
            </w:pPr>
            <w:r w:rsidRPr="00611C65">
              <w:rPr>
                <w:rFonts w:eastAsia="Times New Roman" w:cstheme="minorHAnsi"/>
                <w:b/>
                <w:bCs/>
                <w:sz w:val="18"/>
                <w:szCs w:val="18"/>
                <w:lang w:eastAsia="de-CH"/>
              </w:rPr>
              <w:t>Model sectors</w:t>
            </w:r>
          </w:p>
        </w:tc>
      </w:tr>
      <w:tr w:rsidR="00611C65" w:rsidRPr="00611C65" w14:paraId="4EAA40F1" w14:textId="77777777" w:rsidTr="008C5531">
        <w:trPr>
          <w:trHeight w:val="780"/>
        </w:trPr>
        <w:tc>
          <w:tcPr>
            <w:tcW w:w="623" w:type="pct"/>
            <w:shd w:val="clear" w:color="EDEDED" w:fill="EDEDED"/>
            <w:noWrap/>
            <w:vAlign w:val="center"/>
            <w:hideMark/>
          </w:tcPr>
          <w:p w14:paraId="353F1DF4"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lastRenderedPageBreak/>
              <w:t>DSK / Engage</w:t>
            </w:r>
          </w:p>
        </w:tc>
        <w:tc>
          <w:tcPr>
            <w:tcW w:w="625" w:type="pct"/>
            <w:shd w:val="clear" w:color="EDEDED" w:fill="EDEDED"/>
            <w:vAlign w:val="center"/>
            <w:hideMark/>
          </w:tcPr>
          <w:p w14:paraId="516CF61B"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Lamperti et al. (2020) </w:t>
            </w:r>
          </w:p>
        </w:tc>
        <w:tc>
          <w:tcPr>
            <w:tcW w:w="469" w:type="pct"/>
            <w:shd w:val="clear" w:color="EDEDED" w:fill="EDEDED"/>
            <w:vAlign w:val="center"/>
            <w:hideMark/>
          </w:tcPr>
          <w:p w14:paraId="5C2A39D5"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2000 to 2100</w:t>
            </w:r>
          </w:p>
        </w:tc>
        <w:tc>
          <w:tcPr>
            <w:tcW w:w="548" w:type="pct"/>
            <w:shd w:val="clear" w:color="EDEDED" w:fill="EDEDED"/>
            <w:vAlign w:val="center"/>
            <w:hideMark/>
          </w:tcPr>
          <w:p w14:paraId="5AF979EB"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Global</w:t>
            </w:r>
          </w:p>
        </w:tc>
        <w:tc>
          <w:tcPr>
            <w:tcW w:w="705" w:type="pct"/>
            <w:shd w:val="clear" w:color="EDEDED" w:fill="EDEDED"/>
            <w:vAlign w:val="center"/>
            <w:hideMark/>
          </w:tcPr>
          <w:p w14:paraId="2FC70889"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Agent-based modelling</w:t>
            </w:r>
          </w:p>
        </w:tc>
        <w:tc>
          <w:tcPr>
            <w:tcW w:w="939" w:type="pct"/>
            <w:shd w:val="clear" w:color="EDEDED" w:fill="EDEDED"/>
            <w:vAlign w:val="center"/>
            <w:hideMark/>
          </w:tcPr>
          <w:p w14:paraId="019F3349" w14:textId="38E2EB73"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r w:rsidR="00441C75" w:rsidRPr="00611C65">
              <w:rPr>
                <w:rStyle w:val="FootnoteReference"/>
              </w:rPr>
              <w:footnoteReference w:id="5"/>
            </w:r>
          </w:p>
        </w:tc>
        <w:tc>
          <w:tcPr>
            <w:tcW w:w="1090" w:type="pct"/>
            <w:shd w:val="clear" w:color="EDEDED" w:fill="EDEDED"/>
            <w:vAlign w:val="center"/>
            <w:hideMark/>
          </w:tcPr>
          <w:p w14:paraId="537F1DE2" w14:textId="6144EDEE"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Capital </w:t>
            </w:r>
            <w:r w:rsidR="009A494A" w:rsidRPr="00611C65">
              <w:rPr>
                <w:rFonts w:eastAsia="Times New Roman" w:cstheme="minorHAnsi"/>
                <w:sz w:val="18"/>
                <w:szCs w:val="18"/>
                <w:lang w:eastAsia="de-CH"/>
              </w:rPr>
              <w:t>goods</w:t>
            </w:r>
            <w:r w:rsidRPr="00611C65">
              <w:rPr>
                <w:rFonts w:eastAsia="Times New Roman" w:cstheme="minorHAnsi"/>
                <w:sz w:val="18"/>
                <w:szCs w:val="18"/>
                <w:lang w:eastAsia="de-CH"/>
              </w:rPr>
              <w:t xml:space="preserve"> sector, consumption good sector, energy sector, households, financial system, climate sector.</w:t>
            </w:r>
          </w:p>
        </w:tc>
      </w:tr>
      <w:tr w:rsidR="00611C65" w:rsidRPr="00611C65" w14:paraId="4635769F" w14:textId="77777777" w:rsidTr="008C5531">
        <w:trPr>
          <w:trHeight w:val="1020"/>
        </w:trPr>
        <w:tc>
          <w:tcPr>
            <w:tcW w:w="623" w:type="pct"/>
            <w:shd w:val="clear" w:color="auto" w:fill="auto"/>
            <w:noWrap/>
            <w:vAlign w:val="center"/>
            <w:hideMark/>
          </w:tcPr>
          <w:p w14:paraId="748A3AAF"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E3ME</w:t>
            </w:r>
          </w:p>
        </w:tc>
        <w:tc>
          <w:tcPr>
            <w:tcW w:w="625" w:type="pct"/>
            <w:shd w:val="clear" w:color="auto" w:fill="auto"/>
            <w:vAlign w:val="center"/>
            <w:hideMark/>
          </w:tcPr>
          <w:p w14:paraId="75FA434F"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Irena (2016)</w:t>
            </w:r>
          </w:p>
        </w:tc>
        <w:tc>
          <w:tcPr>
            <w:tcW w:w="469" w:type="pct"/>
            <w:shd w:val="clear" w:color="auto" w:fill="auto"/>
            <w:vAlign w:val="center"/>
            <w:hideMark/>
          </w:tcPr>
          <w:p w14:paraId="1CF511BB"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2010 to 2030</w:t>
            </w:r>
          </w:p>
        </w:tc>
        <w:tc>
          <w:tcPr>
            <w:tcW w:w="548" w:type="pct"/>
            <w:shd w:val="clear" w:color="auto" w:fill="auto"/>
            <w:vAlign w:val="center"/>
            <w:hideMark/>
          </w:tcPr>
          <w:p w14:paraId="00B5F94C"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Global</w:t>
            </w:r>
          </w:p>
        </w:tc>
        <w:tc>
          <w:tcPr>
            <w:tcW w:w="705" w:type="pct"/>
            <w:shd w:val="clear" w:color="auto" w:fill="auto"/>
            <w:vAlign w:val="center"/>
            <w:hideMark/>
          </w:tcPr>
          <w:p w14:paraId="60297B3A" w14:textId="77777777" w:rsidR="008C5531" w:rsidRPr="00611C65" w:rsidRDefault="008C5531" w:rsidP="00521230">
            <w:pPr>
              <w:spacing w:after="0" w:line="240" w:lineRule="auto"/>
              <w:jc w:val="left"/>
              <w:rPr>
                <w:rFonts w:eastAsia="Times New Roman" w:cstheme="minorHAnsi"/>
                <w:sz w:val="18"/>
                <w:szCs w:val="18"/>
                <w:lang w:eastAsia="de-CH"/>
              </w:rPr>
            </w:pPr>
            <w:proofErr w:type="spellStart"/>
            <w:r w:rsidRPr="00611C65">
              <w:rPr>
                <w:rFonts w:eastAsia="Times New Roman" w:cstheme="minorHAnsi"/>
                <w:sz w:val="18"/>
                <w:szCs w:val="18"/>
                <w:lang w:eastAsia="de-CH"/>
              </w:rPr>
              <w:t>Macroeconometric</w:t>
            </w:r>
            <w:proofErr w:type="spellEnd"/>
            <w:r w:rsidRPr="00611C65">
              <w:rPr>
                <w:rFonts w:eastAsia="Times New Roman" w:cstheme="minorHAnsi"/>
                <w:sz w:val="18"/>
                <w:szCs w:val="18"/>
                <w:lang w:eastAsia="de-CH"/>
              </w:rPr>
              <w:t xml:space="preserve"> simulation model / bottom-up evolutionary technology model. </w:t>
            </w:r>
          </w:p>
        </w:tc>
        <w:tc>
          <w:tcPr>
            <w:tcW w:w="939" w:type="pct"/>
            <w:shd w:val="clear" w:color="auto" w:fill="auto"/>
            <w:vAlign w:val="center"/>
            <w:hideMark/>
          </w:tcPr>
          <w:p w14:paraId="326936C4"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auto" w:fill="auto"/>
            <w:vAlign w:val="center"/>
            <w:hideMark/>
          </w:tcPr>
          <w:p w14:paraId="0966C237"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Macroeconomic sectors, and energy, transport, </w:t>
            </w:r>
            <w:proofErr w:type="gramStart"/>
            <w:r w:rsidRPr="00611C65">
              <w:rPr>
                <w:rFonts w:eastAsia="Times New Roman" w:cstheme="minorHAnsi"/>
                <w:sz w:val="18"/>
                <w:szCs w:val="18"/>
                <w:lang w:eastAsia="de-CH"/>
              </w:rPr>
              <w:t>agriculture</w:t>
            </w:r>
            <w:proofErr w:type="gramEnd"/>
            <w:r w:rsidRPr="00611C65">
              <w:rPr>
                <w:rFonts w:eastAsia="Times New Roman" w:cstheme="minorHAnsi"/>
                <w:sz w:val="18"/>
                <w:szCs w:val="18"/>
                <w:lang w:eastAsia="de-CH"/>
              </w:rPr>
              <w:t xml:space="preserve"> and heating sectors. </w:t>
            </w:r>
          </w:p>
        </w:tc>
      </w:tr>
      <w:tr w:rsidR="00611C65" w:rsidRPr="00611C65" w14:paraId="4B561AA5" w14:textId="77777777" w:rsidTr="008C5531">
        <w:trPr>
          <w:trHeight w:val="990"/>
        </w:trPr>
        <w:tc>
          <w:tcPr>
            <w:tcW w:w="623" w:type="pct"/>
            <w:shd w:val="clear" w:color="EDEDED" w:fill="EDEDED"/>
            <w:noWrap/>
            <w:vAlign w:val="center"/>
            <w:hideMark/>
          </w:tcPr>
          <w:p w14:paraId="0C1485E9"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EIRIN</w:t>
            </w:r>
          </w:p>
        </w:tc>
        <w:tc>
          <w:tcPr>
            <w:tcW w:w="625" w:type="pct"/>
            <w:shd w:val="clear" w:color="EDEDED" w:fill="EDEDED"/>
            <w:vAlign w:val="center"/>
            <w:hideMark/>
          </w:tcPr>
          <w:p w14:paraId="0A61EE73" w14:textId="77777777" w:rsidR="008C5531" w:rsidRPr="00611C65" w:rsidRDefault="008C5531" w:rsidP="008C5531">
            <w:pPr>
              <w:spacing w:after="0" w:line="240" w:lineRule="auto"/>
              <w:rPr>
                <w:rFonts w:eastAsia="Times New Roman" w:cstheme="minorHAnsi"/>
                <w:sz w:val="18"/>
                <w:szCs w:val="18"/>
                <w:lang w:eastAsia="de-CH"/>
              </w:rPr>
            </w:pPr>
            <w:proofErr w:type="spellStart"/>
            <w:r w:rsidRPr="00611C65">
              <w:rPr>
                <w:rFonts w:eastAsia="Times New Roman" w:cstheme="minorHAnsi"/>
                <w:sz w:val="18"/>
                <w:szCs w:val="18"/>
                <w:lang w:eastAsia="de-CH"/>
              </w:rPr>
              <w:t>Dunz</w:t>
            </w:r>
            <w:proofErr w:type="spellEnd"/>
            <w:r w:rsidRPr="00611C65">
              <w:rPr>
                <w:rFonts w:eastAsia="Times New Roman" w:cstheme="minorHAnsi"/>
                <w:sz w:val="18"/>
                <w:szCs w:val="18"/>
                <w:lang w:eastAsia="de-CH"/>
              </w:rPr>
              <w:t xml:space="preserve"> et al. (2019)</w:t>
            </w:r>
          </w:p>
        </w:tc>
        <w:tc>
          <w:tcPr>
            <w:tcW w:w="469" w:type="pct"/>
            <w:shd w:val="clear" w:color="EDEDED" w:fill="EDEDED"/>
            <w:vAlign w:val="center"/>
            <w:hideMark/>
          </w:tcPr>
          <w:p w14:paraId="6A056B18"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2018 to 2038</w:t>
            </w:r>
          </w:p>
        </w:tc>
        <w:tc>
          <w:tcPr>
            <w:tcW w:w="548" w:type="pct"/>
            <w:shd w:val="clear" w:color="EDEDED" w:fill="EDEDED"/>
            <w:vAlign w:val="center"/>
            <w:hideMark/>
          </w:tcPr>
          <w:p w14:paraId="6CEA7632"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High income country</w:t>
            </w:r>
          </w:p>
        </w:tc>
        <w:tc>
          <w:tcPr>
            <w:tcW w:w="705" w:type="pct"/>
            <w:shd w:val="clear" w:color="EDEDED" w:fill="EDEDED"/>
            <w:vAlign w:val="center"/>
            <w:hideMark/>
          </w:tcPr>
          <w:p w14:paraId="79C54D61"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Stock-Flow Consistent behavioural model</w:t>
            </w:r>
          </w:p>
        </w:tc>
        <w:tc>
          <w:tcPr>
            <w:tcW w:w="939" w:type="pct"/>
            <w:shd w:val="clear" w:color="EDEDED" w:fill="EDEDED"/>
            <w:vAlign w:val="center"/>
            <w:hideMark/>
          </w:tcPr>
          <w:p w14:paraId="21366DC3"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EDEDED" w:fill="EDEDED"/>
            <w:vAlign w:val="center"/>
            <w:hideMark/>
          </w:tcPr>
          <w:p w14:paraId="401D9E7E"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Households-, Government-, Commercial banking- and a capital (green &amp; brown) and goods production sector</w:t>
            </w:r>
          </w:p>
        </w:tc>
      </w:tr>
      <w:tr w:rsidR="00611C65" w:rsidRPr="00611C65" w14:paraId="5B00855E" w14:textId="77777777" w:rsidTr="008C5531">
        <w:trPr>
          <w:trHeight w:val="1410"/>
        </w:trPr>
        <w:tc>
          <w:tcPr>
            <w:tcW w:w="623" w:type="pct"/>
            <w:shd w:val="clear" w:color="auto" w:fill="auto"/>
            <w:noWrap/>
            <w:vAlign w:val="center"/>
            <w:hideMark/>
          </w:tcPr>
          <w:p w14:paraId="414901BC"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EURACE</w:t>
            </w:r>
          </w:p>
        </w:tc>
        <w:tc>
          <w:tcPr>
            <w:tcW w:w="625" w:type="pct"/>
            <w:shd w:val="clear" w:color="auto" w:fill="auto"/>
            <w:vAlign w:val="center"/>
            <w:hideMark/>
          </w:tcPr>
          <w:p w14:paraId="28D46250"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Ponta et al. (2018)</w:t>
            </w:r>
          </w:p>
        </w:tc>
        <w:tc>
          <w:tcPr>
            <w:tcW w:w="469" w:type="pct"/>
            <w:shd w:val="clear" w:color="auto" w:fill="auto"/>
            <w:vAlign w:val="center"/>
            <w:hideMark/>
          </w:tcPr>
          <w:p w14:paraId="76CC68CE" w14:textId="2C68ADB6" w:rsidR="008C5531" w:rsidRPr="00611C65" w:rsidRDefault="009A494A"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Fictive</w:t>
            </w:r>
            <w:r w:rsidR="008C5531" w:rsidRPr="00611C65">
              <w:rPr>
                <w:rFonts w:eastAsia="Times New Roman" w:cstheme="minorHAnsi"/>
                <w:sz w:val="18"/>
                <w:szCs w:val="18"/>
                <w:lang w:eastAsia="de-CH"/>
              </w:rPr>
              <w:t>, 20 years</w:t>
            </w:r>
          </w:p>
        </w:tc>
        <w:tc>
          <w:tcPr>
            <w:tcW w:w="548" w:type="pct"/>
            <w:shd w:val="clear" w:color="auto" w:fill="auto"/>
            <w:vAlign w:val="center"/>
            <w:hideMark/>
          </w:tcPr>
          <w:p w14:paraId="1ADDAD8F"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Advanced economy single-country</w:t>
            </w:r>
          </w:p>
        </w:tc>
        <w:tc>
          <w:tcPr>
            <w:tcW w:w="705" w:type="pct"/>
            <w:shd w:val="clear" w:color="auto" w:fill="auto"/>
            <w:vAlign w:val="center"/>
            <w:hideMark/>
          </w:tcPr>
          <w:p w14:paraId="42CE98B5" w14:textId="2DA61CC2" w:rsidR="008C5531" w:rsidRPr="00611C65" w:rsidRDefault="008C5531" w:rsidP="00521230">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Agent-based modelling</w:t>
            </w:r>
          </w:p>
          <w:p w14:paraId="45581134" w14:textId="5698E679" w:rsidR="008C5531" w:rsidRPr="00611C65" w:rsidRDefault="008C5531" w:rsidP="00521230">
            <w:pPr>
              <w:rPr>
                <w:rFonts w:eastAsia="Times New Roman" w:cstheme="minorHAnsi"/>
                <w:sz w:val="18"/>
                <w:szCs w:val="18"/>
                <w:lang w:eastAsia="de-CH"/>
              </w:rPr>
            </w:pPr>
          </w:p>
        </w:tc>
        <w:tc>
          <w:tcPr>
            <w:tcW w:w="939" w:type="pct"/>
            <w:shd w:val="clear" w:color="auto" w:fill="auto"/>
            <w:vAlign w:val="center"/>
            <w:hideMark/>
          </w:tcPr>
          <w:p w14:paraId="5E98D1F4"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auto" w:fill="auto"/>
            <w:vAlign w:val="center"/>
            <w:hideMark/>
          </w:tcPr>
          <w:p w14:paraId="27BB6438" w14:textId="77777777" w:rsidR="008C5531" w:rsidRPr="00611C65" w:rsidRDefault="008C5531" w:rsidP="008C5531">
            <w:pPr>
              <w:spacing w:after="24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Macroeconomic, government, central banking, </w:t>
            </w:r>
            <w:proofErr w:type="gramStart"/>
            <w:r w:rsidRPr="00611C65">
              <w:rPr>
                <w:rFonts w:eastAsia="Times New Roman" w:cstheme="minorHAnsi"/>
                <w:sz w:val="18"/>
                <w:szCs w:val="18"/>
                <w:lang w:eastAsia="de-CH"/>
              </w:rPr>
              <w:t>banking</w:t>
            </w:r>
            <w:proofErr w:type="gramEnd"/>
            <w:r w:rsidRPr="00611C65">
              <w:rPr>
                <w:rFonts w:eastAsia="Times New Roman" w:cstheme="minorHAnsi"/>
                <w:sz w:val="18"/>
                <w:szCs w:val="18"/>
                <w:lang w:eastAsia="de-CH"/>
              </w:rPr>
              <w:t xml:space="preserve"> and energy sectors. </w:t>
            </w:r>
          </w:p>
        </w:tc>
      </w:tr>
      <w:tr w:rsidR="00611C65" w:rsidRPr="00611C65" w14:paraId="50512651" w14:textId="77777777" w:rsidTr="008C5531">
        <w:trPr>
          <w:trHeight w:val="1330"/>
        </w:trPr>
        <w:tc>
          <w:tcPr>
            <w:tcW w:w="623" w:type="pct"/>
            <w:shd w:val="clear" w:color="EDEDED" w:fill="EDEDED"/>
            <w:noWrap/>
            <w:vAlign w:val="center"/>
            <w:hideMark/>
          </w:tcPr>
          <w:p w14:paraId="3E095CDC" w14:textId="77777777" w:rsidR="008C5531" w:rsidRPr="00611C65" w:rsidRDefault="008C5531" w:rsidP="008C5531">
            <w:pPr>
              <w:spacing w:after="0" w:line="240" w:lineRule="auto"/>
              <w:jc w:val="center"/>
              <w:rPr>
                <w:rFonts w:eastAsia="Times New Roman" w:cstheme="minorHAnsi"/>
                <w:b/>
                <w:bCs/>
                <w:sz w:val="18"/>
                <w:szCs w:val="18"/>
                <w:lang w:eastAsia="de-CH"/>
              </w:rPr>
            </w:pPr>
            <w:proofErr w:type="spellStart"/>
            <w:r w:rsidRPr="00611C65">
              <w:rPr>
                <w:rFonts w:eastAsia="Times New Roman" w:cstheme="minorHAnsi"/>
                <w:b/>
                <w:bCs/>
                <w:sz w:val="18"/>
                <w:szCs w:val="18"/>
                <w:lang w:eastAsia="de-CH"/>
              </w:rPr>
              <w:t>Eurogreen</w:t>
            </w:r>
            <w:proofErr w:type="spellEnd"/>
          </w:p>
        </w:tc>
        <w:tc>
          <w:tcPr>
            <w:tcW w:w="625" w:type="pct"/>
            <w:shd w:val="clear" w:color="EDEDED" w:fill="EDEDED"/>
            <w:vAlign w:val="center"/>
            <w:hideMark/>
          </w:tcPr>
          <w:p w14:paraId="083C4B7A"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D'Alessandro et al. (2018)</w:t>
            </w:r>
          </w:p>
        </w:tc>
        <w:tc>
          <w:tcPr>
            <w:tcW w:w="469" w:type="pct"/>
            <w:shd w:val="clear" w:color="EDEDED" w:fill="EDEDED"/>
            <w:vAlign w:val="center"/>
            <w:hideMark/>
          </w:tcPr>
          <w:p w14:paraId="0C283BD9"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2014 - 2050</w:t>
            </w:r>
          </w:p>
        </w:tc>
        <w:tc>
          <w:tcPr>
            <w:tcW w:w="548" w:type="pct"/>
            <w:shd w:val="clear" w:color="EDEDED" w:fill="EDEDED"/>
            <w:vAlign w:val="center"/>
            <w:hideMark/>
          </w:tcPr>
          <w:p w14:paraId="7E8CB3F8"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France</w:t>
            </w:r>
          </w:p>
        </w:tc>
        <w:tc>
          <w:tcPr>
            <w:tcW w:w="705" w:type="pct"/>
            <w:shd w:val="clear" w:color="EDEDED" w:fill="EDEDED"/>
            <w:vAlign w:val="center"/>
            <w:hideMark/>
          </w:tcPr>
          <w:p w14:paraId="76E11D83"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System Dynamics</w:t>
            </w:r>
          </w:p>
        </w:tc>
        <w:tc>
          <w:tcPr>
            <w:tcW w:w="939" w:type="pct"/>
            <w:shd w:val="clear" w:color="EDEDED" w:fill="EDEDED"/>
            <w:vAlign w:val="center"/>
            <w:hideMark/>
          </w:tcPr>
          <w:p w14:paraId="35362480"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EDEDED" w:fill="EDEDED"/>
            <w:vAlign w:val="center"/>
            <w:hideMark/>
          </w:tcPr>
          <w:p w14:paraId="79230A5A" w14:textId="23C97D63"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Households, Industries, Population, Government, Energy </w:t>
            </w:r>
            <w:r w:rsidR="009A494A" w:rsidRPr="00611C65">
              <w:rPr>
                <w:rFonts w:eastAsia="Times New Roman" w:cstheme="minorHAnsi"/>
                <w:sz w:val="18"/>
                <w:szCs w:val="18"/>
                <w:lang w:eastAsia="de-CH"/>
              </w:rPr>
              <w:t>Resources</w:t>
            </w:r>
            <w:r w:rsidRPr="00611C65">
              <w:rPr>
                <w:rFonts w:eastAsia="Times New Roman" w:cstheme="minorHAnsi"/>
                <w:sz w:val="18"/>
                <w:szCs w:val="18"/>
                <w:lang w:eastAsia="de-CH"/>
              </w:rPr>
              <w:t xml:space="preserve">, Assets, Rest of the </w:t>
            </w:r>
            <w:r w:rsidR="009A494A" w:rsidRPr="00611C65">
              <w:rPr>
                <w:rFonts w:eastAsia="Times New Roman" w:cstheme="minorHAnsi"/>
                <w:sz w:val="18"/>
                <w:szCs w:val="18"/>
                <w:lang w:eastAsia="de-CH"/>
              </w:rPr>
              <w:t>Whorls</w:t>
            </w:r>
            <w:r w:rsidRPr="00611C65">
              <w:rPr>
                <w:rFonts w:eastAsia="Times New Roman" w:cstheme="minorHAnsi"/>
                <w:sz w:val="18"/>
                <w:szCs w:val="18"/>
                <w:lang w:eastAsia="de-CH"/>
              </w:rPr>
              <w:t xml:space="preserve">, GHG emission module. </w:t>
            </w:r>
          </w:p>
        </w:tc>
      </w:tr>
      <w:tr w:rsidR="00611C65" w:rsidRPr="00611C65" w14:paraId="03C45247" w14:textId="77777777" w:rsidTr="008C5531">
        <w:trPr>
          <w:trHeight w:val="810"/>
        </w:trPr>
        <w:tc>
          <w:tcPr>
            <w:tcW w:w="623" w:type="pct"/>
            <w:shd w:val="clear" w:color="auto" w:fill="auto"/>
            <w:noWrap/>
            <w:vAlign w:val="center"/>
            <w:hideMark/>
          </w:tcPr>
          <w:p w14:paraId="5437C292"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GIBM</w:t>
            </w:r>
          </w:p>
        </w:tc>
        <w:tc>
          <w:tcPr>
            <w:tcW w:w="625" w:type="pct"/>
            <w:shd w:val="clear" w:color="auto" w:fill="auto"/>
            <w:vAlign w:val="center"/>
            <w:hideMark/>
          </w:tcPr>
          <w:p w14:paraId="7A305060"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Current study</w:t>
            </w:r>
          </w:p>
        </w:tc>
        <w:tc>
          <w:tcPr>
            <w:tcW w:w="469" w:type="pct"/>
            <w:shd w:val="clear" w:color="auto" w:fill="auto"/>
            <w:vAlign w:val="center"/>
            <w:hideMark/>
          </w:tcPr>
          <w:p w14:paraId="2A885DF3"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2016 to 2020</w:t>
            </w:r>
          </w:p>
        </w:tc>
        <w:tc>
          <w:tcPr>
            <w:tcW w:w="548" w:type="pct"/>
            <w:shd w:val="clear" w:color="auto" w:fill="auto"/>
            <w:vAlign w:val="center"/>
            <w:hideMark/>
          </w:tcPr>
          <w:p w14:paraId="4C88FC7B"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UK</w:t>
            </w:r>
          </w:p>
        </w:tc>
        <w:tc>
          <w:tcPr>
            <w:tcW w:w="705" w:type="pct"/>
            <w:shd w:val="clear" w:color="auto" w:fill="auto"/>
            <w:vAlign w:val="center"/>
            <w:hideMark/>
          </w:tcPr>
          <w:p w14:paraId="3E4AE648"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System Dynamics</w:t>
            </w:r>
          </w:p>
        </w:tc>
        <w:tc>
          <w:tcPr>
            <w:tcW w:w="939" w:type="pct"/>
            <w:shd w:val="clear" w:color="auto" w:fill="auto"/>
            <w:vAlign w:val="center"/>
            <w:hideMark/>
          </w:tcPr>
          <w:p w14:paraId="5A712BB3"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auto" w:fill="auto"/>
            <w:vAlign w:val="center"/>
            <w:hideMark/>
          </w:tcPr>
          <w:p w14:paraId="42A6602C" w14:textId="03DC1284"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Macroeconomic sectors, </w:t>
            </w:r>
            <w:proofErr w:type="gramStart"/>
            <w:r w:rsidRPr="00611C65">
              <w:rPr>
                <w:rFonts w:eastAsia="Times New Roman" w:cstheme="minorHAnsi"/>
                <w:sz w:val="18"/>
                <w:szCs w:val="18"/>
                <w:lang w:eastAsia="de-CH"/>
              </w:rPr>
              <w:t>government</w:t>
            </w:r>
            <w:proofErr w:type="gramEnd"/>
            <w:r w:rsidRPr="00611C65">
              <w:rPr>
                <w:rFonts w:eastAsia="Times New Roman" w:cstheme="minorHAnsi"/>
                <w:sz w:val="18"/>
                <w:szCs w:val="18"/>
                <w:lang w:eastAsia="de-CH"/>
              </w:rPr>
              <w:t xml:space="preserve"> and </w:t>
            </w:r>
            <w:r w:rsidR="006A617F" w:rsidRPr="00611C65">
              <w:rPr>
                <w:rFonts w:eastAsia="Times New Roman" w:cstheme="minorHAnsi"/>
                <w:sz w:val="18"/>
                <w:szCs w:val="18"/>
                <w:lang w:eastAsia="de-CH"/>
              </w:rPr>
              <w:t xml:space="preserve">electricity </w:t>
            </w:r>
            <w:r w:rsidRPr="00611C65">
              <w:rPr>
                <w:rFonts w:eastAsia="Times New Roman" w:cstheme="minorHAnsi"/>
                <w:sz w:val="18"/>
                <w:szCs w:val="18"/>
                <w:lang w:eastAsia="de-CH"/>
              </w:rPr>
              <w:t xml:space="preserve">supply sector. </w:t>
            </w:r>
          </w:p>
        </w:tc>
      </w:tr>
      <w:tr w:rsidR="00611C65" w:rsidRPr="00611C65" w14:paraId="105653A7" w14:textId="77777777" w:rsidTr="008C5531">
        <w:trPr>
          <w:trHeight w:val="733"/>
        </w:trPr>
        <w:tc>
          <w:tcPr>
            <w:tcW w:w="623" w:type="pct"/>
            <w:shd w:val="clear" w:color="EDEDED" w:fill="EDEDED"/>
            <w:noWrap/>
            <w:vAlign w:val="center"/>
            <w:hideMark/>
          </w:tcPr>
          <w:p w14:paraId="1D951C8D" w14:textId="77777777" w:rsidR="008C5531" w:rsidRPr="00611C65" w:rsidRDefault="008C5531" w:rsidP="008C5531">
            <w:pPr>
              <w:spacing w:after="0" w:line="240" w:lineRule="auto"/>
              <w:jc w:val="center"/>
              <w:rPr>
                <w:rFonts w:eastAsia="Times New Roman" w:cstheme="minorHAnsi"/>
                <w:b/>
                <w:bCs/>
                <w:sz w:val="18"/>
                <w:szCs w:val="18"/>
                <w:lang w:eastAsia="de-CH"/>
              </w:rPr>
            </w:pPr>
            <w:proofErr w:type="spellStart"/>
            <w:r w:rsidRPr="00611C65">
              <w:rPr>
                <w:rFonts w:eastAsia="Times New Roman" w:cstheme="minorHAnsi"/>
                <w:b/>
                <w:bCs/>
                <w:sz w:val="18"/>
                <w:szCs w:val="18"/>
                <w:lang w:eastAsia="de-CH"/>
              </w:rPr>
              <w:t>LowGrow</w:t>
            </w:r>
            <w:proofErr w:type="spellEnd"/>
            <w:r w:rsidRPr="00611C65">
              <w:rPr>
                <w:rFonts w:eastAsia="Times New Roman" w:cstheme="minorHAnsi"/>
                <w:b/>
                <w:bCs/>
                <w:sz w:val="18"/>
                <w:szCs w:val="18"/>
                <w:lang w:eastAsia="de-CH"/>
              </w:rPr>
              <w:t xml:space="preserve"> SFC</w:t>
            </w:r>
          </w:p>
        </w:tc>
        <w:tc>
          <w:tcPr>
            <w:tcW w:w="625" w:type="pct"/>
            <w:shd w:val="clear" w:color="EDEDED" w:fill="EDEDED"/>
            <w:vAlign w:val="center"/>
            <w:hideMark/>
          </w:tcPr>
          <w:p w14:paraId="7C750DE2"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Victor &amp; Jackson (2019)</w:t>
            </w:r>
          </w:p>
        </w:tc>
        <w:tc>
          <w:tcPr>
            <w:tcW w:w="469" w:type="pct"/>
            <w:shd w:val="clear" w:color="EDEDED" w:fill="EDEDED"/>
            <w:vAlign w:val="center"/>
            <w:hideMark/>
          </w:tcPr>
          <w:p w14:paraId="31A28DF0"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2017 to 2067</w:t>
            </w:r>
          </w:p>
        </w:tc>
        <w:tc>
          <w:tcPr>
            <w:tcW w:w="548" w:type="pct"/>
            <w:shd w:val="clear" w:color="EDEDED" w:fill="EDEDED"/>
            <w:vAlign w:val="center"/>
            <w:hideMark/>
          </w:tcPr>
          <w:p w14:paraId="442C0D53"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Canada</w:t>
            </w:r>
          </w:p>
        </w:tc>
        <w:tc>
          <w:tcPr>
            <w:tcW w:w="705" w:type="pct"/>
            <w:shd w:val="clear" w:color="EDEDED" w:fill="EDEDED"/>
            <w:vAlign w:val="center"/>
            <w:hideMark/>
          </w:tcPr>
          <w:p w14:paraId="6907FA86"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System Dynamics </w:t>
            </w:r>
          </w:p>
        </w:tc>
        <w:tc>
          <w:tcPr>
            <w:tcW w:w="939" w:type="pct"/>
            <w:shd w:val="clear" w:color="EDEDED" w:fill="EDEDED"/>
            <w:vAlign w:val="center"/>
            <w:hideMark/>
          </w:tcPr>
          <w:p w14:paraId="7222CA8E"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EDEDED" w:fill="EDEDED"/>
            <w:vAlign w:val="center"/>
            <w:hideMark/>
          </w:tcPr>
          <w:p w14:paraId="3BC1AEA9" w14:textId="2CBEF35F"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The model includes the </w:t>
            </w:r>
            <w:r w:rsidR="009A494A" w:rsidRPr="00611C65">
              <w:rPr>
                <w:rFonts w:eastAsia="Times New Roman" w:cstheme="minorHAnsi"/>
                <w:sz w:val="18"/>
                <w:szCs w:val="18"/>
                <w:lang w:eastAsia="de-CH"/>
              </w:rPr>
              <w:t>representation</w:t>
            </w:r>
            <w:r w:rsidRPr="00611C65">
              <w:rPr>
                <w:rFonts w:eastAsia="Times New Roman" w:cstheme="minorHAnsi"/>
                <w:sz w:val="18"/>
                <w:szCs w:val="18"/>
                <w:lang w:eastAsia="de-CH"/>
              </w:rPr>
              <w:t xml:space="preserve"> of households, firms, banks, government, a central bank and the ‘rest of the world’ (or ‘foreign’ sector). </w:t>
            </w:r>
          </w:p>
        </w:tc>
      </w:tr>
      <w:tr w:rsidR="00611C65" w:rsidRPr="00611C65" w14:paraId="6D07EAFD" w14:textId="77777777" w:rsidTr="008C5531">
        <w:trPr>
          <w:trHeight w:val="780"/>
        </w:trPr>
        <w:tc>
          <w:tcPr>
            <w:tcW w:w="623" w:type="pct"/>
            <w:shd w:val="clear" w:color="auto" w:fill="auto"/>
            <w:noWrap/>
            <w:vAlign w:val="center"/>
            <w:hideMark/>
          </w:tcPr>
          <w:p w14:paraId="5AD3E15E"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MEDEAS</w:t>
            </w:r>
          </w:p>
        </w:tc>
        <w:tc>
          <w:tcPr>
            <w:tcW w:w="625" w:type="pct"/>
            <w:shd w:val="clear" w:color="auto" w:fill="auto"/>
            <w:vAlign w:val="center"/>
            <w:hideMark/>
          </w:tcPr>
          <w:p w14:paraId="0D79B9BB"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Nieto et al. (2020)</w:t>
            </w:r>
          </w:p>
        </w:tc>
        <w:tc>
          <w:tcPr>
            <w:tcW w:w="469" w:type="pct"/>
            <w:shd w:val="clear" w:color="auto" w:fill="auto"/>
            <w:vAlign w:val="center"/>
            <w:hideMark/>
          </w:tcPr>
          <w:p w14:paraId="11D6E19A"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1995 to 2050</w:t>
            </w:r>
          </w:p>
        </w:tc>
        <w:tc>
          <w:tcPr>
            <w:tcW w:w="548" w:type="pct"/>
            <w:shd w:val="clear" w:color="auto" w:fill="auto"/>
            <w:vAlign w:val="center"/>
            <w:hideMark/>
          </w:tcPr>
          <w:p w14:paraId="7B9979EE"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EU</w:t>
            </w:r>
          </w:p>
        </w:tc>
        <w:tc>
          <w:tcPr>
            <w:tcW w:w="705" w:type="pct"/>
            <w:shd w:val="clear" w:color="auto" w:fill="auto"/>
            <w:vAlign w:val="center"/>
            <w:hideMark/>
          </w:tcPr>
          <w:p w14:paraId="49E78703"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System Dynamics</w:t>
            </w:r>
          </w:p>
        </w:tc>
        <w:tc>
          <w:tcPr>
            <w:tcW w:w="939" w:type="pct"/>
            <w:shd w:val="clear" w:color="auto" w:fill="auto"/>
            <w:vAlign w:val="center"/>
            <w:hideMark/>
          </w:tcPr>
          <w:p w14:paraId="52335920"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 xml:space="preserve">Simulation model / Non-Equilibrium model </w:t>
            </w:r>
          </w:p>
        </w:tc>
        <w:tc>
          <w:tcPr>
            <w:tcW w:w="1090" w:type="pct"/>
            <w:shd w:val="clear" w:color="auto" w:fill="auto"/>
            <w:vAlign w:val="center"/>
            <w:hideMark/>
          </w:tcPr>
          <w:p w14:paraId="16EF1511"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Economy, population, employment, water, land-use, climate, </w:t>
            </w:r>
            <w:proofErr w:type="gramStart"/>
            <w:r w:rsidRPr="00611C65">
              <w:rPr>
                <w:rFonts w:eastAsia="Times New Roman" w:cstheme="minorHAnsi"/>
                <w:sz w:val="18"/>
                <w:szCs w:val="18"/>
                <w:lang w:eastAsia="de-CH"/>
              </w:rPr>
              <w:t>energy</w:t>
            </w:r>
            <w:proofErr w:type="gramEnd"/>
            <w:r w:rsidRPr="00611C65">
              <w:rPr>
                <w:rFonts w:eastAsia="Times New Roman" w:cstheme="minorHAnsi"/>
                <w:sz w:val="18"/>
                <w:szCs w:val="18"/>
                <w:lang w:eastAsia="de-CH"/>
              </w:rPr>
              <w:t xml:space="preserve"> and materials sector. </w:t>
            </w:r>
          </w:p>
        </w:tc>
      </w:tr>
      <w:tr w:rsidR="00611C65" w:rsidRPr="00611C65" w14:paraId="1AAED58E" w14:textId="77777777" w:rsidTr="008C5531">
        <w:trPr>
          <w:trHeight w:val="890"/>
        </w:trPr>
        <w:tc>
          <w:tcPr>
            <w:tcW w:w="623" w:type="pct"/>
            <w:shd w:val="clear" w:color="EDEDED" w:fill="EDEDED"/>
            <w:noWrap/>
            <w:vAlign w:val="center"/>
            <w:hideMark/>
          </w:tcPr>
          <w:p w14:paraId="63CEE67E" w14:textId="4AE89422" w:rsidR="008C5531" w:rsidRPr="00611C65" w:rsidRDefault="00611C65" w:rsidP="008C5531">
            <w:pPr>
              <w:spacing w:after="0" w:line="240" w:lineRule="auto"/>
              <w:jc w:val="center"/>
              <w:rPr>
                <w:rFonts w:eastAsia="Times New Roman" w:cstheme="minorHAnsi"/>
                <w:b/>
                <w:bCs/>
                <w:sz w:val="18"/>
                <w:szCs w:val="18"/>
                <w:lang w:eastAsia="de-CH"/>
              </w:rPr>
            </w:pPr>
            <w:hyperlink r:id="rId17" w:anchor="Tabelle3!A19" w:history="1">
              <w:r w:rsidR="008C5531" w:rsidRPr="00611C65">
                <w:rPr>
                  <w:rFonts w:eastAsia="Times New Roman" w:cstheme="minorHAnsi"/>
                  <w:b/>
                  <w:bCs/>
                  <w:sz w:val="18"/>
                  <w:szCs w:val="18"/>
                  <w:lang w:eastAsia="de-CH"/>
                </w:rPr>
                <w:t>Naqvi, 201</w:t>
              </w:r>
            </w:hyperlink>
            <w:r w:rsidR="00F50E78" w:rsidRPr="00611C65">
              <w:rPr>
                <w:rFonts w:eastAsia="Times New Roman" w:cstheme="minorHAnsi"/>
                <w:b/>
                <w:bCs/>
                <w:sz w:val="18"/>
                <w:szCs w:val="18"/>
                <w:lang w:eastAsia="de-CH"/>
              </w:rPr>
              <w:t>8</w:t>
            </w:r>
          </w:p>
        </w:tc>
        <w:tc>
          <w:tcPr>
            <w:tcW w:w="625" w:type="pct"/>
            <w:shd w:val="clear" w:color="EDEDED" w:fill="EDEDED"/>
            <w:vAlign w:val="center"/>
            <w:hideMark/>
          </w:tcPr>
          <w:p w14:paraId="136D4FE9" w14:textId="0F3F66A1"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Naqvi (201</w:t>
            </w:r>
            <w:r w:rsidR="00F50E78" w:rsidRPr="00611C65">
              <w:rPr>
                <w:rFonts w:eastAsia="Times New Roman" w:cstheme="minorHAnsi"/>
                <w:sz w:val="18"/>
                <w:szCs w:val="18"/>
                <w:lang w:eastAsia="de-CH"/>
              </w:rPr>
              <w:t>8</w:t>
            </w:r>
            <w:r w:rsidRPr="00611C65">
              <w:rPr>
                <w:rFonts w:eastAsia="Times New Roman" w:cstheme="minorHAnsi"/>
                <w:sz w:val="18"/>
                <w:szCs w:val="18"/>
                <w:lang w:eastAsia="de-CH"/>
              </w:rPr>
              <w:t>)</w:t>
            </w:r>
          </w:p>
        </w:tc>
        <w:tc>
          <w:tcPr>
            <w:tcW w:w="469" w:type="pct"/>
            <w:shd w:val="clear" w:color="EDEDED" w:fill="EDEDED"/>
            <w:vAlign w:val="center"/>
            <w:hideMark/>
          </w:tcPr>
          <w:p w14:paraId="639F52D7"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100 units</w:t>
            </w:r>
          </w:p>
        </w:tc>
        <w:tc>
          <w:tcPr>
            <w:tcW w:w="548" w:type="pct"/>
            <w:shd w:val="clear" w:color="EDEDED" w:fill="EDEDED"/>
            <w:vAlign w:val="center"/>
            <w:hideMark/>
          </w:tcPr>
          <w:p w14:paraId="723A00F5"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EU</w:t>
            </w:r>
          </w:p>
        </w:tc>
        <w:tc>
          <w:tcPr>
            <w:tcW w:w="705" w:type="pct"/>
            <w:shd w:val="clear" w:color="EDEDED" w:fill="EDEDED"/>
            <w:vAlign w:val="center"/>
            <w:hideMark/>
          </w:tcPr>
          <w:p w14:paraId="3643A4B3"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System Dynamics</w:t>
            </w:r>
          </w:p>
        </w:tc>
        <w:tc>
          <w:tcPr>
            <w:tcW w:w="939" w:type="pct"/>
            <w:shd w:val="clear" w:color="EDEDED" w:fill="EDEDED"/>
            <w:vAlign w:val="center"/>
            <w:hideMark/>
          </w:tcPr>
          <w:p w14:paraId="5C123DDE"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EDEDED" w:fill="EDEDED"/>
            <w:vAlign w:val="center"/>
            <w:hideMark/>
          </w:tcPr>
          <w:p w14:paraId="42DC5B7E" w14:textId="13C7EC93" w:rsidR="008C5531" w:rsidRPr="00611C65" w:rsidRDefault="00B02A20"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Firms, households (incl. workers and capitalists, government, </w:t>
            </w:r>
            <w:proofErr w:type="gramStart"/>
            <w:r w:rsidRPr="00611C65">
              <w:rPr>
                <w:rFonts w:eastAsia="Times New Roman" w:cstheme="minorHAnsi"/>
                <w:sz w:val="18"/>
                <w:szCs w:val="18"/>
                <w:lang w:eastAsia="de-CH"/>
              </w:rPr>
              <w:t>climate</w:t>
            </w:r>
            <w:proofErr w:type="gramEnd"/>
            <w:r w:rsidRPr="00611C65">
              <w:rPr>
                <w:rFonts w:eastAsia="Times New Roman" w:cstheme="minorHAnsi"/>
                <w:sz w:val="18"/>
                <w:szCs w:val="18"/>
                <w:lang w:eastAsia="de-CH"/>
              </w:rPr>
              <w:t xml:space="preserve"> and a banking sector. </w:t>
            </w:r>
          </w:p>
        </w:tc>
      </w:tr>
      <w:tr w:rsidR="00611C65" w:rsidRPr="00611C65" w14:paraId="16BE6663" w14:textId="77777777" w:rsidTr="008C5531">
        <w:trPr>
          <w:trHeight w:val="910"/>
        </w:trPr>
        <w:tc>
          <w:tcPr>
            <w:tcW w:w="623" w:type="pct"/>
            <w:shd w:val="clear" w:color="auto" w:fill="auto"/>
            <w:noWrap/>
            <w:vAlign w:val="center"/>
            <w:hideMark/>
          </w:tcPr>
          <w:p w14:paraId="404367D3"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PANTA RHEI/GINFORS</w:t>
            </w:r>
          </w:p>
        </w:tc>
        <w:tc>
          <w:tcPr>
            <w:tcW w:w="625" w:type="pct"/>
            <w:shd w:val="clear" w:color="auto" w:fill="auto"/>
            <w:vAlign w:val="center"/>
            <w:hideMark/>
          </w:tcPr>
          <w:p w14:paraId="74F2EF2D" w14:textId="77777777" w:rsidR="008C5531" w:rsidRPr="00611C65" w:rsidRDefault="008C5531" w:rsidP="008C5531">
            <w:pPr>
              <w:spacing w:after="0" w:line="240" w:lineRule="auto"/>
              <w:rPr>
                <w:rFonts w:eastAsia="Times New Roman" w:cstheme="minorHAnsi"/>
                <w:sz w:val="18"/>
                <w:szCs w:val="18"/>
                <w:lang w:eastAsia="de-CH"/>
              </w:rPr>
            </w:pPr>
            <w:proofErr w:type="spellStart"/>
            <w:r w:rsidRPr="00611C65">
              <w:rPr>
                <w:rFonts w:eastAsia="Times New Roman" w:cstheme="minorHAnsi"/>
                <w:sz w:val="18"/>
                <w:szCs w:val="18"/>
                <w:lang w:eastAsia="de-CH"/>
              </w:rPr>
              <w:t>Großmann</w:t>
            </w:r>
            <w:proofErr w:type="spellEnd"/>
            <w:r w:rsidRPr="00611C65">
              <w:rPr>
                <w:rFonts w:eastAsia="Times New Roman" w:cstheme="minorHAnsi"/>
                <w:sz w:val="18"/>
                <w:szCs w:val="18"/>
                <w:lang w:eastAsia="de-CH"/>
              </w:rPr>
              <w:t xml:space="preserve"> &amp; Lutz (2015)</w:t>
            </w:r>
          </w:p>
        </w:tc>
        <w:tc>
          <w:tcPr>
            <w:tcW w:w="469" w:type="pct"/>
            <w:shd w:val="clear" w:color="auto" w:fill="auto"/>
            <w:vAlign w:val="center"/>
            <w:hideMark/>
          </w:tcPr>
          <w:p w14:paraId="26CE9646"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2000-2020</w:t>
            </w:r>
          </w:p>
        </w:tc>
        <w:tc>
          <w:tcPr>
            <w:tcW w:w="548" w:type="pct"/>
            <w:shd w:val="clear" w:color="auto" w:fill="auto"/>
            <w:vAlign w:val="center"/>
            <w:hideMark/>
          </w:tcPr>
          <w:p w14:paraId="5E67B7E5"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Germany</w:t>
            </w:r>
          </w:p>
        </w:tc>
        <w:tc>
          <w:tcPr>
            <w:tcW w:w="705" w:type="pct"/>
            <w:shd w:val="clear" w:color="auto" w:fill="auto"/>
            <w:vAlign w:val="center"/>
            <w:hideMark/>
          </w:tcPr>
          <w:p w14:paraId="4C06BC6F"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Macro-econometric input-output model</w:t>
            </w:r>
          </w:p>
        </w:tc>
        <w:tc>
          <w:tcPr>
            <w:tcW w:w="939" w:type="pct"/>
            <w:shd w:val="clear" w:color="auto" w:fill="auto"/>
            <w:vAlign w:val="center"/>
            <w:hideMark/>
          </w:tcPr>
          <w:p w14:paraId="3977CBE9"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auto" w:fill="auto"/>
            <w:vAlign w:val="center"/>
            <w:hideMark/>
          </w:tcPr>
          <w:p w14:paraId="43D67E77"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Macroeconomic sectors, and dwelling, traffic, land-use, material input and energy sector. </w:t>
            </w:r>
          </w:p>
        </w:tc>
      </w:tr>
      <w:tr w:rsidR="00611C65" w:rsidRPr="00611C65" w14:paraId="28BE843E" w14:textId="77777777" w:rsidTr="008C5531">
        <w:trPr>
          <w:trHeight w:val="810"/>
        </w:trPr>
        <w:tc>
          <w:tcPr>
            <w:tcW w:w="623" w:type="pct"/>
            <w:shd w:val="clear" w:color="EDEDED" w:fill="EDEDED"/>
            <w:noWrap/>
            <w:vAlign w:val="center"/>
            <w:hideMark/>
          </w:tcPr>
          <w:p w14:paraId="216A9E90"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t>Threshold 21/</w:t>
            </w:r>
            <w:proofErr w:type="spellStart"/>
            <w:r w:rsidRPr="00611C65">
              <w:rPr>
                <w:rFonts w:eastAsia="Times New Roman" w:cstheme="minorHAnsi"/>
                <w:b/>
                <w:bCs/>
                <w:sz w:val="18"/>
                <w:szCs w:val="18"/>
                <w:lang w:eastAsia="de-CH"/>
              </w:rPr>
              <w:t>SDGi</w:t>
            </w:r>
            <w:proofErr w:type="spellEnd"/>
          </w:p>
        </w:tc>
        <w:tc>
          <w:tcPr>
            <w:tcW w:w="625" w:type="pct"/>
            <w:shd w:val="clear" w:color="EDEDED" w:fill="EDEDED"/>
            <w:noWrap/>
            <w:vAlign w:val="center"/>
            <w:hideMark/>
          </w:tcPr>
          <w:p w14:paraId="1251AF71"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UNEP (2011)</w:t>
            </w:r>
          </w:p>
        </w:tc>
        <w:tc>
          <w:tcPr>
            <w:tcW w:w="469" w:type="pct"/>
            <w:shd w:val="clear" w:color="EDEDED" w:fill="EDEDED"/>
            <w:noWrap/>
            <w:vAlign w:val="center"/>
            <w:hideMark/>
          </w:tcPr>
          <w:p w14:paraId="62C42D35"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2010 to 2050</w:t>
            </w:r>
          </w:p>
        </w:tc>
        <w:tc>
          <w:tcPr>
            <w:tcW w:w="548" w:type="pct"/>
            <w:shd w:val="clear" w:color="EDEDED" w:fill="EDEDED"/>
            <w:noWrap/>
            <w:vAlign w:val="center"/>
            <w:hideMark/>
          </w:tcPr>
          <w:p w14:paraId="1B073C13"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Global</w:t>
            </w:r>
          </w:p>
        </w:tc>
        <w:tc>
          <w:tcPr>
            <w:tcW w:w="705" w:type="pct"/>
            <w:shd w:val="clear" w:color="EDEDED" w:fill="EDEDED"/>
            <w:vAlign w:val="center"/>
            <w:hideMark/>
          </w:tcPr>
          <w:p w14:paraId="7F985501"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System Dynamics</w:t>
            </w:r>
          </w:p>
        </w:tc>
        <w:tc>
          <w:tcPr>
            <w:tcW w:w="939" w:type="pct"/>
            <w:shd w:val="clear" w:color="EDEDED" w:fill="EDEDED"/>
            <w:vAlign w:val="center"/>
            <w:hideMark/>
          </w:tcPr>
          <w:p w14:paraId="1201F8BC"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Simulation model / Non-Equilibrium model</w:t>
            </w:r>
          </w:p>
        </w:tc>
        <w:tc>
          <w:tcPr>
            <w:tcW w:w="1090" w:type="pct"/>
            <w:shd w:val="clear" w:color="EDEDED" w:fill="EDEDED"/>
            <w:vAlign w:val="center"/>
            <w:hideMark/>
          </w:tcPr>
          <w:p w14:paraId="70AFF107"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 xml:space="preserve">Society module, Environmental </w:t>
            </w:r>
            <w:proofErr w:type="gramStart"/>
            <w:r w:rsidRPr="00611C65">
              <w:rPr>
                <w:rFonts w:eastAsia="Times New Roman" w:cstheme="minorHAnsi"/>
                <w:sz w:val="18"/>
                <w:szCs w:val="18"/>
                <w:lang w:eastAsia="de-CH"/>
              </w:rPr>
              <w:t>module</w:t>
            </w:r>
            <w:proofErr w:type="gramEnd"/>
            <w:r w:rsidRPr="00611C65">
              <w:rPr>
                <w:rFonts w:eastAsia="Times New Roman" w:cstheme="minorHAnsi"/>
                <w:sz w:val="18"/>
                <w:szCs w:val="18"/>
                <w:lang w:eastAsia="de-CH"/>
              </w:rPr>
              <w:t xml:space="preserve"> and Economy module. </w:t>
            </w:r>
          </w:p>
        </w:tc>
      </w:tr>
      <w:tr w:rsidR="008C5531" w:rsidRPr="00611C65" w14:paraId="23E3FD92" w14:textId="77777777" w:rsidTr="008C5531">
        <w:trPr>
          <w:trHeight w:val="703"/>
        </w:trPr>
        <w:tc>
          <w:tcPr>
            <w:tcW w:w="623" w:type="pct"/>
            <w:shd w:val="clear" w:color="auto" w:fill="auto"/>
            <w:noWrap/>
            <w:vAlign w:val="center"/>
            <w:hideMark/>
          </w:tcPr>
          <w:p w14:paraId="2FE40B2D" w14:textId="77777777" w:rsidR="008C5531" w:rsidRPr="00611C65" w:rsidRDefault="008C5531" w:rsidP="008C5531">
            <w:pPr>
              <w:spacing w:after="0" w:line="240" w:lineRule="auto"/>
              <w:jc w:val="center"/>
              <w:rPr>
                <w:rFonts w:eastAsia="Times New Roman" w:cstheme="minorHAnsi"/>
                <w:b/>
                <w:bCs/>
                <w:sz w:val="18"/>
                <w:szCs w:val="18"/>
                <w:lang w:eastAsia="de-CH"/>
              </w:rPr>
            </w:pPr>
            <w:r w:rsidRPr="00611C65">
              <w:rPr>
                <w:rFonts w:eastAsia="Times New Roman" w:cstheme="minorHAnsi"/>
                <w:b/>
                <w:bCs/>
                <w:sz w:val="18"/>
                <w:szCs w:val="18"/>
                <w:lang w:eastAsia="de-CH"/>
              </w:rPr>
              <w:lastRenderedPageBreak/>
              <w:t>HMRC model</w:t>
            </w:r>
          </w:p>
        </w:tc>
        <w:tc>
          <w:tcPr>
            <w:tcW w:w="625" w:type="pct"/>
            <w:shd w:val="clear" w:color="auto" w:fill="auto"/>
            <w:vAlign w:val="center"/>
            <w:hideMark/>
          </w:tcPr>
          <w:p w14:paraId="5A8D9038"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HM Government (2011)</w:t>
            </w:r>
          </w:p>
        </w:tc>
        <w:tc>
          <w:tcPr>
            <w:tcW w:w="469" w:type="pct"/>
            <w:shd w:val="clear" w:color="auto" w:fill="auto"/>
            <w:vAlign w:val="center"/>
            <w:hideMark/>
          </w:tcPr>
          <w:p w14:paraId="03E28A24"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2020 - 2025</w:t>
            </w:r>
          </w:p>
        </w:tc>
        <w:tc>
          <w:tcPr>
            <w:tcW w:w="548" w:type="pct"/>
            <w:shd w:val="clear" w:color="auto" w:fill="auto"/>
            <w:vAlign w:val="center"/>
            <w:hideMark/>
          </w:tcPr>
          <w:p w14:paraId="24DA39BB"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UK</w:t>
            </w:r>
          </w:p>
        </w:tc>
        <w:tc>
          <w:tcPr>
            <w:tcW w:w="705" w:type="pct"/>
            <w:shd w:val="clear" w:color="auto" w:fill="auto"/>
            <w:vAlign w:val="center"/>
            <w:hideMark/>
          </w:tcPr>
          <w:p w14:paraId="62E58CAE" w14:textId="77777777" w:rsidR="008C5531" w:rsidRPr="00611C65" w:rsidRDefault="008C5531" w:rsidP="008C5531">
            <w:pPr>
              <w:spacing w:after="0" w:line="240" w:lineRule="auto"/>
              <w:rPr>
                <w:rFonts w:eastAsia="Times New Roman" w:cstheme="minorHAnsi"/>
                <w:sz w:val="18"/>
                <w:szCs w:val="18"/>
                <w:lang w:val="it-IT" w:eastAsia="de-CH"/>
              </w:rPr>
            </w:pPr>
            <w:r w:rsidRPr="00611C65">
              <w:rPr>
                <w:rFonts w:eastAsia="Times New Roman" w:cstheme="minorHAnsi"/>
                <w:sz w:val="18"/>
                <w:szCs w:val="18"/>
                <w:lang w:val="it-IT" w:eastAsia="de-CH"/>
              </w:rPr>
              <w:t>Computable General Equilibrium (CGE) model</w:t>
            </w:r>
          </w:p>
        </w:tc>
        <w:tc>
          <w:tcPr>
            <w:tcW w:w="939" w:type="pct"/>
            <w:shd w:val="clear" w:color="auto" w:fill="auto"/>
            <w:vAlign w:val="center"/>
            <w:hideMark/>
          </w:tcPr>
          <w:p w14:paraId="1B52CF92" w14:textId="77777777"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Equilibrium / Optimization approach</w:t>
            </w:r>
          </w:p>
        </w:tc>
        <w:tc>
          <w:tcPr>
            <w:tcW w:w="1090" w:type="pct"/>
            <w:shd w:val="clear" w:color="auto" w:fill="auto"/>
            <w:vAlign w:val="center"/>
            <w:hideMark/>
          </w:tcPr>
          <w:p w14:paraId="52F1DE24" w14:textId="348B5DCD" w:rsidR="008C5531" w:rsidRPr="00611C65" w:rsidRDefault="008C5531" w:rsidP="008C5531">
            <w:pPr>
              <w:spacing w:after="0" w:line="240" w:lineRule="auto"/>
              <w:rPr>
                <w:rFonts w:eastAsia="Times New Roman" w:cstheme="minorHAnsi"/>
                <w:sz w:val="18"/>
                <w:szCs w:val="18"/>
                <w:lang w:eastAsia="de-CH"/>
              </w:rPr>
            </w:pPr>
            <w:r w:rsidRPr="00611C65">
              <w:rPr>
                <w:rFonts w:eastAsia="Times New Roman" w:cstheme="minorHAnsi"/>
                <w:sz w:val="18"/>
                <w:szCs w:val="18"/>
                <w:lang w:eastAsia="de-CH"/>
              </w:rPr>
              <w:t>Macroeconomic sectors (</w:t>
            </w:r>
            <w:r w:rsidR="009A494A" w:rsidRPr="00611C65">
              <w:rPr>
                <w:rFonts w:eastAsia="Times New Roman" w:cstheme="minorHAnsi"/>
                <w:sz w:val="18"/>
                <w:szCs w:val="18"/>
                <w:lang w:eastAsia="de-CH"/>
              </w:rPr>
              <w:t>top</w:t>
            </w:r>
            <w:r w:rsidRPr="00611C65">
              <w:rPr>
                <w:rFonts w:eastAsia="Times New Roman" w:cstheme="minorHAnsi"/>
                <w:sz w:val="18"/>
                <w:szCs w:val="18"/>
                <w:lang w:eastAsia="de-CH"/>
              </w:rPr>
              <w:t xml:space="preserve">-down representation of the energy sector). </w:t>
            </w:r>
          </w:p>
        </w:tc>
      </w:tr>
    </w:tbl>
    <w:p w14:paraId="7C83927E" w14:textId="77777777" w:rsidR="008C5531" w:rsidRPr="00611C65" w:rsidRDefault="008C5531" w:rsidP="008C5531">
      <w:pPr>
        <w:autoSpaceDE w:val="0"/>
        <w:autoSpaceDN w:val="0"/>
        <w:adjustRightInd w:val="0"/>
        <w:spacing w:after="0"/>
        <w:rPr>
          <w:rFonts w:ascii="Calibri" w:hAnsi="Calibri" w:cs="Calibri"/>
        </w:rPr>
      </w:pPr>
    </w:p>
    <w:p w14:paraId="71CBB3B3" w14:textId="5A86CA94" w:rsidR="005671F8" w:rsidRPr="00611C65" w:rsidRDefault="00182138" w:rsidP="00D004BD">
      <w:pPr>
        <w:autoSpaceDE w:val="0"/>
        <w:autoSpaceDN w:val="0"/>
        <w:adjustRightInd w:val="0"/>
        <w:spacing w:after="0"/>
      </w:pPr>
      <w:r w:rsidRPr="00611C65">
        <w:t>T</w:t>
      </w:r>
      <w:r w:rsidR="00570D44" w:rsidRPr="00611C65">
        <w:t xml:space="preserve">able </w:t>
      </w:r>
      <w:r w:rsidRPr="00611C65">
        <w:t xml:space="preserve">3 </w:t>
      </w:r>
      <w:r w:rsidR="00570D44" w:rsidRPr="00611C65">
        <w:t xml:space="preserve">displays the achieved results of the different models for the key policy indicators used in this study, including emissions of the power sector (or the entire economy if </w:t>
      </w:r>
      <w:r w:rsidR="0053072D" w:rsidRPr="00611C65">
        <w:t xml:space="preserve">indicated </w:t>
      </w:r>
      <w:r w:rsidR="00F5482A" w:rsidRPr="00611C65">
        <w:t xml:space="preserve">in </w:t>
      </w:r>
      <w:r w:rsidRPr="00611C65">
        <w:t>T</w:t>
      </w:r>
      <w:r w:rsidR="00F5482A" w:rsidRPr="00611C65">
        <w:t xml:space="preserve">able </w:t>
      </w:r>
      <w:r w:rsidRPr="00611C65">
        <w:t xml:space="preserve">3 </w:t>
      </w:r>
      <w:r w:rsidR="0053072D" w:rsidRPr="00611C65">
        <w:t xml:space="preserve">when </w:t>
      </w:r>
      <w:r w:rsidR="00570D44" w:rsidRPr="00611C65">
        <w:t>power emissions were not indicated</w:t>
      </w:r>
      <w:r w:rsidR="00D004BD" w:rsidRPr="00611C65">
        <w:t xml:space="preserve"> in the study</w:t>
      </w:r>
      <w:r w:rsidR="00570D44" w:rsidRPr="00611C65">
        <w:t xml:space="preserve">), unemployed, induced employment in the power sector, real GDP, power system costs and avg. price level. When no quantitative </w:t>
      </w:r>
      <w:r w:rsidR="00D004BD" w:rsidRPr="00611C65">
        <w:t>number</w:t>
      </w:r>
      <w:r w:rsidR="00570D44" w:rsidRPr="00611C65">
        <w:t xml:space="preserve"> </w:t>
      </w:r>
      <w:r w:rsidR="00D004BD" w:rsidRPr="00611C65">
        <w:t>is</w:t>
      </w:r>
      <w:r w:rsidR="00570D44" w:rsidRPr="00611C65">
        <w:t xml:space="preserve"> reported, this means that there were no numbers indicated in the consulted study and no entry means that there were no indications on the changes of the policy indicator. </w:t>
      </w:r>
    </w:p>
    <w:p w14:paraId="1C47043E" w14:textId="77777777" w:rsidR="00D004BD" w:rsidRPr="00611C65" w:rsidRDefault="00D004BD" w:rsidP="00521230">
      <w:pPr>
        <w:autoSpaceDE w:val="0"/>
        <w:autoSpaceDN w:val="0"/>
        <w:adjustRightInd w:val="0"/>
        <w:spacing w:after="0"/>
      </w:pPr>
    </w:p>
    <w:p w14:paraId="621072BE" w14:textId="796AB39F" w:rsidR="008C5531" w:rsidRPr="00611C65" w:rsidRDefault="008C5531" w:rsidP="00521230">
      <w:pPr>
        <w:pStyle w:val="Caption"/>
        <w:keepNext/>
        <w:rPr>
          <w:sz w:val="18"/>
        </w:rPr>
      </w:pPr>
      <w:r w:rsidRPr="00611C65">
        <w:rPr>
          <w:sz w:val="18"/>
        </w:rPr>
        <w:t>Table</w:t>
      </w:r>
      <w:r w:rsidR="002A7D5C" w:rsidRPr="00611C65">
        <w:rPr>
          <w:sz w:val="18"/>
        </w:rPr>
        <w:t xml:space="preserve"> 3</w:t>
      </w:r>
      <w:r w:rsidRPr="00611C65">
        <w:rPr>
          <w:sz w:val="18"/>
        </w:rPr>
        <w:t>: Comparison of model results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1558"/>
        <w:gridCol w:w="1700"/>
        <w:gridCol w:w="819"/>
        <w:gridCol w:w="819"/>
        <w:gridCol w:w="819"/>
        <w:gridCol w:w="819"/>
        <w:gridCol w:w="819"/>
        <w:gridCol w:w="817"/>
      </w:tblGrid>
      <w:tr w:rsidR="00611C65" w:rsidRPr="00611C65" w14:paraId="338015D2" w14:textId="77777777" w:rsidTr="00521230">
        <w:trPr>
          <w:trHeight w:val="570"/>
        </w:trPr>
        <w:tc>
          <w:tcPr>
            <w:tcW w:w="469" w:type="pct"/>
            <w:shd w:val="clear" w:color="A5A5A5" w:fill="A5A5A5"/>
            <w:noWrap/>
            <w:vAlign w:val="center"/>
            <w:hideMark/>
          </w:tcPr>
          <w:p w14:paraId="699FA3F5"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Model</w:t>
            </w:r>
          </w:p>
        </w:tc>
        <w:tc>
          <w:tcPr>
            <w:tcW w:w="864" w:type="pct"/>
            <w:shd w:val="clear" w:color="A5A5A5" w:fill="A5A5A5"/>
            <w:vAlign w:val="center"/>
            <w:hideMark/>
          </w:tcPr>
          <w:p w14:paraId="2C61D6D5" w14:textId="0D79CBC2" w:rsidR="008C5531" w:rsidRPr="00611C65" w:rsidRDefault="009A494A"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Energy</w:t>
            </w:r>
            <w:r w:rsidR="008C5531" w:rsidRPr="00611C65">
              <w:rPr>
                <w:rFonts w:ascii="Calibri" w:eastAsia="Times New Roman" w:hAnsi="Calibri" w:cs="Calibri"/>
                <w:b/>
                <w:bCs/>
                <w:sz w:val="15"/>
                <w:szCs w:val="15"/>
                <w:lang w:eastAsia="de-CH"/>
              </w:rPr>
              <w:t xml:space="preserve"> scenario or polic</w:t>
            </w:r>
            <w:r w:rsidR="00A56B6C" w:rsidRPr="00611C65">
              <w:rPr>
                <w:rFonts w:ascii="Calibri" w:eastAsia="Times New Roman" w:hAnsi="Calibri" w:cs="Calibri"/>
                <w:b/>
                <w:bCs/>
                <w:sz w:val="15"/>
                <w:szCs w:val="15"/>
                <w:lang w:eastAsia="de-CH"/>
              </w:rPr>
              <w:t>y</w:t>
            </w:r>
          </w:p>
        </w:tc>
        <w:tc>
          <w:tcPr>
            <w:tcW w:w="943" w:type="pct"/>
            <w:shd w:val="clear" w:color="A5A5A5" w:fill="A5A5A5"/>
            <w:vAlign w:val="center"/>
            <w:hideMark/>
          </w:tcPr>
          <w:p w14:paraId="407B6147"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Reference case</w:t>
            </w:r>
          </w:p>
        </w:tc>
        <w:tc>
          <w:tcPr>
            <w:tcW w:w="454" w:type="pct"/>
            <w:shd w:val="clear" w:color="A5A5A5" w:fill="A5A5A5"/>
            <w:vAlign w:val="center"/>
            <w:hideMark/>
          </w:tcPr>
          <w:p w14:paraId="584FA799" w14:textId="3F5E515C" w:rsidR="008C5531" w:rsidRPr="00611C65" w:rsidRDefault="008C5531"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 xml:space="preserve">Emissions </w:t>
            </w:r>
            <w:r w:rsidR="00A56B6C" w:rsidRPr="00611C65">
              <w:rPr>
                <w:rFonts w:ascii="Calibri" w:eastAsia="Times New Roman" w:hAnsi="Calibri" w:cs="Calibri"/>
                <w:b/>
                <w:bCs/>
                <w:sz w:val="15"/>
                <w:szCs w:val="15"/>
                <w:lang w:eastAsia="de-CH"/>
              </w:rPr>
              <w:t>-</w:t>
            </w:r>
            <w:r w:rsidRPr="00611C65">
              <w:rPr>
                <w:rFonts w:ascii="Calibri" w:eastAsia="Times New Roman" w:hAnsi="Calibri" w:cs="Calibri"/>
                <w:b/>
                <w:bCs/>
                <w:sz w:val="15"/>
                <w:szCs w:val="15"/>
                <w:lang w:eastAsia="de-CH"/>
              </w:rPr>
              <w:t xml:space="preserve">power </w:t>
            </w:r>
            <w:r w:rsidR="00A56B6C" w:rsidRPr="00611C65">
              <w:rPr>
                <w:rFonts w:ascii="Calibri" w:eastAsia="Times New Roman" w:hAnsi="Calibri" w:cs="Calibri"/>
                <w:b/>
                <w:bCs/>
                <w:sz w:val="15"/>
                <w:szCs w:val="15"/>
                <w:lang w:eastAsia="de-CH"/>
              </w:rPr>
              <w:t>sector</w:t>
            </w:r>
          </w:p>
        </w:tc>
        <w:tc>
          <w:tcPr>
            <w:tcW w:w="454" w:type="pct"/>
            <w:shd w:val="clear" w:color="A5A5A5" w:fill="A5A5A5"/>
            <w:vAlign w:val="center"/>
            <w:hideMark/>
          </w:tcPr>
          <w:p w14:paraId="02DD8B60" w14:textId="77777777" w:rsidR="008C5531" w:rsidRPr="00611C65" w:rsidRDefault="008C5531"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 xml:space="preserve">Unemployed </w:t>
            </w:r>
          </w:p>
        </w:tc>
        <w:tc>
          <w:tcPr>
            <w:tcW w:w="454" w:type="pct"/>
            <w:shd w:val="clear" w:color="A5A5A5" w:fill="A5A5A5"/>
            <w:vAlign w:val="center"/>
            <w:hideMark/>
          </w:tcPr>
          <w:p w14:paraId="08389FD8" w14:textId="77777777" w:rsidR="008C5531" w:rsidRPr="00611C65" w:rsidRDefault="008C5531"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Real GDP</w:t>
            </w:r>
          </w:p>
        </w:tc>
        <w:tc>
          <w:tcPr>
            <w:tcW w:w="454" w:type="pct"/>
            <w:shd w:val="clear" w:color="A5A5A5" w:fill="A5A5A5"/>
            <w:vAlign w:val="center"/>
            <w:hideMark/>
          </w:tcPr>
          <w:p w14:paraId="7F58DD43" w14:textId="47BB6EB9" w:rsidR="008C5531" w:rsidRPr="00611C65" w:rsidRDefault="00A56B6C"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Power</w:t>
            </w:r>
            <w:r w:rsidR="008C5531" w:rsidRPr="00611C65">
              <w:rPr>
                <w:rFonts w:ascii="Calibri" w:eastAsia="Times New Roman" w:hAnsi="Calibri" w:cs="Calibri"/>
                <w:b/>
                <w:bCs/>
                <w:sz w:val="15"/>
                <w:szCs w:val="15"/>
                <w:lang w:eastAsia="de-CH"/>
              </w:rPr>
              <w:t xml:space="preserve"> system costs</w:t>
            </w:r>
          </w:p>
        </w:tc>
        <w:tc>
          <w:tcPr>
            <w:tcW w:w="454" w:type="pct"/>
            <w:shd w:val="clear" w:color="A5A5A5" w:fill="A5A5A5"/>
            <w:vAlign w:val="center"/>
            <w:hideMark/>
          </w:tcPr>
          <w:p w14:paraId="0F2D423A" w14:textId="47D885DB" w:rsidR="008C5531" w:rsidRPr="00611C65" w:rsidRDefault="00A56B6C"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Direct employment</w:t>
            </w:r>
          </w:p>
        </w:tc>
        <w:tc>
          <w:tcPr>
            <w:tcW w:w="453" w:type="pct"/>
            <w:shd w:val="clear" w:color="A5A5A5" w:fill="A5A5A5"/>
            <w:vAlign w:val="center"/>
            <w:hideMark/>
          </w:tcPr>
          <w:p w14:paraId="56526F2E" w14:textId="77777777" w:rsidR="008C5531" w:rsidRPr="00611C65" w:rsidRDefault="008C5531" w:rsidP="00521230">
            <w:pPr>
              <w:spacing w:after="0" w:line="240" w:lineRule="auto"/>
              <w:jc w:val="left"/>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Avg. Price level</w:t>
            </w:r>
          </w:p>
        </w:tc>
      </w:tr>
      <w:tr w:rsidR="00611C65" w:rsidRPr="00611C65" w14:paraId="0492C681" w14:textId="77777777" w:rsidTr="00521230">
        <w:trPr>
          <w:trHeight w:val="290"/>
        </w:trPr>
        <w:tc>
          <w:tcPr>
            <w:tcW w:w="469" w:type="pct"/>
            <w:shd w:val="clear" w:color="EDEDED" w:fill="EDEDED"/>
            <w:vAlign w:val="center"/>
            <w:hideMark/>
          </w:tcPr>
          <w:p w14:paraId="53D1F886"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GIBM</w:t>
            </w:r>
          </w:p>
        </w:tc>
        <w:tc>
          <w:tcPr>
            <w:tcW w:w="864" w:type="pct"/>
            <w:shd w:val="clear" w:color="EDEDED" w:fill="EDEDED"/>
            <w:noWrap/>
            <w:vAlign w:val="center"/>
            <w:hideMark/>
          </w:tcPr>
          <w:p w14:paraId="39380159" w14:textId="148A8F72"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Medium </w:t>
            </w:r>
            <w:r w:rsidR="006A617F" w:rsidRPr="00611C65">
              <w:rPr>
                <w:rFonts w:ascii="Calibri" w:eastAsia="Times New Roman" w:hAnsi="Calibri" w:cs="Calibri"/>
                <w:sz w:val="15"/>
                <w:szCs w:val="15"/>
                <w:lang w:eastAsia="de-CH"/>
              </w:rPr>
              <w:t>electricity</w:t>
            </w:r>
            <w:r w:rsidRPr="00611C65">
              <w:rPr>
                <w:rFonts w:ascii="Calibri" w:eastAsia="Times New Roman" w:hAnsi="Calibri" w:cs="Calibri"/>
                <w:sz w:val="15"/>
                <w:szCs w:val="15"/>
                <w:lang w:eastAsia="de-CH"/>
              </w:rPr>
              <w:t xml:space="preserve"> transition scenario</w:t>
            </w:r>
          </w:p>
        </w:tc>
        <w:tc>
          <w:tcPr>
            <w:tcW w:w="943" w:type="pct"/>
            <w:shd w:val="clear" w:color="EDEDED" w:fill="EDEDED"/>
            <w:noWrap/>
            <w:vAlign w:val="center"/>
            <w:hideMark/>
          </w:tcPr>
          <w:p w14:paraId="349896EA"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No major policy scheme implemented; but introduced &amp; expected CO2 prices in the UK are considered.  </w:t>
            </w:r>
          </w:p>
        </w:tc>
        <w:tc>
          <w:tcPr>
            <w:tcW w:w="454" w:type="pct"/>
            <w:shd w:val="clear" w:color="EDEDED" w:fill="EDEDED"/>
            <w:noWrap/>
            <w:vAlign w:val="center"/>
            <w:hideMark/>
          </w:tcPr>
          <w:p w14:paraId="5CE251D8" w14:textId="45849D1B"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-100</w:t>
            </w:r>
          </w:p>
        </w:tc>
        <w:tc>
          <w:tcPr>
            <w:tcW w:w="454" w:type="pct"/>
            <w:shd w:val="clear" w:color="EDEDED" w:fill="EDEDED"/>
            <w:noWrap/>
            <w:vAlign w:val="center"/>
            <w:hideMark/>
          </w:tcPr>
          <w:p w14:paraId="716AA634"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0.02</w:t>
            </w:r>
          </w:p>
        </w:tc>
        <w:tc>
          <w:tcPr>
            <w:tcW w:w="454" w:type="pct"/>
            <w:shd w:val="clear" w:color="EDEDED" w:fill="EDEDED"/>
            <w:noWrap/>
            <w:vAlign w:val="center"/>
            <w:hideMark/>
          </w:tcPr>
          <w:p w14:paraId="237717D2"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-32</w:t>
            </w:r>
          </w:p>
        </w:tc>
        <w:tc>
          <w:tcPr>
            <w:tcW w:w="454" w:type="pct"/>
            <w:shd w:val="clear" w:color="EDEDED" w:fill="EDEDED"/>
            <w:noWrap/>
            <w:vAlign w:val="center"/>
            <w:hideMark/>
          </w:tcPr>
          <w:p w14:paraId="2AD9A1BE"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26</w:t>
            </w:r>
          </w:p>
        </w:tc>
        <w:tc>
          <w:tcPr>
            <w:tcW w:w="454" w:type="pct"/>
            <w:shd w:val="clear" w:color="EDEDED" w:fill="EDEDED"/>
            <w:noWrap/>
            <w:vAlign w:val="center"/>
            <w:hideMark/>
          </w:tcPr>
          <w:p w14:paraId="7A1EB050"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42</w:t>
            </w:r>
          </w:p>
        </w:tc>
        <w:tc>
          <w:tcPr>
            <w:tcW w:w="453" w:type="pct"/>
            <w:shd w:val="clear" w:color="EDEDED" w:fill="EDEDED"/>
            <w:noWrap/>
            <w:vAlign w:val="center"/>
            <w:hideMark/>
          </w:tcPr>
          <w:p w14:paraId="065EF968"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16</w:t>
            </w:r>
          </w:p>
        </w:tc>
      </w:tr>
      <w:tr w:rsidR="00611C65" w:rsidRPr="00611C65" w14:paraId="04AF1875" w14:textId="77777777" w:rsidTr="00521230">
        <w:trPr>
          <w:trHeight w:val="870"/>
        </w:trPr>
        <w:tc>
          <w:tcPr>
            <w:tcW w:w="469" w:type="pct"/>
            <w:shd w:val="clear" w:color="auto" w:fill="auto"/>
            <w:vAlign w:val="center"/>
            <w:hideMark/>
          </w:tcPr>
          <w:p w14:paraId="0DD5ED6D"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E3ME</w:t>
            </w:r>
          </w:p>
        </w:tc>
        <w:tc>
          <w:tcPr>
            <w:tcW w:w="864" w:type="pct"/>
            <w:shd w:val="clear" w:color="auto" w:fill="auto"/>
            <w:vAlign w:val="center"/>
            <w:hideMark/>
          </w:tcPr>
          <w:p w14:paraId="630228AA" w14:textId="77777777" w:rsidR="008C5531" w:rsidRPr="00611C65" w:rsidRDefault="00611C65" w:rsidP="00521230">
            <w:pPr>
              <w:spacing w:after="0" w:line="240" w:lineRule="auto"/>
              <w:jc w:val="left"/>
              <w:rPr>
                <w:rFonts w:ascii="Calibri" w:eastAsia="Times New Roman" w:hAnsi="Calibri" w:cs="Calibri"/>
                <w:sz w:val="15"/>
                <w:szCs w:val="15"/>
                <w:lang w:eastAsia="de-CH"/>
              </w:rPr>
            </w:pPr>
            <w:hyperlink r:id="rId18" w:anchor="RANGE!A25" w:history="1">
              <w:proofErr w:type="spellStart"/>
              <w:r w:rsidR="008C5531" w:rsidRPr="00611C65">
                <w:rPr>
                  <w:rFonts w:ascii="Calibri" w:eastAsia="Times New Roman" w:hAnsi="Calibri" w:cs="Calibri"/>
                  <w:sz w:val="15"/>
                  <w:szCs w:val="15"/>
                  <w:lang w:eastAsia="de-CH"/>
                </w:rPr>
                <w:t>REmap</w:t>
              </w:r>
              <w:proofErr w:type="spellEnd"/>
              <w:r w:rsidR="008C5531" w:rsidRPr="00611C65">
                <w:rPr>
                  <w:rFonts w:ascii="Calibri" w:eastAsia="Times New Roman" w:hAnsi="Calibri" w:cs="Calibri"/>
                  <w:sz w:val="15"/>
                  <w:szCs w:val="15"/>
                  <w:lang w:eastAsia="de-CH"/>
                </w:rPr>
                <w:t xml:space="preserve"> Electrification scenario (</w:t>
              </w:r>
              <w:proofErr w:type="spellStart"/>
              <w:r w:rsidR="008C5531" w:rsidRPr="00611C65">
                <w:rPr>
                  <w:rFonts w:ascii="Calibri" w:eastAsia="Times New Roman" w:hAnsi="Calibri" w:cs="Calibri"/>
                  <w:sz w:val="15"/>
                  <w:szCs w:val="15"/>
                  <w:lang w:eastAsia="de-CH"/>
                </w:rPr>
                <w:t>RemapE</w:t>
              </w:r>
              <w:proofErr w:type="spellEnd"/>
              <w:r w:rsidR="008C5531" w:rsidRPr="00611C65">
                <w:rPr>
                  <w:rFonts w:ascii="Calibri" w:eastAsia="Times New Roman" w:hAnsi="Calibri" w:cs="Calibri"/>
                  <w:sz w:val="15"/>
                  <w:szCs w:val="15"/>
                  <w:lang w:eastAsia="de-CH"/>
                </w:rPr>
                <w:t>): Increase in investments to expand the renewable energy sector.</w:t>
              </w:r>
            </w:hyperlink>
          </w:p>
        </w:tc>
        <w:tc>
          <w:tcPr>
            <w:tcW w:w="943" w:type="pct"/>
            <w:shd w:val="clear" w:color="auto" w:fill="auto"/>
            <w:vAlign w:val="center"/>
            <w:hideMark/>
          </w:tcPr>
          <w:p w14:paraId="64DEF93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Implemented and planned polices, leading to a warming of 2.6 Degree globally.</w:t>
            </w:r>
          </w:p>
        </w:tc>
        <w:tc>
          <w:tcPr>
            <w:tcW w:w="454" w:type="pct"/>
            <w:shd w:val="clear" w:color="auto" w:fill="auto"/>
            <w:vAlign w:val="center"/>
            <w:hideMark/>
          </w:tcPr>
          <w:p w14:paraId="590ABB2B"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-15.7</w:t>
            </w:r>
          </w:p>
        </w:tc>
        <w:tc>
          <w:tcPr>
            <w:tcW w:w="454" w:type="pct"/>
            <w:shd w:val="clear" w:color="auto" w:fill="auto"/>
            <w:vAlign w:val="center"/>
            <w:hideMark/>
          </w:tcPr>
          <w:p w14:paraId="0BBB4FD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-0.2</w:t>
            </w:r>
          </w:p>
        </w:tc>
        <w:tc>
          <w:tcPr>
            <w:tcW w:w="454" w:type="pct"/>
            <w:shd w:val="clear" w:color="auto" w:fill="auto"/>
            <w:vAlign w:val="center"/>
            <w:hideMark/>
          </w:tcPr>
          <w:p w14:paraId="2BF1CDAF"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1.1</w:t>
            </w:r>
          </w:p>
        </w:tc>
        <w:tc>
          <w:tcPr>
            <w:tcW w:w="454" w:type="pct"/>
            <w:shd w:val="clear" w:color="auto" w:fill="auto"/>
            <w:vAlign w:val="center"/>
            <w:hideMark/>
          </w:tcPr>
          <w:p w14:paraId="766C745C"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Not indicated</w:t>
            </w:r>
          </w:p>
        </w:tc>
        <w:tc>
          <w:tcPr>
            <w:tcW w:w="454" w:type="pct"/>
            <w:shd w:val="clear" w:color="auto" w:fill="auto"/>
            <w:vAlign w:val="center"/>
            <w:hideMark/>
          </w:tcPr>
          <w:p w14:paraId="39B8D9B2"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+ 69 (incl. indirect generated employment in the renewable energy sector). </w:t>
            </w:r>
          </w:p>
        </w:tc>
        <w:tc>
          <w:tcPr>
            <w:tcW w:w="453" w:type="pct"/>
            <w:shd w:val="clear" w:color="auto" w:fill="auto"/>
            <w:vAlign w:val="center"/>
            <w:hideMark/>
          </w:tcPr>
          <w:p w14:paraId="03844747"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r>
      <w:tr w:rsidR="00611C65" w:rsidRPr="00611C65" w14:paraId="06CD19A3" w14:textId="77777777" w:rsidTr="00521230">
        <w:trPr>
          <w:trHeight w:val="2170"/>
        </w:trPr>
        <w:tc>
          <w:tcPr>
            <w:tcW w:w="469" w:type="pct"/>
            <w:shd w:val="clear" w:color="EDEDED" w:fill="EDEDED"/>
            <w:vAlign w:val="center"/>
            <w:hideMark/>
          </w:tcPr>
          <w:p w14:paraId="4C49F3AE"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PANTA RHEI/GINFORS</w:t>
            </w:r>
          </w:p>
        </w:tc>
        <w:tc>
          <w:tcPr>
            <w:tcW w:w="864" w:type="pct"/>
            <w:shd w:val="clear" w:color="EDEDED" w:fill="EDEDED"/>
            <w:vAlign w:val="center"/>
            <w:hideMark/>
          </w:tcPr>
          <w:p w14:paraId="4C16365F"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The Transition scenario includes </w:t>
            </w:r>
          </w:p>
          <w:p w14:paraId="0B30C464"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an expansion of renewable energy and improvements in energy efficiency. </w:t>
            </w:r>
          </w:p>
        </w:tc>
        <w:tc>
          <w:tcPr>
            <w:tcW w:w="943" w:type="pct"/>
            <w:shd w:val="clear" w:color="EDEDED" w:fill="EDEDED"/>
            <w:vAlign w:val="center"/>
            <w:hideMark/>
          </w:tcPr>
          <w:p w14:paraId="68EAD6B0"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Based on the assumptions given in the “Energy Scenarios 2010”. </w:t>
            </w:r>
          </w:p>
        </w:tc>
        <w:tc>
          <w:tcPr>
            <w:tcW w:w="454" w:type="pct"/>
            <w:shd w:val="clear" w:color="EDEDED" w:fill="EDEDED"/>
            <w:noWrap/>
            <w:vAlign w:val="center"/>
            <w:hideMark/>
          </w:tcPr>
          <w:p w14:paraId="143B1E2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-80 to -95</w:t>
            </w:r>
          </w:p>
        </w:tc>
        <w:tc>
          <w:tcPr>
            <w:tcW w:w="454" w:type="pct"/>
            <w:shd w:val="clear" w:color="EDEDED" w:fill="EDEDED"/>
            <w:noWrap/>
            <w:vAlign w:val="center"/>
            <w:hideMark/>
          </w:tcPr>
          <w:p w14:paraId="3B001CC0"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-1.23</w:t>
            </w:r>
          </w:p>
        </w:tc>
        <w:tc>
          <w:tcPr>
            <w:tcW w:w="454" w:type="pct"/>
            <w:shd w:val="clear" w:color="EDEDED" w:fill="EDEDED"/>
            <w:noWrap/>
            <w:vAlign w:val="center"/>
            <w:hideMark/>
          </w:tcPr>
          <w:p w14:paraId="0E5BCB2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0.1</w:t>
            </w:r>
          </w:p>
        </w:tc>
        <w:tc>
          <w:tcPr>
            <w:tcW w:w="454" w:type="pct"/>
            <w:shd w:val="clear" w:color="EDEDED" w:fill="EDEDED"/>
            <w:noWrap/>
            <w:vAlign w:val="center"/>
            <w:hideMark/>
          </w:tcPr>
          <w:p w14:paraId="728CF24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4" w:type="pct"/>
            <w:shd w:val="clear" w:color="EDEDED" w:fill="EDEDED"/>
            <w:noWrap/>
            <w:vAlign w:val="center"/>
            <w:hideMark/>
          </w:tcPr>
          <w:p w14:paraId="24386617"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3" w:type="pct"/>
            <w:shd w:val="clear" w:color="EDEDED" w:fill="EDEDED"/>
            <w:vAlign w:val="center"/>
            <w:hideMark/>
          </w:tcPr>
          <w:p w14:paraId="22B14C69"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0.35 (cost of living)</w:t>
            </w:r>
          </w:p>
        </w:tc>
      </w:tr>
      <w:tr w:rsidR="00611C65" w:rsidRPr="00611C65" w14:paraId="7AAF0032" w14:textId="77777777" w:rsidTr="00521230">
        <w:trPr>
          <w:trHeight w:val="290"/>
        </w:trPr>
        <w:tc>
          <w:tcPr>
            <w:tcW w:w="469" w:type="pct"/>
            <w:shd w:val="clear" w:color="auto" w:fill="auto"/>
            <w:vAlign w:val="center"/>
            <w:hideMark/>
          </w:tcPr>
          <w:p w14:paraId="055D2C41"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MEDEAS</w:t>
            </w:r>
          </w:p>
        </w:tc>
        <w:tc>
          <w:tcPr>
            <w:tcW w:w="864" w:type="pct"/>
            <w:shd w:val="clear" w:color="auto" w:fill="auto"/>
            <w:noWrap/>
            <w:vAlign w:val="center"/>
            <w:hideMark/>
          </w:tcPr>
          <w:p w14:paraId="62776944"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Energy Roadmap: EUCO+27</w:t>
            </w:r>
          </w:p>
        </w:tc>
        <w:tc>
          <w:tcPr>
            <w:tcW w:w="943" w:type="pct"/>
            <w:shd w:val="clear" w:color="auto" w:fill="auto"/>
            <w:noWrap/>
            <w:vAlign w:val="center"/>
            <w:hideMark/>
          </w:tcPr>
          <w:p w14:paraId="1A0E43A0"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The Base-run assumes no energy constraints and is based on past trends. </w:t>
            </w:r>
          </w:p>
        </w:tc>
        <w:tc>
          <w:tcPr>
            <w:tcW w:w="454" w:type="pct"/>
            <w:shd w:val="clear" w:color="auto" w:fill="auto"/>
            <w:noWrap/>
            <w:vAlign w:val="center"/>
            <w:hideMark/>
          </w:tcPr>
          <w:p w14:paraId="30451683" w14:textId="70B72EED"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- 47.2 (economy)</w:t>
            </w:r>
          </w:p>
        </w:tc>
        <w:tc>
          <w:tcPr>
            <w:tcW w:w="454" w:type="pct"/>
            <w:shd w:val="clear" w:color="auto" w:fill="auto"/>
            <w:noWrap/>
            <w:vAlign w:val="center"/>
            <w:hideMark/>
          </w:tcPr>
          <w:p w14:paraId="657D5AB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43.1</w:t>
            </w:r>
          </w:p>
        </w:tc>
        <w:tc>
          <w:tcPr>
            <w:tcW w:w="454" w:type="pct"/>
            <w:shd w:val="clear" w:color="auto" w:fill="auto"/>
            <w:noWrap/>
            <w:vAlign w:val="center"/>
            <w:hideMark/>
          </w:tcPr>
          <w:p w14:paraId="150DB7A9"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-58.7</w:t>
            </w:r>
          </w:p>
        </w:tc>
        <w:tc>
          <w:tcPr>
            <w:tcW w:w="454" w:type="pct"/>
            <w:shd w:val="clear" w:color="auto" w:fill="auto"/>
            <w:noWrap/>
            <w:vAlign w:val="center"/>
            <w:hideMark/>
          </w:tcPr>
          <w:p w14:paraId="4A4B8312"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4" w:type="pct"/>
            <w:shd w:val="clear" w:color="auto" w:fill="auto"/>
            <w:noWrap/>
            <w:vAlign w:val="center"/>
            <w:hideMark/>
          </w:tcPr>
          <w:p w14:paraId="4DF0179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3" w:type="pct"/>
            <w:shd w:val="clear" w:color="auto" w:fill="auto"/>
            <w:noWrap/>
            <w:vAlign w:val="center"/>
            <w:hideMark/>
          </w:tcPr>
          <w:p w14:paraId="0EC6C638"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r>
      <w:tr w:rsidR="00611C65" w:rsidRPr="00611C65" w14:paraId="7FF4D64E" w14:textId="77777777" w:rsidTr="00521230">
        <w:trPr>
          <w:trHeight w:val="290"/>
        </w:trPr>
        <w:tc>
          <w:tcPr>
            <w:tcW w:w="469" w:type="pct"/>
            <w:shd w:val="clear" w:color="EDEDED" w:fill="EDEDED"/>
            <w:vAlign w:val="center"/>
            <w:hideMark/>
          </w:tcPr>
          <w:p w14:paraId="26A784AA"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Threshold 21/</w:t>
            </w:r>
            <w:proofErr w:type="spellStart"/>
            <w:r w:rsidRPr="00611C65">
              <w:rPr>
                <w:rFonts w:ascii="Calibri" w:eastAsia="Times New Roman" w:hAnsi="Calibri" w:cs="Calibri"/>
                <w:b/>
                <w:bCs/>
                <w:sz w:val="15"/>
                <w:szCs w:val="15"/>
                <w:lang w:eastAsia="de-CH"/>
              </w:rPr>
              <w:t>SDGi</w:t>
            </w:r>
            <w:proofErr w:type="spellEnd"/>
          </w:p>
        </w:tc>
        <w:tc>
          <w:tcPr>
            <w:tcW w:w="864" w:type="pct"/>
            <w:shd w:val="clear" w:color="EDEDED" w:fill="EDEDED"/>
            <w:noWrap/>
            <w:vAlign w:val="center"/>
            <w:hideMark/>
          </w:tcPr>
          <w:p w14:paraId="03992309"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G2 Scenario: Increase the renewable energy in power generation and primary energy consumption to reach targets set in IEA’s BLUE Map scenario. </w:t>
            </w:r>
          </w:p>
        </w:tc>
        <w:tc>
          <w:tcPr>
            <w:tcW w:w="943" w:type="pct"/>
            <w:shd w:val="clear" w:color="EDEDED" w:fill="EDEDED"/>
            <w:noWrap/>
            <w:vAlign w:val="center"/>
            <w:hideMark/>
          </w:tcPr>
          <w:p w14:paraId="24E1C95E"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BAU2 is modelled on the assumption that current trends will continue. BAU2 assume additional investments of 2% of GDP, as is the case with G2, but these are allocated across the economy in a BAU context.</w:t>
            </w:r>
          </w:p>
        </w:tc>
        <w:tc>
          <w:tcPr>
            <w:tcW w:w="454" w:type="pct"/>
            <w:shd w:val="clear" w:color="EDEDED" w:fill="EDEDED"/>
            <w:noWrap/>
            <w:vAlign w:val="center"/>
            <w:hideMark/>
          </w:tcPr>
          <w:p w14:paraId="04F6DE5D" w14:textId="22ADC435" w:rsidR="00111FC9"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-64.09</w:t>
            </w:r>
          </w:p>
        </w:tc>
        <w:tc>
          <w:tcPr>
            <w:tcW w:w="454" w:type="pct"/>
            <w:shd w:val="clear" w:color="EDEDED" w:fill="EDEDED"/>
            <w:noWrap/>
            <w:vAlign w:val="center"/>
            <w:hideMark/>
          </w:tcPr>
          <w:p w14:paraId="0DBD46A4" w14:textId="7F4CFD24"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-2.08</w:t>
            </w:r>
          </w:p>
        </w:tc>
        <w:tc>
          <w:tcPr>
            <w:tcW w:w="454" w:type="pct"/>
            <w:shd w:val="clear" w:color="EDEDED" w:fill="EDEDED"/>
            <w:noWrap/>
            <w:vAlign w:val="center"/>
            <w:hideMark/>
          </w:tcPr>
          <w:p w14:paraId="314BC58A" w14:textId="479850C1"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15.</w:t>
            </w:r>
            <w:r w:rsidR="00A63CC5" w:rsidRPr="00611C65">
              <w:rPr>
                <w:rFonts w:ascii="Calibri" w:eastAsia="Times New Roman" w:hAnsi="Calibri" w:cs="Calibri"/>
                <w:sz w:val="15"/>
                <w:szCs w:val="15"/>
                <w:lang w:eastAsia="de-CH"/>
              </w:rPr>
              <w:t>70</w:t>
            </w:r>
          </w:p>
        </w:tc>
        <w:tc>
          <w:tcPr>
            <w:tcW w:w="454" w:type="pct"/>
            <w:shd w:val="clear" w:color="EDEDED" w:fill="EDEDED"/>
            <w:noWrap/>
            <w:vAlign w:val="center"/>
            <w:hideMark/>
          </w:tcPr>
          <w:p w14:paraId="42E60F4E"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4" w:type="pct"/>
            <w:shd w:val="clear" w:color="EDEDED" w:fill="EDEDED"/>
            <w:noWrap/>
            <w:vAlign w:val="center"/>
            <w:hideMark/>
          </w:tcPr>
          <w:p w14:paraId="0EE60AD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26</w:t>
            </w:r>
          </w:p>
        </w:tc>
        <w:tc>
          <w:tcPr>
            <w:tcW w:w="453" w:type="pct"/>
            <w:shd w:val="clear" w:color="EDEDED" w:fill="EDEDED"/>
            <w:noWrap/>
            <w:vAlign w:val="center"/>
            <w:hideMark/>
          </w:tcPr>
          <w:p w14:paraId="2A39A17C"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Decrease   </w:t>
            </w:r>
          </w:p>
        </w:tc>
      </w:tr>
      <w:tr w:rsidR="00611C65" w:rsidRPr="00611C65" w14:paraId="04E29ADA" w14:textId="77777777" w:rsidTr="00521230">
        <w:trPr>
          <w:trHeight w:val="290"/>
        </w:trPr>
        <w:tc>
          <w:tcPr>
            <w:tcW w:w="469" w:type="pct"/>
            <w:shd w:val="clear" w:color="auto" w:fill="auto"/>
            <w:vAlign w:val="center"/>
            <w:hideMark/>
          </w:tcPr>
          <w:p w14:paraId="6ECE5A61"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EURACE</w:t>
            </w:r>
          </w:p>
        </w:tc>
        <w:tc>
          <w:tcPr>
            <w:tcW w:w="864" w:type="pct"/>
            <w:shd w:val="clear" w:color="auto" w:fill="auto"/>
            <w:noWrap/>
            <w:vAlign w:val="center"/>
            <w:hideMark/>
          </w:tcPr>
          <w:p w14:paraId="7D6E38B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Feed in tariff price scenario</w:t>
            </w:r>
          </w:p>
        </w:tc>
        <w:tc>
          <w:tcPr>
            <w:tcW w:w="943" w:type="pct"/>
            <w:shd w:val="clear" w:color="auto" w:fill="auto"/>
            <w:noWrap/>
            <w:vAlign w:val="center"/>
            <w:hideMark/>
          </w:tcPr>
          <w:p w14:paraId="0883B47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auto" w:fill="auto"/>
            <w:noWrap/>
            <w:vAlign w:val="center"/>
            <w:hideMark/>
          </w:tcPr>
          <w:p w14:paraId="3FAEA17B"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 of the share of renewables of 10%</w:t>
            </w:r>
          </w:p>
        </w:tc>
        <w:tc>
          <w:tcPr>
            <w:tcW w:w="454" w:type="pct"/>
            <w:shd w:val="clear" w:color="auto" w:fill="auto"/>
            <w:noWrap/>
            <w:vAlign w:val="center"/>
            <w:hideMark/>
          </w:tcPr>
          <w:p w14:paraId="2975AF4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-0.267</w:t>
            </w:r>
          </w:p>
        </w:tc>
        <w:tc>
          <w:tcPr>
            <w:tcW w:w="454" w:type="pct"/>
            <w:shd w:val="clear" w:color="auto" w:fill="auto"/>
            <w:noWrap/>
            <w:vAlign w:val="center"/>
            <w:hideMark/>
          </w:tcPr>
          <w:p w14:paraId="22D1BDC3"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4" w:type="pct"/>
            <w:shd w:val="clear" w:color="auto" w:fill="auto"/>
            <w:noWrap/>
            <w:vAlign w:val="center"/>
            <w:hideMark/>
          </w:tcPr>
          <w:p w14:paraId="6369B78E"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4" w:type="pct"/>
            <w:shd w:val="clear" w:color="auto" w:fill="auto"/>
            <w:noWrap/>
            <w:vAlign w:val="center"/>
            <w:hideMark/>
          </w:tcPr>
          <w:p w14:paraId="69B3BAFE"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3" w:type="pct"/>
            <w:shd w:val="clear" w:color="auto" w:fill="auto"/>
            <w:noWrap/>
            <w:vAlign w:val="center"/>
            <w:hideMark/>
          </w:tcPr>
          <w:p w14:paraId="2F199E82"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w:t>
            </w:r>
          </w:p>
        </w:tc>
      </w:tr>
      <w:tr w:rsidR="00611C65" w:rsidRPr="00611C65" w14:paraId="6C2C5E9F" w14:textId="77777777" w:rsidTr="00521230">
        <w:trPr>
          <w:trHeight w:val="290"/>
        </w:trPr>
        <w:tc>
          <w:tcPr>
            <w:tcW w:w="469" w:type="pct"/>
            <w:shd w:val="clear" w:color="EDEDED" w:fill="EDEDED"/>
            <w:vAlign w:val="center"/>
            <w:hideMark/>
          </w:tcPr>
          <w:p w14:paraId="045B4476" w14:textId="77777777" w:rsidR="008C5531" w:rsidRPr="00611C65" w:rsidRDefault="008C5531" w:rsidP="008C5531">
            <w:pPr>
              <w:spacing w:after="0" w:line="240" w:lineRule="auto"/>
              <w:rPr>
                <w:rFonts w:ascii="Calibri" w:eastAsia="Times New Roman" w:hAnsi="Calibri" w:cs="Calibri"/>
                <w:b/>
                <w:bCs/>
                <w:sz w:val="15"/>
                <w:szCs w:val="15"/>
                <w:lang w:eastAsia="de-CH"/>
              </w:rPr>
            </w:pPr>
            <w:proofErr w:type="spellStart"/>
            <w:r w:rsidRPr="00611C65">
              <w:rPr>
                <w:rFonts w:ascii="Calibri" w:eastAsia="Times New Roman" w:hAnsi="Calibri" w:cs="Calibri"/>
                <w:b/>
                <w:bCs/>
                <w:sz w:val="15"/>
                <w:szCs w:val="15"/>
                <w:lang w:eastAsia="de-CH"/>
              </w:rPr>
              <w:t>Eurogreen</w:t>
            </w:r>
            <w:proofErr w:type="spellEnd"/>
          </w:p>
        </w:tc>
        <w:tc>
          <w:tcPr>
            <w:tcW w:w="864" w:type="pct"/>
            <w:shd w:val="clear" w:color="EDEDED" w:fill="EDEDED"/>
            <w:noWrap/>
            <w:vAlign w:val="center"/>
            <w:hideMark/>
          </w:tcPr>
          <w:p w14:paraId="3C5E1D3D" w14:textId="77777777" w:rsidR="008C5531" w:rsidRPr="00611C65" w:rsidRDefault="008C5531" w:rsidP="00521230">
            <w:pPr>
              <w:spacing w:after="0" w:line="240" w:lineRule="auto"/>
              <w:jc w:val="left"/>
              <w:rPr>
                <w:rFonts w:ascii="Calibri" w:eastAsia="Times New Roman" w:hAnsi="Calibri" w:cs="Calibri"/>
                <w:sz w:val="15"/>
                <w:szCs w:val="15"/>
                <w:lang w:eastAsia="de-CH"/>
              </w:rPr>
            </w:pPr>
            <w:proofErr w:type="spellStart"/>
            <w:r w:rsidRPr="00611C65">
              <w:rPr>
                <w:rFonts w:ascii="Calibri" w:eastAsia="Times New Roman" w:hAnsi="Calibri" w:cs="Calibri"/>
                <w:sz w:val="15"/>
                <w:szCs w:val="15"/>
                <w:lang w:eastAsia="de-CH"/>
              </w:rPr>
              <w:t>EnM</w:t>
            </w:r>
            <w:proofErr w:type="spellEnd"/>
            <w:r w:rsidRPr="00611C65">
              <w:rPr>
                <w:rFonts w:ascii="Calibri" w:eastAsia="Times New Roman" w:hAnsi="Calibri" w:cs="Calibri"/>
                <w:sz w:val="15"/>
                <w:szCs w:val="15"/>
                <w:lang w:eastAsia="de-CH"/>
              </w:rPr>
              <w:t xml:space="preserve"> (Energy mix): increases renewable energy sources in production and consumption. </w:t>
            </w:r>
          </w:p>
        </w:tc>
        <w:tc>
          <w:tcPr>
            <w:tcW w:w="943" w:type="pct"/>
            <w:shd w:val="clear" w:color="EDEDED" w:fill="EDEDED"/>
            <w:noWrap/>
            <w:vAlign w:val="center"/>
            <w:hideMark/>
          </w:tcPr>
          <w:p w14:paraId="019473BF"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EDEDED" w:fill="EDEDED"/>
            <w:noWrap/>
            <w:vAlign w:val="center"/>
            <w:hideMark/>
          </w:tcPr>
          <w:p w14:paraId="37291DE9"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50</w:t>
            </w:r>
          </w:p>
        </w:tc>
        <w:tc>
          <w:tcPr>
            <w:tcW w:w="454" w:type="pct"/>
            <w:shd w:val="clear" w:color="EDEDED" w:fill="EDEDED"/>
            <w:noWrap/>
            <w:vAlign w:val="center"/>
            <w:hideMark/>
          </w:tcPr>
          <w:p w14:paraId="3F6D3DFA"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Small decrease </w:t>
            </w:r>
          </w:p>
        </w:tc>
        <w:tc>
          <w:tcPr>
            <w:tcW w:w="454" w:type="pct"/>
            <w:shd w:val="clear" w:color="EDEDED" w:fill="EDEDED"/>
            <w:noWrap/>
            <w:vAlign w:val="center"/>
            <w:hideMark/>
          </w:tcPr>
          <w:p w14:paraId="5CEF65F4"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0</w:t>
            </w:r>
          </w:p>
        </w:tc>
        <w:tc>
          <w:tcPr>
            <w:tcW w:w="454" w:type="pct"/>
            <w:shd w:val="clear" w:color="EDEDED" w:fill="EDEDED"/>
            <w:noWrap/>
            <w:vAlign w:val="center"/>
            <w:hideMark/>
          </w:tcPr>
          <w:p w14:paraId="67271C14"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4" w:type="pct"/>
            <w:shd w:val="clear" w:color="EDEDED" w:fill="EDEDED"/>
            <w:noWrap/>
            <w:vAlign w:val="center"/>
            <w:hideMark/>
          </w:tcPr>
          <w:p w14:paraId="626D0E52"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3" w:type="pct"/>
            <w:shd w:val="clear" w:color="EDEDED" w:fill="EDEDED"/>
            <w:noWrap/>
            <w:vAlign w:val="center"/>
            <w:hideMark/>
          </w:tcPr>
          <w:p w14:paraId="0CCB3E94"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r>
      <w:tr w:rsidR="00611C65" w:rsidRPr="00611C65" w14:paraId="47051448" w14:textId="77777777" w:rsidTr="00521230">
        <w:trPr>
          <w:trHeight w:val="290"/>
        </w:trPr>
        <w:tc>
          <w:tcPr>
            <w:tcW w:w="469" w:type="pct"/>
            <w:shd w:val="clear" w:color="auto" w:fill="auto"/>
            <w:noWrap/>
            <w:vAlign w:val="center"/>
            <w:hideMark/>
          </w:tcPr>
          <w:p w14:paraId="7D36F610"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DSK/ENGAGE</w:t>
            </w:r>
          </w:p>
        </w:tc>
        <w:tc>
          <w:tcPr>
            <w:tcW w:w="864" w:type="pct"/>
            <w:shd w:val="clear" w:color="auto" w:fill="auto"/>
            <w:noWrap/>
            <w:vAlign w:val="center"/>
            <w:hideMark/>
          </w:tcPr>
          <w:p w14:paraId="408AD134" w14:textId="0500D1CD" w:rsidR="008C5531" w:rsidRPr="00611C65" w:rsidRDefault="009A494A"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r w:rsidR="008C5531" w:rsidRPr="00611C65">
              <w:rPr>
                <w:rFonts w:ascii="Calibri" w:eastAsia="Times New Roman" w:hAnsi="Calibri" w:cs="Calibri"/>
                <w:sz w:val="15"/>
                <w:szCs w:val="15"/>
                <w:lang w:eastAsia="de-CH"/>
              </w:rPr>
              <w:t xml:space="preserve"> of </w:t>
            </w:r>
            <w:r w:rsidRPr="00611C65">
              <w:rPr>
                <w:rFonts w:ascii="Calibri" w:eastAsia="Times New Roman" w:hAnsi="Calibri" w:cs="Calibri"/>
                <w:sz w:val="15"/>
                <w:szCs w:val="15"/>
                <w:lang w:eastAsia="de-CH"/>
              </w:rPr>
              <w:t>renewable</w:t>
            </w:r>
          </w:p>
        </w:tc>
        <w:tc>
          <w:tcPr>
            <w:tcW w:w="943" w:type="pct"/>
            <w:shd w:val="clear" w:color="auto" w:fill="auto"/>
            <w:noWrap/>
            <w:vAlign w:val="center"/>
            <w:hideMark/>
          </w:tcPr>
          <w:p w14:paraId="2888887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auto" w:fill="auto"/>
            <w:noWrap/>
            <w:vAlign w:val="center"/>
            <w:hideMark/>
          </w:tcPr>
          <w:p w14:paraId="18E714A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-37</w:t>
            </w:r>
          </w:p>
        </w:tc>
        <w:tc>
          <w:tcPr>
            <w:tcW w:w="454" w:type="pct"/>
            <w:shd w:val="clear" w:color="auto" w:fill="auto"/>
            <w:noWrap/>
            <w:vAlign w:val="center"/>
            <w:hideMark/>
          </w:tcPr>
          <w:p w14:paraId="740FBD4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w:t>
            </w:r>
          </w:p>
        </w:tc>
        <w:tc>
          <w:tcPr>
            <w:tcW w:w="454" w:type="pct"/>
            <w:shd w:val="clear" w:color="auto" w:fill="auto"/>
            <w:noWrap/>
            <w:vAlign w:val="center"/>
            <w:hideMark/>
          </w:tcPr>
          <w:p w14:paraId="1ADC531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4" w:type="pct"/>
            <w:shd w:val="clear" w:color="auto" w:fill="auto"/>
            <w:noWrap/>
            <w:vAlign w:val="center"/>
            <w:hideMark/>
          </w:tcPr>
          <w:p w14:paraId="116D339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4" w:type="pct"/>
            <w:shd w:val="clear" w:color="auto" w:fill="auto"/>
            <w:noWrap/>
            <w:vAlign w:val="center"/>
            <w:hideMark/>
          </w:tcPr>
          <w:p w14:paraId="2561CABB"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3" w:type="pct"/>
            <w:shd w:val="clear" w:color="auto" w:fill="auto"/>
            <w:noWrap/>
            <w:vAlign w:val="center"/>
            <w:hideMark/>
          </w:tcPr>
          <w:p w14:paraId="33AB205B"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r>
      <w:tr w:rsidR="00611C65" w:rsidRPr="00611C65" w14:paraId="4EA97B77" w14:textId="77777777" w:rsidTr="00521230">
        <w:trPr>
          <w:trHeight w:val="1290"/>
        </w:trPr>
        <w:tc>
          <w:tcPr>
            <w:tcW w:w="469" w:type="pct"/>
            <w:shd w:val="clear" w:color="EDEDED" w:fill="EDEDED"/>
            <w:noWrap/>
            <w:vAlign w:val="center"/>
            <w:hideMark/>
          </w:tcPr>
          <w:p w14:paraId="28E7E41A" w14:textId="09445B4B" w:rsidR="008C5531" w:rsidRPr="00611C65" w:rsidRDefault="00611C65" w:rsidP="008C5531">
            <w:pPr>
              <w:spacing w:after="0" w:line="240" w:lineRule="auto"/>
              <w:rPr>
                <w:rFonts w:ascii="Calibri" w:eastAsia="Times New Roman" w:hAnsi="Calibri" w:cs="Calibri"/>
                <w:b/>
                <w:bCs/>
                <w:sz w:val="15"/>
                <w:szCs w:val="15"/>
                <w:lang w:eastAsia="de-CH"/>
              </w:rPr>
            </w:pPr>
            <w:hyperlink r:id="rId19" w:anchor="Tabelle3!A19" w:history="1">
              <w:r w:rsidR="008C5531" w:rsidRPr="00611C65">
                <w:rPr>
                  <w:rFonts w:ascii="Calibri" w:eastAsia="Times New Roman" w:hAnsi="Calibri" w:cs="Calibri"/>
                  <w:b/>
                  <w:bCs/>
                  <w:sz w:val="15"/>
                  <w:szCs w:val="15"/>
                  <w:lang w:eastAsia="de-CH"/>
                </w:rPr>
                <w:t>Naqvi, 201</w:t>
              </w:r>
            </w:hyperlink>
            <w:r w:rsidR="00F50E78" w:rsidRPr="00611C65">
              <w:rPr>
                <w:rFonts w:ascii="Calibri" w:eastAsia="Times New Roman" w:hAnsi="Calibri" w:cs="Calibri"/>
                <w:b/>
                <w:bCs/>
                <w:sz w:val="15"/>
                <w:szCs w:val="15"/>
                <w:lang w:eastAsia="de-CH"/>
              </w:rPr>
              <w:t>8</w:t>
            </w:r>
          </w:p>
        </w:tc>
        <w:tc>
          <w:tcPr>
            <w:tcW w:w="864" w:type="pct"/>
            <w:shd w:val="clear" w:color="EDEDED" w:fill="EDEDED"/>
            <w:noWrap/>
            <w:vAlign w:val="center"/>
            <w:hideMark/>
          </w:tcPr>
          <w:p w14:paraId="63267A08" w14:textId="06D176A7" w:rsidR="008C5531" w:rsidRPr="00611C65" w:rsidRDefault="00F50E78" w:rsidP="00521230">
            <w:pPr>
              <w:spacing w:after="0" w:line="240" w:lineRule="auto"/>
              <w:jc w:val="left"/>
              <w:rPr>
                <w:rFonts w:ascii="Calibri" w:eastAsia="Times New Roman" w:hAnsi="Calibri" w:cs="Calibri"/>
                <w:sz w:val="15"/>
                <w:szCs w:val="15"/>
                <w:lang w:eastAsia="de-CH"/>
              </w:rPr>
            </w:pPr>
            <w:r w:rsidRPr="00611C65">
              <w:rPr>
                <w:sz w:val="15"/>
                <w:szCs w:val="15"/>
              </w:rPr>
              <w:t>Policy where public R&amp;D budget is shifted towards Resource-saving technologies</w:t>
            </w:r>
            <w:r w:rsidR="0053072D" w:rsidRPr="00611C65">
              <w:rPr>
                <w:sz w:val="15"/>
                <w:szCs w:val="15"/>
              </w:rPr>
              <w:t xml:space="preserve"> and resource tax</w:t>
            </w:r>
            <w:r w:rsidR="00B02A20" w:rsidRPr="00611C65">
              <w:rPr>
                <w:sz w:val="15"/>
                <w:szCs w:val="15"/>
              </w:rPr>
              <w:t xml:space="preserve">. </w:t>
            </w:r>
            <w:r w:rsidRPr="00611C65">
              <w:rPr>
                <w:sz w:val="15"/>
                <w:szCs w:val="15"/>
              </w:rPr>
              <w:t xml:space="preserve"> </w:t>
            </w:r>
          </w:p>
        </w:tc>
        <w:tc>
          <w:tcPr>
            <w:tcW w:w="943" w:type="pct"/>
            <w:shd w:val="clear" w:color="EDEDED" w:fill="EDEDED"/>
            <w:noWrap/>
            <w:vAlign w:val="center"/>
            <w:hideMark/>
          </w:tcPr>
          <w:p w14:paraId="562474C6" w14:textId="3201D736" w:rsidR="008C5531" w:rsidRPr="00611C65" w:rsidRDefault="00B02A20"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EDEDED" w:fill="EDEDED"/>
            <w:noWrap/>
            <w:vAlign w:val="center"/>
            <w:hideMark/>
          </w:tcPr>
          <w:p w14:paraId="4FA0B109" w14:textId="3270CAC5" w:rsidR="008C5531" w:rsidRPr="00611C65" w:rsidRDefault="0053072D"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-2.3 (economy)</w:t>
            </w:r>
          </w:p>
        </w:tc>
        <w:tc>
          <w:tcPr>
            <w:tcW w:w="454" w:type="pct"/>
            <w:shd w:val="clear" w:color="EDEDED" w:fill="EDEDED"/>
            <w:noWrap/>
            <w:vAlign w:val="center"/>
            <w:hideMark/>
          </w:tcPr>
          <w:p w14:paraId="62B48FB1" w14:textId="1D3B2FC9" w:rsidR="008C5531" w:rsidRPr="00611C65" w:rsidRDefault="0053072D"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w:t>
            </w:r>
          </w:p>
        </w:tc>
        <w:tc>
          <w:tcPr>
            <w:tcW w:w="454" w:type="pct"/>
            <w:shd w:val="clear" w:color="EDEDED" w:fill="EDEDED"/>
            <w:noWrap/>
            <w:vAlign w:val="center"/>
            <w:hideMark/>
          </w:tcPr>
          <w:p w14:paraId="43F968F2" w14:textId="183669F0" w:rsidR="008C5531" w:rsidRPr="00611C65" w:rsidRDefault="0053072D"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-2.7</w:t>
            </w:r>
          </w:p>
        </w:tc>
        <w:tc>
          <w:tcPr>
            <w:tcW w:w="454" w:type="pct"/>
            <w:shd w:val="clear" w:color="EDEDED" w:fill="EDEDED"/>
            <w:noWrap/>
            <w:vAlign w:val="center"/>
            <w:hideMark/>
          </w:tcPr>
          <w:p w14:paraId="523BD81E" w14:textId="08C5C241" w:rsidR="008C5531" w:rsidRPr="00611C65" w:rsidRDefault="0053072D"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w:t>
            </w:r>
          </w:p>
        </w:tc>
        <w:tc>
          <w:tcPr>
            <w:tcW w:w="454" w:type="pct"/>
            <w:shd w:val="clear" w:color="EDEDED" w:fill="EDEDED"/>
            <w:noWrap/>
            <w:vAlign w:val="center"/>
            <w:hideMark/>
          </w:tcPr>
          <w:p w14:paraId="5CDEC652" w14:textId="7731F691"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w:t>
            </w:r>
            <w:r w:rsidR="0053072D" w:rsidRPr="00611C65">
              <w:rPr>
                <w:rFonts w:ascii="Calibri" w:eastAsia="Times New Roman" w:hAnsi="Calibri" w:cs="Calibri"/>
                <w:sz w:val="15"/>
                <w:szCs w:val="15"/>
                <w:lang w:eastAsia="de-CH"/>
              </w:rPr>
              <w:t xml:space="preserve"> - </w:t>
            </w:r>
          </w:p>
        </w:tc>
        <w:tc>
          <w:tcPr>
            <w:tcW w:w="453" w:type="pct"/>
            <w:shd w:val="clear" w:color="EDEDED" w:fill="EDEDED"/>
            <w:noWrap/>
            <w:vAlign w:val="center"/>
            <w:hideMark/>
          </w:tcPr>
          <w:p w14:paraId="696B264E" w14:textId="69B386D8" w:rsidR="008C5531" w:rsidRPr="00611C65" w:rsidRDefault="0053072D"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2.25</w:t>
            </w:r>
          </w:p>
        </w:tc>
      </w:tr>
      <w:tr w:rsidR="00611C65" w:rsidRPr="00611C65" w14:paraId="3E3F753F" w14:textId="77777777" w:rsidTr="00521230">
        <w:trPr>
          <w:trHeight w:val="290"/>
        </w:trPr>
        <w:tc>
          <w:tcPr>
            <w:tcW w:w="469" w:type="pct"/>
            <w:shd w:val="clear" w:color="auto" w:fill="auto"/>
            <w:noWrap/>
            <w:vAlign w:val="center"/>
            <w:hideMark/>
          </w:tcPr>
          <w:p w14:paraId="56F26B1B" w14:textId="77777777" w:rsidR="008C5531" w:rsidRPr="00611C65" w:rsidRDefault="008C5531" w:rsidP="008C5531">
            <w:pPr>
              <w:spacing w:after="0" w:line="240" w:lineRule="auto"/>
              <w:rPr>
                <w:rFonts w:ascii="Calibri" w:eastAsia="Times New Roman" w:hAnsi="Calibri" w:cs="Calibri"/>
                <w:b/>
                <w:bCs/>
                <w:sz w:val="15"/>
                <w:szCs w:val="15"/>
                <w:lang w:eastAsia="de-CH"/>
              </w:rPr>
            </w:pPr>
            <w:proofErr w:type="spellStart"/>
            <w:r w:rsidRPr="00611C65">
              <w:rPr>
                <w:rFonts w:ascii="Calibri" w:eastAsia="Times New Roman" w:hAnsi="Calibri" w:cs="Calibri"/>
                <w:b/>
                <w:bCs/>
                <w:sz w:val="15"/>
                <w:szCs w:val="15"/>
                <w:lang w:eastAsia="de-CH"/>
              </w:rPr>
              <w:t>LowGrow</w:t>
            </w:r>
            <w:proofErr w:type="spellEnd"/>
            <w:r w:rsidRPr="00611C65">
              <w:rPr>
                <w:rFonts w:ascii="Calibri" w:eastAsia="Times New Roman" w:hAnsi="Calibri" w:cs="Calibri"/>
                <w:b/>
                <w:bCs/>
                <w:sz w:val="15"/>
                <w:szCs w:val="15"/>
                <w:lang w:eastAsia="de-CH"/>
              </w:rPr>
              <w:t xml:space="preserve"> SFC</w:t>
            </w:r>
          </w:p>
        </w:tc>
        <w:tc>
          <w:tcPr>
            <w:tcW w:w="864" w:type="pct"/>
            <w:shd w:val="clear" w:color="auto" w:fill="auto"/>
            <w:noWrap/>
            <w:vAlign w:val="center"/>
            <w:hideMark/>
          </w:tcPr>
          <w:p w14:paraId="2D03D3B6"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The GHG Reduction scenario adopts several policy measures (</w:t>
            </w:r>
            <w:proofErr w:type="gramStart"/>
            <w:r w:rsidRPr="00611C65">
              <w:rPr>
                <w:rFonts w:ascii="Calibri" w:eastAsia="Times New Roman" w:hAnsi="Calibri" w:cs="Calibri"/>
                <w:sz w:val="15"/>
                <w:szCs w:val="15"/>
                <w:lang w:eastAsia="de-CH"/>
              </w:rPr>
              <w:t>e.g.</w:t>
            </w:r>
            <w:proofErr w:type="gramEnd"/>
            <w:r w:rsidRPr="00611C65">
              <w:rPr>
                <w:rFonts w:ascii="Calibri" w:eastAsia="Times New Roman" w:hAnsi="Calibri" w:cs="Calibri"/>
                <w:sz w:val="15"/>
                <w:szCs w:val="15"/>
                <w:lang w:eastAsia="de-CH"/>
              </w:rPr>
              <w:t xml:space="preserve"> Carbon price, investments). </w:t>
            </w:r>
          </w:p>
        </w:tc>
        <w:tc>
          <w:tcPr>
            <w:tcW w:w="943" w:type="pct"/>
            <w:shd w:val="clear" w:color="auto" w:fill="auto"/>
            <w:noWrap/>
            <w:vAlign w:val="center"/>
            <w:hideMark/>
          </w:tcPr>
          <w:p w14:paraId="06DDABFC"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auto" w:fill="auto"/>
            <w:noWrap/>
            <w:vAlign w:val="center"/>
            <w:hideMark/>
          </w:tcPr>
          <w:p w14:paraId="011BA53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w:t>
            </w:r>
          </w:p>
        </w:tc>
        <w:tc>
          <w:tcPr>
            <w:tcW w:w="454" w:type="pct"/>
            <w:shd w:val="clear" w:color="auto" w:fill="auto"/>
            <w:noWrap/>
            <w:vAlign w:val="center"/>
            <w:hideMark/>
          </w:tcPr>
          <w:p w14:paraId="1C9EBB9A"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Small increase</w:t>
            </w:r>
          </w:p>
        </w:tc>
        <w:tc>
          <w:tcPr>
            <w:tcW w:w="454" w:type="pct"/>
            <w:shd w:val="clear" w:color="auto" w:fill="auto"/>
            <w:noWrap/>
            <w:vAlign w:val="center"/>
            <w:hideMark/>
          </w:tcPr>
          <w:p w14:paraId="108FBD65"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w:t>
            </w:r>
          </w:p>
        </w:tc>
        <w:tc>
          <w:tcPr>
            <w:tcW w:w="454" w:type="pct"/>
            <w:shd w:val="clear" w:color="auto" w:fill="auto"/>
            <w:noWrap/>
            <w:vAlign w:val="center"/>
            <w:hideMark/>
          </w:tcPr>
          <w:p w14:paraId="75617E6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4" w:type="pct"/>
            <w:shd w:val="clear" w:color="auto" w:fill="auto"/>
            <w:noWrap/>
            <w:vAlign w:val="center"/>
            <w:hideMark/>
          </w:tcPr>
          <w:p w14:paraId="383A37A7"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3" w:type="pct"/>
            <w:shd w:val="clear" w:color="auto" w:fill="auto"/>
            <w:noWrap/>
            <w:vAlign w:val="center"/>
            <w:hideMark/>
          </w:tcPr>
          <w:p w14:paraId="2C75CCD3"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r>
      <w:tr w:rsidR="00611C65" w:rsidRPr="00611C65" w14:paraId="0F1D3B00" w14:textId="77777777" w:rsidTr="00521230">
        <w:trPr>
          <w:trHeight w:val="770"/>
        </w:trPr>
        <w:tc>
          <w:tcPr>
            <w:tcW w:w="469" w:type="pct"/>
            <w:shd w:val="clear" w:color="EDEDED" w:fill="EDEDED"/>
            <w:noWrap/>
            <w:vAlign w:val="center"/>
            <w:hideMark/>
          </w:tcPr>
          <w:p w14:paraId="2381CD60"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EIRIN</w:t>
            </w:r>
          </w:p>
        </w:tc>
        <w:tc>
          <w:tcPr>
            <w:tcW w:w="864" w:type="pct"/>
            <w:shd w:val="clear" w:color="EDEDED" w:fill="EDEDED"/>
            <w:vAlign w:val="center"/>
            <w:hideMark/>
          </w:tcPr>
          <w:p w14:paraId="45B0AD66"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Green Supporting Factor (GSF)</w:t>
            </w:r>
          </w:p>
        </w:tc>
        <w:tc>
          <w:tcPr>
            <w:tcW w:w="943" w:type="pct"/>
            <w:shd w:val="clear" w:color="EDEDED" w:fill="EDEDED"/>
            <w:noWrap/>
            <w:vAlign w:val="center"/>
            <w:hideMark/>
          </w:tcPr>
          <w:p w14:paraId="25F8ED82"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EDEDED" w:fill="EDEDED"/>
            <w:noWrap/>
            <w:vAlign w:val="center"/>
            <w:hideMark/>
          </w:tcPr>
          <w:p w14:paraId="59BC6AB1"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w:t>
            </w:r>
          </w:p>
        </w:tc>
        <w:tc>
          <w:tcPr>
            <w:tcW w:w="454" w:type="pct"/>
            <w:shd w:val="clear" w:color="EDEDED" w:fill="EDEDED"/>
            <w:noWrap/>
            <w:vAlign w:val="center"/>
            <w:hideMark/>
          </w:tcPr>
          <w:p w14:paraId="2C55F9AB"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change</w:t>
            </w:r>
          </w:p>
        </w:tc>
        <w:tc>
          <w:tcPr>
            <w:tcW w:w="454" w:type="pct"/>
            <w:shd w:val="clear" w:color="EDEDED" w:fill="EDEDED"/>
            <w:noWrap/>
            <w:vAlign w:val="center"/>
            <w:hideMark/>
          </w:tcPr>
          <w:p w14:paraId="7957E823"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change</w:t>
            </w:r>
          </w:p>
        </w:tc>
        <w:tc>
          <w:tcPr>
            <w:tcW w:w="454" w:type="pct"/>
            <w:shd w:val="clear" w:color="EDEDED" w:fill="EDEDED"/>
            <w:noWrap/>
            <w:vAlign w:val="center"/>
            <w:hideMark/>
          </w:tcPr>
          <w:p w14:paraId="3C7190CF"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4" w:type="pct"/>
            <w:shd w:val="clear" w:color="EDEDED" w:fill="EDEDED"/>
            <w:noWrap/>
            <w:vAlign w:val="center"/>
            <w:hideMark/>
          </w:tcPr>
          <w:p w14:paraId="6BCD260B"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3" w:type="pct"/>
            <w:shd w:val="clear" w:color="EDEDED" w:fill="EDEDED"/>
            <w:noWrap/>
            <w:vAlign w:val="center"/>
            <w:hideMark/>
          </w:tcPr>
          <w:p w14:paraId="383973D3"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 &lt; 1</w:t>
            </w:r>
          </w:p>
        </w:tc>
      </w:tr>
      <w:tr w:rsidR="008C5531" w:rsidRPr="00611C65" w14:paraId="279FAA3D" w14:textId="77777777" w:rsidTr="00521230">
        <w:trPr>
          <w:trHeight w:val="290"/>
        </w:trPr>
        <w:tc>
          <w:tcPr>
            <w:tcW w:w="469" w:type="pct"/>
            <w:shd w:val="clear" w:color="auto" w:fill="auto"/>
            <w:noWrap/>
            <w:vAlign w:val="center"/>
            <w:hideMark/>
          </w:tcPr>
          <w:p w14:paraId="6F6D1E34" w14:textId="77777777" w:rsidR="008C5531" w:rsidRPr="00611C65" w:rsidRDefault="008C5531" w:rsidP="008C5531">
            <w:pPr>
              <w:spacing w:after="0" w:line="240" w:lineRule="auto"/>
              <w:rPr>
                <w:rFonts w:ascii="Calibri" w:eastAsia="Times New Roman" w:hAnsi="Calibri" w:cs="Calibri"/>
                <w:b/>
                <w:bCs/>
                <w:sz w:val="15"/>
                <w:szCs w:val="15"/>
                <w:lang w:eastAsia="de-CH"/>
              </w:rPr>
            </w:pPr>
            <w:r w:rsidRPr="00611C65">
              <w:rPr>
                <w:rFonts w:ascii="Calibri" w:eastAsia="Times New Roman" w:hAnsi="Calibri" w:cs="Calibri"/>
                <w:b/>
                <w:bCs/>
                <w:sz w:val="15"/>
                <w:szCs w:val="15"/>
                <w:lang w:eastAsia="de-CH"/>
              </w:rPr>
              <w:t>HMRC model</w:t>
            </w:r>
          </w:p>
        </w:tc>
        <w:tc>
          <w:tcPr>
            <w:tcW w:w="864" w:type="pct"/>
            <w:shd w:val="clear" w:color="auto" w:fill="auto"/>
            <w:noWrap/>
            <w:vAlign w:val="center"/>
            <w:hideMark/>
          </w:tcPr>
          <w:p w14:paraId="482C9B5D"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Introduction of carbon prices</w:t>
            </w:r>
          </w:p>
        </w:tc>
        <w:tc>
          <w:tcPr>
            <w:tcW w:w="943" w:type="pct"/>
            <w:shd w:val="clear" w:color="auto" w:fill="auto"/>
            <w:noWrap/>
            <w:vAlign w:val="center"/>
            <w:hideMark/>
          </w:tcPr>
          <w:p w14:paraId="72511CF8"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policy implemented</w:t>
            </w:r>
          </w:p>
        </w:tc>
        <w:tc>
          <w:tcPr>
            <w:tcW w:w="454" w:type="pct"/>
            <w:shd w:val="clear" w:color="auto" w:fill="auto"/>
            <w:noWrap/>
            <w:vAlign w:val="center"/>
            <w:hideMark/>
          </w:tcPr>
          <w:p w14:paraId="2CD13C4C" w14:textId="0B7D59B4"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- 50 (entire </w:t>
            </w:r>
            <w:r w:rsidR="009A494A" w:rsidRPr="00611C65">
              <w:rPr>
                <w:rFonts w:ascii="Calibri" w:eastAsia="Times New Roman" w:hAnsi="Calibri" w:cs="Calibri"/>
                <w:sz w:val="15"/>
                <w:szCs w:val="15"/>
                <w:lang w:eastAsia="de-CH"/>
              </w:rPr>
              <w:t>economy</w:t>
            </w:r>
            <w:r w:rsidRPr="00611C65">
              <w:rPr>
                <w:rFonts w:ascii="Calibri" w:eastAsia="Times New Roman" w:hAnsi="Calibri" w:cs="Calibri"/>
                <w:sz w:val="15"/>
                <w:szCs w:val="15"/>
                <w:lang w:eastAsia="de-CH"/>
              </w:rPr>
              <w:t>, relative to 1990)</w:t>
            </w:r>
          </w:p>
        </w:tc>
        <w:tc>
          <w:tcPr>
            <w:tcW w:w="454" w:type="pct"/>
            <w:shd w:val="clear" w:color="auto" w:fill="auto"/>
            <w:noWrap/>
            <w:vAlign w:val="center"/>
            <w:hideMark/>
          </w:tcPr>
          <w:p w14:paraId="72030028"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No change</w:t>
            </w:r>
          </w:p>
        </w:tc>
        <w:tc>
          <w:tcPr>
            <w:tcW w:w="454" w:type="pct"/>
            <w:shd w:val="clear" w:color="auto" w:fill="auto"/>
            <w:vAlign w:val="center"/>
            <w:hideMark/>
          </w:tcPr>
          <w:p w14:paraId="7829E27C"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Decrease</w:t>
            </w:r>
          </w:p>
        </w:tc>
        <w:tc>
          <w:tcPr>
            <w:tcW w:w="454" w:type="pct"/>
            <w:shd w:val="clear" w:color="auto" w:fill="auto"/>
            <w:vAlign w:val="center"/>
            <w:hideMark/>
          </w:tcPr>
          <w:p w14:paraId="79E294DF"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c>
          <w:tcPr>
            <w:tcW w:w="454" w:type="pct"/>
            <w:shd w:val="clear" w:color="auto" w:fill="auto"/>
            <w:noWrap/>
            <w:vAlign w:val="center"/>
            <w:hideMark/>
          </w:tcPr>
          <w:p w14:paraId="04762986"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 xml:space="preserve"> - </w:t>
            </w:r>
          </w:p>
        </w:tc>
        <w:tc>
          <w:tcPr>
            <w:tcW w:w="453" w:type="pct"/>
            <w:shd w:val="clear" w:color="auto" w:fill="auto"/>
            <w:vAlign w:val="center"/>
            <w:hideMark/>
          </w:tcPr>
          <w:p w14:paraId="4423AC8E" w14:textId="77777777" w:rsidR="008C5531" w:rsidRPr="00611C65" w:rsidRDefault="008C5531" w:rsidP="00521230">
            <w:pPr>
              <w:spacing w:after="0" w:line="240" w:lineRule="auto"/>
              <w:jc w:val="left"/>
              <w:rPr>
                <w:rFonts w:ascii="Calibri" w:eastAsia="Times New Roman" w:hAnsi="Calibri" w:cs="Calibri"/>
                <w:sz w:val="15"/>
                <w:szCs w:val="15"/>
                <w:lang w:eastAsia="de-CH"/>
              </w:rPr>
            </w:pPr>
            <w:r w:rsidRPr="00611C65">
              <w:rPr>
                <w:rFonts w:ascii="Calibri" w:eastAsia="Times New Roman" w:hAnsi="Calibri" w:cs="Calibri"/>
                <w:sz w:val="15"/>
                <w:szCs w:val="15"/>
                <w:lang w:eastAsia="de-CH"/>
              </w:rPr>
              <w:t>Increase</w:t>
            </w:r>
          </w:p>
        </w:tc>
      </w:tr>
    </w:tbl>
    <w:p w14:paraId="4D14D076" w14:textId="14D07D8A" w:rsidR="00397D9B" w:rsidRPr="00611C65" w:rsidRDefault="00397D9B"/>
    <w:p w14:paraId="25627002" w14:textId="7A1C46B1" w:rsidR="00A202A5" w:rsidRPr="00611C65" w:rsidRDefault="00A202A5" w:rsidP="00A202A5">
      <w:pPr>
        <w:autoSpaceDE w:val="0"/>
        <w:autoSpaceDN w:val="0"/>
        <w:adjustRightInd w:val="0"/>
        <w:spacing w:after="0"/>
        <w:rPr>
          <w:rFonts w:cstheme="minorHAnsi"/>
        </w:rPr>
      </w:pPr>
      <w:r w:rsidRPr="00611C65">
        <w:rPr>
          <w:rFonts w:ascii="Calibri" w:hAnsi="Calibri" w:cs="Calibri"/>
        </w:rPr>
        <w:t xml:space="preserve">Results from </w:t>
      </w:r>
      <w:r w:rsidR="00D004BD" w:rsidRPr="00611C65">
        <w:rPr>
          <w:rFonts w:ascii="Calibri" w:hAnsi="Calibri" w:cs="Calibri"/>
        </w:rPr>
        <w:t xml:space="preserve">E3ME, </w:t>
      </w:r>
      <w:r w:rsidR="006000A7" w:rsidRPr="00611C65">
        <w:rPr>
          <w:rFonts w:cstheme="minorHAnsi"/>
        </w:rPr>
        <w:t xml:space="preserve">PANTA RHEI, </w:t>
      </w:r>
      <w:proofErr w:type="spellStart"/>
      <w:r w:rsidR="006000A7" w:rsidRPr="00611C65">
        <w:rPr>
          <w:rFonts w:cstheme="minorHAnsi"/>
        </w:rPr>
        <w:t>Eurogreen</w:t>
      </w:r>
      <w:proofErr w:type="spellEnd"/>
      <w:r w:rsidRPr="00611C65">
        <w:rPr>
          <w:rFonts w:cstheme="minorHAnsi"/>
        </w:rPr>
        <w:t xml:space="preserve"> and </w:t>
      </w:r>
      <w:r w:rsidR="006000A7" w:rsidRPr="00611C65">
        <w:rPr>
          <w:rFonts w:ascii="Calibri" w:hAnsi="Calibri" w:cs="Calibri"/>
        </w:rPr>
        <w:t>EIRIN</w:t>
      </w:r>
      <w:r w:rsidRPr="00611C65">
        <w:rPr>
          <w:rFonts w:ascii="Calibri" w:hAnsi="Calibri" w:cs="Calibri"/>
        </w:rPr>
        <w:t xml:space="preserve"> </w:t>
      </w:r>
      <w:r w:rsidR="00D004BD" w:rsidRPr="00611C65">
        <w:rPr>
          <w:rFonts w:ascii="Calibri" w:hAnsi="Calibri" w:cs="Calibri"/>
        </w:rPr>
        <w:t>demonstrate</w:t>
      </w:r>
      <w:r w:rsidRPr="00611C65">
        <w:rPr>
          <w:rFonts w:ascii="Calibri" w:hAnsi="Calibri" w:cs="Calibri"/>
        </w:rPr>
        <w:t xml:space="preserve"> </w:t>
      </w:r>
      <w:r w:rsidR="00D004BD" w:rsidRPr="00611C65">
        <w:rPr>
          <w:rFonts w:ascii="Calibri" w:hAnsi="Calibri" w:cs="Calibri"/>
        </w:rPr>
        <w:t xml:space="preserve">that </w:t>
      </w:r>
      <w:r w:rsidR="00D004BD" w:rsidRPr="00611C65">
        <w:rPr>
          <w:rFonts w:cstheme="minorHAnsi"/>
        </w:rPr>
        <w:t>accelerating the deployment of renewable energy fuel</w:t>
      </w:r>
      <w:r w:rsidRPr="00611C65">
        <w:rPr>
          <w:rFonts w:cstheme="minorHAnsi"/>
        </w:rPr>
        <w:t>s</w:t>
      </w:r>
      <w:r w:rsidR="00D004BD" w:rsidRPr="00611C65">
        <w:rPr>
          <w:rFonts w:cstheme="minorHAnsi"/>
        </w:rPr>
        <w:t xml:space="preserve"> economic growth and create</w:t>
      </w:r>
      <w:r w:rsidRPr="00611C65">
        <w:rPr>
          <w:rFonts w:cstheme="minorHAnsi"/>
        </w:rPr>
        <w:t>s</w:t>
      </w:r>
      <w:r w:rsidR="00D004BD" w:rsidRPr="00611C65">
        <w:rPr>
          <w:rFonts w:cstheme="minorHAnsi"/>
        </w:rPr>
        <w:t xml:space="preserve"> new employment opportunities.</w:t>
      </w:r>
      <w:r w:rsidRPr="00611C65">
        <w:rPr>
          <w:rFonts w:cstheme="minorHAnsi"/>
        </w:rPr>
        <w:t xml:space="preserve"> This is mostly driven by the increased investment in renewable energy deployment, which subsequently triggers various co-benefits throughout the economy via Keynesian-multiplier effects</w:t>
      </w:r>
      <w:r w:rsidR="000659A3" w:rsidRPr="00611C65">
        <w:rPr>
          <w:rFonts w:cstheme="minorHAnsi"/>
        </w:rPr>
        <w:t xml:space="preserve">. </w:t>
      </w:r>
      <w:r w:rsidRPr="00611C65">
        <w:rPr>
          <w:rFonts w:cstheme="minorHAnsi"/>
        </w:rPr>
        <w:t xml:space="preserve">Results of EURACE can be said to be similar as the results of the models indicated above, with the caveat that the simulations highlight the crowding-out effect of investments </w:t>
      </w:r>
      <w:proofErr w:type="gramStart"/>
      <w:r w:rsidRPr="00611C65">
        <w:rPr>
          <w:rFonts w:cstheme="minorHAnsi"/>
        </w:rPr>
        <w:t>in to</w:t>
      </w:r>
      <w:proofErr w:type="gramEnd"/>
      <w:r w:rsidRPr="00611C65">
        <w:rPr>
          <w:rFonts w:cstheme="minorHAnsi"/>
        </w:rPr>
        <w:t xml:space="preserve"> renewable energy </w:t>
      </w:r>
      <w:r w:rsidR="009A494A" w:rsidRPr="00611C65">
        <w:rPr>
          <w:rFonts w:cstheme="minorHAnsi"/>
        </w:rPr>
        <w:t>infrastructure</w:t>
      </w:r>
      <w:r w:rsidRPr="00611C65">
        <w:rPr>
          <w:rFonts w:cstheme="minorHAnsi"/>
        </w:rPr>
        <w:t xml:space="preserve"> (via the EEG tariffs) on household consumption. </w:t>
      </w:r>
      <w:r w:rsidR="00D004BD" w:rsidRPr="00611C65">
        <w:rPr>
          <w:rFonts w:cstheme="minorHAnsi"/>
        </w:rPr>
        <w:t xml:space="preserve">While GIBM includes similar </w:t>
      </w:r>
      <w:r w:rsidR="009A494A" w:rsidRPr="00611C65">
        <w:rPr>
          <w:rFonts w:cstheme="minorHAnsi"/>
        </w:rPr>
        <w:t>mechanisms</w:t>
      </w:r>
      <w:r w:rsidR="00D004BD" w:rsidRPr="00611C65">
        <w:rPr>
          <w:rFonts w:cstheme="minorHAnsi"/>
        </w:rPr>
        <w:t xml:space="preserve"> as </w:t>
      </w:r>
      <w:r w:rsidRPr="00611C65">
        <w:rPr>
          <w:rFonts w:ascii="Calibri" w:hAnsi="Calibri" w:cs="Calibri"/>
        </w:rPr>
        <w:t xml:space="preserve">E3ME, </w:t>
      </w:r>
      <w:r w:rsidRPr="00611C65">
        <w:rPr>
          <w:rFonts w:cstheme="minorHAnsi"/>
        </w:rPr>
        <w:t xml:space="preserve">PANTA RHEI, </w:t>
      </w:r>
      <w:proofErr w:type="spellStart"/>
      <w:r w:rsidRPr="00611C65">
        <w:rPr>
          <w:rFonts w:cstheme="minorHAnsi"/>
        </w:rPr>
        <w:t>Eurogreen</w:t>
      </w:r>
      <w:proofErr w:type="spellEnd"/>
      <w:r w:rsidRPr="00611C65">
        <w:rPr>
          <w:rFonts w:cstheme="minorHAnsi"/>
        </w:rPr>
        <w:t xml:space="preserve"> and </w:t>
      </w:r>
      <w:r w:rsidRPr="00611C65">
        <w:rPr>
          <w:rFonts w:ascii="Calibri" w:hAnsi="Calibri" w:cs="Calibri"/>
        </w:rPr>
        <w:t>EIRIN</w:t>
      </w:r>
      <w:r w:rsidR="00D004BD" w:rsidRPr="00611C65">
        <w:rPr>
          <w:rFonts w:cstheme="minorHAnsi"/>
        </w:rPr>
        <w:t xml:space="preserve">, the results achieved by GIBM </w:t>
      </w:r>
      <w:r w:rsidRPr="00611C65">
        <w:rPr>
          <w:rFonts w:cstheme="minorHAnsi"/>
        </w:rPr>
        <w:t xml:space="preserve">show a different sign of direction (see table above), however, the underlying </w:t>
      </w:r>
      <w:r w:rsidR="009A494A" w:rsidRPr="00611C65">
        <w:rPr>
          <w:rFonts w:cstheme="minorHAnsi"/>
        </w:rPr>
        <w:t>mechanisms</w:t>
      </w:r>
      <w:r w:rsidRPr="00611C65">
        <w:rPr>
          <w:rFonts w:cstheme="minorHAnsi"/>
        </w:rPr>
        <w:t xml:space="preserve"> of the achieved results are similar. </w:t>
      </w:r>
      <w:r w:rsidR="000659A3" w:rsidRPr="00611C65">
        <w:rPr>
          <w:rFonts w:cstheme="minorHAnsi"/>
        </w:rPr>
        <w:t xml:space="preserve">The difference can be explained because in GIBM, the investments into low-caron power transitions are in </w:t>
      </w:r>
      <w:r w:rsidR="009A494A" w:rsidRPr="00611C65">
        <w:rPr>
          <w:rFonts w:cstheme="minorHAnsi"/>
        </w:rPr>
        <w:t>average</w:t>
      </w:r>
      <w:r w:rsidR="000659A3" w:rsidRPr="00611C65">
        <w:rPr>
          <w:rFonts w:cstheme="minorHAnsi"/>
        </w:rPr>
        <w:t xml:space="preserve"> lower than under the base-run – unless the transition is rapid – due to</w:t>
      </w:r>
      <w:r w:rsidR="00D004BD" w:rsidRPr="00611C65">
        <w:rPr>
          <w:rFonts w:cstheme="minorHAnsi"/>
        </w:rPr>
        <w:t xml:space="preserve"> the cost-</w:t>
      </w:r>
      <w:r w:rsidR="009A494A" w:rsidRPr="00611C65">
        <w:rPr>
          <w:rFonts w:cstheme="minorHAnsi"/>
        </w:rPr>
        <w:t>effective</w:t>
      </w:r>
      <w:r w:rsidR="00D004BD" w:rsidRPr="00611C65">
        <w:rPr>
          <w:rFonts w:cstheme="minorHAnsi"/>
        </w:rPr>
        <w:t xml:space="preserve"> and decreasing costs of renewable energy infrastructure,</w:t>
      </w:r>
      <w:r w:rsidR="00BC54CB" w:rsidRPr="00611C65">
        <w:rPr>
          <w:rFonts w:cstheme="minorHAnsi"/>
        </w:rPr>
        <w:t xml:space="preserve"> </w:t>
      </w:r>
      <w:r w:rsidR="00D004BD" w:rsidRPr="00611C65">
        <w:rPr>
          <w:rFonts w:cstheme="minorHAnsi"/>
        </w:rPr>
        <w:t xml:space="preserve">leading to lower aggregate demand, GDP, </w:t>
      </w:r>
      <w:proofErr w:type="gramStart"/>
      <w:r w:rsidR="00D004BD" w:rsidRPr="00611C65">
        <w:rPr>
          <w:rFonts w:cstheme="minorHAnsi"/>
        </w:rPr>
        <w:t>employment</w:t>
      </w:r>
      <w:proofErr w:type="gramEnd"/>
      <w:r w:rsidR="00D004BD" w:rsidRPr="00611C65">
        <w:rPr>
          <w:rFonts w:cstheme="minorHAnsi"/>
        </w:rPr>
        <w:t xml:space="preserve"> and consumption</w:t>
      </w:r>
      <w:r w:rsidR="00441C75" w:rsidRPr="00611C65">
        <w:rPr>
          <w:rFonts w:cstheme="minorHAnsi"/>
        </w:rPr>
        <w:t xml:space="preserve"> under low-carbon transitions</w:t>
      </w:r>
      <w:r w:rsidR="00D004BD" w:rsidRPr="00611C65">
        <w:rPr>
          <w:rFonts w:cstheme="minorHAnsi"/>
        </w:rPr>
        <w:t>, which is further reinforced by Keynesian multiplier-effects</w:t>
      </w:r>
      <w:r w:rsidR="00441C75" w:rsidRPr="00611C65">
        <w:rPr>
          <w:rFonts w:cstheme="minorHAnsi"/>
        </w:rPr>
        <w:t xml:space="preserve">. </w:t>
      </w:r>
      <w:r w:rsidR="00D004BD" w:rsidRPr="00611C65">
        <w:rPr>
          <w:rFonts w:cstheme="minorHAnsi"/>
        </w:rPr>
        <w:t xml:space="preserve">In other words, when GIBM tests a scenario with increased investments into energy infrastructure compared to the base-run, model results resemble them of E3ME and </w:t>
      </w:r>
      <w:proofErr w:type="spellStart"/>
      <w:r w:rsidR="00D004BD" w:rsidRPr="00611C65">
        <w:rPr>
          <w:rFonts w:cstheme="minorHAnsi"/>
        </w:rPr>
        <w:t>Pantha</w:t>
      </w:r>
      <w:proofErr w:type="spellEnd"/>
      <w:r w:rsidR="00D004BD" w:rsidRPr="00611C65">
        <w:rPr>
          <w:rFonts w:cstheme="minorHAnsi"/>
        </w:rPr>
        <w:t xml:space="preserve"> </w:t>
      </w:r>
      <w:proofErr w:type="spellStart"/>
      <w:r w:rsidR="00D004BD" w:rsidRPr="00611C65">
        <w:rPr>
          <w:rFonts w:cstheme="minorHAnsi"/>
        </w:rPr>
        <w:t>Rhei</w:t>
      </w:r>
      <w:proofErr w:type="spellEnd"/>
      <w:r w:rsidR="00D004BD" w:rsidRPr="00611C65">
        <w:rPr>
          <w:rFonts w:cstheme="minorHAnsi"/>
        </w:rPr>
        <w:t xml:space="preserve"> in terms of the direction of the results (</w:t>
      </w:r>
      <w:proofErr w:type="gramStart"/>
      <w:r w:rsidR="00D004BD" w:rsidRPr="00611C65">
        <w:rPr>
          <w:rFonts w:cstheme="minorHAnsi"/>
        </w:rPr>
        <w:t>i.e.</w:t>
      </w:r>
      <w:proofErr w:type="gramEnd"/>
      <w:r w:rsidR="00D004BD" w:rsidRPr="00611C65">
        <w:rPr>
          <w:rFonts w:cstheme="minorHAnsi"/>
        </w:rPr>
        <w:t xml:space="preserve"> GDP and employment would increase, see rapid scenario tested with GIBM in this study). </w:t>
      </w:r>
      <w:r w:rsidRPr="00611C65">
        <w:rPr>
          <w:rFonts w:cstheme="minorHAnsi"/>
        </w:rPr>
        <w:t xml:space="preserve"> </w:t>
      </w:r>
    </w:p>
    <w:p w14:paraId="31E4984C" w14:textId="4C6FD25F" w:rsidR="00D004BD" w:rsidRPr="00611C65" w:rsidRDefault="00D004BD" w:rsidP="00D004BD">
      <w:pPr>
        <w:autoSpaceDE w:val="0"/>
        <w:autoSpaceDN w:val="0"/>
        <w:adjustRightInd w:val="0"/>
        <w:spacing w:after="0"/>
        <w:rPr>
          <w:rFonts w:cstheme="minorHAnsi"/>
        </w:rPr>
      </w:pPr>
    </w:p>
    <w:p w14:paraId="01C61270" w14:textId="51A81A5E" w:rsidR="00BC54CB" w:rsidRPr="00611C65" w:rsidRDefault="00A202A5" w:rsidP="006000A7">
      <w:r w:rsidRPr="00611C65">
        <w:t>Moreover</w:t>
      </w:r>
      <w:r w:rsidR="006000A7" w:rsidRPr="00611C65">
        <w:t xml:space="preserve">, </w:t>
      </w:r>
      <w:r w:rsidR="00BC54CB" w:rsidRPr="00611C65">
        <w:t>DSK (see Lamperti et al., 2020) and the threshold 21 model (see UNEP</w:t>
      </w:r>
      <w:r w:rsidR="00441C75" w:rsidRPr="00611C65">
        <w:t>, 2011</w:t>
      </w:r>
      <w:r w:rsidR="00BC54CB" w:rsidRPr="00611C65">
        <w:t xml:space="preserve">) account for climate change damages and pressure on natural resources (the latter only applies to the threshold 21 model) – that is, the base-run macroeconomic indicators are affected by </w:t>
      </w:r>
      <w:r w:rsidR="009A494A" w:rsidRPr="00611C65">
        <w:t>climate</w:t>
      </w:r>
      <w:r w:rsidR="00BC54CB" w:rsidRPr="00611C65">
        <w:t xml:space="preserve"> change damages. For this reason</w:t>
      </w:r>
      <w:r w:rsidR="00441C75" w:rsidRPr="00611C65">
        <w:t xml:space="preserve"> (</w:t>
      </w:r>
      <w:proofErr w:type="gramStart"/>
      <w:r w:rsidR="00441C75" w:rsidRPr="00611C65">
        <w:t>i.e.</w:t>
      </w:r>
      <w:proofErr w:type="gramEnd"/>
      <w:r w:rsidR="00441C75" w:rsidRPr="00611C65">
        <w:t xml:space="preserve"> due to the (partial) avoidance of climate change damages and pressure on natural resources)</w:t>
      </w:r>
      <w:r w:rsidR="00BC54CB" w:rsidRPr="00611C65">
        <w:t>, t</w:t>
      </w:r>
      <w:r w:rsidR="00BC54CB" w:rsidRPr="00611C65">
        <w:rPr>
          <w:rFonts w:eastAsia="Times New Roman" w:cstheme="minorHAnsi"/>
          <w:lang w:eastAsia="de-CH"/>
        </w:rPr>
        <w:t xml:space="preserve">he positive macroeconomic impacts of a low-carbon transitions are larger than those achieved by the model introduced before. </w:t>
      </w:r>
    </w:p>
    <w:p w14:paraId="4040EC27" w14:textId="16C2AE0C" w:rsidR="00D004BD" w:rsidRPr="00611C65" w:rsidRDefault="00BC54CB" w:rsidP="00D004BD">
      <w:pPr>
        <w:rPr>
          <w:rFonts w:eastAsia="Times New Roman" w:cstheme="minorHAnsi"/>
        </w:rPr>
      </w:pPr>
      <w:r w:rsidRPr="00611C65">
        <w:t>Further</w:t>
      </w:r>
      <w:r w:rsidR="00D004BD" w:rsidRPr="00611C65">
        <w:t xml:space="preserve">, the MEDEAS model </w:t>
      </w:r>
      <w:r w:rsidRPr="00611C65">
        <w:t>(</w:t>
      </w:r>
      <w:r w:rsidR="00D004BD" w:rsidRPr="00611C65">
        <w:t>Nieto et al.</w:t>
      </w:r>
      <w:r w:rsidRPr="00611C65">
        <w:t xml:space="preserve">, </w:t>
      </w:r>
      <w:r w:rsidR="00D004BD" w:rsidRPr="00611C65">
        <w:t>2020)</w:t>
      </w:r>
      <w:r w:rsidRPr="00611C65">
        <w:t xml:space="preserve"> and the </w:t>
      </w:r>
      <w:proofErr w:type="spellStart"/>
      <w:r w:rsidRPr="00611C65">
        <w:rPr>
          <w:rFonts w:cstheme="minorHAnsi"/>
        </w:rPr>
        <w:t>LowGrow</w:t>
      </w:r>
      <w:proofErr w:type="spellEnd"/>
      <w:r w:rsidRPr="00611C65">
        <w:rPr>
          <w:rFonts w:cstheme="minorHAnsi"/>
        </w:rPr>
        <w:t xml:space="preserve"> SFC (</w:t>
      </w:r>
      <w:r w:rsidRPr="00611C65">
        <w:rPr>
          <w:rFonts w:eastAsia="Times New Roman" w:cstheme="minorHAnsi"/>
          <w:lang w:eastAsia="de-CH"/>
        </w:rPr>
        <w:t>Victor &amp; Jackson</w:t>
      </w:r>
      <w:r w:rsidR="00646F8A" w:rsidRPr="00611C65">
        <w:rPr>
          <w:rFonts w:eastAsia="Times New Roman" w:cstheme="minorHAnsi"/>
          <w:lang w:eastAsia="de-CH"/>
        </w:rPr>
        <w:t xml:space="preserve">, </w:t>
      </w:r>
      <w:r w:rsidRPr="00611C65">
        <w:rPr>
          <w:rFonts w:eastAsia="Times New Roman" w:cstheme="minorHAnsi"/>
          <w:lang w:eastAsia="de-CH"/>
        </w:rPr>
        <w:t>2019)</w:t>
      </w:r>
      <w:r w:rsidR="00646F8A" w:rsidRPr="00611C65">
        <w:rPr>
          <w:rFonts w:eastAsia="Times New Roman" w:cstheme="minorHAnsi"/>
          <w:lang w:eastAsia="de-CH"/>
        </w:rPr>
        <w:t xml:space="preserve"> yield negative (or neutral) macroeconomic </w:t>
      </w:r>
      <w:r w:rsidR="00441C75" w:rsidRPr="00611C65">
        <w:rPr>
          <w:rFonts w:eastAsia="Times New Roman" w:cstheme="minorHAnsi"/>
          <w:lang w:eastAsia="de-CH"/>
        </w:rPr>
        <w:t xml:space="preserve">when simulating </w:t>
      </w:r>
      <w:r w:rsidR="00646F8A" w:rsidRPr="00611C65">
        <w:rPr>
          <w:rFonts w:eastAsia="Times New Roman" w:cstheme="minorHAnsi"/>
          <w:lang w:eastAsia="de-CH"/>
        </w:rPr>
        <w:t xml:space="preserve">of low-carbon transitions. </w:t>
      </w:r>
      <w:r w:rsidR="00441C75" w:rsidRPr="00611C65">
        <w:rPr>
          <w:rFonts w:eastAsia="Times New Roman" w:cstheme="minorHAnsi"/>
          <w:lang w:eastAsia="de-CH"/>
        </w:rPr>
        <w:t>T</w:t>
      </w:r>
      <w:r w:rsidR="00D004BD" w:rsidRPr="00611C65">
        <w:t>he MEDEAS model simulations are negative in terms of the macroeconomic impacts of an energy transition – thereby, the negative impacts are substantially larger compared to the results of GIBM. This difference can be explained that MEDEAS inc</w:t>
      </w:r>
      <w:r w:rsidR="00441C75" w:rsidRPr="00611C65">
        <w:t>l</w:t>
      </w:r>
      <w:r w:rsidR="00D004BD" w:rsidRPr="00611C65">
        <w:t xml:space="preserve">udes global biophysical </w:t>
      </w:r>
      <w:r w:rsidR="009A494A" w:rsidRPr="00611C65">
        <w:t>constraints</w:t>
      </w:r>
      <w:r w:rsidR="00D004BD" w:rsidRPr="00611C65">
        <w:t xml:space="preserve"> (</w:t>
      </w:r>
      <w:proofErr w:type="gramStart"/>
      <w:r w:rsidR="00D004BD" w:rsidRPr="00611C65">
        <w:t>e.g.</w:t>
      </w:r>
      <w:proofErr w:type="gramEnd"/>
      <w:r w:rsidR="00D004BD" w:rsidRPr="00611C65">
        <w:t xml:space="preserve"> </w:t>
      </w:r>
      <w:r w:rsidR="009A494A" w:rsidRPr="00611C65">
        <w:t>resource</w:t>
      </w:r>
      <w:r w:rsidR="00D004BD" w:rsidRPr="00611C65">
        <w:t xml:space="preserve"> availability). That is, their results illustrate that GDP growth and employment creation can be halted due to energy constraints </w:t>
      </w:r>
      <w:r w:rsidR="00D004BD" w:rsidRPr="00611C65">
        <w:lastRenderedPageBreak/>
        <w:t xml:space="preserve">(even when considering great energy </w:t>
      </w:r>
      <w:r w:rsidR="009A494A" w:rsidRPr="00611C65">
        <w:t>efficiency</w:t>
      </w:r>
      <w:r w:rsidR="00D004BD" w:rsidRPr="00611C65">
        <w:t xml:space="preserve"> gains). </w:t>
      </w:r>
      <w:r w:rsidR="00646F8A" w:rsidRPr="00611C65">
        <w:t xml:space="preserve">In the case of </w:t>
      </w:r>
      <w:r w:rsidR="006000A7" w:rsidRPr="00611C65">
        <w:rPr>
          <w:rFonts w:cstheme="minorHAnsi"/>
        </w:rPr>
        <w:t xml:space="preserve">the </w:t>
      </w:r>
      <w:proofErr w:type="spellStart"/>
      <w:r w:rsidR="006000A7" w:rsidRPr="00611C65">
        <w:rPr>
          <w:rFonts w:cstheme="minorHAnsi"/>
        </w:rPr>
        <w:t>LowGrow</w:t>
      </w:r>
      <w:proofErr w:type="spellEnd"/>
      <w:r w:rsidR="006000A7" w:rsidRPr="00611C65">
        <w:rPr>
          <w:rFonts w:cstheme="minorHAnsi"/>
        </w:rPr>
        <w:t xml:space="preserve"> SFC model</w:t>
      </w:r>
      <w:r w:rsidR="00646F8A" w:rsidRPr="00611C65">
        <w:rPr>
          <w:rFonts w:cstheme="minorHAnsi"/>
        </w:rPr>
        <w:t>, t</w:t>
      </w:r>
      <w:r w:rsidR="00D004BD" w:rsidRPr="00611C65">
        <w:rPr>
          <w:rFonts w:eastAsia="Times New Roman" w:cstheme="minorHAnsi"/>
        </w:rPr>
        <w:t xml:space="preserve">his is because, in the model, it is assumed that all green investment is non-additional, that is, that </w:t>
      </w:r>
      <w:r w:rsidR="00441C75" w:rsidRPr="00611C65">
        <w:rPr>
          <w:rFonts w:eastAsia="Times New Roman" w:cstheme="minorHAnsi"/>
        </w:rPr>
        <w:t xml:space="preserve">green investment </w:t>
      </w:r>
      <w:r w:rsidR="00D004BD" w:rsidRPr="00611C65">
        <w:rPr>
          <w:rFonts w:eastAsia="Times New Roman" w:cstheme="minorHAnsi"/>
        </w:rPr>
        <w:t>displaces other intended investment</w:t>
      </w:r>
      <w:r w:rsidR="006000A7" w:rsidRPr="00611C65">
        <w:rPr>
          <w:rFonts w:eastAsia="Times New Roman" w:cstheme="minorHAnsi"/>
        </w:rPr>
        <w:t>. Moreover, in</w:t>
      </w:r>
      <w:r w:rsidR="00D004BD" w:rsidRPr="00611C65">
        <w:rPr>
          <w:rFonts w:eastAsia="Times New Roman" w:cstheme="minorHAnsi"/>
        </w:rPr>
        <w:t xml:space="preserve"> </w:t>
      </w:r>
      <w:proofErr w:type="spellStart"/>
      <w:r w:rsidR="00D004BD" w:rsidRPr="00611C65">
        <w:rPr>
          <w:rFonts w:eastAsia="Times New Roman" w:cstheme="minorHAnsi"/>
        </w:rPr>
        <w:t>LowGrow</w:t>
      </w:r>
      <w:proofErr w:type="spellEnd"/>
      <w:r w:rsidR="00D004BD" w:rsidRPr="00611C65">
        <w:rPr>
          <w:rFonts w:eastAsia="Times New Roman" w:cstheme="minorHAnsi"/>
        </w:rPr>
        <w:t xml:space="preserve"> SFC, </w:t>
      </w:r>
      <w:r w:rsidR="006000A7" w:rsidRPr="00611C65">
        <w:rPr>
          <w:rFonts w:eastAsia="Times New Roman" w:cstheme="minorHAnsi"/>
        </w:rPr>
        <w:t xml:space="preserve">the </w:t>
      </w:r>
      <w:r w:rsidR="00D004BD" w:rsidRPr="00611C65">
        <w:rPr>
          <w:rFonts w:eastAsia="Times New Roman" w:cstheme="minorHAnsi"/>
        </w:rPr>
        <w:t>diversion of investment away from the expansion of conventional ‘brown’ capital</w:t>
      </w:r>
      <w:r w:rsidR="006000A7" w:rsidRPr="00611C65">
        <w:rPr>
          <w:rFonts w:eastAsia="Times New Roman" w:cstheme="minorHAnsi"/>
        </w:rPr>
        <w:t xml:space="preserve"> implies </w:t>
      </w:r>
      <w:r w:rsidR="00D004BD" w:rsidRPr="00611C65">
        <w:rPr>
          <w:rFonts w:eastAsia="Times New Roman" w:cstheme="minorHAnsi"/>
        </w:rPr>
        <w:t xml:space="preserve">slower growth in </w:t>
      </w:r>
      <w:r w:rsidR="009A494A" w:rsidRPr="00611C65">
        <w:rPr>
          <w:rFonts w:eastAsia="Times New Roman" w:cstheme="minorHAnsi"/>
        </w:rPr>
        <w:t>labour</w:t>
      </w:r>
      <w:r w:rsidR="00D004BD" w:rsidRPr="00611C65">
        <w:rPr>
          <w:rFonts w:eastAsia="Times New Roman" w:cstheme="minorHAnsi"/>
        </w:rPr>
        <w:t xml:space="preserve"> productivity</w:t>
      </w:r>
      <w:r w:rsidR="006000A7" w:rsidRPr="00611C65">
        <w:rPr>
          <w:rFonts w:eastAsia="Times New Roman" w:cstheme="minorHAnsi"/>
        </w:rPr>
        <w:t xml:space="preserve">, which in turn translates lower GDP compared to the base-run. </w:t>
      </w:r>
    </w:p>
    <w:p w14:paraId="4BABA5C7" w14:textId="04D44F4C" w:rsidR="00593617" w:rsidRPr="00611C65" w:rsidRDefault="009A494A" w:rsidP="00593617">
      <w:r w:rsidRPr="00611C65">
        <w:rPr>
          <w:rFonts w:eastAsia="Times New Roman" w:cstheme="minorHAnsi"/>
        </w:rPr>
        <w:t>Naqvi</w:t>
      </w:r>
      <w:r w:rsidR="00593617" w:rsidRPr="00611C65">
        <w:rPr>
          <w:rFonts w:eastAsia="Times New Roman" w:cstheme="minorHAnsi"/>
        </w:rPr>
        <w:t xml:space="preserve"> (2018) tests the impact of a centralised ‘green’ policy that influences resource productivity directly by autonomously increasing the share of public R&amp;D </w:t>
      </w:r>
      <w:r w:rsidRPr="00611C65">
        <w:rPr>
          <w:rFonts w:eastAsia="Times New Roman" w:cstheme="minorHAnsi"/>
        </w:rPr>
        <w:t>towards</w:t>
      </w:r>
      <w:r w:rsidR="00593617" w:rsidRPr="00611C65">
        <w:rPr>
          <w:rFonts w:eastAsia="Times New Roman" w:cstheme="minorHAnsi"/>
        </w:rPr>
        <w:t xml:space="preserve"> resources and that also includes a </w:t>
      </w:r>
      <w:r w:rsidRPr="00611C65">
        <w:rPr>
          <w:rFonts w:eastAsia="Times New Roman" w:cstheme="minorHAnsi"/>
        </w:rPr>
        <w:t>resource</w:t>
      </w:r>
      <w:r w:rsidR="00593617" w:rsidRPr="00611C65">
        <w:rPr>
          <w:rFonts w:eastAsia="Times New Roman" w:cstheme="minorHAnsi"/>
        </w:rPr>
        <w:t xml:space="preserve"> tax. </w:t>
      </w:r>
      <w:proofErr w:type="gramStart"/>
      <w:r w:rsidR="00593617" w:rsidRPr="00611C65">
        <w:rPr>
          <w:rFonts w:eastAsia="Times New Roman" w:cstheme="minorHAnsi"/>
        </w:rPr>
        <w:t>The main drivers of the model results, in particular lower GDP and higher prices,</w:t>
      </w:r>
      <w:proofErr w:type="gramEnd"/>
      <w:r w:rsidR="00593617" w:rsidRPr="00611C65">
        <w:rPr>
          <w:rFonts w:eastAsia="Times New Roman" w:cstheme="minorHAnsi"/>
        </w:rPr>
        <w:t xml:space="preserve"> are the redir</w:t>
      </w:r>
      <w:r w:rsidR="00441C75" w:rsidRPr="00611C65">
        <w:rPr>
          <w:rFonts w:eastAsia="Times New Roman" w:cstheme="minorHAnsi"/>
        </w:rPr>
        <w:t>e</w:t>
      </w:r>
      <w:r w:rsidR="00593617" w:rsidRPr="00611C65">
        <w:rPr>
          <w:rFonts w:eastAsia="Times New Roman" w:cstheme="minorHAnsi"/>
        </w:rPr>
        <w:t xml:space="preserve">cting of consumption spending towards government spending </w:t>
      </w:r>
      <w:r w:rsidR="00441C75" w:rsidRPr="00611C65">
        <w:rPr>
          <w:rFonts w:eastAsia="Times New Roman" w:cstheme="minorHAnsi"/>
        </w:rPr>
        <w:t>to</w:t>
      </w:r>
      <w:r w:rsidR="00593617" w:rsidRPr="00611C65">
        <w:rPr>
          <w:rFonts w:eastAsia="Times New Roman" w:cstheme="minorHAnsi"/>
        </w:rPr>
        <w:t xml:space="preserve"> productivity improvement and the higher input costs due to resource taxes</w:t>
      </w:r>
      <w:r w:rsidR="00593617" w:rsidRPr="00611C65">
        <w:t xml:space="preserve">. </w:t>
      </w:r>
    </w:p>
    <w:p w14:paraId="1D6CC944" w14:textId="460F3934" w:rsidR="00D004BD" w:rsidRPr="00611C65" w:rsidRDefault="00D004BD" w:rsidP="00521230">
      <w:pPr>
        <w:autoSpaceDE w:val="0"/>
        <w:autoSpaceDN w:val="0"/>
        <w:adjustRightInd w:val="0"/>
        <w:spacing w:after="0"/>
      </w:pPr>
      <w:r w:rsidRPr="00611C65">
        <w:t xml:space="preserve">Finally, we compare the achieved results of GIBM with the </w:t>
      </w:r>
      <w:r w:rsidRPr="00611C65">
        <w:rPr>
          <w:rStyle w:val="gem-c-organisation-logoname"/>
        </w:rPr>
        <w:t>HM Revenue</w:t>
      </w:r>
      <w:r w:rsidRPr="00611C65">
        <w:t xml:space="preserve"> </w:t>
      </w:r>
      <w:r w:rsidRPr="00611C65">
        <w:rPr>
          <w:rStyle w:val="gem-c-organisation-logoname"/>
        </w:rPr>
        <w:t>&amp; Customs</w:t>
      </w:r>
      <w:r w:rsidRPr="00611C65">
        <w:t xml:space="preserve"> (HMRC) model. The HMRC model is characterised as a </w:t>
      </w:r>
      <w:r w:rsidR="009A494A" w:rsidRPr="00611C65">
        <w:t>Computable</w:t>
      </w:r>
      <w:r w:rsidRPr="00611C65">
        <w:t xml:space="preserve"> General Equilibrium (CGE) model and belongs therefore contrary to the other models considered before, to the class of equilibrium models. </w:t>
      </w:r>
      <w:proofErr w:type="gramStart"/>
      <w:r w:rsidR="00646F8A" w:rsidRPr="00611C65">
        <w:t>Similar to</w:t>
      </w:r>
      <w:proofErr w:type="gramEnd"/>
      <w:r w:rsidR="00646F8A" w:rsidRPr="00611C65">
        <w:t xml:space="preserve"> E3ME or </w:t>
      </w:r>
      <w:proofErr w:type="spellStart"/>
      <w:r w:rsidR="00646F8A" w:rsidRPr="00611C65">
        <w:t>Phanta</w:t>
      </w:r>
      <w:proofErr w:type="spellEnd"/>
      <w:r w:rsidR="00646F8A" w:rsidRPr="00611C65">
        <w:t xml:space="preserve"> </w:t>
      </w:r>
      <w:proofErr w:type="spellStart"/>
      <w:r w:rsidR="00646F8A" w:rsidRPr="00611C65">
        <w:t>Rhei</w:t>
      </w:r>
      <w:proofErr w:type="spellEnd"/>
      <w:r w:rsidR="00646F8A" w:rsidRPr="00611C65">
        <w:t>, t</w:t>
      </w:r>
      <w:r w:rsidRPr="00611C65">
        <w:t xml:space="preserve">he HRMC model </w:t>
      </w:r>
      <w:r w:rsidR="009A494A" w:rsidRPr="00611C65">
        <w:t>assumes</w:t>
      </w:r>
      <w:r w:rsidRPr="00611C65">
        <w:t xml:space="preserve"> that low-carbon energy infrastructure as higher costs than the ones of brown energy infrastructure. However, the results for all considered indicators achieved based on the HMRC show a different sign than the indicator results achieved by E3ME or </w:t>
      </w:r>
      <w:proofErr w:type="spellStart"/>
      <w:r w:rsidRPr="00611C65">
        <w:t>Pantha</w:t>
      </w:r>
      <w:proofErr w:type="spellEnd"/>
      <w:r w:rsidRPr="00611C65">
        <w:t xml:space="preserve"> </w:t>
      </w:r>
      <w:proofErr w:type="spellStart"/>
      <w:r w:rsidRPr="00611C65">
        <w:t>Rhei</w:t>
      </w:r>
      <w:proofErr w:type="spellEnd"/>
      <w:r w:rsidRPr="00611C65">
        <w:t xml:space="preserve">. This can be traced back to the different mechanisms inherent in equilibrium models vs. the ones inherent in the introduced </w:t>
      </w:r>
      <w:r w:rsidR="00441C75" w:rsidRPr="00611C65">
        <w:t xml:space="preserve">demand-led </w:t>
      </w:r>
      <w:r w:rsidRPr="00611C65">
        <w:t xml:space="preserve">simulation models, such as GIBM, EIRIN or E3ME. key differences in </w:t>
      </w:r>
      <w:r w:rsidR="00441C75" w:rsidRPr="00611C65">
        <w:t xml:space="preserve">the </w:t>
      </w:r>
      <w:r w:rsidRPr="00611C65">
        <w:t>model structure</w:t>
      </w:r>
      <w:r w:rsidR="00441C75" w:rsidRPr="00611C65">
        <w:t xml:space="preserve"> between the introduced simulation models and equilibrium models</w:t>
      </w:r>
      <w:r w:rsidRPr="00611C65">
        <w:t xml:space="preserve">, </w:t>
      </w:r>
      <w:r w:rsidR="00441C75" w:rsidRPr="00611C65">
        <w:t xml:space="preserve">include generally </w:t>
      </w:r>
      <w:r w:rsidRPr="00611C65">
        <w:t>a</w:t>
      </w:r>
      <w:r w:rsidRPr="00611C65">
        <w:rPr>
          <w:rFonts w:cstheme="minorHAnsi"/>
        </w:rPr>
        <w:t xml:space="preserve">doption of a fixed vs. endogenous money supply, </w:t>
      </w:r>
      <w:r w:rsidRPr="00611C65">
        <w:t>adoption of a supply-led vs. demand-led production, treatment of prices, treatment of unemployment and the assumption that the economy operates at full capacity (see Hafner et al., 2020</w:t>
      </w:r>
      <w:r w:rsidR="00CB6E38" w:rsidRPr="00611C65">
        <w:t>a</w:t>
      </w:r>
      <w:r w:rsidRPr="00611C65">
        <w:t xml:space="preserve">). </w:t>
      </w:r>
    </w:p>
    <w:p w14:paraId="29D143D4" w14:textId="74056DFD" w:rsidR="000C4200" w:rsidRPr="00611C65" w:rsidRDefault="00835EE7">
      <w:pPr>
        <w:pStyle w:val="Heading1"/>
        <w:rPr>
          <w:color w:val="auto"/>
        </w:rPr>
      </w:pPr>
      <w:r w:rsidRPr="00611C65">
        <w:rPr>
          <w:color w:val="auto"/>
        </w:rPr>
        <w:t>C</w:t>
      </w:r>
      <w:r w:rsidR="00080458" w:rsidRPr="00611C65">
        <w:rPr>
          <w:color w:val="auto"/>
        </w:rPr>
        <w:t>onclusions</w:t>
      </w:r>
      <w:r w:rsidRPr="00611C65">
        <w:rPr>
          <w:color w:val="auto"/>
        </w:rPr>
        <w:t xml:space="preserve"> and policy recommendations</w:t>
      </w:r>
    </w:p>
    <w:p w14:paraId="241FC818" w14:textId="4DD4A926" w:rsidR="001428F2" w:rsidRPr="00611C65" w:rsidRDefault="008B45B2" w:rsidP="00EA3AB4">
      <w:r w:rsidRPr="00611C65">
        <w:t xml:space="preserve">In this study, we evaluated </w:t>
      </w:r>
      <w:proofErr w:type="gramStart"/>
      <w:r w:rsidRPr="00611C65">
        <w:t>through the use of</w:t>
      </w:r>
      <w:proofErr w:type="gramEnd"/>
      <w:r w:rsidRPr="00611C65">
        <w:t xml:space="preserve"> the Green Investment Barrier Model (GIBM) macro-economic and </w:t>
      </w:r>
      <w:r w:rsidR="00B10324" w:rsidRPr="00611C65">
        <w:t>electricity</w:t>
      </w:r>
      <w:r w:rsidRPr="00611C65">
        <w:t xml:space="preserve"> system cost impacts of different low-carbon </w:t>
      </w:r>
      <w:r w:rsidR="00B10324" w:rsidRPr="00611C65">
        <w:t>electricity</w:t>
      </w:r>
      <w:r w:rsidRPr="00611C65">
        <w:t xml:space="preserve"> transitions. GIBM</w:t>
      </w:r>
      <w:r w:rsidR="00EA3AB4" w:rsidRPr="00611C65">
        <w:t xml:space="preserve"> is a </w:t>
      </w:r>
      <w:r w:rsidR="001428F2" w:rsidRPr="00611C65">
        <w:t xml:space="preserve">system dynamics </w:t>
      </w:r>
      <w:r w:rsidR="00EA3AB4" w:rsidRPr="00611C65">
        <w:t>simulation model as opposed to the more common equilibrium (optimization) models</w:t>
      </w:r>
      <w:r w:rsidR="001428F2" w:rsidRPr="00611C65">
        <w:t>. It pro</w:t>
      </w:r>
      <w:r w:rsidR="009A494A" w:rsidRPr="00611C65">
        <w:t>v</w:t>
      </w:r>
      <w:r w:rsidR="001428F2" w:rsidRPr="00611C65">
        <w:t xml:space="preserve">ides a holistic framework to test different low-carbon </w:t>
      </w:r>
      <w:r w:rsidR="00B10324" w:rsidRPr="00611C65">
        <w:t>electricity</w:t>
      </w:r>
      <w:r w:rsidR="001428F2" w:rsidRPr="00611C65">
        <w:t xml:space="preserve"> transition, including a very rapid transition that includes the immediate shut-down of all current </w:t>
      </w:r>
      <w:r w:rsidR="009A494A" w:rsidRPr="00611C65">
        <w:t>fossil fuel-based</w:t>
      </w:r>
      <w:r w:rsidR="001428F2" w:rsidRPr="00611C65">
        <w:t xml:space="preserve"> </w:t>
      </w:r>
      <w:r w:rsidR="00B10324" w:rsidRPr="00611C65">
        <w:t>electricity</w:t>
      </w:r>
      <w:r w:rsidR="001428F2" w:rsidRPr="00611C65">
        <w:t xml:space="preserve"> infrastructure. </w:t>
      </w:r>
      <w:r w:rsidR="00EA3AB4" w:rsidRPr="00611C65">
        <w:t xml:space="preserve">That is, </w:t>
      </w:r>
      <w:r w:rsidR="001428F2" w:rsidRPr="00611C65">
        <w:t>our study complements earlier studies on the macroeconomic impacts of low-carbon transition</w:t>
      </w:r>
      <w:r w:rsidR="009A494A" w:rsidRPr="00611C65">
        <w:t>s</w:t>
      </w:r>
      <w:r w:rsidR="001428F2" w:rsidRPr="00611C65">
        <w:t xml:space="preserve"> by testing a more radical </w:t>
      </w:r>
      <w:r w:rsidR="009A494A" w:rsidRPr="00611C65">
        <w:t xml:space="preserve">electricity decarbonisation </w:t>
      </w:r>
      <w:r w:rsidR="001428F2" w:rsidRPr="00611C65">
        <w:t xml:space="preserve">scenario, which is </w:t>
      </w:r>
      <w:r w:rsidR="009A494A" w:rsidRPr="00611C65">
        <w:t>increasingly demanded for</w:t>
      </w:r>
      <w:r w:rsidR="001428F2" w:rsidRPr="00611C65">
        <w:t xml:space="preserve"> by various social movement (</w:t>
      </w:r>
      <w:proofErr w:type="gramStart"/>
      <w:r w:rsidR="001428F2" w:rsidRPr="00611C65">
        <w:t>e.g.</w:t>
      </w:r>
      <w:proofErr w:type="gramEnd"/>
      <w:r w:rsidR="001428F2" w:rsidRPr="00611C65">
        <w:t xml:space="preserve"> Extinction Rebellion). </w:t>
      </w:r>
      <w:r w:rsidRPr="00611C65">
        <w:t xml:space="preserve">In addition, in contrast to earlier studies, our model is calibrated in a way that renewable </w:t>
      </w:r>
      <w:r w:rsidR="00B10324" w:rsidRPr="00611C65">
        <w:t>electricity</w:t>
      </w:r>
      <w:r w:rsidRPr="00611C65">
        <w:t xml:space="preserve"> production is </w:t>
      </w:r>
      <w:r w:rsidR="00A114D7" w:rsidRPr="00611C65">
        <w:t>o</w:t>
      </w:r>
      <w:r w:rsidRPr="00611C65">
        <w:t>n average cost-effective compared to fossil-fuel and nuclear based</w:t>
      </w:r>
      <w:r w:rsidR="009A494A" w:rsidRPr="00611C65">
        <w:t xml:space="preserve"> power production</w:t>
      </w:r>
      <w:r w:rsidRPr="00611C65">
        <w:t xml:space="preserve">, </w:t>
      </w:r>
      <w:r w:rsidR="009A494A" w:rsidRPr="00611C65">
        <w:t>leading to different macroeconomic effects of low-transition scenarios</w:t>
      </w:r>
      <w:r w:rsidRPr="00611C65">
        <w:t xml:space="preserve">. </w:t>
      </w:r>
    </w:p>
    <w:p w14:paraId="1539BEDE" w14:textId="73FC1048" w:rsidR="00166C67" w:rsidRPr="00611C65" w:rsidRDefault="008B45B2" w:rsidP="00185CFE">
      <w:r w:rsidRPr="00611C65">
        <w:t>While there is no clear win-win situation due to policy introduction, d</w:t>
      </w:r>
      <w:r w:rsidR="0036060A" w:rsidRPr="00611C65">
        <w:t xml:space="preserve">rawing on our simulation results, we recommend the implementation of a moderate or medium low-carbon </w:t>
      </w:r>
      <w:r w:rsidR="00B10324" w:rsidRPr="00611C65">
        <w:t>electricity</w:t>
      </w:r>
      <w:r w:rsidR="0036060A" w:rsidRPr="00611C65">
        <w:t xml:space="preserve"> transition scenario rather than reducing emissions in the </w:t>
      </w:r>
      <w:r w:rsidR="00B10324" w:rsidRPr="00611C65">
        <w:t>electricity</w:t>
      </w:r>
      <w:r w:rsidR="0036060A" w:rsidRPr="00611C65">
        <w:t xml:space="preserve"> sector to zero immediately</w:t>
      </w:r>
      <w:r w:rsidRPr="00611C65">
        <w:t>, as called for by for example Extinction Rebellion</w:t>
      </w:r>
      <w:r w:rsidR="0036060A" w:rsidRPr="00611C65">
        <w:t xml:space="preserve">. The reason is that under these scenarios the net-zero carbon emissions target for the </w:t>
      </w:r>
      <w:r w:rsidR="00B10324" w:rsidRPr="00611C65">
        <w:t>electricity</w:t>
      </w:r>
      <w:r w:rsidR="0036060A" w:rsidRPr="00611C65">
        <w:t xml:space="preserve"> sector is achieved, without increasing </w:t>
      </w:r>
      <w:r w:rsidR="00B10324" w:rsidRPr="00611C65">
        <w:t>electricity</w:t>
      </w:r>
      <w:r w:rsidR="0036060A" w:rsidRPr="00611C65">
        <w:t xml:space="preserve"> system costs or prices. Indeed, the implicit carbon price under both </w:t>
      </w:r>
      <w:r w:rsidR="00804604" w:rsidRPr="00611C65">
        <w:t xml:space="preserve">policy </w:t>
      </w:r>
      <w:r w:rsidR="0036060A" w:rsidRPr="00611C65">
        <w:t>scenarios is negative, amounting to -</w:t>
      </w:r>
      <w:r w:rsidR="00804604" w:rsidRPr="00611C65">
        <w:t>-</w:t>
      </w:r>
      <w:r w:rsidR="007C455D" w:rsidRPr="00611C65">
        <w:t>£</w:t>
      </w:r>
      <w:r w:rsidR="00D84552" w:rsidRPr="00611C65">
        <w:t>1</w:t>
      </w:r>
      <w:r w:rsidR="00804604" w:rsidRPr="00611C65">
        <w:t>170</w:t>
      </w:r>
      <w:r w:rsidR="007C455D" w:rsidRPr="00611C65">
        <w:t>/tonne</w:t>
      </w:r>
      <w:r w:rsidR="0036060A" w:rsidRPr="00611C65">
        <w:t xml:space="preserve"> </w:t>
      </w:r>
      <w:r w:rsidR="00D84552" w:rsidRPr="00611C65">
        <w:t>(moderate scenario) or -</w:t>
      </w:r>
      <w:r w:rsidR="007C455D" w:rsidRPr="00611C65">
        <w:t>£</w:t>
      </w:r>
      <w:r w:rsidR="00804604" w:rsidRPr="00611C65">
        <w:t>150</w:t>
      </w:r>
      <w:r w:rsidR="007C455D" w:rsidRPr="00611C65">
        <w:t>/tonne</w:t>
      </w:r>
      <w:r w:rsidR="0036060A" w:rsidRPr="00611C65">
        <w:t xml:space="preserve"> (medium scenario) of reduced carbon emissions. However, sensitivity testing revealed that under certain assumptions the implicit carbon price under </w:t>
      </w:r>
      <w:r w:rsidR="0036060A" w:rsidRPr="00611C65">
        <w:lastRenderedPageBreak/>
        <w:t>the medium scenario can become positive</w:t>
      </w:r>
      <w:r w:rsidR="00804604" w:rsidRPr="00611C65">
        <w:t xml:space="preserve">. </w:t>
      </w:r>
      <w:r w:rsidR="005B3416" w:rsidRPr="00611C65">
        <w:t>It should be noted that t</w:t>
      </w:r>
      <w:r w:rsidR="0036060A" w:rsidRPr="00611C65">
        <w:t xml:space="preserve">he transition pathway assumed for the medium scenario is a simple linear pathway of brown infrastructure destruction and has not been optimised for the implicit carbon price.  </w:t>
      </w:r>
    </w:p>
    <w:p w14:paraId="40FC8267" w14:textId="71936D14" w:rsidR="008B45B2" w:rsidRPr="00611C65" w:rsidRDefault="00166C67" w:rsidP="00185CFE">
      <w:r w:rsidRPr="00611C65">
        <w:t xml:space="preserve">In contrast to the rapid scenario, </w:t>
      </w:r>
      <w:r w:rsidR="00185CFE" w:rsidRPr="00611C65">
        <w:t>t</w:t>
      </w:r>
      <w:r w:rsidR="00B85BEA" w:rsidRPr="00611C65">
        <w:t xml:space="preserve">he moderate and medium </w:t>
      </w:r>
      <w:r w:rsidR="00B10324" w:rsidRPr="00611C65">
        <w:t>electricity</w:t>
      </w:r>
      <w:r w:rsidR="00B85BEA" w:rsidRPr="00611C65">
        <w:t xml:space="preserve"> policy scen</w:t>
      </w:r>
      <w:r w:rsidR="001A4D2C" w:rsidRPr="00611C65">
        <w:t xml:space="preserve">ario lead to lower </w:t>
      </w:r>
      <w:r w:rsidR="00B10324" w:rsidRPr="00611C65">
        <w:t>electricity</w:t>
      </w:r>
      <w:r w:rsidR="001A4D2C" w:rsidRPr="00611C65">
        <w:t xml:space="preserve"> infras</w:t>
      </w:r>
      <w:r w:rsidR="00B85BEA" w:rsidRPr="00611C65">
        <w:t>tructure investments compared to the base-run</w:t>
      </w:r>
      <w:r w:rsidR="00C77673" w:rsidRPr="00611C65">
        <w:t xml:space="preserve"> and therefore to lower GDP</w:t>
      </w:r>
      <w:r w:rsidR="00AA3C6D" w:rsidRPr="00611C65">
        <w:t xml:space="preserve"> and higher unemployment</w:t>
      </w:r>
      <w:r w:rsidR="00B85BEA" w:rsidRPr="00611C65">
        <w:t xml:space="preserve">. However, an </w:t>
      </w:r>
      <w:r w:rsidR="00251C7D" w:rsidRPr="00611C65">
        <w:t>increase in GDP</w:t>
      </w:r>
      <w:r w:rsidR="00AA3C6D" w:rsidRPr="00611C65">
        <w:t xml:space="preserve"> and decrease unemployment</w:t>
      </w:r>
      <w:r w:rsidR="00251C7D" w:rsidRPr="00611C65">
        <w:t xml:space="preserve"> </w:t>
      </w:r>
      <w:r w:rsidR="009F76BD" w:rsidRPr="00611C65">
        <w:t>under the</w:t>
      </w:r>
      <w:r w:rsidR="00251C7D" w:rsidRPr="00611C65">
        <w:t xml:space="preserve"> </w:t>
      </w:r>
      <w:r w:rsidR="00A80115" w:rsidRPr="00611C65">
        <w:t xml:space="preserve">moderate or </w:t>
      </w:r>
      <w:r w:rsidR="009B243E" w:rsidRPr="00611C65">
        <w:t>medium</w:t>
      </w:r>
      <w:r w:rsidR="00251C7D" w:rsidRPr="00611C65">
        <w:t xml:space="preserve"> </w:t>
      </w:r>
      <w:r w:rsidR="00B10324" w:rsidRPr="00611C65">
        <w:t>electricity</w:t>
      </w:r>
      <w:r w:rsidR="00251C7D" w:rsidRPr="00611C65">
        <w:t xml:space="preserve"> transition scenario </w:t>
      </w:r>
      <w:r w:rsidR="001A4D2C" w:rsidRPr="00611C65">
        <w:t xml:space="preserve">– </w:t>
      </w:r>
      <w:r w:rsidR="008B45B2" w:rsidRPr="00611C65">
        <w:t xml:space="preserve">or </w:t>
      </w:r>
      <w:r w:rsidR="001A4D2C" w:rsidRPr="00611C65">
        <w:t xml:space="preserve">more generally of a less rapid </w:t>
      </w:r>
      <w:r w:rsidR="00B10324" w:rsidRPr="00611C65">
        <w:t>electricity</w:t>
      </w:r>
      <w:r w:rsidR="001A4D2C" w:rsidRPr="00611C65">
        <w:t xml:space="preserve"> transition scenario - </w:t>
      </w:r>
      <w:r w:rsidR="00A80115" w:rsidRPr="00611C65">
        <w:t>could</w:t>
      </w:r>
      <w:r w:rsidR="00251C7D" w:rsidRPr="00611C65">
        <w:t xml:space="preserve"> be achieved by investing in other relevant sect</w:t>
      </w:r>
      <w:r w:rsidR="009B243E" w:rsidRPr="00611C65">
        <w:t>ors (</w:t>
      </w:r>
      <w:proofErr w:type="gramStart"/>
      <w:r w:rsidR="009B243E" w:rsidRPr="00611C65">
        <w:t>e.g.</w:t>
      </w:r>
      <w:proofErr w:type="gramEnd"/>
      <w:r w:rsidR="009B243E" w:rsidRPr="00611C65">
        <w:t xml:space="preserve"> transport</w:t>
      </w:r>
      <w:r w:rsidR="00DA1F23" w:rsidRPr="00611C65">
        <w:t>, health</w:t>
      </w:r>
      <w:r w:rsidR="009B243E" w:rsidRPr="00611C65">
        <w:t xml:space="preserve"> or housing). </w:t>
      </w:r>
      <w:r w:rsidR="00251C7D" w:rsidRPr="00611C65">
        <w:t>In addition, if the</w:t>
      </w:r>
      <w:r w:rsidR="009B243E" w:rsidRPr="00611C65">
        <w:t>se</w:t>
      </w:r>
      <w:r w:rsidR="00251C7D" w:rsidRPr="00611C65">
        <w:t xml:space="preserve"> investments were balanced over time (</w:t>
      </w:r>
      <w:proofErr w:type="gramStart"/>
      <w:r w:rsidR="00251C7D" w:rsidRPr="00611C65">
        <w:t>i.e.</w:t>
      </w:r>
      <w:proofErr w:type="gramEnd"/>
      <w:r w:rsidR="00251C7D" w:rsidRPr="00611C65">
        <w:t xml:space="preserve"> when there is no </w:t>
      </w:r>
      <w:r w:rsidR="00186E2C" w:rsidRPr="00611C65">
        <w:t xml:space="preserve">large </w:t>
      </w:r>
      <w:r w:rsidR="00251C7D" w:rsidRPr="00611C65">
        <w:t xml:space="preserve">peak at some point in time, as is the case </w:t>
      </w:r>
      <w:r w:rsidR="00186E2C" w:rsidRPr="00611C65">
        <w:t xml:space="preserve">in </w:t>
      </w:r>
      <w:r w:rsidR="00251C7D" w:rsidRPr="00611C65">
        <w:t xml:space="preserve">the </w:t>
      </w:r>
      <w:r w:rsidR="009B243E" w:rsidRPr="00611C65">
        <w:t>rapid</w:t>
      </w:r>
      <w:r w:rsidR="00251C7D" w:rsidRPr="00611C65">
        <w:t xml:space="preserve"> </w:t>
      </w:r>
      <w:r w:rsidR="00835571" w:rsidRPr="00611C65">
        <w:t>scenario</w:t>
      </w:r>
      <w:r w:rsidR="00251C7D" w:rsidRPr="00611C65">
        <w:t xml:space="preserve">), unemployment </w:t>
      </w:r>
      <w:r w:rsidR="009B243E" w:rsidRPr="00611C65">
        <w:t>rates do</w:t>
      </w:r>
      <w:r w:rsidR="00251C7D" w:rsidRPr="00611C65">
        <w:t xml:space="preserve"> not increase. This is because </w:t>
      </w:r>
      <w:r w:rsidR="002E1003" w:rsidRPr="00611C65">
        <w:t>under a balanced government</w:t>
      </w:r>
      <w:r w:rsidR="009B243E" w:rsidRPr="00611C65">
        <w:t xml:space="preserve"> investment</w:t>
      </w:r>
      <w:r w:rsidR="002E1003" w:rsidRPr="00611C65">
        <w:t xml:space="preserve">, the </w:t>
      </w:r>
      <w:r w:rsidR="00251C7D" w:rsidRPr="00611C65">
        <w:t xml:space="preserve">working age population </w:t>
      </w:r>
      <w:r w:rsidR="002E1003" w:rsidRPr="00611C65">
        <w:t xml:space="preserve">would not increase </w:t>
      </w:r>
      <w:r w:rsidR="00835571" w:rsidRPr="00611C65">
        <w:t>because of better labour market conditions</w:t>
      </w:r>
      <w:r w:rsidR="00186E2C" w:rsidRPr="00611C65">
        <w:t xml:space="preserve"> followed by a drop in opportunities leaving many unemployed</w:t>
      </w:r>
      <w:r w:rsidR="00835571" w:rsidRPr="00611C65">
        <w:t xml:space="preserve">. </w:t>
      </w:r>
      <w:r w:rsidR="00F676D3" w:rsidRPr="00611C65">
        <w:t xml:space="preserve">This </w:t>
      </w:r>
      <w:r w:rsidR="009F76BD" w:rsidRPr="00611C65">
        <w:t>further supports our recommendation for a medium or moderate transition</w:t>
      </w:r>
      <w:r w:rsidR="00F676D3" w:rsidRPr="00611C65">
        <w:t xml:space="preserve"> and </w:t>
      </w:r>
      <w:r w:rsidR="009F76BD" w:rsidRPr="00611C65">
        <w:t>further implies that</w:t>
      </w:r>
      <w:r w:rsidR="00AA3C6D" w:rsidRPr="00611C65">
        <w:t xml:space="preserve"> </w:t>
      </w:r>
      <w:r w:rsidR="001A4D2C" w:rsidRPr="00611C65">
        <w:t xml:space="preserve">the key trade-off </w:t>
      </w:r>
      <w:r w:rsidR="009F76BD" w:rsidRPr="00611C65">
        <w:t xml:space="preserve">among scenarios and policy indicators considered </w:t>
      </w:r>
      <w:r w:rsidR="001A4D2C" w:rsidRPr="00611C65">
        <w:t xml:space="preserve">becomes the speed in the reduction of carbon emissions vs. the increase in </w:t>
      </w:r>
      <w:r w:rsidR="00B10324" w:rsidRPr="00611C65">
        <w:t>electricity</w:t>
      </w:r>
      <w:r w:rsidR="001A4D2C" w:rsidRPr="00611C65">
        <w:t xml:space="preserve"> system costs. That is, the lower the speed in emission reduction, the lower the additional </w:t>
      </w:r>
      <w:r w:rsidR="00B10324" w:rsidRPr="00611C65">
        <w:t>electricity</w:t>
      </w:r>
      <w:r w:rsidR="001A4D2C" w:rsidRPr="00611C65">
        <w:t xml:space="preserve"> system costs are – and vice-versa. </w:t>
      </w:r>
      <w:r w:rsidR="009F76BD" w:rsidRPr="00611C65">
        <w:t>However, we highlight that other factors not included in this study, such as total accumulated emissions or the introduction of intermediate targets, should also be considered in a final choice between</w:t>
      </w:r>
      <w:r w:rsidR="009A494A" w:rsidRPr="00611C65">
        <w:t xml:space="preserve"> different</w:t>
      </w:r>
      <w:r w:rsidR="009F76BD" w:rsidRPr="00611C65">
        <w:t xml:space="preserve"> </w:t>
      </w:r>
      <w:r w:rsidR="00B10324" w:rsidRPr="00611C65">
        <w:t>electricity</w:t>
      </w:r>
      <w:r w:rsidR="009F76BD" w:rsidRPr="00611C65">
        <w:t xml:space="preserve"> transitions.</w:t>
      </w:r>
      <w:r w:rsidR="008B45B2" w:rsidRPr="00611C65">
        <w:t xml:space="preserve"> </w:t>
      </w:r>
    </w:p>
    <w:p w14:paraId="3B1493EE" w14:textId="77777777" w:rsidR="009419C9" w:rsidRPr="00611C65" w:rsidRDefault="009419C9">
      <w:pPr>
        <w:pStyle w:val="Heading2"/>
        <w:rPr>
          <w:color w:val="auto"/>
        </w:rPr>
      </w:pPr>
      <w:r w:rsidRPr="00611C65">
        <w:rPr>
          <w:color w:val="auto"/>
        </w:rPr>
        <w:t>Data availability</w:t>
      </w:r>
    </w:p>
    <w:p w14:paraId="081CD824" w14:textId="1786B5A8" w:rsidR="009419C9" w:rsidRPr="00611C65" w:rsidRDefault="009419C9" w:rsidP="000B4CB3">
      <w:r w:rsidRPr="00611C65">
        <w:t xml:space="preserve">The initial data and the simulation outcomes of the model that support the findings of this study are available </w:t>
      </w:r>
      <w:r w:rsidR="00BA6F6D" w:rsidRPr="00611C65">
        <w:t xml:space="preserve">at: </w:t>
      </w:r>
      <w:r w:rsidR="000B4CB3" w:rsidRPr="00611C65">
        <w:t xml:space="preserve">tbc. </w:t>
      </w:r>
    </w:p>
    <w:p w14:paraId="58B3B58F" w14:textId="780F9039" w:rsidR="009419C9" w:rsidRPr="00611C65" w:rsidRDefault="009419C9">
      <w:pPr>
        <w:pStyle w:val="Heading2"/>
        <w:rPr>
          <w:color w:val="auto"/>
        </w:rPr>
      </w:pPr>
      <w:r w:rsidRPr="00611C65">
        <w:rPr>
          <w:color w:val="auto"/>
        </w:rPr>
        <w:t>Code availability</w:t>
      </w:r>
    </w:p>
    <w:p w14:paraId="56CC599E" w14:textId="359F7469" w:rsidR="00D80498" w:rsidRPr="00611C65" w:rsidRDefault="009419C9" w:rsidP="00F328AE">
      <w:r w:rsidRPr="00611C65">
        <w:t xml:space="preserve">The Green Investment Barrier model was developed in </w:t>
      </w:r>
      <w:proofErr w:type="spellStart"/>
      <w:r w:rsidRPr="00611C65">
        <w:t>Vensim</w:t>
      </w:r>
      <w:proofErr w:type="spellEnd"/>
      <w:r w:rsidRPr="00611C65">
        <w:t xml:space="preserve"> </w:t>
      </w:r>
      <w:r w:rsidR="00DA1F23" w:rsidRPr="00611C65">
        <w:t xml:space="preserve">7 </w:t>
      </w:r>
      <w:r w:rsidRPr="00611C65">
        <w:t>DSS</w:t>
      </w:r>
      <w:r w:rsidR="00DA1F23" w:rsidRPr="00611C65">
        <w:rPr>
          <w:rStyle w:val="FootnoteReference"/>
        </w:rPr>
        <w:footnoteReference w:id="6"/>
      </w:r>
      <w:r w:rsidRPr="00611C65">
        <w:t xml:space="preserve">. The code for the model can be viewed at: </w:t>
      </w:r>
      <w:r w:rsidR="000B4CB3" w:rsidRPr="00611C65">
        <w:t xml:space="preserve">tbc. </w:t>
      </w:r>
    </w:p>
    <w:p w14:paraId="7B0666FA" w14:textId="03C425E7" w:rsidR="0069135D" w:rsidRPr="00611C65" w:rsidRDefault="0069135D">
      <w:pPr>
        <w:pStyle w:val="Heading2"/>
        <w:rPr>
          <w:rFonts w:eastAsia="CharisSIL"/>
          <w:color w:val="auto"/>
        </w:rPr>
      </w:pPr>
      <w:r w:rsidRPr="00611C65">
        <w:rPr>
          <w:rFonts w:eastAsia="CharisSIL"/>
          <w:color w:val="auto"/>
        </w:rPr>
        <w:t>Acknowledgements</w:t>
      </w:r>
    </w:p>
    <w:p w14:paraId="411FA47F" w14:textId="0EA6F611" w:rsidR="0069135D" w:rsidRPr="00611C65" w:rsidRDefault="0069135D" w:rsidP="00AE69EE">
      <w:r w:rsidRPr="00611C65">
        <w:t xml:space="preserve">The financial support of the Economic and Social Research Council for the Centre for the Understanding of Sustainable Prosperity (CUSP) (ESRC grant no: ES/M010163/1) is gratefully acknowledged. </w:t>
      </w:r>
      <w:r w:rsidRPr="00611C65">
        <w:br w:type="page"/>
      </w:r>
    </w:p>
    <w:p w14:paraId="19FBC55E" w14:textId="22815947" w:rsidR="005E51AA" w:rsidRPr="00611C65" w:rsidRDefault="0069135D" w:rsidP="00F471F5">
      <w:pPr>
        <w:pStyle w:val="Heading1"/>
        <w:rPr>
          <w:color w:val="auto"/>
        </w:rPr>
      </w:pPr>
      <w:r w:rsidRPr="00611C65">
        <w:rPr>
          <w:rFonts w:eastAsia="CharisSIL"/>
          <w:color w:val="auto"/>
        </w:rPr>
        <w:lastRenderedPageBreak/>
        <w:t>References</w:t>
      </w:r>
    </w:p>
    <w:tbl>
      <w:tblPr>
        <w:tblW w:w="10116" w:type="dxa"/>
        <w:tblCellMar>
          <w:left w:w="70" w:type="dxa"/>
          <w:right w:w="70" w:type="dxa"/>
        </w:tblCellMar>
        <w:tblLook w:val="04A0" w:firstRow="1" w:lastRow="0" w:firstColumn="1" w:lastColumn="0" w:noHBand="0" w:noVBand="1"/>
      </w:tblPr>
      <w:tblGrid>
        <w:gridCol w:w="10116"/>
      </w:tblGrid>
      <w:tr w:rsidR="00611C65" w:rsidRPr="00611C65" w14:paraId="295C60D6" w14:textId="77777777" w:rsidTr="00F471F5">
        <w:trPr>
          <w:trHeight w:val="290"/>
        </w:trPr>
        <w:tc>
          <w:tcPr>
            <w:tcW w:w="10116" w:type="dxa"/>
            <w:tcBorders>
              <w:top w:val="nil"/>
              <w:left w:val="nil"/>
              <w:bottom w:val="nil"/>
              <w:right w:val="nil"/>
            </w:tcBorders>
            <w:shd w:val="clear" w:color="auto" w:fill="auto"/>
            <w:noWrap/>
            <w:hideMark/>
          </w:tcPr>
          <w:p w14:paraId="3955BDBA"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 xml:space="preserve">Barker, T., Ekins, P., &amp; Foxon, T. (2007). Macroeconomic effects of efficiency policies for energy-intensive industries: the case of the UK Climate Change Agreements, 2000–2010. </w:t>
            </w:r>
            <w:r w:rsidRPr="00611C65">
              <w:rPr>
                <w:rFonts w:ascii="Calibri" w:eastAsia="Times New Roman" w:hAnsi="Calibri" w:cs="Calibri"/>
                <w:i/>
                <w:iCs/>
                <w:lang w:eastAsia="de-CH"/>
              </w:rPr>
              <w:t>Energy Economics, 29</w:t>
            </w:r>
            <w:r w:rsidRPr="00611C65">
              <w:rPr>
                <w:rFonts w:ascii="Calibri" w:eastAsia="Times New Roman" w:hAnsi="Calibri" w:cs="Calibri"/>
                <w:lang w:eastAsia="de-CH"/>
              </w:rPr>
              <w:t>(4), 760-778.</w:t>
            </w:r>
          </w:p>
        </w:tc>
      </w:tr>
      <w:tr w:rsidR="00611C65" w:rsidRPr="00611C65" w14:paraId="7195A69C" w14:textId="77777777" w:rsidTr="00F471F5">
        <w:trPr>
          <w:trHeight w:val="290"/>
        </w:trPr>
        <w:tc>
          <w:tcPr>
            <w:tcW w:w="10116" w:type="dxa"/>
            <w:tcBorders>
              <w:top w:val="nil"/>
              <w:left w:val="nil"/>
              <w:bottom w:val="nil"/>
              <w:right w:val="nil"/>
            </w:tcBorders>
            <w:shd w:val="clear" w:color="auto" w:fill="auto"/>
            <w:noWrap/>
            <w:hideMark/>
          </w:tcPr>
          <w:p w14:paraId="57FBCA88"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val="de-CH" w:eastAsia="de-CH"/>
              </w:rPr>
              <w:t xml:space="preserve">Böhringer, C., Rutherford, T. F., &amp; Wiegard, W. (2003). </w:t>
            </w:r>
            <w:r w:rsidRPr="00611C65">
              <w:rPr>
                <w:rFonts w:ascii="Calibri" w:eastAsia="Times New Roman" w:hAnsi="Calibri" w:cs="Calibri"/>
                <w:lang w:eastAsia="de-CH"/>
              </w:rPr>
              <w:t xml:space="preserve">Computable general equilibrium analysis: Opening a black box. </w:t>
            </w:r>
            <w:r w:rsidRPr="00611C65">
              <w:rPr>
                <w:rFonts w:ascii="Calibri" w:eastAsia="Times New Roman" w:hAnsi="Calibri" w:cs="Calibri"/>
                <w:i/>
                <w:iCs/>
                <w:lang w:eastAsia="de-CH"/>
              </w:rPr>
              <w:t>Working paper</w:t>
            </w:r>
            <w:r w:rsidRPr="00611C65">
              <w:rPr>
                <w:rFonts w:ascii="Calibri" w:eastAsia="Times New Roman" w:hAnsi="Calibri" w:cs="Calibri"/>
                <w:lang w:eastAsia="de-CH"/>
              </w:rPr>
              <w:t xml:space="preserve">. Available at: https://madoc.bib.uni-mannheim.de/363/ (Accessed 12.07.2019). </w:t>
            </w:r>
          </w:p>
        </w:tc>
      </w:tr>
      <w:tr w:rsidR="00611C65" w:rsidRPr="00611C65" w14:paraId="5EC73ABF" w14:textId="77777777" w:rsidTr="00F471F5">
        <w:trPr>
          <w:trHeight w:val="290"/>
        </w:trPr>
        <w:tc>
          <w:tcPr>
            <w:tcW w:w="10116" w:type="dxa"/>
            <w:tcBorders>
              <w:top w:val="nil"/>
              <w:left w:val="nil"/>
              <w:bottom w:val="nil"/>
              <w:right w:val="nil"/>
            </w:tcBorders>
            <w:shd w:val="clear" w:color="auto" w:fill="auto"/>
            <w:noWrap/>
            <w:hideMark/>
          </w:tcPr>
          <w:p w14:paraId="15259B65"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 xml:space="preserve">Cambridge Econometrics (CE) (2019). E3ME. </w:t>
            </w:r>
            <w:r w:rsidRPr="00611C65">
              <w:rPr>
                <w:rFonts w:ascii="Calibri" w:eastAsia="Times New Roman" w:hAnsi="Calibri" w:cs="Calibri"/>
                <w:i/>
                <w:iCs/>
                <w:lang w:eastAsia="de-CH"/>
              </w:rPr>
              <w:t>Technical Manual</w:t>
            </w:r>
            <w:r w:rsidRPr="00611C65">
              <w:rPr>
                <w:rFonts w:ascii="Calibri" w:eastAsia="Times New Roman" w:hAnsi="Calibri" w:cs="Calibri"/>
                <w:lang w:eastAsia="de-CH"/>
              </w:rPr>
              <w:t>, Version 6.1. March 2019. Available: https://www.e3me.com/wp-content/uploads/2019/09/E3ME-Technical-Manual-v6.1-onlineSML.pdf/ (Accessed 01.12.2019).</w:t>
            </w:r>
          </w:p>
        </w:tc>
      </w:tr>
      <w:tr w:rsidR="00611C65" w:rsidRPr="00611C65" w14:paraId="67ED9B25" w14:textId="77777777" w:rsidTr="00F471F5">
        <w:trPr>
          <w:trHeight w:val="290"/>
        </w:trPr>
        <w:tc>
          <w:tcPr>
            <w:tcW w:w="10116" w:type="dxa"/>
            <w:tcBorders>
              <w:top w:val="nil"/>
              <w:left w:val="nil"/>
              <w:bottom w:val="nil"/>
              <w:right w:val="nil"/>
            </w:tcBorders>
            <w:shd w:val="clear" w:color="auto" w:fill="auto"/>
            <w:noWrap/>
            <w:hideMark/>
          </w:tcPr>
          <w:p w14:paraId="1C258F0D"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Committee on Climate Change (CCC) (2010</w:t>
            </w:r>
            <w:r w:rsidRPr="00611C65">
              <w:rPr>
                <w:rFonts w:ascii="Calibri" w:eastAsia="Times New Roman" w:hAnsi="Calibri" w:cs="Calibri"/>
                <w:i/>
                <w:iCs/>
                <w:lang w:eastAsia="de-CH"/>
              </w:rPr>
              <w:t>). Framework document April 2010</w:t>
            </w:r>
            <w:r w:rsidRPr="00611C65">
              <w:rPr>
                <w:rFonts w:ascii="Calibri" w:eastAsia="Times New Roman" w:hAnsi="Calibri" w:cs="Calibri"/>
                <w:lang w:eastAsia="de-CH"/>
              </w:rPr>
              <w:t xml:space="preserve">. Available at: https://www.theccc.org.uk/wp-content/uploads/2013/03/CCCFramework-Document.pdf (Accessed 14.05.2020). </w:t>
            </w:r>
          </w:p>
        </w:tc>
      </w:tr>
      <w:tr w:rsidR="00611C65" w:rsidRPr="00611C65" w14:paraId="58B03E13" w14:textId="77777777" w:rsidTr="00F471F5">
        <w:trPr>
          <w:trHeight w:val="290"/>
        </w:trPr>
        <w:tc>
          <w:tcPr>
            <w:tcW w:w="10116" w:type="dxa"/>
            <w:tcBorders>
              <w:top w:val="nil"/>
              <w:left w:val="nil"/>
              <w:bottom w:val="nil"/>
              <w:right w:val="nil"/>
            </w:tcBorders>
            <w:shd w:val="clear" w:color="auto" w:fill="auto"/>
            <w:noWrap/>
            <w:hideMark/>
          </w:tcPr>
          <w:p w14:paraId="2165C7D7"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 xml:space="preserve">Committee on Climate Change (CCC) (2019). Net Zero – The UK’s contribution to stopping global warming. Available at: </w:t>
            </w:r>
            <w:r w:rsidRPr="00611C65">
              <w:rPr>
                <w:rFonts w:ascii="Calibri" w:eastAsia="Times New Roman" w:hAnsi="Calibri" w:cs="Calibri"/>
                <w:i/>
                <w:iCs/>
                <w:lang w:eastAsia="de-CH"/>
              </w:rPr>
              <w:t>https://www.theccc.org.uk/publication/net-zero-the-uks-contribution-to-stopping-global-warming</w:t>
            </w:r>
            <w:r w:rsidRPr="00611C65">
              <w:rPr>
                <w:rFonts w:ascii="Calibri" w:eastAsia="Times New Roman" w:hAnsi="Calibri" w:cs="Calibri"/>
                <w:lang w:eastAsia="de-CH"/>
              </w:rPr>
              <w:t xml:space="preserve">/ (Accessed 14.05.2019). </w:t>
            </w:r>
          </w:p>
        </w:tc>
      </w:tr>
      <w:tr w:rsidR="00611C65" w:rsidRPr="00611C65" w14:paraId="4627C5EE" w14:textId="77777777" w:rsidTr="00F471F5">
        <w:trPr>
          <w:trHeight w:val="290"/>
        </w:trPr>
        <w:tc>
          <w:tcPr>
            <w:tcW w:w="10116" w:type="dxa"/>
            <w:tcBorders>
              <w:top w:val="nil"/>
              <w:left w:val="nil"/>
              <w:bottom w:val="nil"/>
              <w:right w:val="nil"/>
            </w:tcBorders>
            <w:shd w:val="clear" w:color="auto" w:fill="auto"/>
            <w:noWrap/>
            <w:hideMark/>
          </w:tcPr>
          <w:p w14:paraId="7C4A36DD"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it-IT" w:eastAsia="de-CH"/>
              </w:rPr>
              <w:t xml:space="preserve">D’Alessandro, S., Cieplinski, A., Distefano, T., &amp; Dittmer, K. (2020). Feasible alternatives to green growth. </w:t>
            </w:r>
            <w:r w:rsidRPr="00611C65">
              <w:rPr>
                <w:rFonts w:ascii="Calibri" w:eastAsia="Times New Roman" w:hAnsi="Calibri" w:cs="Calibri"/>
                <w:i/>
                <w:iCs/>
                <w:lang w:val="it-IT" w:eastAsia="de-CH"/>
              </w:rPr>
              <w:t>Nature Sustainability, 3</w:t>
            </w:r>
            <w:r w:rsidRPr="00611C65">
              <w:rPr>
                <w:rFonts w:ascii="Calibri" w:eastAsia="Times New Roman" w:hAnsi="Calibri" w:cs="Calibri"/>
                <w:lang w:val="it-IT" w:eastAsia="de-CH"/>
              </w:rPr>
              <w:t>(4), 329-335.</w:t>
            </w:r>
          </w:p>
        </w:tc>
      </w:tr>
      <w:tr w:rsidR="00611C65" w:rsidRPr="00611C65" w14:paraId="1A1DD21D" w14:textId="77777777" w:rsidTr="00F471F5">
        <w:trPr>
          <w:trHeight w:val="290"/>
        </w:trPr>
        <w:tc>
          <w:tcPr>
            <w:tcW w:w="10116" w:type="dxa"/>
            <w:tcBorders>
              <w:top w:val="nil"/>
              <w:left w:val="nil"/>
              <w:bottom w:val="nil"/>
              <w:right w:val="nil"/>
            </w:tcBorders>
            <w:shd w:val="clear" w:color="auto" w:fill="auto"/>
            <w:noWrap/>
            <w:hideMark/>
          </w:tcPr>
          <w:p w14:paraId="7EE108DC"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 xml:space="preserve">Ekins, P., &amp; Etheridge, B. (2006). The environmental and economic impacts of the UK climate change agreements. </w:t>
            </w:r>
            <w:r w:rsidRPr="00611C65">
              <w:rPr>
                <w:rFonts w:ascii="Calibri" w:eastAsia="Times New Roman" w:hAnsi="Calibri" w:cs="Calibri"/>
                <w:i/>
                <w:iCs/>
                <w:lang w:eastAsia="de-CH"/>
              </w:rPr>
              <w:t>Energy policy</w:t>
            </w:r>
            <w:r w:rsidRPr="00611C65">
              <w:rPr>
                <w:rFonts w:ascii="Calibri" w:eastAsia="Times New Roman" w:hAnsi="Calibri" w:cs="Calibri"/>
                <w:lang w:eastAsia="de-CH"/>
              </w:rPr>
              <w:t>,</w:t>
            </w:r>
            <w:r w:rsidRPr="00611C65">
              <w:rPr>
                <w:rFonts w:ascii="Calibri" w:eastAsia="Times New Roman" w:hAnsi="Calibri" w:cs="Calibri"/>
                <w:i/>
                <w:iCs/>
                <w:lang w:eastAsia="de-CH"/>
              </w:rPr>
              <w:t xml:space="preserve"> 34</w:t>
            </w:r>
            <w:r w:rsidRPr="00611C65">
              <w:rPr>
                <w:rFonts w:ascii="Calibri" w:eastAsia="Times New Roman" w:hAnsi="Calibri" w:cs="Calibri"/>
                <w:lang w:eastAsia="de-CH"/>
              </w:rPr>
              <w:t xml:space="preserve">(15), 2071-2086. </w:t>
            </w:r>
          </w:p>
        </w:tc>
      </w:tr>
      <w:tr w:rsidR="00611C65" w:rsidRPr="00611C65" w14:paraId="3031CC72" w14:textId="77777777" w:rsidTr="00F471F5">
        <w:trPr>
          <w:trHeight w:val="290"/>
        </w:trPr>
        <w:tc>
          <w:tcPr>
            <w:tcW w:w="10116" w:type="dxa"/>
            <w:tcBorders>
              <w:top w:val="nil"/>
              <w:left w:val="nil"/>
              <w:bottom w:val="nil"/>
              <w:right w:val="nil"/>
            </w:tcBorders>
            <w:shd w:val="clear" w:color="auto" w:fill="auto"/>
            <w:noWrap/>
            <w:hideMark/>
          </w:tcPr>
          <w:p w14:paraId="0512757C"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de-CH" w:eastAsia="de-CH"/>
              </w:rPr>
              <w:t xml:space="preserve">Ekins, P., Anandarajah, G., &amp; Strachan, N. (2011). </w:t>
            </w:r>
            <w:r w:rsidRPr="00611C65">
              <w:rPr>
                <w:rFonts w:ascii="Calibri" w:eastAsia="Times New Roman" w:hAnsi="Calibri" w:cs="Calibri"/>
                <w:lang w:eastAsia="de-CH"/>
              </w:rPr>
              <w:t xml:space="preserve">Towards a low-carbon economy: scenarios and policies for the UK. </w:t>
            </w:r>
            <w:r w:rsidRPr="00611C65">
              <w:rPr>
                <w:rFonts w:ascii="Calibri" w:eastAsia="Times New Roman" w:hAnsi="Calibri" w:cs="Calibri"/>
                <w:i/>
                <w:iCs/>
                <w:lang w:val="de-CH" w:eastAsia="de-CH"/>
              </w:rPr>
              <w:t>Climate Policy, 11</w:t>
            </w:r>
            <w:r w:rsidRPr="00611C65">
              <w:rPr>
                <w:rFonts w:ascii="Calibri" w:eastAsia="Times New Roman" w:hAnsi="Calibri" w:cs="Calibri"/>
                <w:lang w:val="de-CH" w:eastAsia="de-CH"/>
              </w:rPr>
              <w:t xml:space="preserve">(2), 865-882. </w:t>
            </w:r>
          </w:p>
        </w:tc>
      </w:tr>
      <w:tr w:rsidR="00611C65" w:rsidRPr="00611C65" w14:paraId="3467D6D2" w14:textId="77777777" w:rsidTr="00F471F5">
        <w:trPr>
          <w:trHeight w:val="290"/>
        </w:trPr>
        <w:tc>
          <w:tcPr>
            <w:tcW w:w="10116" w:type="dxa"/>
            <w:tcBorders>
              <w:top w:val="nil"/>
              <w:left w:val="nil"/>
              <w:bottom w:val="nil"/>
              <w:right w:val="nil"/>
            </w:tcBorders>
            <w:shd w:val="clear" w:color="auto" w:fill="auto"/>
            <w:noWrap/>
            <w:hideMark/>
          </w:tcPr>
          <w:p w14:paraId="017D0650"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proofErr w:type="spellStart"/>
            <w:r w:rsidRPr="00611C65">
              <w:rPr>
                <w:rFonts w:ascii="Calibri" w:eastAsia="Times New Roman" w:hAnsi="Calibri" w:cs="Calibri"/>
                <w:lang w:eastAsia="de-CH"/>
              </w:rPr>
              <w:t>Filatriau</w:t>
            </w:r>
            <w:proofErr w:type="spellEnd"/>
            <w:r w:rsidRPr="00611C65">
              <w:rPr>
                <w:rFonts w:ascii="Calibri" w:eastAsia="Times New Roman" w:hAnsi="Calibri" w:cs="Calibri"/>
                <w:lang w:eastAsia="de-CH"/>
              </w:rPr>
              <w:t xml:space="preserve">, O., &amp; </w:t>
            </w:r>
            <w:proofErr w:type="spellStart"/>
            <w:r w:rsidRPr="00611C65">
              <w:rPr>
                <w:rFonts w:ascii="Calibri" w:eastAsia="Times New Roman" w:hAnsi="Calibri" w:cs="Calibri"/>
                <w:lang w:eastAsia="de-CH"/>
              </w:rPr>
              <w:t>Reynès</w:t>
            </w:r>
            <w:proofErr w:type="spellEnd"/>
            <w:r w:rsidRPr="00611C65">
              <w:rPr>
                <w:rFonts w:ascii="Calibri" w:eastAsia="Times New Roman" w:hAnsi="Calibri" w:cs="Calibri"/>
                <w:lang w:eastAsia="de-CH"/>
              </w:rPr>
              <w:t xml:space="preserve">, F. (2012). A new estimate of discouraged and additional worker effects on </w:t>
            </w:r>
            <w:proofErr w:type="spellStart"/>
            <w:r w:rsidRPr="00611C65">
              <w:rPr>
                <w:rFonts w:ascii="Calibri" w:eastAsia="Times New Roman" w:hAnsi="Calibri" w:cs="Calibri"/>
                <w:lang w:eastAsia="de-CH"/>
              </w:rPr>
              <w:t>labor</w:t>
            </w:r>
            <w:proofErr w:type="spellEnd"/>
            <w:r w:rsidRPr="00611C65">
              <w:rPr>
                <w:rFonts w:ascii="Calibri" w:eastAsia="Times New Roman" w:hAnsi="Calibri" w:cs="Calibri"/>
                <w:lang w:eastAsia="de-CH"/>
              </w:rPr>
              <w:t xml:space="preserve"> participation by sex and age in OECD countries. OFCE Document de travail, 9.</w:t>
            </w:r>
          </w:p>
        </w:tc>
      </w:tr>
      <w:tr w:rsidR="00611C65" w:rsidRPr="00611C65" w14:paraId="074F99FE" w14:textId="77777777" w:rsidTr="00F471F5">
        <w:trPr>
          <w:trHeight w:val="290"/>
        </w:trPr>
        <w:tc>
          <w:tcPr>
            <w:tcW w:w="10116" w:type="dxa"/>
            <w:tcBorders>
              <w:top w:val="nil"/>
              <w:left w:val="nil"/>
              <w:bottom w:val="nil"/>
              <w:right w:val="nil"/>
            </w:tcBorders>
            <w:shd w:val="clear" w:color="auto" w:fill="auto"/>
            <w:noWrap/>
            <w:hideMark/>
          </w:tcPr>
          <w:p w14:paraId="0EA91321"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 xml:space="preserve">Fontana, G., &amp; Sawyer, M. (2016). Towards post-Keynesian ecological macroeconomics. </w:t>
            </w:r>
            <w:r w:rsidRPr="00611C65">
              <w:rPr>
                <w:rFonts w:ascii="Calibri" w:eastAsia="Times New Roman" w:hAnsi="Calibri" w:cs="Calibri"/>
                <w:i/>
                <w:iCs/>
                <w:lang w:eastAsia="de-CH"/>
              </w:rPr>
              <w:t>Ecological Economics, 121</w:t>
            </w:r>
            <w:r w:rsidRPr="00611C65">
              <w:rPr>
                <w:rFonts w:ascii="Calibri" w:eastAsia="Times New Roman" w:hAnsi="Calibri" w:cs="Calibri"/>
                <w:lang w:eastAsia="de-CH"/>
              </w:rPr>
              <w:t xml:space="preserve">, 186-195. </w:t>
            </w:r>
          </w:p>
        </w:tc>
      </w:tr>
      <w:tr w:rsidR="00611C65" w:rsidRPr="00611C65" w14:paraId="2E6C5A93" w14:textId="77777777" w:rsidTr="00F471F5">
        <w:trPr>
          <w:trHeight w:val="290"/>
        </w:trPr>
        <w:tc>
          <w:tcPr>
            <w:tcW w:w="10116" w:type="dxa"/>
            <w:tcBorders>
              <w:top w:val="nil"/>
              <w:left w:val="nil"/>
              <w:bottom w:val="nil"/>
              <w:right w:val="nil"/>
            </w:tcBorders>
            <w:shd w:val="clear" w:color="auto" w:fill="auto"/>
            <w:noWrap/>
            <w:hideMark/>
          </w:tcPr>
          <w:p w14:paraId="13D35B90"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Forrester, J. W. (1958). Industrial dynamics-</w:t>
            </w:r>
            <w:proofErr w:type="gramStart"/>
            <w:r w:rsidRPr="00611C65">
              <w:rPr>
                <w:rFonts w:ascii="Calibri" w:eastAsia="Times New Roman" w:hAnsi="Calibri" w:cs="Calibri"/>
                <w:lang w:eastAsia="de-CH"/>
              </w:rPr>
              <w:t>a major breakthrough</w:t>
            </w:r>
            <w:proofErr w:type="gramEnd"/>
            <w:r w:rsidRPr="00611C65">
              <w:rPr>
                <w:rFonts w:ascii="Calibri" w:eastAsia="Times New Roman" w:hAnsi="Calibri" w:cs="Calibri"/>
                <w:lang w:eastAsia="de-CH"/>
              </w:rPr>
              <w:t xml:space="preserve"> for decision makers. </w:t>
            </w:r>
            <w:r w:rsidRPr="00611C65">
              <w:rPr>
                <w:rFonts w:ascii="Calibri" w:eastAsia="Times New Roman" w:hAnsi="Calibri" w:cs="Calibri"/>
                <w:i/>
                <w:iCs/>
                <w:lang w:eastAsia="de-CH"/>
              </w:rPr>
              <w:t>Harvard business review</w:t>
            </w:r>
            <w:r w:rsidRPr="00611C65">
              <w:rPr>
                <w:rFonts w:ascii="Calibri" w:eastAsia="Times New Roman" w:hAnsi="Calibri" w:cs="Calibri"/>
                <w:lang w:eastAsia="de-CH"/>
              </w:rPr>
              <w:t xml:space="preserve">, </w:t>
            </w:r>
            <w:r w:rsidRPr="00611C65">
              <w:rPr>
                <w:rFonts w:ascii="Calibri" w:eastAsia="Times New Roman" w:hAnsi="Calibri" w:cs="Calibri"/>
                <w:i/>
                <w:iCs/>
                <w:lang w:eastAsia="de-CH"/>
              </w:rPr>
              <w:t>36</w:t>
            </w:r>
            <w:r w:rsidRPr="00611C65">
              <w:rPr>
                <w:rFonts w:ascii="Calibri" w:eastAsia="Times New Roman" w:hAnsi="Calibri" w:cs="Calibri"/>
                <w:lang w:eastAsia="de-CH"/>
              </w:rPr>
              <w:t>(4), 37.</w:t>
            </w:r>
          </w:p>
        </w:tc>
      </w:tr>
      <w:tr w:rsidR="00611C65" w:rsidRPr="00611C65" w14:paraId="3891B6F4" w14:textId="77777777" w:rsidTr="00F471F5">
        <w:trPr>
          <w:trHeight w:val="300"/>
        </w:trPr>
        <w:tc>
          <w:tcPr>
            <w:tcW w:w="10116" w:type="dxa"/>
            <w:tcBorders>
              <w:top w:val="nil"/>
              <w:left w:val="nil"/>
              <w:bottom w:val="nil"/>
              <w:right w:val="nil"/>
            </w:tcBorders>
            <w:shd w:val="clear" w:color="auto" w:fill="auto"/>
            <w:noWrap/>
            <w:hideMark/>
          </w:tcPr>
          <w:p w14:paraId="0DDB7E87"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theme="minorHAnsi"/>
                <w:lang w:eastAsia="de-CH"/>
              </w:rPr>
              <w:t>Hafner, S., Anger-Kraavi, A., Monasterolo, I. &amp; Jones, A. (2020a). Emergence of ‘new economics’ energy transition models: a review. Ecological Economics (accepted).</w:t>
            </w:r>
          </w:p>
        </w:tc>
      </w:tr>
      <w:tr w:rsidR="00611C65" w:rsidRPr="00611C65" w14:paraId="1AACEBC9" w14:textId="77777777" w:rsidTr="00F471F5">
        <w:trPr>
          <w:trHeight w:val="290"/>
        </w:trPr>
        <w:tc>
          <w:tcPr>
            <w:tcW w:w="10116" w:type="dxa"/>
            <w:tcBorders>
              <w:top w:val="nil"/>
              <w:left w:val="nil"/>
              <w:bottom w:val="nil"/>
              <w:right w:val="nil"/>
            </w:tcBorders>
            <w:shd w:val="clear" w:color="auto" w:fill="auto"/>
            <w:noWrap/>
            <w:hideMark/>
          </w:tcPr>
          <w:p w14:paraId="49248FC9"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de-CH" w:eastAsia="de-CH"/>
              </w:rPr>
              <w:t xml:space="preserve">Hafner, S., Jones, A., Anger-Kraavi, A., &amp; Pohl, J. (2020b). </w:t>
            </w:r>
            <w:r w:rsidRPr="00611C65">
              <w:rPr>
                <w:rFonts w:ascii="Calibri" w:eastAsia="Times New Roman" w:hAnsi="Calibri" w:cs="Calibri"/>
                <w:lang w:eastAsia="de-CH"/>
              </w:rPr>
              <w:t>Closing the green finance gap–A systems perspective. </w:t>
            </w:r>
            <w:r w:rsidRPr="00611C65">
              <w:rPr>
                <w:rFonts w:ascii="Calibri" w:eastAsia="Times New Roman" w:hAnsi="Calibri" w:cs="Calibri"/>
                <w:i/>
                <w:iCs/>
                <w:lang w:val="de-CH" w:eastAsia="de-CH"/>
              </w:rPr>
              <w:t>Environmental Innovation and Societal Transitions</w:t>
            </w:r>
            <w:r w:rsidRPr="00611C65">
              <w:rPr>
                <w:rFonts w:ascii="Calibri" w:eastAsia="Times New Roman" w:hAnsi="Calibri" w:cs="Calibri"/>
                <w:lang w:val="de-CH" w:eastAsia="de-CH"/>
              </w:rPr>
              <w:t>, </w:t>
            </w:r>
            <w:r w:rsidRPr="00611C65">
              <w:rPr>
                <w:rFonts w:ascii="Calibri" w:eastAsia="Times New Roman" w:hAnsi="Calibri" w:cs="Calibri"/>
                <w:i/>
                <w:iCs/>
                <w:lang w:val="de-CH" w:eastAsia="de-CH"/>
              </w:rPr>
              <w:t>34</w:t>
            </w:r>
            <w:r w:rsidRPr="00611C65">
              <w:rPr>
                <w:rFonts w:ascii="Calibri" w:eastAsia="Times New Roman" w:hAnsi="Calibri" w:cs="Calibri"/>
                <w:lang w:val="de-CH" w:eastAsia="de-CH"/>
              </w:rPr>
              <w:t xml:space="preserve">, 26-60. </w:t>
            </w:r>
          </w:p>
        </w:tc>
      </w:tr>
      <w:tr w:rsidR="00611C65" w:rsidRPr="00611C65" w14:paraId="4898BEB8" w14:textId="77777777" w:rsidTr="00F471F5">
        <w:trPr>
          <w:trHeight w:val="290"/>
        </w:trPr>
        <w:tc>
          <w:tcPr>
            <w:tcW w:w="10116" w:type="dxa"/>
            <w:tcBorders>
              <w:top w:val="nil"/>
              <w:left w:val="nil"/>
              <w:bottom w:val="nil"/>
              <w:right w:val="nil"/>
            </w:tcBorders>
            <w:shd w:val="clear" w:color="auto" w:fill="auto"/>
            <w:noWrap/>
            <w:hideMark/>
          </w:tcPr>
          <w:p w14:paraId="76DE48B8"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theme="minorHAnsi"/>
                <w:lang w:val="de-CH" w:eastAsia="de-CH"/>
              </w:rPr>
              <w:t xml:space="preserve">Hafner, S., Jones, A. &amp; Anger-Kraavi, A. (forthcoming). </w:t>
            </w:r>
            <w:r w:rsidRPr="00611C65">
              <w:rPr>
                <w:rFonts w:ascii="Calibri" w:eastAsia="Times New Roman" w:hAnsi="Calibri" w:cstheme="minorHAnsi"/>
                <w:lang w:eastAsia="de-CH"/>
              </w:rPr>
              <w:t>Closing the green finance gap in the context of a green energy transition: policy recommendations and macroeconomic consequences. </w:t>
            </w:r>
            <w:r w:rsidRPr="00611C65">
              <w:rPr>
                <w:rFonts w:ascii="Calibri" w:eastAsia="Times New Roman" w:hAnsi="Calibri" w:cs="Calibri"/>
                <w:i/>
                <w:iCs/>
                <w:lang w:eastAsia="de-CH"/>
              </w:rPr>
              <w:t>Environmental Innovation and Societal Transitions</w:t>
            </w:r>
            <w:r w:rsidRPr="00611C65">
              <w:rPr>
                <w:rFonts w:ascii="Calibri" w:eastAsia="Times New Roman" w:hAnsi="Calibri" w:cs="Calibri"/>
                <w:lang w:eastAsia="de-CH"/>
              </w:rPr>
              <w:t xml:space="preserve"> (submitted). </w:t>
            </w:r>
          </w:p>
        </w:tc>
      </w:tr>
      <w:tr w:rsidR="00611C65" w:rsidRPr="00611C65" w14:paraId="7D4589EF" w14:textId="77777777" w:rsidTr="00F471F5">
        <w:trPr>
          <w:trHeight w:val="290"/>
        </w:trPr>
        <w:tc>
          <w:tcPr>
            <w:tcW w:w="10116" w:type="dxa"/>
            <w:tcBorders>
              <w:top w:val="nil"/>
              <w:left w:val="nil"/>
              <w:bottom w:val="nil"/>
              <w:right w:val="nil"/>
            </w:tcBorders>
            <w:shd w:val="clear" w:color="auto" w:fill="auto"/>
            <w:noWrap/>
            <w:hideMark/>
          </w:tcPr>
          <w:p w14:paraId="26D966B2"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nl-NL" w:eastAsia="de-CH"/>
              </w:rPr>
              <w:t xml:space="preserve">Hardt, L., &amp; O'Neill, D. W. (2017). </w:t>
            </w:r>
            <w:r w:rsidRPr="00611C65">
              <w:rPr>
                <w:rFonts w:ascii="Calibri" w:eastAsia="Times New Roman" w:hAnsi="Calibri" w:cs="Calibri"/>
                <w:lang w:eastAsia="de-CH"/>
              </w:rPr>
              <w:t xml:space="preserve">Ecological Macroeconomic Models: Assessing Current Developments. </w:t>
            </w:r>
            <w:r w:rsidRPr="00611C65">
              <w:rPr>
                <w:rFonts w:ascii="Calibri" w:eastAsia="Times New Roman" w:hAnsi="Calibri" w:cs="Calibri"/>
                <w:i/>
                <w:iCs/>
                <w:lang w:eastAsia="de-CH"/>
              </w:rPr>
              <w:t>Ecological Economics, 134</w:t>
            </w:r>
            <w:r w:rsidRPr="00611C65">
              <w:rPr>
                <w:rFonts w:ascii="Calibri" w:eastAsia="Times New Roman" w:hAnsi="Calibri" w:cs="Calibri"/>
                <w:lang w:eastAsia="de-CH"/>
              </w:rPr>
              <w:t xml:space="preserve">, 198-211. </w:t>
            </w:r>
          </w:p>
        </w:tc>
      </w:tr>
      <w:tr w:rsidR="00611C65" w:rsidRPr="00611C65" w14:paraId="249010A7" w14:textId="77777777" w:rsidTr="00F471F5">
        <w:trPr>
          <w:trHeight w:val="290"/>
        </w:trPr>
        <w:tc>
          <w:tcPr>
            <w:tcW w:w="10116" w:type="dxa"/>
            <w:tcBorders>
              <w:top w:val="nil"/>
              <w:left w:val="nil"/>
              <w:bottom w:val="nil"/>
              <w:right w:val="nil"/>
            </w:tcBorders>
            <w:shd w:val="clear" w:color="auto" w:fill="auto"/>
            <w:noWrap/>
            <w:hideMark/>
          </w:tcPr>
          <w:p w14:paraId="6FC99CC4"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lastRenderedPageBreak/>
              <w:t xml:space="preserve">Intergovernmental Panel on Climate Change (IPCC) (2014). Climate Change 2014. </w:t>
            </w:r>
            <w:r w:rsidRPr="00611C65">
              <w:rPr>
                <w:rFonts w:ascii="Calibri" w:eastAsia="Times New Roman" w:hAnsi="Calibri" w:cs="Calibri"/>
                <w:i/>
                <w:iCs/>
                <w:lang w:eastAsia="de-CH"/>
              </w:rPr>
              <w:t>Synthesis Report.</w:t>
            </w:r>
            <w:r w:rsidRPr="00611C65">
              <w:rPr>
                <w:rFonts w:ascii="Calibri" w:eastAsia="Times New Roman" w:hAnsi="Calibri" w:cs="Calibri"/>
                <w:lang w:eastAsia="de-CH"/>
              </w:rPr>
              <w:t xml:space="preserve"> Summary for Policymakers. Available at: https://www.ipcc.ch/pdf/assessment-report/ar5/syr/AR5_SYR_FINAL_SPM.pdf (02.05.2020). </w:t>
            </w:r>
          </w:p>
        </w:tc>
      </w:tr>
      <w:tr w:rsidR="00611C65" w:rsidRPr="00611C65" w14:paraId="15351DC0" w14:textId="77777777" w:rsidTr="00F471F5">
        <w:trPr>
          <w:trHeight w:val="290"/>
        </w:trPr>
        <w:tc>
          <w:tcPr>
            <w:tcW w:w="10116" w:type="dxa"/>
            <w:tcBorders>
              <w:top w:val="nil"/>
              <w:left w:val="nil"/>
              <w:bottom w:val="nil"/>
              <w:right w:val="nil"/>
            </w:tcBorders>
            <w:shd w:val="clear" w:color="auto" w:fill="auto"/>
            <w:noWrap/>
            <w:hideMark/>
          </w:tcPr>
          <w:p w14:paraId="45DB9D7A"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 xml:space="preserve">IPCC (2019). </w:t>
            </w:r>
            <w:r w:rsidRPr="00611C65">
              <w:rPr>
                <w:rFonts w:ascii="Calibri" w:eastAsia="Times New Roman" w:hAnsi="Calibri" w:cs="Calibri"/>
                <w:i/>
                <w:iCs/>
                <w:lang w:eastAsia="de-CH"/>
              </w:rPr>
              <w:t>Global Warming of 1.5 C</w:t>
            </w:r>
            <w:r w:rsidRPr="00611C65">
              <w:rPr>
                <w:rFonts w:ascii="Calibri" w:eastAsia="Times New Roman" w:hAnsi="Calibri" w:cs="Calibri"/>
                <w:lang w:eastAsia="de-CH"/>
              </w:rPr>
              <w:t>. Available at: https://www.ipcc.ch/site/assets/uploads/2018/10/SR15_SPM_version_stand_alone_LR.pdf (</w:t>
            </w:r>
            <w:proofErr w:type="spellStart"/>
            <w:r w:rsidRPr="00611C65">
              <w:rPr>
                <w:rFonts w:ascii="Calibri" w:eastAsia="Times New Roman" w:hAnsi="Calibri" w:cs="Calibri"/>
                <w:lang w:eastAsia="de-CH"/>
              </w:rPr>
              <w:t>Acessed</w:t>
            </w:r>
            <w:proofErr w:type="spellEnd"/>
            <w:r w:rsidRPr="00611C65">
              <w:rPr>
                <w:rFonts w:ascii="Calibri" w:eastAsia="Times New Roman" w:hAnsi="Calibri" w:cs="Calibri"/>
                <w:lang w:eastAsia="de-CH"/>
              </w:rPr>
              <w:t xml:space="preserve"> at 05.04.2020). </w:t>
            </w:r>
          </w:p>
        </w:tc>
      </w:tr>
      <w:tr w:rsidR="00611C65" w:rsidRPr="00611C65" w14:paraId="22CBAAA3" w14:textId="77777777" w:rsidTr="00F471F5">
        <w:trPr>
          <w:trHeight w:val="290"/>
        </w:trPr>
        <w:tc>
          <w:tcPr>
            <w:tcW w:w="10116" w:type="dxa"/>
            <w:tcBorders>
              <w:top w:val="nil"/>
              <w:left w:val="nil"/>
              <w:bottom w:val="nil"/>
              <w:right w:val="nil"/>
            </w:tcBorders>
            <w:shd w:val="clear" w:color="auto" w:fill="auto"/>
            <w:noWrap/>
            <w:hideMark/>
          </w:tcPr>
          <w:p w14:paraId="31C30CB8"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Arial"/>
                <w:lang w:eastAsia="en-GB"/>
              </w:rPr>
              <w:t xml:space="preserve">Mercure, J. F., Knobloch, F., Pollitt, H., </w:t>
            </w:r>
            <w:proofErr w:type="spellStart"/>
            <w:r w:rsidRPr="00611C65">
              <w:rPr>
                <w:rFonts w:ascii="Calibri" w:eastAsia="Times New Roman" w:hAnsi="Calibri" w:cs="Arial"/>
                <w:lang w:eastAsia="en-GB"/>
              </w:rPr>
              <w:t>Paroussos</w:t>
            </w:r>
            <w:proofErr w:type="spellEnd"/>
            <w:r w:rsidRPr="00611C65">
              <w:rPr>
                <w:rFonts w:ascii="Calibri" w:eastAsia="Times New Roman" w:hAnsi="Calibri" w:cs="Arial"/>
                <w:lang w:eastAsia="en-GB"/>
              </w:rPr>
              <w:t xml:space="preserve">, L., </w:t>
            </w:r>
            <w:proofErr w:type="spellStart"/>
            <w:r w:rsidRPr="00611C65">
              <w:rPr>
                <w:rFonts w:ascii="Calibri" w:eastAsia="Times New Roman" w:hAnsi="Calibri" w:cs="Arial"/>
                <w:lang w:eastAsia="en-GB"/>
              </w:rPr>
              <w:t>Scrieciu</w:t>
            </w:r>
            <w:proofErr w:type="spellEnd"/>
            <w:r w:rsidRPr="00611C65">
              <w:rPr>
                <w:rFonts w:ascii="Calibri" w:eastAsia="Times New Roman" w:hAnsi="Calibri" w:cs="Arial"/>
                <w:lang w:eastAsia="en-GB"/>
              </w:rPr>
              <w:t xml:space="preserve">, S. S., &amp; </w:t>
            </w:r>
            <w:proofErr w:type="spellStart"/>
            <w:r w:rsidRPr="00611C65">
              <w:rPr>
                <w:rFonts w:ascii="Calibri" w:eastAsia="Times New Roman" w:hAnsi="Calibri" w:cs="Arial"/>
                <w:lang w:eastAsia="en-GB"/>
              </w:rPr>
              <w:t>Lewney</w:t>
            </w:r>
            <w:proofErr w:type="spellEnd"/>
            <w:r w:rsidRPr="00611C65">
              <w:rPr>
                <w:rFonts w:ascii="Calibri" w:eastAsia="Times New Roman" w:hAnsi="Calibri" w:cs="Arial"/>
                <w:lang w:eastAsia="en-GB"/>
              </w:rPr>
              <w:t xml:space="preserve">, R. (2019a). Modelling innovation and the macroeconomics of low-carbon transitions: theory, </w:t>
            </w:r>
            <w:proofErr w:type="gramStart"/>
            <w:r w:rsidRPr="00611C65">
              <w:rPr>
                <w:rFonts w:ascii="Calibri" w:eastAsia="Times New Roman" w:hAnsi="Calibri" w:cs="Arial"/>
                <w:lang w:eastAsia="en-GB"/>
              </w:rPr>
              <w:t>perspectives</w:t>
            </w:r>
            <w:proofErr w:type="gramEnd"/>
            <w:r w:rsidRPr="00611C65">
              <w:rPr>
                <w:rFonts w:ascii="Calibri" w:eastAsia="Times New Roman" w:hAnsi="Calibri" w:cs="Arial"/>
                <w:lang w:eastAsia="en-GB"/>
              </w:rPr>
              <w:t xml:space="preserve"> and practical use. </w:t>
            </w:r>
            <w:r w:rsidRPr="00611C65">
              <w:rPr>
                <w:rFonts w:ascii="Calibri" w:eastAsia="Times New Roman" w:hAnsi="Calibri" w:cs="Calibri"/>
                <w:i/>
                <w:iCs/>
                <w:lang w:eastAsia="en-GB"/>
              </w:rPr>
              <w:t>Climate Policy</w:t>
            </w:r>
            <w:r w:rsidRPr="00611C65">
              <w:rPr>
                <w:rFonts w:ascii="Calibri" w:eastAsia="Times New Roman" w:hAnsi="Calibri" w:cs="Calibri"/>
                <w:lang w:eastAsia="en-GB"/>
              </w:rPr>
              <w:t xml:space="preserve">, 1-19. </w:t>
            </w:r>
          </w:p>
        </w:tc>
      </w:tr>
      <w:tr w:rsidR="00611C65" w:rsidRPr="00611C65" w14:paraId="04437320" w14:textId="77777777" w:rsidTr="00F471F5">
        <w:trPr>
          <w:trHeight w:val="290"/>
        </w:trPr>
        <w:tc>
          <w:tcPr>
            <w:tcW w:w="10116" w:type="dxa"/>
            <w:tcBorders>
              <w:top w:val="nil"/>
              <w:left w:val="nil"/>
              <w:bottom w:val="nil"/>
              <w:right w:val="nil"/>
            </w:tcBorders>
            <w:shd w:val="clear" w:color="auto" w:fill="auto"/>
            <w:noWrap/>
            <w:hideMark/>
          </w:tcPr>
          <w:p w14:paraId="7A5E071A"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National Grid (2018b</w:t>
            </w:r>
            <w:r w:rsidRPr="00611C65">
              <w:rPr>
                <w:rFonts w:ascii="Calibri" w:eastAsia="Times New Roman" w:hAnsi="Calibri" w:cs="Calibri"/>
                <w:i/>
                <w:iCs/>
                <w:lang w:eastAsia="de-CH"/>
              </w:rPr>
              <w:t>). National Grid EMR Electricity Capacity Report</w:t>
            </w:r>
            <w:r w:rsidRPr="00611C65">
              <w:rPr>
                <w:rFonts w:ascii="Calibri" w:eastAsia="Times New Roman" w:hAnsi="Calibri" w:cs="Calibri"/>
                <w:lang w:eastAsia="de-CH"/>
              </w:rPr>
              <w:t>. Available at: http://fes.nationalgrid.com/fes-document/ (Accessed 08.07.2019).</w:t>
            </w:r>
          </w:p>
        </w:tc>
      </w:tr>
      <w:tr w:rsidR="00611C65" w:rsidRPr="00611C65" w14:paraId="79E03399" w14:textId="77777777" w:rsidTr="00F471F5">
        <w:trPr>
          <w:trHeight w:val="290"/>
        </w:trPr>
        <w:tc>
          <w:tcPr>
            <w:tcW w:w="10116" w:type="dxa"/>
            <w:tcBorders>
              <w:top w:val="nil"/>
              <w:left w:val="nil"/>
              <w:bottom w:val="nil"/>
              <w:right w:val="nil"/>
            </w:tcBorders>
            <w:shd w:val="clear" w:color="auto" w:fill="auto"/>
            <w:noWrap/>
            <w:hideMark/>
          </w:tcPr>
          <w:p w14:paraId="2AA43DB6"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proofErr w:type="spellStart"/>
            <w:r w:rsidRPr="00611C65">
              <w:rPr>
                <w:rFonts w:ascii="Calibri" w:eastAsia="Times New Roman" w:hAnsi="Calibri" w:cs="Calibri"/>
                <w:lang w:eastAsia="de-CH"/>
              </w:rPr>
              <w:t>Sterman</w:t>
            </w:r>
            <w:proofErr w:type="spellEnd"/>
            <w:r w:rsidRPr="00611C65">
              <w:rPr>
                <w:rFonts w:ascii="Calibri" w:eastAsia="Times New Roman" w:hAnsi="Calibri" w:cs="Calibri"/>
                <w:lang w:eastAsia="de-CH"/>
              </w:rPr>
              <w:t xml:space="preserve">, J. (2000). </w:t>
            </w:r>
            <w:r w:rsidRPr="00611C65">
              <w:rPr>
                <w:rFonts w:ascii="Calibri" w:eastAsia="Times New Roman" w:hAnsi="Calibri" w:cs="Calibri"/>
                <w:i/>
                <w:iCs/>
                <w:lang w:eastAsia="de-CH"/>
              </w:rPr>
              <w:t xml:space="preserve">Business Dynamics: Systems Thinking and </w:t>
            </w:r>
            <w:proofErr w:type="spellStart"/>
            <w:r w:rsidRPr="00611C65">
              <w:rPr>
                <w:rFonts w:ascii="Calibri" w:eastAsia="Times New Roman" w:hAnsi="Calibri" w:cs="Calibri"/>
                <w:i/>
                <w:iCs/>
                <w:lang w:eastAsia="de-CH"/>
              </w:rPr>
              <w:t>Modeling</w:t>
            </w:r>
            <w:proofErr w:type="spellEnd"/>
            <w:r w:rsidRPr="00611C65">
              <w:rPr>
                <w:rFonts w:ascii="Calibri" w:eastAsia="Times New Roman" w:hAnsi="Calibri" w:cs="Calibri"/>
                <w:i/>
                <w:iCs/>
                <w:lang w:eastAsia="de-CH"/>
              </w:rPr>
              <w:t xml:space="preserve"> for a Complex World</w:t>
            </w:r>
            <w:r w:rsidRPr="00611C65">
              <w:rPr>
                <w:rFonts w:ascii="Calibri" w:eastAsia="Times New Roman" w:hAnsi="Calibri" w:cs="Calibri"/>
                <w:lang w:eastAsia="de-CH"/>
              </w:rPr>
              <w:t xml:space="preserve">. Irwin/McGraw-Hill, Boston. </w:t>
            </w:r>
          </w:p>
        </w:tc>
      </w:tr>
      <w:tr w:rsidR="00611C65" w:rsidRPr="00611C65" w14:paraId="1031D37A" w14:textId="77777777" w:rsidTr="00F471F5">
        <w:trPr>
          <w:trHeight w:val="290"/>
        </w:trPr>
        <w:tc>
          <w:tcPr>
            <w:tcW w:w="10116" w:type="dxa"/>
            <w:tcBorders>
              <w:top w:val="nil"/>
              <w:left w:val="nil"/>
              <w:bottom w:val="nil"/>
              <w:right w:val="nil"/>
            </w:tcBorders>
            <w:shd w:val="clear" w:color="auto" w:fill="auto"/>
            <w:noWrap/>
            <w:hideMark/>
          </w:tcPr>
          <w:p w14:paraId="29287589"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de-CH" w:eastAsia="de-CH"/>
              </w:rPr>
              <w:t xml:space="preserve">Strachan, N., Kannan, R., &amp; Pye, S. (2007). </w:t>
            </w:r>
            <w:r w:rsidRPr="00611C65">
              <w:rPr>
                <w:rFonts w:ascii="Calibri" w:eastAsia="Times New Roman" w:hAnsi="Calibri" w:cs="Calibri"/>
                <w:i/>
                <w:iCs/>
                <w:lang w:eastAsia="de-CH"/>
              </w:rPr>
              <w:t>Final report on DTI-DEFRA scenarios and sensitivities using the UK MARKAL and MARKAL-Macro energy system models</w:t>
            </w:r>
            <w:r w:rsidRPr="00611C65">
              <w:rPr>
                <w:rFonts w:ascii="Calibri" w:eastAsia="Times New Roman" w:hAnsi="Calibri" w:cs="Calibri"/>
                <w:lang w:eastAsia="de-CH"/>
              </w:rPr>
              <w:t xml:space="preserve">. </w:t>
            </w:r>
            <w:r w:rsidRPr="00611C65">
              <w:rPr>
                <w:rFonts w:ascii="Calibri" w:eastAsia="Times New Roman" w:hAnsi="Calibri" w:cs="Calibri"/>
                <w:lang w:val="de-CH" w:eastAsia="de-CH"/>
              </w:rPr>
              <w:t>Policy Studies Institute and UK Energy Research Centre, London.</w:t>
            </w:r>
          </w:p>
        </w:tc>
      </w:tr>
      <w:tr w:rsidR="00611C65" w:rsidRPr="00611C65" w14:paraId="7C211771" w14:textId="77777777" w:rsidTr="00F471F5">
        <w:trPr>
          <w:trHeight w:val="290"/>
        </w:trPr>
        <w:tc>
          <w:tcPr>
            <w:tcW w:w="10116" w:type="dxa"/>
            <w:tcBorders>
              <w:top w:val="nil"/>
              <w:left w:val="nil"/>
              <w:bottom w:val="nil"/>
              <w:right w:val="nil"/>
            </w:tcBorders>
            <w:shd w:val="clear" w:color="auto" w:fill="auto"/>
            <w:noWrap/>
            <w:hideMark/>
          </w:tcPr>
          <w:p w14:paraId="628AA677"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de-CH" w:eastAsia="de-CH"/>
              </w:rPr>
              <w:t xml:space="preserve">Strachan, N., Kannan, R., &amp; Pye, S. (2008). </w:t>
            </w:r>
            <w:r w:rsidRPr="00611C65">
              <w:rPr>
                <w:rFonts w:ascii="Calibri" w:eastAsia="Times New Roman" w:hAnsi="Calibri" w:cs="Calibri"/>
                <w:i/>
                <w:iCs/>
                <w:lang w:eastAsia="de-CH"/>
              </w:rPr>
              <w:t>Scenarios and sensitivities on long-term UK carbon reductions using the UK MARKAL and MARKAL-macro energy system models</w:t>
            </w:r>
            <w:r w:rsidRPr="00611C65">
              <w:rPr>
                <w:rFonts w:ascii="Calibri" w:eastAsia="Times New Roman" w:hAnsi="Calibri" w:cs="Calibri"/>
                <w:lang w:eastAsia="de-CH"/>
              </w:rPr>
              <w:t xml:space="preserve">. </w:t>
            </w:r>
            <w:r w:rsidRPr="00611C65">
              <w:rPr>
                <w:rFonts w:ascii="Calibri" w:eastAsia="Times New Roman" w:hAnsi="Calibri" w:cs="Calibri"/>
                <w:lang w:val="de-CH" w:eastAsia="de-CH"/>
              </w:rPr>
              <w:t>London: UKERC Research Report, 2.</w:t>
            </w:r>
          </w:p>
        </w:tc>
      </w:tr>
      <w:tr w:rsidR="00611C65" w:rsidRPr="00611C65" w14:paraId="71D123AB" w14:textId="77777777" w:rsidTr="00F471F5">
        <w:trPr>
          <w:trHeight w:val="290"/>
        </w:trPr>
        <w:tc>
          <w:tcPr>
            <w:tcW w:w="10116" w:type="dxa"/>
            <w:tcBorders>
              <w:top w:val="nil"/>
              <w:left w:val="nil"/>
              <w:bottom w:val="nil"/>
              <w:right w:val="nil"/>
            </w:tcBorders>
            <w:shd w:val="clear" w:color="auto" w:fill="auto"/>
            <w:noWrap/>
            <w:hideMark/>
          </w:tcPr>
          <w:p w14:paraId="1C8D3FB1"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 xml:space="preserve">Strachan, N., Pye, S., &amp; Kannan, R. (2009). The iterative contribution and relevance of modelling to UK energy policy. </w:t>
            </w:r>
            <w:r w:rsidRPr="00611C65">
              <w:rPr>
                <w:rFonts w:ascii="Calibri" w:eastAsia="Times New Roman" w:hAnsi="Calibri" w:cs="Calibri"/>
                <w:i/>
                <w:iCs/>
                <w:lang w:eastAsia="de-CH"/>
              </w:rPr>
              <w:t>Energy Policy, 37</w:t>
            </w:r>
            <w:r w:rsidRPr="00611C65">
              <w:rPr>
                <w:rFonts w:ascii="Calibri" w:eastAsia="Times New Roman" w:hAnsi="Calibri" w:cs="Calibri"/>
                <w:lang w:eastAsia="de-CH"/>
              </w:rPr>
              <w:t xml:space="preserve">(3), 850-860. </w:t>
            </w:r>
          </w:p>
        </w:tc>
      </w:tr>
      <w:tr w:rsidR="00611C65" w:rsidRPr="00611C65" w14:paraId="120A1E37" w14:textId="77777777" w:rsidTr="00F471F5">
        <w:trPr>
          <w:trHeight w:val="320"/>
        </w:trPr>
        <w:tc>
          <w:tcPr>
            <w:tcW w:w="10116" w:type="dxa"/>
            <w:tcBorders>
              <w:top w:val="nil"/>
              <w:left w:val="nil"/>
              <w:bottom w:val="nil"/>
              <w:right w:val="nil"/>
            </w:tcBorders>
            <w:shd w:val="clear" w:color="auto" w:fill="auto"/>
            <w:noWrap/>
            <w:hideMark/>
          </w:tcPr>
          <w:p w14:paraId="7F524410"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de-CH" w:eastAsia="de-CH"/>
              </w:rPr>
              <w:t xml:space="preserve">Wei, M., Patadia, S., &amp; Kammen, D. M. (2010). </w:t>
            </w:r>
            <w:r w:rsidRPr="00611C65">
              <w:rPr>
                <w:rFonts w:ascii="Calibri" w:eastAsia="Times New Roman" w:hAnsi="Calibri" w:cs="Calibri"/>
                <w:lang w:eastAsia="de-CH"/>
              </w:rPr>
              <w:t xml:space="preserve">Putting renewables and energy efficiency to work: How many jobs can the clean energy industry generate in the </w:t>
            </w:r>
            <w:proofErr w:type="gramStart"/>
            <w:r w:rsidRPr="00611C65">
              <w:rPr>
                <w:rFonts w:ascii="Calibri" w:eastAsia="Times New Roman" w:hAnsi="Calibri" w:cs="Calibri"/>
                <w:lang w:eastAsia="de-CH"/>
              </w:rPr>
              <w:t>US?.</w:t>
            </w:r>
            <w:proofErr w:type="gramEnd"/>
            <w:r w:rsidRPr="00611C65">
              <w:rPr>
                <w:rFonts w:ascii="Calibri" w:eastAsia="Times New Roman" w:hAnsi="Calibri" w:cs="Calibri"/>
                <w:lang w:eastAsia="de-CH"/>
              </w:rPr>
              <w:t xml:space="preserve"> </w:t>
            </w:r>
            <w:r w:rsidRPr="00611C65">
              <w:rPr>
                <w:rFonts w:ascii="Calibri" w:eastAsia="Times New Roman" w:hAnsi="Calibri" w:cs="Calibri"/>
                <w:i/>
                <w:iCs/>
                <w:lang w:val="de-CH" w:eastAsia="de-CH"/>
              </w:rPr>
              <w:t>Energy policy, 38</w:t>
            </w:r>
            <w:r w:rsidRPr="00611C65">
              <w:rPr>
                <w:rFonts w:ascii="Calibri" w:eastAsia="Times New Roman" w:hAnsi="Calibri" w:cs="Calibri"/>
                <w:lang w:val="de-CH" w:eastAsia="de-CH"/>
              </w:rPr>
              <w:t>(2), 919-931.</w:t>
            </w:r>
          </w:p>
        </w:tc>
      </w:tr>
      <w:tr w:rsidR="00611C65" w:rsidRPr="00611C65" w14:paraId="115DF7C4" w14:textId="77777777" w:rsidTr="00F471F5">
        <w:trPr>
          <w:trHeight w:val="290"/>
        </w:trPr>
        <w:tc>
          <w:tcPr>
            <w:tcW w:w="10116" w:type="dxa"/>
            <w:tcBorders>
              <w:top w:val="nil"/>
              <w:left w:val="nil"/>
              <w:bottom w:val="nil"/>
              <w:right w:val="nil"/>
            </w:tcBorders>
            <w:shd w:val="clear" w:color="auto" w:fill="auto"/>
            <w:noWrap/>
            <w:hideMark/>
          </w:tcPr>
          <w:p w14:paraId="2935D5F6"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Irena (2016). Renewable Energy Benefits: Measuring the Economics. Available at: https://www.irena.org/publications/2016/Jan/Renewable-Energy-Benefits-Measuring-the-Economics (Accessed 06.02.2021).</w:t>
            </w:r>
          </w:p>
        </w:tc>
      </w:tr>
      <w:tr w:rsidR="00611C65" w:rsidRPr="00611C65" w14:paraId="040694D5" w14:textId="77777777" w:rsidTr="00F471F5">
        <w:trPr>
          <w:trHeight w:val="290"/>
        </w:trPr>
        <w:tc>
          <w:tcPr>
            <w:tcW w:w="10116" w:type="dxa"/>
            <w:tcBorders>
              <w:top w:val="nil"/>
              <w:left w:val="nil"/>
              <w:bottom w:val="nil"/>
              <w:right w:val="nil"/>
            </w:tcBorders>
            <w:shd w:val="clear" w:color="auto" w:fill="auto"/>
            <w:noWrap/>
            <w:hideMark/>
          </w:tcPr>
          <w:p w14:paraId="5CF6D2EC"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proofErr w:type="spellStart"/>
            <w:r w:rsidRPr="00611C65">
              <w:rPr>
                <w:rFonts w:ascii="Calibri" w:eastAsia="Times New Roman" w:hAnsi="Calibri" w:cs="Calibri"/>
                <w:lang w:eastAsia="de-CH"/>
              </w:rPr>
              <w:t>Großmann</w:t>
            </w:r>
            <w:proofErr w:type="spellEnd"/>
            <w:r w:rsidRPr="00611C65">
              <w:rPr>
                <w:rFonts w:ascii="Calibri" w:eastAsia="Times New Roman" w:hAnsi="Calibri" w:cs="Calibri"/>
                <w:lang w:eastAsia="de-CH"/>
              </w:rPr>
              <w:t xml:space="preserve">, A. &amp; Lutz, L. (2015). Macroeconomic Effects of the Energy Transition. Available at: https://www.iioa.org/conferences/23rd/papers/files/2165_20150529081_Grossmann_Lutz_23IIOA.pdf (Accessed 07.02.2021). </w:t>
            </w:r>
          </w:p>
        </w:tc>
      </w:tr>
      <w:tr w:rsidR="00611C65" w:rsidRPr="00611C65" w14:paraId="0CF71E32" w14:textId="77777777" w:rsidTr="00F471F5">
        <w:trPr>
          <w:trHeight w:val="290"/>
        </w:trPr>
        <w:tc>
          <w:tcPr>
            <w:tcW w:w="10116" w:type="dxa"/>
            <w:tcBorders>
              <w:top w:val="nil"/>
              <w:left w:val="nil"/>
              <w:bottom w:val="nil"/>
              <w:right w:val="nil"/>
            </w:tcBorders>
            <w:shd w:val="clear" w:color="auto" w:fill="auto"/>
            <w:noWrap/>
            <w:hideMark/>
          </w:tcPr>
          <w:p w14:paraId="0B8874D7"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 xml:space="preserve">Nieto, J., Carpintero, Ó., </w:t>
            </w:r>
            <w:proofErr w:type="spellStart"/>
            <w:r w:rsidRPr="00611C65">
              <w:rPr>
                <w:rFonts w:ascii="Calibri" w:eastAsia="Times New Roman" w:hAnsi="Calibri" w:cs="Calibri"/>
                <w:lang w:eastAsia="de-CH"/>
              </w:rPr>
              <w:t>Lobejón</w:t>
            </w:r>
            <w:proofErr w:type="spellEnd"/>
            <w:r w:rsidRPr="00611C65">
              <w:rPr>
                <w:rFonts w:ascii="Calibri" w:eastAsia="Times New Roman" w:hAnsi="Calibri" w:cs="Calibri"/>
                <w:lang w:eastAsia="de-CH"/>
              </w:rPr>
              <w:t xml:space="preserve">, L. F., &amp; Miguel, L. J. (2020). An ecological macroeconomics model: The energy transition in the EU. </w:t>
            </w:r>
            <w:r w:rsidRPr="00611C65">
              <w:rPr>
                <w:rFonts w:ascii="Calibri" w:eastAsia="Times New Roman" w:hAnsi="Calibri" w:cs="Calibri"/>
                <w:i/>
                <w:iCs/>
                <w:lang w:eastAsia="de-CH"/>
              </w:rPr>
              <w:t>Energy Policy</w:t>
            </w:r>
            <w:r w:rsidRPr="00611C65">
              <w:rPr>
                <w:rFonts w:ascii="Calibri" w:eastAsia="Times New Roman" w:hAnsi="Calibri" w:cs="Calibri"/>
                <w:lang w:eastAsia="de-CH"/>
              </w:rPr>
              <w:t>, 145, 111726.</w:t>
            </w:r>
          </w:p>
        </w:tc>
      </w:tr>
      <w:tr w:rsidR="00611C65" w:rsidRPr="00611C65" w14:paraId="731E728A" w14:textId="77777777" w:rsidTr="00F471F5">
        <w:trPr>
          <w:trHeight w:val="290"/>
        </w:trPr>
        <w:tc>
          <w:tcPr>
            <w:tcW w:w="10116" w:type="dxa"/>
            <w:tcBorders>
              <w:top w:val="nil"/>
              <w:left w:val="nil"/>
              <w:bottom w:val="nil"/>
              <w:right w:val="nil"/>
            </w:tcBorders>
            <w:shd w:val="clear" w:color="auto" w:fill="auto"/>
            <w:noWrap/>
            <w:hideMark/>
          </w:tcPr>
          <w:p w14:paraId="7F4E1F94" w14:textId="77777777" w:rsidR="00F471F5" w:rsidRPr="00611C65" w:rsidRDefault="00611C65" w:rsidP="00F471F5">
            <w:pPr>
              <w:spacing w:afterLines="100" w:after="240" w:line="240" w:lineRule="auto"/>
              <w:ind w:left="720" w:hanging="720"/>
              <w:jc w:val="left"/>
              <w:rPr>
                <w:rFonts w:ascii="Calibri" w:eastAsia="Times New Roman" w:hAnsi="Calibri" w:cs="Calibri"/>
                <w:lang w:eastAsia="de-CH"/>
              </w:rPr>
            </w:pPr>
            <w:hyperlink r:id="rId20" w:history="1">
              <w:r w:rsidR="00F471F5" w:rsidRPr="00611C65">
                <w:rPr>
                  <w:rFonts w:ascii="Calibri" w:eastAsia="Times New Roman" w:hAnsi="Calibri" w:cs="Calibri"/>
                  <w:lang w:eastAsia="de-CH"/>
                </w:rPr>
                <w:t>UNEP (2011). Modelling global green investment scenarios. Supporting the transition to a global green economy. Available:  at: https://www.environment.gov.za/sites/default/files/docs/green_economy_modelling.pdf (Accessed 07.02.2021).</w:t>
              </w:r>
            </w:hyperlink>
          </w:p>
        </w:tc>
      </w:tr>
      <w:tr w:rsidR="00611C65" w:rsidRPr="00611C65" w14:paraId="5EF1075F" w14:textId="77777777" w:rsidTr="00F471F5">
        <w:trPr>
          <w:trHeight w:val="290"/>
        </w:trPr>
        <w:tc>
          <w:tcPr>
            <w:tcW w:w="10116" w:type="dxa"/>
            <w:tcBorders>
              <w:top w:val="nil"/>
              <w:left w:val="nil"/>
              <w:bottom w:val="nil"/>
              <w:right w:val="nil"/>
            </w:tcBorders>
            <w:shd w:val="clear" w:color="auto" w:fill="auto"/>
            <w:noWrap/>
            <w:hideMark/>
          </w:tcPr>
          <w:p w14:paraId="721D090C"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it-IT" w:eastAsia="de-CH"/>
              </w:rPr>
              <w:t xml:space="preserve">Ponta, L., Raberto, M., Teglio, A., &amp; Cincotti, S. (2018). </w:t>
            </w:r>
            <w:r w:rsidRPr="00611C65">
              <w:rPr>
                <w:rFonts w:ascii="Calibri" w:eastAsia="Times New Roman" w:hAnsi="Calibri" w:cs="Calibri"/>
                <w:lang w:eastAsia="de-CH"/>
              </w:rPr>
              <w:t xml:space="preserve">An agent-based stock-flow consistent model of the sustainable transition in the energy sector. </w:t>
            </w:r>
            <w:r w:rsidRPr="00611C65">
              <w:rPr>
                <w:rFonts w:ascii="Calibri" w:eastAsia="Times New Roman" w:hAnsi="Calibri" w:cs="Calibri"/>
                <w:i/>
                <w:iCs/>
                <w:lang w:val="it-IT" w:eastAsia="de-CH"/>
              </w:rPr>
              <w:t>Ecological Economics</w:t>
            </w:r>
            <w:r w:rsidRPr="00611C65">
              <w:rPr>
                <w:rFonts w:ascii="Calibri" w:eastAsia="Times New Roman" w:hAnsi="Calibri" w:cs="Calibri"/>
                <w:lang w:val="it-IT" w:eastAsia="de-CH"/>
              </w:rPr>
              <w:t>, 145, 274-300.</w:t>
            </w:r>
          </w:p>
        </w:tc>
      </w:tr>
      <w:tr w:rsidR="00611C65" w:rsidRPr="00611C65" w14:paraId="301D45AE" w14:textId="77777777" w:rsidTr="00F471F5">
        <w:trPr>
          <w:trHeight w:val="290"/>
        </w:trPr>
        <w:tc>
          <w:tcPr>
            <w:tcW w:w="10116" w:type="dxa"/>
            <w:tcBorders>
              <w:top w:val="nil"/>
              <w:left w:val="nil"/>
              <w:bottom w:val="nil"/>
              <w:right w:val="nil"/>
            </w:tcBorders>
            <w:shd w:val="clear" w:color="auto" w:fill="auto"/>
            <w:noWrap/>
            <w:hideMark/>
          </w:tcPr>
          <w:p w14:paraId="5FB4A4A5"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it-IT" w:eastAsia="de-CH"/>
              </w:rPr>
              <w:t xml:space="preserve">D’Alessandro, S., Cieplinski, A., Distefano, T., &amp; Dittmer, K. (2020). Feasible alternatives to green growth. </w:t>
            </w:r>
            <w:r w:rsidRPr="00611C65">
              <w:rPr>
                <w:rFonts w:ascii="Calibri" w:eastAsia="Times New Roman" w:hAnsi="Calibri" w:cs="Calibri"/>
                <w:i/>
                <w:iCs/>
                <w:lang w:val="it-IT" w:eastAsia="de-CH"/>
              </w:rPr>
              <w:t>Nature Sustainability</w:t>
            </w:r>
            <w:r w:rsidRPr="00611C65">
              <w:rPr>
                <w:rFonts w:ascii="Calibri" w:eastAsia="Times New Roman" w:hAnsi="Calibri" w:cs="Calibri"/>
                <w:lang w:val="it-IT" w:eastAsia="de-CH"/>
              </w:rPr>
              <w:t>, 3(4), 329-335.</w:t>
            </w:r>
          </w:p>
        </w:tc>
      </w:tr>
      <w:tr w:rsidR="00611C65" w:rsidRPr="00611C65" w14:paraId="190E7B48" w14:textId="77777777" w:rsidTr="00F471F5">
        <w:trPr>
          <w:trHeight w:val="290"/>
        </w:trPr>
        <w:tc>
          <w:tcPr>
            <w:tcW w:w="10116" w:type="dxa"/>
            <w:tcBorders>
              <w:top w:val="nil"/>
              <w:left w:val="nil"/>
              <w:bottom w:val="nil"/>
              <w:right w:val="nil"/>
            </w:tcBorders>
            <w:shd w:val="clear" w:color="auto" w:fill="auto"/>
            <w:noWrap/>
            <w:hideMark/>
          </w:tcPr>
          <w:p w14:paraId="6E06E1B9"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val="it-IT" w:eastAsia="de-CH"/>
              </w:rPr>
              <w:lastRenderedPageBreak/>
              <w:t xml:space="preserve">Lamperti, F., Dosi, G., Napoletano, M., Roventini, A., &amp; Sapio, A. (2020). </w:t>
            </w:r>
            <w:r w:rsidRPr="00611C65">
              <w:rPr>
                <w:rFonts w:ascii="Calibri" w:eastAsia="Times New Roman" w:hAnsi="Calibri" w:cs="Calibri"/>
                <w:lang w:eastAsia="de-CH"/>
              </w:rPr>
              <w:t xml:space="preserve">Climate change and green transitions in an agent-based integrated assessment model. </w:t>
            </w:r>
            <w:r w:rsidRPr="00611C65">
              <w:rPr>
                <w:rFonts w:ascii="Calibri" w:eastAsia="Times New Roman" w:hAnsi="Calibri" w:cs="Calibri"/>
                <w:i/>
                <w:iCs/>
                <w:lang w:eastAsia="de-CH"/>
              </w:rPr>
              <w:t>Technological Forecasting and Social Change</w:t>
            </w:r>
            <w:r w:rsidRPr="00611C65">
              <w:rPr>
                <w:rFonts w:ascii="Calibri" w:eastAsia="Times New Roman" w:hAnsi="Calibri" w:cs="Calibri"/>
                <w:lang w:eastAsia="de-CH"/>
              </w:rPr>
              <w:t>, 153, 119806.</w:t>
            </w:r>
          </w:p>
        </w:tc>
      </w:tr>
      <w:tr w:rsidR="00611C65" w:rsidRPr="00611C65" w14:paraId="14D2ED36" w14:textId="77777777" w:rsidTr="00F471F5">
        <w:trPr>
          <w:trHeight w:val="290"/>
        </w:trPr>
        <w:tc>
          <w:tcPr>
            <w:tcW w:w="10116" w:type="dxa"/>
            <w:tcBorders>
              <w:top w:val="nil"/>
              <w:left w:val="nil"/>
              <w:bottom w:val="nil"/>
              <w:right w:val="nil"/>
            </w:tcBorders>
            <w:shd w:val="clear" w:color="auto" w:fill="auto"/>
            <w:noWrap/>
            <w:hideMark/>
          </w:tcPr>
          <w:p w14:paraId="5B9C4369"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proofErr w:type="spellStart"/>
            <w:r w:rsidRPr="00611C65">
              <w:rPr>
                <w:rFonts w:ascii="Calibri" w:eastAsia="Times New Roman" w:hAnsi="Calibri" w:cs="Calibri"/>
                <w:lang w:eastAsia="de-CH"/>
              </w:rPr>
              <w:t>Monasterolo</w:t>
            </w:r>
            <w:proofErr w:type="spellEnd"/>
            <w:r w:rsidRPr="00611C65">
              <w:rPr>
                <w:rFonts w:ascii="Calibri" w:eastAsia="Times New Roman" w:hAnsi="Calibri" w:cs="Calibri"/>
                <w:lang w:eastAsia="de-CH"/>
              </w:rPr>
              <w:t xml:space="preserve">, I., &amp; Raberto, M. (2019). The impact of phasing out fossil fuel subsidies on the low-carbon transition. </w:t>
            </w:r>
            <w:r w:rsidRPr="00611C65">
              <w:rPr>
                <w:rFonts w:ascii="Calibri" w:eastAsia="Times New Roman" w:hAnsi="Calibri" w:cs="Calibri"/>
                <w:i/>
                <w:iCs/>
                <w:lang w:eastAsia="de-CH"/>
              </w:rPr>
              <w:t>Energy Policy</w:t>
            </w:r>
            <w:r w:rsidRPr="00611C65">
              <w:rPr>
                <w:rFonts w:ascii="Calibri" w:eastAsia="Times New Roman" w:hAnsi="Calibri" w:cs="Calibri"/>
                <w:lang w:eastAsia="de-CH"/>
              </w:rPr>
              <w:t>, 124, 355-370.</w:t>
            </w:r>
          </w:p>
        </w:tc>
      </w:tr>
      <w:tr w:rsidR="00611C65" w:rsidRPr="00611C65" w14:paraId="6F3DE867" w14:textId="77777777" w:rsidTr="00F471F5">
        <w:trPr>
          <w:trHeight w:val="290"/>
        </w:trPr>
        <w:tc>
          <w:tcPr>
            <w:tcW w:w="10116" w:type="dxa"/>
            <w:tcBorders>
              <w:top w:val="nil"/>
              <w:left w:val="nil"/>
              <w:bottom w:val="nil"/>
              <w:right w:val="nil"/>
            </w:tcBorders>
            <w:shd w:val="clear" w:color="auto" w:fill="auto"/>
            <w:noWrap/>
            <w:hideMark/>
          </w:tcPr>
          <w:p w14:paraId="7AE2F0D4" w14:textId="77777777" w:rsidR="00F471F5" w:rsidRPr="00611C65" w:rsidRDefault="00F471F5" w:rsidP="00F471F5">
            <w:pPr>
              <w:spacing w:afterLines="100" w:after="240" w:line="240" w:lineRule="auto"/>
              <w:ind w:left="720" w:hanging="720"/>
              <w:jc w:val="left"/>
              <w:rPr>
                <w:rFonts w:ascii="Calibri" w:eastAsia="Times New Roman" w:hAnsi="Calibri" w:cs="Calibri"/>
                <w:lang w:val="de-CH" w:eastAsia="de-CH"/>
              </w:rPr>
            </w:pPr>
            <w:r w:rsidRPr="00611C65">
              <w:rPr>
                <w:rFonts w:ascii="Calibri" w:eastAsia="Times New Roman" w:hAnsi="Calibri" w:cs="Calibri"/>
                <w:lang w:eastAsia="de-CH"/>
              </w:rPr>
              <w:t xml:space="preserve">Naqvi, A., &amp; </w:t>
            </w:r>
            <w:proofErr w:type="spellStart"/>
            <w:r w:rsidRPr="00611C65">
              <w:rPr>
                <w:rFonts w:ascii="Calibri" w:eastAsia="Times New Roman" w:hAnsi="Calibri" w:cs="Calibri"/>
                <w:lang w:eastAsia="de-CH"/>
              </w:rPr>
              <w:t>Stockhammer</w:t>
            </w:r>
            <w:proofErr w:type="spellEnd"/>
            <w:r w:rsidRPr="00611C65">
              <w:rPr>
                <w:rFonts w:ascii="Calibri" w:eastAsia="Times New Roman" w:hAnsi="Calibri" w:cs="Calibri"/>
                <w:lang w:eastAsia="de-CH"/>
              </w:rPr>
              <w:t xml:space="preserve">, E. (2018). Directed technological change in a post-Keynesian ecological </w:t>
            </w:r>
            <w:proofErr w:type="spellStart"/>
            <w:r w:rsidRPr="00611C65">
              <w:rPr>
                <w:rFonts w:ascii="Calibri" w:eastAsia="Times New Roman" w:hAnsi="Calibri" w:cs="Calibri"/>
                <w:lang w:eastAsia="de-CH"/>
              </w:rPr>
              <w:t>macromodel</w:t>
            </w:r>
            <w:proofErr w:type="spellEnd"/>
            <w:r w:rsidRPr="00611C65">
              <w:rPr>
                <w:rFonts w:ascii="Calibri" w:eastAsia="Times New Roman" w:hAnsi="Calibri" w:cs="Calibri"/>
                <w:lang w:eastAsia="de-CH"/>
              </w:rPr>
              <w:t xml:space="preserve">. </w:t>
            </w:r>
            <w:r w:rsidRPr="00611C65">
              <w:rPr>
                <w:rFonts w:ascii="Calibri" w:eastAsia="Times New Roman" w:hAnsi="Calibri" w:cs="Calibri"/>
                <w:i/>
                <w:iCs/>
                <w:lang w:eastAsia="de-CH"/>
              </w:rPr>
              <w:t>Ecological economics</w:t>
            </w:r>
            <w:r w:rsidRPr="00611C65">
              <w:rPr>
                <w:rFonts w:ascii="Calibri" w:eastAsia="Times New Roman" w:hAnsi="Calibri" w:cs="Calibri"/>
                <w:lang w:eastAsia="de-CH"/>
              </w:rPr>
              <w:t xml:space="preserve">, </w:t>
            </w:r>
            <w:r w:rsidRPr="00611C65">
              <w:rPr>
                <w:rFonts w:ascii="Calibri" w:eastAsia="Times New Roman" w:hAnsi="Calibri" w:cs="Calibri"/>
                <w:i/>
                <w:iCs/>
                <w:lang w:eastAsia="de-CH"/>
              </w:rPr>
              <w:t>154</w:t>
            </w:r>
            <w:r w:rsidRPr="00611C65">
              <w:rPr>
                <w:rFonts w:ascii="Calibri" w:eastAsia="Times New Roman" w:hAnsi="Calibri" w:cs="Calibri"/>
                <w:lang w:eastAsia="de-CH"/>
              </w:rPr>
              <w:t>, 168-188.</w:t>
            </w:r>
          </w:p>
        </w:tc>
      </w:tr>
      <w:tr w:rsidR="00611C65" w:rsidRPr="00611C65" w14:paraId="4F43B29D" w14:textId="77777777" w:rsidTr="00F471F5">
        <w:trPr>
          <w:trHeight w:val="290"/>
        </w:trPr>
        <w:tc>
          <w:tcPr>
            <w:tcW w:w="10116" w:type="dxa"/>
            <w:tcBorders>
              <w:top w:val="nil"/>
              <w:left w:val="nil"/>
              <w:bottom w:val="nil"/>
              <w:right w:val="nil"/>
            </w:tcBorders>
            <w:shd w:val="clear" w:color="auto" w:fill="auto"/>
            <w:noWrap/>
            <w:hideMark/>
          </w:tcPr>
          <w:p w14:paraId="3509AD22"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 xml:space="preserve">Naqvi, Syed Ali </w:t>
            </w:r>
            <w:proofErr w:type="spellStart"/>
            <w:r w:rsidRPr="00611C65">
              <w:rPr>
                <w:rFonts w:ascii="Calibri" w:eastAsia="Times New Roman" w:hAnsi="Calibri" w:cs="Calibri"/>
                <w:lang w:eastAsia="de-CH"/>
              </w:rPr>
              <w:t>Asjad</w:t>
            </w:r>
            <w:proofErr w:type="spellEnd"/>
            <w:r w:rsidRPr="00611C65">
              <w:rPr>
                <w:rFonts w:ascii="Calibri" w:eastAsia="Times New Roman" w:hAnsi="Calibri" w:cs="Calibri"/>
                <w:lang w:eastAsia="de-CH"/>
              </w:rPr>
              <w:t xml:space="preserve"> (2015). </w:t>
            </w:r>
            <w:proofErr w:type="spellStart"/>
            <w:r w:rsidRPr="00611C65">
              <w:rPr>
                <w:rFonts w:ascii="Calibri" w:eastAsia="Times New Roman" w:hAnsi="Calibri" w:cs="Calibri"/>
                <w:lang w:eastAsia="de-CH"/>
              </w:rPr>
              <w:t>Modeling</w:t>
            </w:r>
            <w:proofErr w:type="spellEnd"/>
            <w:r w:rsidRPr="00611C65">
              <w:rPr>
                <w:rFonts w:ascii="Calibri" w:eastAsia="Times New Roman" w:hAnsi="Calibri" w:cs="Calibri"/>
                <w:lang w:eastAsia="de-CH"/>
              </w:rPr>
              <w:t xml:space="preserve"> Growth, Distribution, and the Environment in a Stock-Flow Consistent Framework. </w:t>
            </w:r>
            <w:r w:rsidRPr="00611C65">
              <w:rPr>
                <w:rFonts w:ascii="Calibri" w:eastAsia="Times New Roman" w:hAnsi="Calibri" w:cs="Calibri"/>
                <w:i/>
                <w:iCs/>
                <w:lang w:eastAsia="de-CH"/>
              </w:rPr>
              <w:t>Ecological Economic Papers</w:t>
            </w:r>
            <w:r w:rsidRPr="00611C65">
              <w:rPr>
                <w:rFonts w:ascii="Calibri" w:eastAsia="Times New Roman" w:hAnsi="Calibri" w:cs="Calibri"/>
                <w:lang w:eastAsia="de-CH"/>
              </w:rPr>
              <w:t xml:space="preserve"> 2, WU Vienna University of Economics and Business.</w:t>
            </w:r>
          </w:p>
        </w:tc>
      </w:tr>
      <w:tr w:rsidR="00F471F5" w:rsidRPr="00611C65" w14:paraId="63699735" w14:textId="77777777" w:rsidTr="00F471F5">
        <w:trPr>
          <w:trHeight w:val="290"/>
        </w:trPr>
        <w:tc>
          <w:tcPr>
            <w:tcW w:w="10116" w:type="dxa"/>
            <w:tcBorders>
              <w:top w:val="nil"/>
              <w:left w:val="nil"/>
              <w:bottom w:val="nil"/>
              <w:right w:val="nil"/>
            </w:tcBorders>
            <w:shd w:val="clear" w:color="auto" w:fill="auto"/>
            <w:noWrap/>
            <w:hideMark/>
          </w:tcPr>
          <w:p w14:paraId="732812E4" w14:textId="77777777" w:rsidR="00F471F5" w:rsidRPr="00611C65" w:rsidRDefault="00F471F5" w:rsidP="00F471F5">
            <w:pPr>
              <w:spacing w:afterLines="100" w:after="240" w:line="240" w:lineRule="auto"/>
              <w:ind w:left="720" w:hanging="720"/>
              <w:jc w:val="left"/>
              <w:rPr>
                <w:rFonts w:ascii="Calibri" w:eastAsia="Times New Roman" w:hAnsi="Calibri" w:cs="Calibri"/>
                <w:lang w:eastAsia="de-CH"/>
              </w:rPr>
            </w:pPr>
            <w:r w:rsidRPr="00611C65">
              <w:rPr>
                <w:rFonts w:ascii="Calibri" w:eastAsia="Times New Roman" w:hAnsi="Calibri" w:cs="Calibri"/>
                <w:lang w:eastAsia="de-CH"/>
              </w:rPr>
              <w:t xml:space="preserve">Victor, P.A, and Jackson, T. (2019). Managing without Growth: Exploring Possibilities, chapter 11 in Managing without Growth. Slower by Design, not Disaster, Victor, P.A., Edward Elgar Publishing, 2019. </w:t>
            </w:r>
          </w:p>
        </w:tc>
      </w:tr>
    </w:tbl>
    <w:p w14:paraId="0522D418" w14:textId="77777777" w:rsidR="005E51AA" w:rsidRPr="00611C65" w:rsidRDefault="005E51AA" w:rsidP="00F471F5"/>
    <w:sectPr w:rsidR="005E51AA" w:rsidRPr="00611C65" w:rsidSect="004C1DAA">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DEB52" w14:textId="77777777" w:rsidR="0088589D" w:rsidRDefault="0088589D" w:rsidP="005B54E4">
      <w:pPr>
        <w:spacing w:after="0" w:line="240" w:lineRule="auto"/>
      </w:pPr>
      <w:r>
        <w:separator/>
      </w:r>
    </w:p>
  </w:endnote>
  <w:endnote w:type="continuationSeparator" w:id="0">
    <w:p w14:paraId="1E601ECA" w14:textId="77777777" w:rsidR="0088589D" w:rsidRDefault="0088589D" w:rsidP="005B5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swiss"/>
    <w:pitch w:val="variable"/>
    <w:sig w:usb0="00000000" w:usb1="E9DFFFFF" w:usb2="0000003F" w:usb3="00000000" w:csb0="003F01FF" w:csb1="00000000"/>
  </w:font>
  <w:font w:name="MinionPro-Regular">
    <w:altName w:val="Cambria"/>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harisSIL">
    <w:altName w:val="Calibri"/>
    <w:panose1 w:val="00000000000000000000"/>
    <w:charset w:val="8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04FE3" w14:textId="77777777" w:rsidR="008D6F86" w:rsidRDefault="008D6F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331951"/>
      <w:docPartObj>
        <w:docPartGallery w:val="Page Numbers (Bottom of Page)"/>
        <w:docPartUnique/>
      </w:docPartObj>
    </w:sdtPr>
    <w:sdtEndPr>
      <w:rPr>
        <w:noProof/>
      </w:rPr>
    </w:sdtEndPr>
    <w:sdtContent>
      <w:p w14:paraId="0392781E" w14:textId="77777777" w:rsidR="008D6F86" w:rsidRDefault="008D6F86" w:rsidP="00397D9B">
        <w:pPr>
          <w:pStyle w:val="Footer"/>
        </w:pPr>
        <w:r>
          <w:fldChar w:fldCharType="begin"/>
        </w:r>
        <w:r>
          <w:instrText xml:space="preserve"> PAGE   \* MERGEFORMAT </w:instrText>
        </w:r>
        <w:r>
          <w:fldChar w:fldCharType="separate"/>
        </w:r>
        <w:r>
          <w:rPr>
            <w:noProof/>
          </w:rPr>
          <w:t>225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408F" w14:textId="77777777" w:rsidR="008D6F86" w:rsidRDefault="008D6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1B4D" w14:textId="77777777" w:rsidR="0088589D" w:rsidRDefault="0088589D" w:rsidP="005B54E4">
      <w:pPr>
        <w:spacing w:after="0" w:line="240" w:lineRule="auto"/>
      </w:pPr>
      <w:r>
        <w:separator/>
      </w:r>
    </w:p>
  </w:footnote>
  <w:footnote w:type="continuationSeparator" w:id="0">
    <w:p w14:paraId="61CADA81" w14:textId="77777777" w:rsidR="0088589D" w:rsidRDefault="0088589D" w:rsidP="005B54E4">
      <w:pPr>
        <w:spacing w:after="0" w:line="240" w:lineRule="auto"/>
      </w:pPr>
      <w:r>
        <w:continuationSeparator/>
      </w:r>
    </w:p>
  </w:footnote>
  <w:footnote w:id="1">
    <w:p w14:paraId="13B6F736" w14:textId="5F6B8831" w:rsidR="008D6F86" w:rsidRPr="00F24088" w:rsidRDefault="008D6F86" w:rsidP="005F35B8">
      <w:pPr>
        <w:pStyle w:val="FootnoteText"/>
        <w:rPr>
          <w:sz w:val="16"/>
          <w:szCs w:val="16"/>
        </w:rPr>
      </w:pPr>
      <w:r w:rsidRPr="00F24088">
        <w:rPr>
          <w:rStyle w:val="FootnoteReference"/>
          <w:sz w:val="16"/>
          <w:szCs w:val="16"/>
        </w:rPr>
        <w:footnoteRef/>
      </w:r>
      <w:r w:rsidRPr="00F24088">
        <w:rPr>
          <w:sz w:val="16"/>
          <w:szCs w:val="16"/>
        </w:rPr>
        <w:t xml:space="preserve"> GIBM allows also to test policies that tackle key green investment barriers to scale-up green finance and therefore its name</w:t>
      </w:r>
      <w:r>
        <w:rPr>
          <w:sz w:val="16"/>
          <w:szCs w:val="16"/>
        </w:rPr>
        <w:t xml:space="preserve"> (see Hafner et al., 2020b; Hafner et al. (forthcoming)</w:t>
      </w:r>
      <w:r w:rsidRPr="00F24088">
        <w:rPr>
          <w:sz w:val="16"/>
          <w:szCs w:val="16"/>
        </w:rPr>
        <w:t xml:space="preserve">. </w:t>
      </w:r>
    </w:p>
  </w:footnote>
  <w:footnote w:id="2">
    <w:p w14:paraId="3AA5F628" w14:textId="77777777" w:rsidR="008D6F86" w:rsidRPr="004A03E5" w:rsidRDefault="008D6F86" w:rsidP="006D6D15">
      <w:pPr>
        <w:pStyle w:val="FootnoteText"/>
        <w:rPr>
          <w:sz w:val="16"/>
          <w:szCs w:val="16"/>
        </w:rPr>
      </w:pPr>
      <w:r w:rsidRPr="004A03E5">
        <w:rPr>
          <w:rStyle w:val="FootnoteReference"/>
          <w:sz w:val="16"/>
          <w:szCs w:val="16"/>
        </w:rPr>
        <w:footnoteRef/>
      </w:r>
      <w:r w:rsidRPr="004A03E5">
        <w:rPr>
          <w:sz w:val="16"/>
          <w:szCs w:val="16"/>
        </w:rPr>
        <w:t xml:space="preserve"> GIBM does account for the average financial costs of required storage technologies when higher shares of renewables are on the grid (see Supplementary Information). </w:t>
      </w:r>
    </w:p>
  </w:footnote>
  <w:footnote w:id="3">
    <w:p w14:paraId="22DA26F3" w14:textId="77777777" w:rsidR="008D6F86" w:rsidRPr="004A03E5" w:rsidRDefault="008D6F86" w:rsidP="005B494C">
      <w:pPr>
        <w:pStyle w:val="FootnoteText"/>
        <w:rPr>
          <w:sz w:val="16"/>
          <w:szCs w:val="16"/>
        </w:rPr>
      </w:pPr>
      <w:r w:rsidRPr="004A03E5">
        <w:rPr>
          <w:rStyle w:val="FootnoteReference"/>
        </w:rPr>
        <w:footnoteRef/>
      </w:r>
      <w:r w:rsidRPr="004A03E5">
        <w:rPr>
          <w:sz w:val="16"/>
          <w:szCs w:val="16"/>
        </w:rPr>
        <w:t xml:space="preserve"> GIBM does account for the average financial costs of required storage technologies when higher shares of renewables are on the grid (see Supplementary Information). </w:t>
      </w:r>
    </w:p>
  </w:footnote>
  <w:footnote w:id="4">
    <w:p w14:paraId="7426D944" w14:textId="77777777" w:rsidR="008D6F86" w:rsidRPr="00DA1F23" w:rsidRDefault="008D6F86" w:rsidP="00265B16">
      <w:pPr>
        <w:pStyle w:val="FootnoteText"/>
        <w:rPr>
          <w:sz w:val="16"/>
          <w:szCs w:val="16"/>
        </w:rPr>
      </w:pPr>
      <w:r w:rsidRPr="00DA1F23">
        <w:rPr>
          <w:rStyle w:val="FootnoteReference"/>
          <w:sz w:val="16"/>
          <w:szCs w:val="16"/>
        </w:rPr>
        <w:footnoteRef/>
      </w:r>
      <w:r w:rsidRPr="00DA1F23">
        <w:rPr>
          <w:sz w:val="16"/>
          <w:szCs w:val="16"/>
        </w:rPr>
        <w:t xml:space="preserve"> GIBM does include estimated average costs of the storage possibilities required with increasing shares of renewable energy sources on the grid (see Supplementary Information). </w:t>
      </w:r>
    </w:p>
  </w:footnote>
  <w:footnote w:id="5">
    <w:p w14:paraId="746F6CD2" w14:textId="77777777" w:rsidR="008D6F86" w:rsidRPr="00A765DC" w:rsidRDefault="008D6F86" w:rsidP="00441C75">
      <w:pPr>
        <w:pStyle w:val="FootnoteText"/>
        <w:rPr>
          <w:sz w:val="16"/>
          <w:szCs w:val="16"/>
        </w:rPr>
      </w:pPr>
      <w:r w:rsidRPr="00A765DC">
        <w:rPr>
          <w:rStyle w:val="FootnoteReference"/>
          <w:sz w:val="16"/>
          <w:szCs w:val="16"/>
        </w:rPr>
        <w:footnoteRef/>
      </w:r>
      <w:r w:rsidRPr="00A765DC">
        <w:rPr>
          <w:sz w:val="16"/>
          <w:szCs w:val="16"/>
        </w:rPr>
        <w:t xml:space="preserve"> The literature distinguishes between equilibrium vs. non-equilibrium models based on the criteria of the model solution approach of the economic outcomes, which is grounded in the theoretical underpinning of the model (i.e. their scientific paradigm) (Mercure et al., 2019a; Scrieciu et al., 2013).</w:t>
      </w:r>
    </w:p>
  </w:footnote>
  <w:footnote w:id="6">
    <w:p w14:paraId="4141B617" w14:textId="17033E26" w:rsidR="008D6F86" w:rsidRPr="00DA1F23" w:rsidRDefault="008D6F86" w:rsidP="00DA1F23">
      <w:pPr>
        <w:pStyle w:val="FootnoteText"/>
        <w:rPr>
          <w:sz w:val="16"/>
          <w:szCs w:val="16"/>
        </w:rPr>
      </w:pPr>
      <w:r w:rsidRPr="00DA1F23">
        <w:rPr>
          <w:rStyle w:val="FootnoteReference"/>
          <w:sz w:val="16"/>
          <w:szCs w:val="16"/>
        </w:rPr>
        <w:footnoteRef/>
      </w:r>
      <w:r w:rsidRPr="00DA1F23">
        <w:rPr>
          <w:sz w:val="16"/>
          <w:szCs w:val="16"/>
        </w:rPr>
        <w:t xml:space="preserve"> Specifically, </w:t>
      </w:r>
      <w:r w:rsidRPr="00DA1F23">
        <w:rPr>
          <w:sz w:val="16"/>
          <w:szCs w:val="16"/>
          <w:lang w:val="en"/>
        </w:rPr>
        <w:t xml:space="preserve">GIBM was built in </w:t>
      </w:r>
      <w:r w:rsidRPr="00DA1F23">
        <w:rPr>
          <w:bCs/>
          <w:i/>
          <w:iCs/>
          <w:sz w:val="16"/>
          <w:szCs w:val="16"/>
          <w:lang w:val="en"/>
        </w:rPr>
        <w:t>Vensim 7</w:t>
      </w:r>
      <w:r w:rsidRPr="00DA1F23">
        <w:rPr>
          <w:sz w:val="16"/>
          <w:szCs w:val="16"/>
          <w:lang w:val="en"/>
        </w:rPr>
        <w:t xml:space="preserve"> (</w:t>
      </w:r>
      <w:hyperlink r:id="rId1" w:history="1">
        <w:r w:rsidRPr="00DA1F23">
          <w:rPr>
            <w:rStyle w:val="Hyperlink"/>
            <w:color w:val="auto"/>
            <w:sz w:val="16"/>
            <w:szCs w:val="16"/>
            <w:u w:val="none"/>
            <w:lang w:val="en"/>
          </w:rPr>
          <w:t>https://vensim.com/vensim-7-release/</w:t>
        </w:r>
      </w:hyperlink>
      <w:r w:rsidRPr="00DA1F23">
        <w:rPr>
          <w:sz w:val="16"/>
          <w:szCs w:val="16"/>
          <w:lang w:val="en"/>
        </w:rPr>
        <w:t>). There may be small differences in the model output if using a different version of Vensim due to different rounding approaches.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9293" w14:textId="77777777" w:rsidR="008D6F86" w:rsidRDefault="008D6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8685" w14:textId="77777777" w:rsidR="008D6F86" w:rsidRDefault="008D6F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C33F" w14:textId="77777777" w:rsidR="008D6F86" w:rsidRDefault="008D6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2C79"/>
    <w:multiLevelType w:val="hybridMultilevel"/>
    <w:tmpl w:val="9F5E85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C11C9"/>
    <w:multiLevelType w:val="hybridMultilevel"/>
    <w:tmpl w:val="EE48C0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573E24"/>
    <w:multiLevelType w:val="hybridMultilevel"/>
    <w:tmpl w:val="3F5C03C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4134F98"/>
    <w:multiLevelType w:val="hybridMultilevel"/>
    <w:tmpl w:val="82EAB0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717872"/>
    <w:multiLevelType w:val="hybridMultilevel"/>
    <w:tmpl w:val="4CA6ECD2"/>
    <w:lvl w:ilvl="0" w:tplc="585C253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96707"/>
    <w:multiLevelType w:val="multilevel"/>
    <w:tmpl w:val="A9AA7C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0B54BB"/>
    <w:multiLevelType w:val="hybridMultilevel"/>
    <w:tmpl w:val="9B74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456A64"/>
    <w:multiLevelType w:val="hybridMultilevel"/>
    <w:tmpl w:val="A6767BC8"/>
    <w:lvl w:ilvl="0" w:tplc="BCDCE03E">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145267"/>
    <w:multiLevelType w:val="hybridMultilevel"/>
    <w:tmpl w:val="C890F25C"/>
    <w:lvl w:ilvl="0" w:tplc="687853E4">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2959DE"/>
    <w:multiLevelType w:val="hybridMultilevel"/>
    <w:tmpl w:val="C6AC38DE"/>
    <w:lvl w:ilvl="0" w:tplc="FAB0FE1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113448F"/>
    <w:multiLevelType w:val="multilevel"/>
    <w:tmpl w:val="34A4F3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5A56D8"/>
    <w:multiLevelType w:val="hybridMultilevel"/>
    <w:tmpl w:val="A9C0A8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982200"/>
    <w:multiLevelType w:val="multilevel"/>
    <w:tmpl w:val="99FCD9F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C5D1768"/>
    <w:multiLevelType w:val="hybridMultilevel"/>
    <w:tmpl w:val="181C72FE"/>
    <w:lvl w:ilvl="0" w:tplc="65C4A6B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F11AA3"/>
    <w:multiLevelType w:val="hybridMultilevel"/>
    <w:tmpl w:val="28DCCB0A"/>
    <w:lvl w:ilvl="0" w:tplc="CC1029BA">
      <w:start w:val="2"/>
      <w:numFmt w:val="bullet"/>
      <w:lvlText w:val=""/>
      <w:lvlJc w:val="left"/>
      <w:pPr>
        <w:ind w:left="720" w:hanging="360"/>
      </w:pPr>
      <w:rPr>
        <w:rFonts w:ascii="Wingdings" w:eastAsiaTheme="minorHAnsi" w:hAnsi="Wingdings" w:cs="Arial" w:hint="default"/>
        <w:color w:val="53565A"/>
        <w:sz w:val="3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4C7E5E"/>
    <w:multiLevelType w:val="multilevel"/>
    <w:tmpl w:val="99FCD9F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4816AA8"/>
    <w:multiLevelType w:val="multilevel"/>
    <w:tmpl w:val="0EC88C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5F6486E"/>
    <w:multiLevelType w:val="hybridMultilevel"/>
    <w:tmpl w:val="81F894DC"/>
    <w:lvl w:ilvl="0" w:tplc="6CC64C68">
      <w:start w:val="13"/>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6CC601E"/>
    <w:multiLevelType w:val="hybridMultilevel"/>
    <w:tmpl w:val="601C7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401C"/>
    <w:multiLevelType w:val="hybridMultilevel"/>
    <w:tmpl w:val="79E826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0F3672F"/>
    <w:multiLevelType w:val="hybridMultilevel"/>
    <w:tmpl w:val="562E7FD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4E7CD2"/>
    <w:multiLevelType w:val="multilevel"/>
    <w:tmpl w:val="E156410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9063F8B"/>
    <w:multiLevelType w:val="hybridMultilevel"/>
    <w:tmpl w:val="DC0C33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4"/>
  </w:num>
  <w:num w:numId="3">
    <w:abstractNumId w:val="9"/>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3"/>
  </w:num>
  <w:num w:numId="8">
    <w:abstractNumId w:val="6"/>
  </w:num>
  <w:num w:numId="9">
    <w:abstractNumId w:val="0"/>
  </w:num>
  <w:num w:numId="10">
    <w:abstractNumId w:val="1"/>
  </w:num>
  <w:num w:numId="11">
    <w:abstractNumId w:val="11"/>
  </w:num>
  <w:num w:numId="12">
    <w:abstractNumId w:val="20"/>
  </w:num>
  <w:num w:numId="13">
    <w:abstractNumId w:val="22"/>
  </w:num>
  <w:num w:numId="14">
    <w:abstractNumId w:val="7"/>
  </w:num>
  <w:num w:numId="15">
    <w:abstractNumId w:val="21"/>
  </w:num>
  <w:num w:numId="16">
    <w:abstractNumId w:val="14"/>
  </w:num>
  <w:num w:numId="17">
    <w:abstractNumId w:val="2"/>
  </w:num>
  <w:num w:numId="18">
    <w:abstractNumId w:val="5"/>
  </w:num>
  <w:num w:numId="19">
    <w:abstractNumId w:val="10"/>
  </w:num>
  <w:num w:numId="20">
    <w:abstractNumId w:val="18"/>
  </w:num>
  <w:num w:numId="21">
    <w:abstractNumId w:val="19"/>
  </w:num>
  <w:num w:numId="22">
    <w:abstractNumId w:val="15"/>
  </w:num>
  <w:num w:numId="23">
    <w:abstractNumId w:val="1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57A"/>
    <w:rsid w:val="00000344"/>
    <w:rsid w:val="00002429"/>
    <w:rsid w:val="0000505B"/>
    <w:rsid w:val="00014102"/>
    <w:rsid w:val="0002476E"/>
    <w:rsid w:val="00027891"/>
    <w:rsid w:val="000279F5"/>
    <w:rsid w:val="00033E35"/>
    <w:rsid w:val="00033F59"/>
    <w:rsid w:val="00041A38"/>
    <w:rsid w:val="000536BD"/>
    <w:rsid w:val="000659A3"/>
    <w:rsid w:val="00067D3F"/>
    <w:rsid w:val="000716A1"/>
    <w:rsid w:val="00072236"/>
    <w:rsid w:val="00076364"/>
    <w:rsid w:val="00077213"/>
    <w:rsid w:val="0007770A"/>
    <w:rsid w:val="00080458"/>
    <w:rsid w:val="00081449"/>
    <w:rsid w:val="0008473A"/>
    <w:rsid w:val="00084ACE"/>
    <w:rsid w:val="00085698"/>
    <w:rsid w:val="00087990"/>
    <w:rsid w:val="00091743"/>
    <w:rsid w:val="00092B80"/>
    <w:rsid w:val="00094330"/>
    <w:rsid w:val="00094A5E"/>
    <w:rsid w:val="00094B0C"/>
    <w:rsid w:val="00095567"/>
    <w:rsid w:val="000964E2"/>
    <w:rsid w:val="000964E4"/>
    <w:rsid w:val="000A3762"/>
    <w:rsid w:val="000A4733"/>
    <w:rsid w:val="000A4863"/>
    <w:rsid w:val="000A6C33"/>
    <w:rsid w:val="000B1E32"/>
    <w:rsid w:val="000B2B4D"/>
    <w:rsid w:val="000B4CB3"/>
    <w:rsid w:val="000C3012"/>
    <w:rsid w:val="000C4200"/>
    <w:rsid w:val="000C742D"/>
    <w:rsid w:val="000C789A"/>
    <w:rsid w:val="000D4D00"/>
    <w:rsid w:val="000D7440"/>
    <w:rsid w:val="000E1E78"/>
    <w:rsid w:val="000F1451"/>
    <w:rsid w:val="00110620"/>
    <w:rsid w:val="00111FC9"/>
    <w:rsid w:val="00113EC0"/>
    <w:rsid w:val="00120C8B"/>
    <w:rsid w:val="00123F24"/>
    <w:rsid w:val="00124CF8"/>
    <w:rsid w:val="00125DAC"/>
    <w:rsid w:val="00130556"/>
    <w:rsid w:val="00130690"/>
    <w:rsid w:val="00136302"/>
    <w:rsid w:val="001428F2"/>
    <w:rsid w:val="0014592A"/>
    <w:rsid w:val="00147DB3"/>
    <w:rsid w:val="001537B0"/>
    <w:rsid w:val="0015459B"/>
    <w:rsid w:val="001622D2"/>
    <w:rsid w:val="00162869"/>
    <w:rsid w:val="001650EE"/>
    <w:rsid w:val="00166C67"/>
    <w:rsid w:val="0017021B"/>
    <w:rsid w:val="00170EFD"/>
    <w:rsid w:val="00171B38"/>
    <w:rsid w:val="00171E80"/>
    <w:rsid w:val="001734F0"/>
    <w:rsid w:val="0017646B"/>
    <w:rsid w:val="00182138"/>
    <w:rsid w:val="001833D1"/>
    <w:rsid w:val="001846FB"/>
    <w:rsid w:val="001848E7"/>
    <w:rsid w:val="00185CFE"/>
    <w:rsid w:val="00186E2C"/>
    <w:rsid w:val="00193078"/>
    <w:rsid w:val="001940CA"/>
    <w:rsid w:val="001954C3"/>
    <w:rsid w:val="001A4D2C"/>
    <w:rsid w:val="001B19A5"/>
    <w:rsid w:val="001B39AA"/>
    <w:rsid w:val="001B3A62"/>
    <w:rsid w:val="001B45BE"/>
    <w:rsid w:val="001B4B3F"/>
    <w:rsid w:val="001B6D77"/>
    <w:rsid w:val="001C3F6D"/>
    <w:rsid w:val="001C5DDE"/>
    <w:rsid w:val="001C675B"/>
    <w:rsid w:val="001D292B"/>
    <w:rsid w:val="001D3D71"/>
    <w:rsid w:val="001D72FD"/>
    <w:rsid w:val="001D78AC"/>
    <w:rsid w:val="001E0CDD"/>
    <w:rsid w:val="001E64A1"/>
    <w:rsid w:val="001F2A50"/>
    <w:rsid w:val="001F508E"/>
    <w:rsid w:val="001F6524"/>
    <w:rsid w:val="001F688F"/>
    <w:rsid w:val="001F6D31"/>
    <w:rsid w:val="001F7BD1"/>
    <w:rsid w:val="00202100"/>
    <w:rsid w:val="002071B1"/>
    <w:rsid w:val="00210CA6"/>
    <w:rsid w:val="00211D24"/>
    <w:rsid w:val="002134C7"/>
    <w:rsid w:val="0021559E"/>
    <w:rsid w:val="00215991"/>
    <w:rsid w:val="00216853"/>
    <w:rsid w:val="00225637"/>
    <w:rsid w:val="002463D1"/>
    <w:rsid w:val="00251C7D"/>
    <w:rsid w:val="00265B16"/>
    <w:rsid w:val="00265C79"/>
    <w:rsid w:val="0027284F"/>
    <w:rsid w:val="00276ECC"/>
    <w:rsid w:val="00280EFD"/>
    <w:rsid w:val="00286078"/>
    <w:rsid w:val="00286B01"/>
    <w:rsid w:val="00290452"/>
    <w:rsid w:val="00297899"/>
    <w:rsid w:val="002978F5"/>
    <w:rsid w:val="002A3515"/>
    <w:rsid w:val="002A6F44"/>
    <w:rsid w:val="002A7D5C"/>
    <w:rsid w:val="002B4B3C"/>
    <w:rsid w:val="002B4DBB"/>
    <w:rsid w:val="002C1C9D"/>
    <w:rsid w:val="002C2095"/>
    <w:rsid w:val="002C2603"/>
    <w:rsid w:val="002C2F93"/>
    <w:rsid w:val="002D2352"/>
    <w:rsid w:val="002D5C26"/>
    <w:rsid w:val="002E1003"/>
    <w:rsid w:val="002E7760"/>
    <w:rsid w:val="002F74D4"/>
    <w:rsid w:val="003064E3"/>
    <w:rsid w:val="003143B9"/>
    <w:rsid w:val="00317E1B"/>
    <w:rsid w:val="0032053C"/>
    <w:rsid w:val="0032796A"/>
    <w:rsid w:val="003307DD"/>
    <w:rsid w:val="00330BD1"/>
    <w:rsid w:val="00333047"/>
    <w:rsid w:val="00335648"/>
    <w:rsid w:val="00347675"/>
    <w:rsid w:val="00352915"/>
    <w:rsid w:val="003579D8"/>
    <w:rsid w:val="00357AB4"/>
    <w:rsid w:val="0036060A"/>
    <w:rsid w:val="00363ACD"/>
    <w:rsid w:val="00365493"/>
    <w:rsid w:val="003661DC"/>
    <w:rsid w:val="00370E66"/>
    <w:rsid w:val="003715CE"/>
    <w:rsid w:val="0037207D"/>
    <w:rsid w:val="00374C67"/>
    <w:rsid w:val="003760DB"/>
    <w:rsid w:val="00384D8F"/>
    <w:rsid w:val="00385DD1"/>
    <w:rsid w:val="00387D1F"/>
    <w:rsid w:val="003905D2"/>
    <w:rsid w:val="00391057"/>
    <w:rsid w:val="00397878"/>
    <w:rsid w:val="00397D9B"/>
    <w:rsid w:val="003A389D"/>
    <w:rsid w:val="003A49E1"/>
    <w:rsid w:val="003A5C21"/>
    <w:rsid w:val="003A6505"/>
    <w:rsid w:val="003B00CB"/>
    <w:rsid w:val="003B3FE6"/>
    <w:rsid w:val="003B43EF"/>
    <w:rsid w:val="003C043C"/>
    <w:rsid w:val="003C3050"/>
    <w:rsid w:val="003C636F"/>
    <w:rsid w:val="003D52F1"/>
    <w:rsid w:val="003D5731"/>
    <w:rsid w:val="003D605E"/>
    <w:rsid w:val="003D6A4C"/>
    <w:rsid w:val="003D7094"/>
    <w:rsid w:val="003D71B3"/>
    <w:rsid w:val="003E0F67"/>
    <w:rsid w:val="003E5BE1"/>
    <w:rsid w:val="003F5E5C"/>
    <w:rsid w:val="00402BC5"/>
    <w:rsid w:val="004058F8"/>
    <w:rsid w:val="00407EA6"/>
    <w:rsid w:val="00416FD0"/>
    <w:rsid w:val="0041721B"/>
    <w:rsid w:val="00420E85"/>
    <w:rsid w:val="00425437"/>
    <w:rsid w:val="0042584A"/>
    <w:rsid w:val="0042598F"/>
    <w:rsid w:val="00435EAE"/>
    <w:rsid w:val="00441C75"/>
    <w:rsid w:val="004502BF"/>
    <w:rsid w:val="004512B6"/>
    <w:rsid w:val="00453C18"/>
    <w:rsid w:val="00456087"/>
    <w:rsid w:val="00470FA2"/>
    <w:rsid w:val="00472EA8"/>
    <w:rsid w:val="00477A4A"/>
    <w:rsid w:val="00477D17"/>
    <w:rsid w:val="0048145F"/>
    <w:rsid w:val="0048157A"/>
    <w:rsid w:val="00484104"/>
    <w:rsid w:val="0049060B"/>
    <w:rsid w:val="00492D90"/>
    <w:rsid w:val="004933CC"/>
    <w:rsid w:val="004948D2"/>
    <w:rsid w:val="00497ACF"/>
    <w:rsid w:val="004A03E5"/>
    <w:rsid w:val="004A136B"/>
    <w:rsid w:val="004B16C3"/>
    <w:rsid w:val="004B184C"/>
    <w:rsid w:val="004C1478"/>
    <w:rsid w:val="004C150F"/>
    <w:rsid w:val="004C1DAA"/>
    <w:rsid w:val="004C233A"/>
    <w:rsid w:val="004C2F78"/>
    <w:rsid w:val="004D20A3"/>
    <w:rsid w:val="004D231B"/>
    <w:rsid w:val="004D23E1"/>
    <w:rsid w:val="004E68A5"/>
    <w:rsid w:val="004E72CF"/>
    <w:rsid w:val="004F1A9F"/>
    <w:rsid w:val="005079FA"/>
    <w:rsid w:val="0051045E"/>
    <w:rsid w:val="00510E39"/>
    <w:rsid w:val="00513867"/>
    <w:rsid w:val="0051614E"/>
    <w:rsid w:val="00517225"/>
    <w:rsid w:val="00521230"/>
    <w:rsid w:val="0053072D"/>
    <w:rsid w:val="00534359"/>
    <w:rsid w:val="005366E0"/>
    <w:rsid w:val="00543C86"/>
    <w:rsid w:val="00547C59"/>
    <w:rsid w:val="0056645D"/>
    <w:rsid w:val="005671F8"/>
    <w:rsid w:val="00570D44"/>
    <w:rsid w:val="0057213B"/>
    <w:rsid w:val="0057627C"/>
    <w:rsid w:val="005767B4"/>
    <w:rsid w:val="00582151"/>
    <w:rsid w:val="00585EAC"/>
    <w:rsid w:val="00585ECF"/>
    <w:rsid w:val="00590D06"/>
    <w:rsid w:val="00590E9B"/>
    <w:rsid w:val="00593617"/>
    <w:rsid w:val="00594016"/>
    <w:rsid w:val="005A289B"/>
    <w:rsid w:val="005A66CF"/>
    <w:rsid w:val="005B1D47"/>
    <w:rsid w:val="005B3416"/>
    <w:rsid w:val="005B494C"/>
    <w:rsid w:val="005B54E4"/>
    <w:rsid w:val="005C4CFE"/>
    <w:rsid w:val="005C6958"/>
    <w:rsid w:val="005D0D1C"/>
    <w:rsid w:val="005D5A2D"/>
    <w:rsid w:val="005D6A60"/>
    <w:rsid w:val="005E2639"/>
    <w:rsid w:val="005E4B81"/>
    <w:rsid w:val="005E51AA"/>
    <w:rsid w:val="005F1A55"/>
    <w:rsid w:val="005F35B8"/>
    <w:rsid w:val="005F5D8C"/>
    <w:rsid w:val="005F6ABF"/>
    <w:rsid w:val="006000A7"/>
    <w:rsid w:val="006028EF"/>
    <w:rsid w:val="00603E64"/>
    <w:rsid w:val="006065C1"/>
    <w:rsid w:val="00607C1A"/>
    <w:rsid w:val="00611C65"/>
    <w:rsid w:val="006127F6"/>
    <w:rsid w:val="0061580E"/>
    <w:rsid w:val="00616D74"/>
    <w:rsid w:val="00616DCF"/>
    <w:rsid w:val="006202ED"/>
    <w:rsid w:val="00622163"/>
    <w:rsid w:val="00635753"/>
    <w:rsid w:val="00646F8A"/>
    <w:rsid w:val="006533C8"/>
    <w:rsid w:val="0065546C"/>
    <w:rsid w:val="00657C56"/>
    <w:rsid w:val="0066776F"/>
    <w:rsid w:val="00676130"/>
    <w:rsid w:val="0068067C"/>
    <w:rsid w:val="0068295D"/>
    <w:rsid w:val="00690934"/>
    <w:rsid w:val="0069135D"/>
    <w:rsid w:val="00692074"/>
    <w:rsid w:val="00695105"/>
    <w:rsid w:val="006A5958"/>
    <w:rsid w:val="006A617F"/>
    <w:rsid w:val="006B0492"/>
    <w:rsid w:val="006B103E"/>
    <w:rsid w:val="006B3184"/>
    <w:rsid w:val="006C3EE3"/>
    <w:rsid w:val="006C4AD8"/>
    <w:rsid w:val="006C5E39"/>
    <w:rsid w:val="006C7A75"/>
    <w:rsid w:val="006D0261"/>
    <w:rsid w:val="006D312B"/>
    <w:rsid w:val="006D41F2"/>
    <w:rsid w:val="006D4F76"/>
    <w:rsid w:val="006D68BE"/>
    <w:rsid w:val="006D6D15"/>
    <w:rsid w:val="006E1E2A"/>
    <w:rsid w:val="006E2022"/>
    <w:rsid w:val="006E4A65"/>
    <w:rsid w:val="006E63AE"/>
    <w:rsid w:val="006E6930"/>
    <w:rsid w:val="006F612A"/>
    <w:rsid w:val="00707DA6"/>
    <w:rsid w:val="007134D5"/>
    <w:rsid w:val="0071535B"/>
    <w:rsid w:val="00717B0C"/>
    <w:rsid w:val="007240E9"/>
    <w:rsid w:val="00724901"/>
    <w:rsid w:val="00734330"/>
    <w:rsid w:val="0073611D"/>
    <w:rsid w:val="00737E92"/>
    <w:rsid w:val="007444DF"/>
    <w:rsid w:val="00744AA1"/>
    <w:rsid w:val="007559E8"/>
    <w:rsid w:val="007605DF"/>
    <w:rsid w:val="007612F0"/>
    <w:rsid w:val="007642FD"/>
    <w:rsid w:val="00770F82"/>
    <w:rsid w:val="007725C5"/>
    <w:rsid w:val="00777B0D"/>
    <w:rsid w:val="00781537"/>
    <w:rsid w:val="00781FFB"/>
    <w:rsid w:val="007827FE"/>
    <w:rsid w:val="00786D38"/>
    <w:rsid w:val="00787158"/>
    <w:rsid w:val="007A335C"/>
    <w:rsid w:val="007A3790"/>
    <w:rsid w:val="007B124B"/>
    <w:rsid w:val="007C2F6A"/>
    <w:rsid w:val="007C3586"/>
    <w:rsid w:val="007C455D"/>
    <w:rsid w:val="007C540A"/>
    <w:rsid w:val="007C5DF7"/>
    <w:rsid w:val="007C793A"/>
    <w:rsid w:val="007C7FE7"/>
    <w:rsid w:val="007D192F"/>
    <w:rsid w:val="007D3EBB"/>
    <w:rsid w:val="007D582B"/>
    <w:rsid w:val="007E5672"/>
    <w:rsid w:val="007E6DE5"/>
    <w:rsid w:val="007F44E6"/>
    <w:rsid w:val="00804604"/>
    <w:rsid w:val="00807325"/>
    <w:rsid w:val="00813193"/>
    <w:rsid w:val="00814A30"/>
    <w:rsid w:val="008158B2"/>
    <w:rsid w:val="00816E23"/>
    <w:rsid w:val="008228FC"/>
    <w:rsid w:val="008248DE"/>
    <w:rsid w:val="0082678A"/>
    <w:rsid w:val="008270BF"/>
    <w:rsid w:val="00827928"/>
    <w:rsid w:val="0083059E"/>
    <w:rsid w:val="008316E2"/>
    <w:rsid w:val="00834479"/>
    <w:rsid w:val="00834580"/>
    <w:rsid w:val="00835372"/>
    <w:rsid w:val="00835571"/>
    <w:rsid w:val="00835EE7"/>
    <w:rsid w:val="00836171"/>
    <w:rsid w:val="00851D70"/>
    <w:rsid w:val="00864566"/>
    <w:rsid w:val="00865314"/>
    <w:rsid w:val="00866CAC"/>
    <w:rsid w:val="00866F39"/>
    <w:rsid w:val="008712F9"/>
    <w:rsid w:val="008742C0"/>
    <w:rsid w:val="0088589D"/>
    <w:rsid w:val="008908F3"/>
    <w:rsid w:val="008A4CC4"/>
    <w:rsid w:val="008A62CB"/>
    <w:rsid w:val="008A6311"/>
    <w:rsid w:val="008B2D64"/>
    <w:rsid w:val="008B45B2"/>
    <w:rsid w:val="008C2D9C"/>
    <w:rsid w:val="008C3D2A"/>
    <w:rsid w:val="008C5421"/>
    <w:rsid w:val="008C5531"/>
    <w:rsid w:val="008C68D9"/>
    <w:rsid w:val="008D2077"/>
    <w:rsid w:val="008D42DB"/>
    <w:rsid w:val="008D6F86"/>
    <w:rsid w:val="008E038E"/>
    <w:rsid w:val="008E0430"/>
    <w:rsid w:val="008E2C97"/>
    <w:rsid w:val="008F35B4"/>
    <w:rsid w:val="00902A5D"/>
    <w:rsid w:val="00906394"/>
    <w:rsid w:val="00914385"/>
    <w:rsid w:val="00916082"/>
    <w:rsid w:val="00917F85"/>
    <w:rsid w:val="00923279"/>
    <w:rsid w:val="009330A9"/>
    <w:rsid w:val="009419C9"/>
    <w:rsid w:val="00953148"/>
    <w:rsid w:val="00955DE8"/>
    <w:rsid w:val="009565FF"/>
    <w:rsid w:val="00956D33"/>
    <w:rsid w:val="009662E2"/>
    <w:rsid w:val="00970150"/>
    <w:rsid w:val="00985916"/>
    <w:rsid w:val="00991C75"/>
    <w:rsid w:val="00993326"/>
    <w:rsid w:val="00993A06"/>
    <w:rsid w:val="00997661"/>
    <w:rsid w:val="009A2A04"/>
    <w:rsid w:val="009A4759"/>
    <w:rsid w:val="009A494A"/>
    <w:rsid w:val="009B20D1"/>
    <w:rsid w:val="009B243E"/>
    <w:rsid w:val="009B5A10"/>
    <w:rsid w:val="009B5C39"/>
    <w:rsid w:val="009C0CED"/>
    <w:rsid w:val="009C1C7A"/>
    <w:rsid w:val="009C4199"/>
    <w:rsid w:val="009D111B"/>
    <w:rsid w:val="009D1683"/>
    <w:rsid w:val="009D3E48"/>
    <w:rsid w:val="009D452F"/>
    <w:rsid w:val="009D59BD"/>
    <w:rsid w:val="009F1C30"/>
    <w:rsid w:val="009F21AF"/>
    <w:rsid w:val="009F4738"/>
    <w:rsid w:val="009F76BD"/>
    <w:rsid w:val="00A0034E"/>
    <w:rsid w:val="00A05269"/>
    <w:rsid w:val="00A07E85"/>
    <w:rsid w:val="00A101E6"/>
    <w:rsid w:val="00A114D7"/>
    <w:rsid w:val="00A12A20"/>
    <w:rsid w:val="00A13878"/>
    <w:rsid w:val="00A14DB1"/>
    <w:rsid w:val="00A202A5"/>
    <w:rsid w:val="00A22C31"/>
    <w:rsid w:val="00A24447"/>
    <w:rsid w:val="00A252D5"/>
    <w:rsid w:val="00A25DD2"/>
    <w:rsid w:val="00A40692"/>
    <w:rsid w:val="00A56A97"/>
    <w:rsid w:val="00A56B6C"/>
    <w:rsid w:val="00A6321B"/>
    <w:rsid w:val="00A63CC5"/>
    <w:rsid w:val="00A66596"/>
    <w:rsid w:val="00A73522"/>
    <w:rsid w:val="00A80115"/>
    <w:rsid w:val="00A80171"/>
    <w:rsid w:val="00A855E7"/>
    <w:rsid w:val="00A9138F"/>
    <w:rsid w:val="00A9523E"/>
    <w:rsid w:val="00AA1DA3"/>
    <w:rsid w:val="00AA3C6D"/>
    <w:rsid w:val="00AB1F8D"/>
    <w:rsid w:val="00AB7695"/>
    <w:rsid w:val="00AC199C"/>
    <w:rsid w:val="00AC259F"/>
    <w:rsid w:val="00AC41AD"/>
    <w:rsid w:val="00AD0ED0"/>
    <w:rsid w:val="00AE45EE"/>
    <w:rsid w:val="00AE69EE"/>
    <w:rsid w:val="00AE76BE"/>
    <w:rsid w:val="00AF27A4"/>
    <w:rsid w:val="00AF7D32"/>
    <w:rsid w:val="00B02A20"/>
    <w:rsid w:val="00B048D4"/>
    <w:rsid w:val="00B05E3B"/>
    <w:rsid w:val="00B10324"/>
    <w:rsid w:val="00B224FE"/>
    <w:rsid w:val="00B24572"/>
    <w:rsid w:val="00B245C9"/>
    <w:rsid w:val="00B251D1"/>
    <w:rsid w:val="00B33425"/>
    <w:rsid w:val="00B350B5"/>
    <w:rsid w:val="00B35161"/>
    <w:rsid w:val="00B37FAC"/>
    <w:rsid w:val="00B44C45"/>
    <w:rsid w:val="00B5174A"/>
    <w:rsid w:val="00B564F2"/>
    <w:rsid w:val="00B620E7"/>
    <w:rsid w:val="00B64C31"/>
    <w:rsid w:val="00B72438"/>
    <w:rsid w:val="00B72BD4"/>
    <w:rsid w:val="00B72D7E"/>
    <w:rsid w:val="00B74319"/>
    <w:rsid w:val="00B823CD"/>
    <w:rsid w:val="00B83C28"/>
    <w:rsid w:val="00B85BEA"/>
    <w:rsid w:val="00B87561"/>
    <w:rsid w:val="00B91D09"/>
    <w:rsid w:val="00B93179"/>
    <w:rsid w:val="00B93455"/>
    <w:rsid w:val="00B93557"/>
    <w:rsid w:val="00B960A3"/>
    <w:rsid w:val="00BA07C0"/>
    <w:rsid w:val="00BA6F6D"/>
    <w:rsid w:val="00BB14C8"/>
    <w:rsid w:val="00BB7A22"/>
    <w:rsid w:val="00BC4CB8"/>
    <w:rsid w:val="00BC54CB"/>
    <w:rsid w:val="00BD1FBD"/>
    <w:rsid w:val="00BD45E1"/>
    <w:rsid w:val="00BD5AB7"/>
    <w:rsid w:val="00BD7625"/>
    <w:rsid w:val="00BE0AB0"/>
    <w:rsid w:val="00BE321B"/>
    <w:rsid w:val="00BF4855"/>
    <w:rsid w:val="00BF4B86"/>
    <w:rsid w:val="00BF4CD5"/>
    <w:rsid w:val="00C01D3C"/>
    <w:rsid w:val="00C03862"/>
    <w:rsid w:val="00C03B42"/>
    <w:rsid w:val="00C14D5D"/>
    <w:rsid w:val="00C24466"/>
    <w:rsid w:val="00C41EEB"/>
    <w:rsid w:val="00C41FB3"/>
    <w:rsid w:val="00C42D19"/>
    <w:rsid w:val="00C433D7"/>
    <w:rsid w:val="00C51E55"/>
    <w:rsid w:val="00C53C25"/>
    <w:rsid w:val="00C53D51"/>
    <w:rsid w:val="00C54AF7"/>
    <w:rsid w:val="00C5656B"/>
    <w:rsid w:val="00C611D8"/>
    <w:rsid w:val="00C66B9E"/>
    <w:rsid w:val="00C7087A"/>
    <w:rsid w:val="00C72903"/>
    <w:rsid w:val="00C732B0"/>
    <w:rsid w:val="00C73D15"/>
    <w:rsid w:val="00C754F7"/>
    <w:rsid w:val="00C75688"/>
    <w:rsid w:val="00C76CEC"/>
    <w:rsid w:val="00C77673"/>
    <w:rsid w:val="00C85938"/>
    <w:rsid w:val="00C91C73"/>
    <w:rsid w:val="00C927F0"/>
    <w:rsid w:val="00C959B8"/>
    <w:rsid w:val="00C9700E"/>
    <w:rsid w:val="00CA1F43"/>
    <w:rsid w:val="00CB0510"/>
    <w:rsid w:val="00CB5119"/>
    <w:rsid w:val="00CB5BD3"/>
    <w:rsid w:val="00CB6E38"/>
    <w:rsid w:val="00CC0F54"/>
    <w:rsid w:val="00CC5039"/>
    <w:rsid w:val="00CC5993"/>
    <w:rsid w:val="00CC6615"/>
    <w:rsid w:val="00CD2066"/>
    <w:rsid w:val="00CD6BE2"/>
    <w:rsid w:val="00CD7C46"/>
    <w:rsid w:val="00CE31C7"/>
    <w:rsid w:val="00CE59B3"/>
    <w:rsid w:val="00CF2DA1"/>
    <w:rsid w:val="00CF3456"/>
    <w:rsid w:val="00CF7471"/>
    <w:rsid w:val="00D004BD"/>
    <w:rsid w:val="00D01ACE"/>
    <w:rsid w:val="00D03282"/>
    <w:rsid w:val="00D052AB"/>
    <w:rsid w:val="00D20DDE"/>
    <w:rsid w:val="00D2171D"/>
    <w:rsid w:val="00D2377E"/>
    <w:rsid w:val="00D2729B"/>
    <w:rsid w:val="00D3378A"/>
    <w:rsid w:val="00D35F43"/>
    <w:rsid w:val="00D36FB5"/>
    <w:rsid w:val="00D40BE5"/>
    <w:rsid w:val="00D42C3F"/>
    <w:rsid w:val="00D44F09"/>
    <w:rsid w:val="00D451B9"/>
    <w:rsid w:val="00D459F1"/>
    <w:rsid w:val="00D466F3"/>
    <w:rsid w:val="00D46BD6"/>
    <w:rsid w:val="00D4750C"/>
    <w:rsid w:val="00D55226"/>
    <w:rsid w:val="00D56FA8"/>
    <w:rsid w:val="00D619CF"/>
    <w:rsid w:val="00D62305"/>
    <w:rsid w:val="00D64CC2"/>
    <w:rsid w:val="00D65787"/>
    <w:rsid w:val="00D66950"/>
    <w:rsid w:val="00D70C23"/>
    <w:rsid w:val="00D72DF0"/>
    <w:rsid w:val="00D7468B"/>
    <w:rsid w:val="00D75EA6"/>
    <w:rsid w:val="00D80498"/>
    <w:rsid w:val="00D80FE1"/>
    <w:rsid w:val="00D81275"/>
    <w:rsid w:val="00D84552"/>
    <w:rsid w:val="00D85BE5"/>
    <w:rsid w:val="00D87930"/>
    <w:rsid w:val="00D94661"/>
    <w:rsid w:val="00D9491E"/>
    <w:rsid w:val="00D975E7"/>
    <w:rsid w:val="00D97C3B"/>
    <w:rsid w:val="00DA06C8"/>
    <w:rsid w:val="00DA1F23"/>
    <w:rsid w:val="00DA37D9"/>
    <w:rsid w:val="00DA4C74"/>
    <w:rsid w:val="00DA6322"/>
    <w:rsid w:val="00DB493B"/>
    <w:rsid w:val="00DB5EDB"/>
    <w:rsid w:val="00DC11A0"/>
    <w:rsid w:val="00DC1722"/>
    <w:rsid w:val="00DC6E14"/>
    <w:rsid w:val="00DD3C98"/>
    <w:rsid w:val="00DD4507"/>
    <w:rsid w:val="00DD621D"/>
    <w:rsid w:val="00DD6612"/>
    <w:rsid w:val="00DE1417"/>
    <w:rsid w:val="00DE25A6"/>
    <w:rsid w:val="00DE31A3"/>
    <w:rsid w:val="00DE35C2"/>
    <w:rsid w:val="00DF4790"/>
    <w:rsid w:val="00E02C97"/>
    <w:rsid w:val="00E04783"/>
    <w:rsid w:val="00E05599"/>
    <w:rsid w:val="00E11ADE"/>
    <w:rsid w:val="00E14132"/>
    <w:rsid w:val="00E16F79"/>
    <w:rsid w:val="00E1719E"/>
    <w:rsid w:val="00E2315A"/>
    <w:rsid w:val="00E262A2"/>
    <w:rsid w:val="00E265BA"/>
    <w:rsid w:val="00E35E1C"/>
    <w:rsid w:val="00E37A4F"/>
    <w:rsid w:val="00E43ADD"/>
    <w:rsid w:val="00E46D93"/>
    <w:rsid w:val="00E52245"/>
    <w:rsid w:val="00E550B1"/>
    <w:rsid w:val="00E602E4"/>
    <w:rsid w:val="00E60E77"/>
    <w:rsid w:val="00E6266C"/>
    <w:rsid w:val="00E63AAC"/>
    <w:rsid w:val="00E6629C"/>
    <w:rsid w:val="00E7779D"/>
    <w:rsid w:val="00E91F76"/>
    <w:rsid w:val="00E9554D"/>
    <w:rsid w:val="00E968CE"/>
    <w:rsid w:val="00EA3AB4"/>
    <w:rsid w:val="00EA56CE"/>
    <w:rsid w:val="00EA5777"/>
    <w:rsid w:val="00EC0B90"/>
    <w:rsid w:val="00EC234E"/>
    <w:rsid w:val="00ED40BD"/>
    <w:rsid w:val="00ED4322"/>
    <w:rsid w:val="00ED7021"/>
    <w:rsid w:val="00EE0296"/>
    <w:rsid w:val="00EE21E7"/>
    <w:rsid w:val="00EE74EB"/>
    <w:rsid w:val="00EF1B53"/>
    <w:rsid w:val="00EF391F"/>
    <w:rsid w:val="00EF510F"/>
    <w:rsid w:val="00EF5294"/>
    <w:rsid w:val="00EF631F"/>
    <w:rsid w:val="00EF6EDD"/>
    <w:rsid w:val="00F0133D"/>
    <w:rsid w:val="00F02F14"/>
    <w:rsid w:val="00F03977"/>
    <w:rsid w:val="00F101E3"/>
    <w:rsid w:val="00F13CCC"/>
    <w:rsid w:val="00F1757C"/>
    <w:rsid w:val="00F21313"/>
    <w:rsid w:val="00F24088"/>
    <w:rsid w:val="00F252DE"/>
    <w:rsid w:val="00F253E3"/>
    <w:rsid w:val="00F31053"/>
    <w:rsid w:val="00F328AE"/>
    <w:rsid w:val="00F36227"/>
    <w:rsid w:val="00F367A0"/>
    <w:rsid w:val="00F4649D"/>
    <w:rsid w:val="00F471F5"/>
    <w:rsid w:val="00F4789D"/>
    <w:rsid w:val="00F47DFE"/>
    <w:rsid w:val="00F50E78"/>
    <w:rsid w:val="00F5482A"/>
    <w:rsid w:val="00F56ACD"/>
    <w:rsid w:val="00F63164"/>
    <w:rsid w:val="00F64140"/>
    <w:rsid w:val="00F66571"/>
    <w:rsid w:val="00F676D3"/>
    <w:rsid w:val="00F72AF3"/>
    <w:rsid w:val="00F80134"/>
    <w:rsid w:val="00F80F07"/>
    <w:rsid w:val="00F812C2"/>
    <w:rsid w:val="00F90C8C"/>
    <w:rsid w:val="00F960A6"/>
    <w:rsid w:val="00FA3389"/>
    <w:rsid w:val="00FA57A9"/>
    <w:rsid w:val="00FA5AD0"/>
    <w:rsid w:val="00FA7811"/>
    <w:rsid w:val="00FB19B5"/>
    <w:rsid w:val="00FB6766"/>
    <w:rsid w:val="00FC12F6"/>
    <w:rsid w:val="00FC3C69"/>
    <w:rsid w:val="00FD19E5"/>
    <w:rsid w:val="00FD36CA"/>
    <w:rsid w:val="00FD5591"/>
    <w:rsid w:val="00FD5780"/>
    <w:rsid w:val="00FE19E1"/>
    <w:rsid w:val="00FE2056"/>
    <w:rsid w:val="00FE71B6"/>
    <w:rsid w:val="00FE71FC"/>
    <w:rsid w:val="00FE77B7"/>
    <w:rsid w:val="00FF46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8804B1"/>
  <w15:chartTrackingRefBased/>
  <w15:docId w15:val="{D96A30BF-2B9B-4F44-8BB9-0952E968B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105"/>
    <w:pPr>
      <w:spacing w:line="276" w:lineRule="auto"/>
      <w:jc w:val="both"/>
    </w:pPr>
  </w:style>
  <w:style w:type="paragraph" w:styleId="Heading1">
    <w:name w:val="heading 1"/>
    <w:basedOn w:val="Normal"/>
    <w:next w:val="Normal"/>
    <w:link w:val="Heading1Char"/>
    <w:autoRedefine/>
    <w:uiPriority w:val="9"/>
    <w:qFormat/>
    <w:rsid w:val="005A66CF"/>
    <w:pPr>
      <w:keepNext/>
      <w:keepLines/>
      <w:numPr>
        <w:numId w:val="15"/>
      </w:numPr>
      <w:spacing w:before="240" w:after="100"/>
      <w:outlineLvl w:val="0"/>
    </w:pPr>
    <w:rPr>
      <w:rFonts w:asciiTheme="majorHAnsi" w:eastAsiaTheme="majorEastAsia" w:hAnsiTheme="majorHAnsi" w:cstheme="majorBidi"/>
      <w:b/>
      <w:color w:val="25A3AD"/>
      <w:sz w:val="24"/>
      <w:szCs w:val="24"/>
    </w:rPr>
  </w:style>
  <w:style w:type="paragraph" w:styleId="Heading2">
    <w:name w:val="heading 2"/>
    <w:basedOn w:val="Normal"/>
    <w:next w:val="Normal"/>
    <w:link w:val="Heading2Char"/>
    <w:autoRedefine/>
    <w:uiPriority w:val="9"/>
    <w:unhideWhenUsed/>
    <w:qFormat/>
    <w:rsid w:val="00E04783"/>
    <w:pPr>
      <w:keepNext/>
      <w:keepLines/>
      <w:numPr>
        <w:ilvl w:val="1"/>
        <w:numId w:val="15"/>
      </w:numPr>
      <w:spacing w:before="200" w:after="240"/>
      <w:outlineLvl w:val="1"/>
    </w:pPr>
    <w:rPr>
      <w:rFonts w:asciiTheme="majorHAnsi" w:eastAsiaTheme="majorEastAsia" w:hAnsiTheme="majorHAnsi" w:cstheme="majorBidi"/>
      <w:b/>
      <w:color w:val="2F5496" w:themeColor="accent5" w:themeShade="BF"/>
      <w:sz w:val="23"/>
      <w:szCs w:val="26"/>
    </w:rPr>
  </w:style>
  <w:style w:type="paragraph" w:styleId="Heading3">
    <w:name w:val="heading 3"/>
    <w:basedOn w:val="Normal"/>
    <w:next w:val="Normal"/>
    <w:link w:val="Heading3Char"/>
    <w:uiPriority w:val="9"/>
    <w:unhideWhenUsed/>
    <w:qFormat/>
    <w:rsid w:val="006D6D15"/>
    <w:pPr>
      <w:keepNext/>
      <w:keepLines/>
      <w:numPr>
        <w:ilvl w:val="2"/>
        <w:numId w:val="15"/>
      </w:numPr>
      <w:spacing w:before="40" w:after="0"/>
      <w:outlineLvl w:val="2"/>
    </w:pPr>
    <w:rPr>
      <w:rFonts w:asciiTheme="majorHAnsi" w:eastAsiaTheme="majorEastAsia" w:hAnsiTheme="majorHAnsi" w:cstheme="majorBidi"/>
      <w:b/>
      <w:color w:val="1F4D78" w:themeColor="accent1" w:themeShade="7F"/>
      <w:sz w:val="23"/>
      <w:szCs w:val="24"/>
    </w:rPr>
  </w:style>
  <w:style w:type="paragraph" w:styleId="Heading4">
    <w:name w:val="heading 4"/>
    <w:basedOn w:val="Normal"/>
    <w:next w:val="Normal"/>
    <w:link w:val="Heading4Char"/>
    <w:uiPriority w:val="9"/>
    <w:semiHidden/>
    <w:unhideWhenUsed/>
    <w:qFormat/>
    <w:rsid w:val="00E04783"/>
    <w:pPr>
      <w:keepNext/>
      <w:keepLines/>
      <w:numPr>
        <w:ilvl w:val="3"/>
        <w:numId w:val="1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04783"/>
    <w:pPr>
      <w:keepNext/>
      <w:keepLines/>
      <w:numPr>
        <w:ilvl w:val="4"/>
        <w:numId w:val="1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04783"/>
    <w:pPr>
      <w:keepNext/>
      <w:keepLines/>
      <w:numPr>
        <w:ilvl w:val="5"/>
        <w:numId w:val="1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04783"/>
    <w:pPr>
      <w:keepNext/>
      <w:keepLines/>
      <w:numPr>
        <w:ilvl w:val="6"/>
        <w:numId w:val="1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04783"/>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04783"/>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6CF"/>
    <w:rPr>
      <w:rFonts w:asciiTheme="majorHAnsi" w:eastAsiaTheme="majorEastAsia" w:hAnsiTheme="majorHAnsi" w:cstheme="majorBidi"/>
      <w:b/>
      <w:color w:val="25A3AD"/>
      <w:sz w:val="24"/>
      <w:szCs w:val="24"/>
    </w:rPr>
  </w:style>
  <w:style w:type="character" w:customStyle="1" w:styleId="Heading2Char">
    <w:name w:val="Heading 2 Char"/>
    <w:basedOn w:val="DefaultParagraphFont"/>
    <w:link w:val="Heading2"/>
    <w:uiPriority w:val="9"/>
    <w:rsid w:val="00E04783"/>
    <w:rPr>
      <w:rFonts w:asciiTheme="majorHAnsi" w:eastAsiaTheme="majorEastAsia" w:hAnsiTheme="majorHAnsi" w:cstheme="majorBidi"/>
      <w:b/>
      <w:color w:val="2F5496" w:themeColor="accent5" w:themeShade="BF"/>
      <w:sz w:val="23"/>
      <w:szCs w:val="26"/>
    </w:rPr>
  </w:style>
  <w:style w:type="paragraph" w:styleId="Caption">
    <w:name w:val="caption"/>
    <w:basedOn w:val="Normal"/>
    <w:next w:val="Normal"/>
    <w:uiPriority w:val="35"/>
    <w:unhideWhenUsed/>
    <w:qFormat/>
    <w:rsid w:val="005A289B"/>
    <w:pPr>
      <w:spacing w:after="200" w:line="360" w:lineRule="auto"/>
    </w:pPr>
    <w:rPr>
      <w:rFonts w:ascii="Arial" w:hAnsi="Arial"/>
      <w:b/>
      <w:iCs/>
      <w:sz w:val="20"/>
      <w:szCs w:val="18"/>
    </w:rPr>
  </w:style>
  <w:style w:type="table" w:styleId="GridTable5Dark-Accent3">
    <w:name w:val="Grid Table 5 Dark Accent 3"/>
    <w:basedOn w:val="TableNormal"/>
    <w:uiPriority w:val="50"/>
    <w:rsid w:val="005A289B"/>
    <w:pPr>
      <w:spacing w:after="0" w:line="240" w:lineRule="auto"/>
      <w:jc w:val="both"/>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ListParagraph">
    <w:name w:val="List Paragraph"/>
    <w:basedOn w:val="Normal"/>
    <w:uiPriority w:val="34"/>
    <w:qFormat/>
    <w:rsid w:val="007C2F6A"/>
    <w:pPr>
      <w:ind w:left="720"/>
      <w:contextualSpacing/>
    </w:pPr>
  </w:style>
  <w:style w:type="character" w:styleId="CommentReference">
    <w:name w:val="annotation reference"/>
    <w:basedOn w:val="DefaultParagraphFont"/>
    <w:uiPriority w:val="99"/>
    <w:semiHidden/>
    <w:unhideWhenUsed/>
    <w:rsid w:val="00497ACF"/>
    <w:rPr>
      <w:sz w:val="16"/>
      <w:szCs w:val="16"/>
    </w:rPr>
  </w:style>
  <w:style w:type="paragraph" w:styleId="CommentText">
    <w:name w:val="annotation text"/>
    <w:basedOn w:val="Normal"/>
    <w:link w:val="CommentTextChar"/>
    <w:uiPriority w:val="99"/>
    <w:unhideWhenUsed/>
    <w:rsid w:val="00497ACF"/>
    <w:pPr>
      <w:spacing w:line="240" w:lineRule="auto"/>
    </w:pPr>
    <w:rPr>
      <w:sz w:val="20"/>
      <w:szCs w:val="20"/>
    </w:rPr>
  </w:style>
  <w:style w:type="character" w:customStyle="1" w:styleId="CommentTextChar">
    <w:name w:val="Comment Text Char"/>
    <w:basedOn w:val="DefaultParagraphFont"/>
    <w:link w:val="CommentText"/>
    <w:uiPriority w:val="99"/>
    <w:rsid w:val="00497ACF"/>
    <w:rPr>
      <w:sz w:val="20"/>
      <w:szCs w:val="20"/>
    </w:rPr>
  </w:style>
  <w:style w:type="paragraph" w:styleId="CommentSubject">
    <w:name w:val="annotation subject"/>
    <w:basedOn w:val="CommentText"/>
    <w:next w:val="CommentText"/>
    <w:link w:val="CommentSubjectChar"/>
    <w:uiPriority w:val="99"/>
    <w:semiHidden/>
    <w:unhideWhenUsed/>
    <w:rsid w:val="00497ACF"/>
    <w:rPr>
      <w:b/>
      <w:bCs/>
    </w:rPr>
  </w:style>
  <w:style w:type="character" w:customStyle="1" w:styleId="CommentSubjectChar">
    <w:name w:val="Comment Subject Char"/>
    <w:basedOn w:val="CommentTextChar"/>
    <w:link w:val="CommentSubject"/>
    <w:uiPriority w:val="99"/>
    <w:semiHidden/>
    <w:rsid w:val="00497ACF"/>
    <w:rPr>
      <w:b/>
      <w:bCs/>
      <w:sz w:val="20"/>
      <w:szCs w:val="20"/>
    </w:rPr>
  </w:style>
  <w:style w:type="paragraph" w:styleId="BalloonText">
    <w:name w:val="Balloon Text"/>
    <w:basedOn w:val="Normal"/>
    <w:link w:val="BalloonTextChar"/>
    <w:uiPriority w:val="99"/>
    <w:semiHidden/>
    <w:unhideWhenUsed/>
    <w:rsid w:val="00497A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ACF"/>
    <w:rPr>
      <w:rFonts w:ascii="Segoe UI" w:hAnsi="Segoe UI" w:cs="Segoe UI"/>
      <w:sz w:val="18"/>
      <w:szCs w:val="18"/>
    </w:rPr>
  </w:style>
  <w:style w:type="paragraph" w:styleId="Header">
    <w:name w:val="header"/>
    <w:basedOn w:val="Normal"/>
    <w:link w:val="HeaderChar"/>
    <w:uiPriority w:val="99"/>
    <w:unhideWhenUsed/>
    <w:rsid w:val="005B5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54E4"/>
  </w:style>
  <w:style w:type="paragraph" w:styleId="Footer">
    <w:name w:val="footer"/>
    <w:basedOn w:val="Normal"/>
    <w:link w:val="FooterChar"/>
    <w:uiPriority w:val="99"/>
    <w:unhideWhenUsed/>
    <w:rsid w:val="005B5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54E4"/>
  </w:style>
  <w:style w:type="paragraph" w:customStyle="1" w:styleId="Default">
    <w:name w:val="Default"/>
    <w:rsid w:val="009F4738"/>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FE19E1"/>
    <w:pPr>
      <w:spacing w:after="0" w:line="240" w:lineRule="auto"/>
    </w:pPr>
  </w:style>
  <w:style w:type="table" w:styleId="PlainTable3">
    <w:name w:val="Plain Table 3"/>
    <w:basedOn w:val="TableNormal"/>
    <w:uiPriority w:val="43"/>
    <w:rsid w:val="0007636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419C9"/>
    <w:rPr>
      <w:color w:val="0563C1" w:themeColor="hyperlink"/>
      <w:u w:val="single"/>
    </w:rPr>
  </w:style>
  <w:style w:type="character" w:styleId="PlaceholderText">
    <w:name w:val="Placeholder Text"/>
    <w:basedOn w:val="DefaultParagraphFont"/>
    <w:uiPriority w:val="99"/>
    <w:semiHidden/>
    <w:rsid w:val="00B93179"/>
    <w:rPr>
      <w:color w:val="808080"/>
    </w:rPr>
  </w:style>
  <w:style w:type="paragraph" w:styleId="FootnoteText">
    <w:name w:val="footnote text"/>
    <w:basedOn w:val="Normal"/>
    <w:link w:val="FootnoteTextChar"/>
    <w:uiPriority w:val="99"/>
    <w:unhideWhenUsed/>
    <w:rsid w:val="006C5E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5E39"/>
    <w:rPr>
      <w:sz w:val="20"/>
      <w:szCs w:val="20"/>
    </w:rPr>
  </w:style>
  <w:style w:type="character" w:styleId="FootnoteReference">
    <w:name w:val="footnote reference"/>
    <w:basedOn w:val="DefaultParagraphFont"/>
    <w:uiPriority w:val="99"/>
    <w:unhideWhenUsed/>
    <w:rsid w:val="006C5E39"/>
    <w:rPr>
      <w:vertAlign w:val="superscript"/>
    </w:rPr>
  </w:style>
  <w:style w:type="character" w:styleId="LineNumber">
    <w:name w:val="line number"/>
    <w:basedOn w:val="DefaultParagraphFont"/>
    <w:uiPriority w:val="99"/>
    <w:semiHidden/>
    <w:unhideWhenUsed/>
    <w:rsid w:val="004C1DAA"/>
  </w:style>
  <w:style w:type="character" w:styleId="Emphasis">
    <w:name w:val="Emphasis"/>
    <w:basedOn w:val="DefaultParagraphFont"/>
    <w:uiPriority w:val="20"/>
    <w:qFormat/>
    <w:rsid w:val="00080458"/>
    <w:rPr>
      <w:i/>
      <w:iCs/>
    </w:rPr>
  </w:style>
  <w:style w:type="paragraph" w:styleId="Title">
    <w:name w:val="Title"/>
    <w:basedOn w:val="Normal"/>
    <w:next w:val="Normal"/>
    <w:link w:val="TitleChar"/>
    <w:uiPriority w:val="10"/>
    <w:qFormat/>
    <w:rsid w:val="001F688F"/>
    <w:pPr>
      <w:spacing w:after="240" w:line="240" w:lineRule="auto"/>
      <w:contextualSpacing/>
    </w:pPr>
    <w:rPr>
      <w:rFonts w:asciiTheme="majorHAnsi" w:eastAsiaTheme="majorEastAsia" w:hAnsiTheme="majorHAnsi" w:cstheme="majorBidi"/>
      <w:b/>
      <w:color w:val="1F4E79" w:themeColor="accent1" w:themeShade="80"/>
      <w:spacing w:val="-10"/>
      <w:kern w:val="28"/>
      <w:sz w:val="32"/>
      <w:szCs w:val="56"/>
    </w:rPr>
  </w:style>
  <w:style w:type="character" w:customStyle="1" w:styleId="TitleChar">
    <w:name w:val="Title Char"/>
    <w:basedOn w:val="DefaultParagraphFont"/>
    <w:link w:val="Title"/>
    <w:uiPriority w:val="10"/>
    <w:rsid w:val="001F688F"/>
    <w:rPr>
      <w:rFonts w:asciiTheme="majorHAnsi" w:eastAsiaTheme="majorEastAsia" w:hAnsiTheme="majorHAnsi" w:cstheme="majorBidi"/>
      <w:b/>
      <w:color w:val="1F4E79" w:themeColor="accent1" w:themeShade="80"/>
      <w:spacing w:val="-10"/>
      <w:kern w:val="28"/>
      <w:sz w:val="32"/>
      <w:szCs w:val="56"/>
    </w:rPr>
  </w:style>
  <w:style w:type="paragraph" w:styleId="NormalWeb">
    <w:name w:val="Normal (Web)"/>
    <w:basedOn w:val="Normal"/>
    <w:uiPriority w:val="99"/>
    <w:semiHidden/>
    <w:unhideWhenUsed/>
    <w:rsid w:val="00547C59"/>
    <w:pPr>
      <w:spacing w:before="100" w:beforeAutospacing="1" w:after="100" w:afterAutospacing="1" w:line="240" w:lineRule="auto"/>
      <w:jc w:val="left"/>
    </w:pPr>
    <w:rPr>
      <w:rFonts w:ascii="Times New Roman" w:hAnsi="Times New Roman" w:cs="Times New Roman"/>
      <w:sz w:val="24"/>
      <w:szCs w:val="24"/>
      <w:lang w:val="de-DE" w:eastAsia="de-DE"/>
    </w:rPr>
  </w:style>
  <w:style w:type="character" w:styleId="UnresolvedMention">
    <w:name w:val="Unresolved Mention"/>
    <w:basedOn w:val="DefaultParagraphFont"/>
    <w:uiPriority w:val="99"/>
    <w:semiHidden/>
    <w:unhideWhenUsed/>
    <w:rsid w:val="00547C59"/>
    <w:rPr>
      <w:color w:val="605E5C"/>
      <w:shd w:val="clear" w:color="auto" w:fill="E1DFDD"/>
    </w:rPr>
  </w:style>
  <w:style w:type="character" w:customStyle="1" w:styleId="Heading3Char">
    <w:name w:val="Heading 3 Char"/>
    <w:basedOn w:val="DefaultParagraphFont"/>
    <w:link w:val="Heading3"/>
    <w:uiPriority w:val="9"/>
    <w:rsid w:val="006D6D15"/>
    <w:rPr>
      <w:rFonts w:asciiTheme="majorHAnsi" w:eastAsiaTheme="majorEastAsia" w:hAnsiTheme="majorHAnsi" w:cstheme="majorBidi"/>
      <w:b/>
      <w:color w:val="1F4D78" w:themeColor="accent1" w:themeShade="7F"/>
      <w:sz w:val="23"/>
      <w:szCs w:val="24"/>
    </w:rPr>
  </w:style>
  <w:style w:type="character" w:customStyle="1" w:styleId="Heading4Char">
    <w:name w:val="Heading 4 Char"/>
    <w:basedOn w:val="DefaultParagraphFont"/>
    <w:link w:val="Heading4"/>
    <w:uiPriority w:val="9"/>
    <w:semiHidden/>
    <w:rsid w:val="00E047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E0478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E0478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E0478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E0478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04783"/>
    <w:rPr>
      <w:rFonts w:asciiTheme="majorHAnsi" w:eastAsiaTheme="majorEastAsia" w:hAnsiTheme="majorHAnsi" w:cstheme="majorBidi"/>
      <w:i/>
      <w:iCs/>
      <w:color w:val="272727" w:themeColor="text1" w:themeTint="D8"/>
      <w:sz w:val="21"/>
      <w:szCs w:val="21"/>
    </w:rPr>
  </w:style>
  <w:style w:type="character" w:customStyle="1" w:styleId="title-text">
    <w:name w:val="title-text"/>
    <w:basedOn w:val="DefaultParagraphFont"/>
    <w:rsid w:val="00EA3AB4"/>
  </w:style>
  <w:style w:type="character" w:customStyle="1" w:styleId="gem-c-organisation-logoname">
    <w:name w:val="gem-c-organisation-logo__name"/>
    <w:basedOn w:val="DefaultParagraphFont"/>
    <w:rsid w:val="00EA3AB4"/>
  </w:style>
  <w:style w:type="character" w:customStyle="1" w:styleId="hgkelc">
    <w:name w:val="hgkelc"/>
    <w:basedOn w:val="DefaultParagraphFont"/>
    <w:rsid w:val="00EA3AB4"/>
  </w:style>
  <w:style w:type="character" w:customStyle="1" w:styleId="FunotentextZchn1">
    <w:name w:val="Fußnotentext Zchn1"/>
    <w:basedOn w:val="DefaultParagraphFont"/>
    <w:rsid w:val="00397D9B"/>
    <w:rPr>
      <w:rFonts w:ascii="Helvetica" w:eastAsia="Arial Unicode MS" w:hAnsi="Helvetica" w:cs="Arial Unicode MS"/>
      <w:color w:val="000000"/>
      <w:sz w:val="24"/>
      <w:szCs w:val="24"/>
      <w:u w:color="000000"/>
      <w:bdr w:val="nil"/>
      <w:lang w:val="en-US" w:eastAsia="de-DE"/>
    </w:rPr>
  </w:style>
  <w:style w:type="character" w:customStyle="1" w:styleId="bodytextchar">
    <w:name w:val="bodytextchar"/>
    <w:basedOn w:val="DefaultParagraphFont"/>
    <w:rsid w:val="008C5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33613">
      <w:bodyDiv w:val="1"/>
      <w:marLeft w:val="0"/>
      <w:marRight w:val="0"/>
      <w:marTop w:val="0"/>
      <w:marBottom w:val="0"/>
      <w:divBdr>
        <w:top w:val="none" w:sz="0" w:space="0" w:color="auto"/>
        <w:left w:val="none" w:sz="0" w:space="0" w:color="auto"/>
        <w:bottom w:val="none" w:sz="0" w:space="0" w:color="auto"/>
        <w:right w:val="none" w:sz="0" w:space="0" w:color="auto"/>
      </w:divBdr>
    </w:div>
    <w:div w:id="301813054">
      <w:bodyDiv w:val="1"/>
      <w:marLeft w:val="0"/>
      <w:marRight w:val="0"/>
      <w:marTop w:val="0"/>
      <w:marBottom w:val="0"/>
      <w:divBdr>
        <w:top w:val="none" w:sz="0" w:space="0" w:color="auto"/>
        <w:left w:val="none" w:sz="0" w:space="0" w:color="auto"/>
        <w:bottom w:val="none" w:sz="0" w:space="0" w:color="auto"/>
        <w:right w:val="none" w:sz="0" w:space="0" w:color="auto"/>
      </w:divBdr>
    </w:div>
    <w:div w:id="563687838">
      <w:bodyDiv w:val="1"/>
      <w:marLeft w:val="0"/>
      <w:marRight w:val="0"/>
      <w:marTop w:val="0"/>
      <w:marBottom w:val="0"/>
      <w:divBdr>
        <w:top w:val="none" w:sz="0" w:space="0" w:color="auto"/>
        <w:left w:val="none" w:sz="0" w:space="0" w:color="auto"/>
        <w:bottom w:val="none" w:sz="0" w:space="0" w:color="auto"/>
        <w:right w:val="none" w:sz="0" w:space="0" w:color="auto"/>
      </w:divBdr>
    </w:div>
    <w:div w:id="756362771">
      <w:bodyDiv w:val="1"/>
      <w:marLeft w:val="0"/>
      <w:marRight w:val="0"/>
      <w:marTop w:val="0"/>
      <w:marBottom w:val="0"/>
      <w:divBdr>
        <w:top w:val="none" w:sz="0" w:space="0" w:color="auto"/>
        <w:left w:val="none" w:sz="0" w:space="0" w:color="auto"/>
        <w:bottom w:val="none" w:sz="0" w:space="0" w:color="auto"/>
        <w:right w:val="none" w:sz="0" w:space="0" w:color="auto"/>
      </w:divBdr>
    </w:div>
    <w:div w:id="780761472">
      <w:bodyDiv w:val="1"/>
      <w:marLeft w:val="0"/>
      <w:marRight w:val="0"/>
      <w:marTop w:val="0"/>
      <w:marBottom w:val="0"/>
      <w:divBdr>
        <w:top w:val="none" w:sz="0" w:space="0" w:color="auto"/>
        <w:left w:val="none" w:sz="0" w:space="0" w:color="auto"/>
        <w:bottom w:val="none" w:sz="0" w:space="0" w:color="auto"/>
        <w:right w:val="none" w:sz="0" w:space="0" w:color="auto"/>
      </w:divBdr>
    </w:div>
    <w:div w:id="827403869">
      <w:bodyDiv w:val="1"/>
      <w:marLeft w:val="0"/>
      <w:marRight w:val="0"/>
      <w:marTop w:val="0"/>
      <w:marBottom w:val="0"/>
      <w:divBdr>
        <w:top w:val="none" w:sz="0" w:space="0" w:color="auto"/>
        <w:left w:val="none" w:sz="0" w:space="0" w:color="auto"/>
        <w:bottom w:val="none" w:sz="0" w:space="0" w:color="auto"/>
        <w:right w:val="none" w:sz="0" w:space="0" w:color="auto"/>
      </w:divBdr>
      <w:divsChild>
        <w:div w:id="2033191407">
          <w:marLeft w:val="0"/>
          <w:marRight w:val="0"/>
          <w:marTop w:val="0"/>
          <w:marBottom w:val="0"/>
          <w:divBdr>
            <w:top w:val="none" w:sz="0" w:space="0" w:color="auto"/>
            <w:left w:val="none" w:sz="0" w:space="0" w:color="auto"/>
            <w:bottom w:val="none" w:sz="0" w:space="0" w:color="auto"/>
            <w:right w:val="none" w:sz="0" w:space="0" w:color="auto"/>
          </w:divBdr>
        </w:div>
      </w:divsChild>
    </w:div>
    <w:div w:id="1046492290">
      <w:bodyDiv w:val="1"/>
      <w:marLeft w:val="0"/>
      <w:marRight w:val="0"/>
      <w:marTop w:val="0"/>
      <w:marBottom w:val="0"/>
      <w:divBdr>
        <w:top w:val="none" w:sz="0" w:space="0" w:color="auto"/>
        <w:left w:val="none" w:sz="0" w:space="0" w:color="auto"/>
        <w:bottom w:val="none" w:sz="0" w:space="0" w:color="auto"/>
        <w:right w:val="none" w:sz="0" w:space="0" w:color="auto"/>
      </w:divBdr>
    </w:div>
    <w:div w:id="1081489473">
      <w:bodyDiv w:val="1"/>
      <w:marLeft w:val="0"/>
      <w:marRight w:val="0"/>
      <w:marTop w:val="0"/>
      <w:marBottom w:val="0"/>
      <w:divBdr>
        <w:top w:val="none" w:sz="0" w:space="0" w:color="auto"/>
        <w:left w:val="none" w:sz="0" w:space="0" w:color="auto"/>
        <w:bottom w:val="none" w:sz="0" w:space="0" w:color="auto"/>
        <w:right w:val="none" w:sz="0" w:space="0" w:color="auto"/>
      </w:divBdr>
    </w:div>
    <w:div w:id="1189224752">
      <w:bodyDiv w:val="1"/>
      <w:marLeft w:val="0"/>
      <w:marRight w:val="0"/>
      <w:marTop w:val="0"/>
      <w:marBottom w:val="0"/>
      <w:divBdr>
        <w:top w:val="none" w:sz="0" w:space="0" w:color="auto"/>
        <w:left w:val="none" w:sz="0" w:space="0" w:color="auto"/>
        <w:bottom w:val="none" w:sz="0" w:space="0" w:color="auto"/>
        <w:right w:val="none" w:sz="0" w:space="0" w:color="auto"/>
      </w:divBdr>
      <w:divsChild>
        <w:div w:id="390807011">
          <w:marLeft w:val="0"/>
          <w:marRight w:val="0"/>
          <w:marTop w:val="0"/>
          <w:marBottom w:val="0"/>
          <w:divBdr>
            <w:top w:val="none" w:sz="0" w:space="0" w:color="auto"/>
            <w:left w:val="none" w:sz="0" w:space="0" w:color="auto"/>
            <w:bottom w:val="none" w:sz="0" w:space="0" w:color="auto"/>
            <w:right w:val="none" w:sz="0" w:space="0" w:color="auto"/>
          </w:divBdr>
        </w:div>
      </w:divsChild>
    </w:div>
    <w:div w:id="1196306909">
      <w:bodyDiv w:val="1"/>
      <w:marLeft w:val="0"/>
      <w:marRight w:val="0"/>
      <w:marTop w:val="0"/>
      <w:marBottom w:val="0"/>
      <w:divBdr>
        <w:top w:val="none" w:sz="0" w:space="0" w:color="auto"/>
        <w:left w:val="none" w:sz="0" w:space="0" w:color="auto"/>
        <w:bottom w:val="none" w:sz="0" w:space="0" w:color="auto"/>
        <w:right w:val="none" w:sz="0" w:space="0" w:color="auto"/>
      </w:divBdr>
    </w:div>
    <w:div w:id="1205367260">
      <w:bodyDiv w:val="1"/>
      <w:marLeft w:val="0"/>
      <w:marRight w:val="0"/>
      <w:marTop w:val="0"/>
      <w:marBottom w:val="0"/>
      <w:divBdr>
        <w:top w:val="none" w:sz="0" w:space="0" w:color="auto"/>
        <w:left w:val="none" w:sz="0" w:space="0" w:color="auto"/>
        <w:bottom w:val="none" w:sz="0" w:space="0" w:color="auto"/>
        <w:right w:val="none" w:sz="0" w:space="0" w:color="auto"/>
      </w:divBdr>
    </w:div>
    <w:div w:id="1559318315">
      <w:bodyDiv w:val="1"/>
      <w:marLeft w:val="0"/>
      <w:marRight w:val="0"/>
      <w:marTop w:val="0"/>
      <w:marBottom w:val="0"/>
      <w:divBdr>
        <w:top w:val="none" w:sz="0" w:space="0" w:color="auto"/>
        <w:left w:val="none" w:sz="0" w:space="0" w:color="auto"/>
        <w:bottom w:val="none" w:sz="0" w:space="0" w:color="auto"/>
        <w:right w:val="none" w:sz="0" w:space="0" w:color="auto"/>
      </w:divBdr>
    </w:div>
    <w:div w:id="1651707508">
      <w:bodyDiv w:val="1"/>
      <w:marLeft w:val="0"/>
      <w:marRight w:val="0"/>
      <w:marTop w:val="0"/>
      <w:marBottom w:val="0"/>
      <w:divBdr>
        <w:top w:val="none" w:sz="0" w:space="0" w:color="auto"/>
        <w:left w:val="none" w:sz="0" w:space="0" w:color="auto"/>
        <w:bottom w:val="none" w:sz="0" w:space="0" w:color="auto"/>
        <w:right w:val="none" w:sz="0" w:space="0" w:color="auto"/>
      </w:divBdr>
    </w:div>
    <w:div w:id="1966616680">
      <w:bodyDiv w:val="1"/>
      <w:marLeft w:val="0"/>
      <w:marRight w:val="0"/>
      <w:marTop w:val="0"/>
      <w:marBottom w:val="0"/>
      <w:divBdr>
        <w:top w:val="none" w:sz="0" w:space="0" w:color="auto"/>
        <w:left w:val="none" w:sz="0" w:space="0" w:color="auto"/>
        <w:bottom w:val="none" w:sz="0" w:space="0" w:color="auto"/>
        <w:right w:val="none" w:sz="0" w:space="0" w:color="auto"/>
      </w:divBdr>
    </w:div>
    <w:div w:id="207816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hyperlink" Target="file:///C:\Users\hafs\Desktop\21%20Anderes\00%20Economics%20of%20low%20carbon%20energy%20transtions\01%20Revions\Model%20comparison%201502.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file:///C:\Users\Sh9113\AppData\Local\Microsoft\Windows\INetCache\Content.MSO\BDCC792D.xlsx"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s://www.environment.gov.za/sites/default/files/docs/green_economy_modelling.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file:///C:\Users\Sh9113\AppData\Local\Microsoft\Windows\INetCache\Content.MSO\BDCC792D.xlsx"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ensim.com/vensim-7-release/"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hafs\Desktop\Nature%20article\Results%20policy%20indicators.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hafs\Desktop\Nature%20article\Results%20policy%20indicators.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hafs\Desktop\21%20Anderes\00%20Economics%20of%20low%20carbon%20energy%20transtions\Simulation\00%20Base-run\00%20Policy%20Evaluation%20scenario%20023.02.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hafs\Desktop\Anderes\00%20Economics%20of%20low%20carbon%20energy%20transtions\Nature%20article\Results%20policy%20indicators.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hafs\Desktop\Anderes\00%20Economics%20of%20low%20carbon%20energy%20transtions\Nature%20article\Results%20policy%20indicators.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hafs\Desktop\Nature%20article\Results%20policy%20indicators.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C:\Users\hafs\Desktop\21%20Anderes\00%20Economics%20of%20low%20carbon%20energy%20transtions\Nature%20article\Results%20policy%20indicator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hafs\Desktop\Anderes\00%20Economics%20of%20low%20carbon%20energy%20transtions\Nature%20article\Results%20policy%20indicators.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419072615923"/>
          <c:y val="7.407407407407407E-2"/>
          <c:w val="0.82947591614945893"/>
          <c:h val="0.66228163340047597"/>
        </c:manualLayout>
      </c:layout>
      <c:lineChart>
        <c:grouping val="standard"/>
        <c:varyColors val="0"/>
        <c:ser>
          <c:idx val="3"/>
          <c:order val="0"/>
          <c:tx>
            <c:strRef>
              <c:f>'1'!$A$16</c:f>
              <c:strCache>
                <c:ptCount val="1"/>
                <c:pt idx="0">
                  <c:v>Base-run NW</c:v>
                </c:pt>
              </c:strCache>
            </c:strRef>
          </c:tx>
          <c:spPr>
            <a:ln w="12700" cap="rnd">
              <a:solidFill>
                <a:sysClr val="windowText" lastClr="000000"/>
              </a:solidFill>
              <a:round/>
            </a:ln>
            <a:effectLst/>
          </c:spPr>
          <c:marker>
            <c:symbol val="none"/>
          </c:marker>
          <c:cat>
            <c:numRef>
              <c:f>'1'!$B$15:$AJ$15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'1'!$B$16:$AJ$16</c:f>
              <c:numCache>
                <c:formatCode>0</c:formatCode>
                <c:ptCount val="35"/>
                <c:pt idx="0">
                  <c:v>12885.9</c:v>
                </c:pt>
                <c:pt idx="1">
                  <c:v>12906.3</c:v>
                </c:pt>
                <c:pt idx="2">
                  <c:v>13016.7</c:v>
                </c:pt>
                <c:pt idx="3">
                  <c:v>13101.8</c:v>
                </c:pt>
                <c:pt idx="4">
                  <c:v>13095.5</c:v>
                </c:pt>
                <c:pt idx="5">
                  <c:v>13008.2</c:v>
                </c:pt>
                <c:pt idx="6">
                  <c:v>12864.2</c:v>
                </c:pt>
                <c:pt idx="7">
                  <c:v>12681.4</c:v>
                </c:pt>
                <c:pt idx="8">
                  <c:v>12475.7</c:v>
                </c:pt>
                <c:pt idx="9">
                  <c:v>12282.8</c:v>
                </c:pt>
                <c:pt idx="10">
                  <c:v>12126.8</c:v>
                </c:pt>
                <c:pt idx="11">
                  <c:v>12005.5</c:v>
                </c:pt>
                <c:pt idx="12">
                  <c:v>11946</c:v>
                </c:pt>
                <c:pt idx="13">
                  <c:v>12004.2</c:v>
                </c:pt>
                <c:pt idx="14">
                  <c:v>12128</c:v>
                </c:pt>
                <c:pt idx="15">
                  <c:v>12248.2</c:v>
                </c:pt>
                <c:pt idx="16">
                  <c:v>12357.6</c:v>
                </c:pt>
                <c:pt idx="17">
                  <c:v>12437.6</c:v>
                </c:pt>
                <c:pt idx="18">
                  <c:v>12488.5</c:v>
                </c:pt>
                <c:pt idx="19">
                  <c:v>12527.7</c:v>
                </c:pt>
                <c:pt idx="20">
                  <c:v>12538.8</c:v>
                </c:pt>
                <c:pt idx="21">
                  <c:v>12528.8</c:v>
                </c:pt>
                <c:pt idx="22">
                  <c:v>12502.2</c:v>
                </c:pt>
                <c:pt idx="23">
                  <c:v>12474.5</c:v>
                </c:pt>
                <c:pt idx="24">
                  <c:v>12435.5</c:v>
                </c:pt>
                <c:pt idx="25">
                  <c:v>12352.4</c:v>
                </c:pt>
                <c:pt idx="26">
                  <c:v>12235.9</c:v>
                </c:pt>
                <c:pt idx="27">
                  <c:v>12127.6</c:v>
                </c:pt>
                <c:pt idx="28">
                  <c:v>12042.7</c:v>
                </c:pt>
                <c:pt idx="29">
                  <c:v>11972.6</c:v>
                </c:pt>
                <c:pt idx="30">
                  <c:v>11908.2</c:v>
                </c:pt>
                <c:pt idx="31">
                  <c:v>11847.2</c:v>
                </c:pt>
                <c:pt idx="32">
                  <c:v>11788.3</c:v>
                </c:pt>
                <c:pt idx="33">
                  <c:v>11729.3</c:v>
                </c:pt>
                <c:pt idx="34">
                  <c:v>11662.8</c:v>
                </c:pt>
              </c:numCache>
            </c:numRef>
          </c:val>
          <c:smooth val="0"/>
          <c:extLst>
            <c:ext xmlns:c16="http://schemas.microsoft.com/office/drawing/2014/chart" uri="{C3380CC4-5D6E-409C-BE32-E72D297353CC}">
              <c16:uniqueId val="{00000000-5881-4C49-9C9D-E8947332C954}"/>
            </c:ext>
          </c:extLst>
        </c:ser>
        <c:ser>
          <c:idx val="4"/>
          <c:order val="1"/>
          <c:tx>
            <c:strRef>
              <c:f>'1'!$A$17</c:f>
              <c:strCache>
                <c:ptCount val="1"/>
                <c:pt idx="0">
                  <c:v>Moderate scenario NW</c:v>
                </c:pt>
              </c:strCache>
            </c:strRef>
          </c:tx>
          <c:spPr>
            <a:ln w="15875" cap="rnd">
              <a:solidFill>
                <a:srgbClr val="7030A0"/>
              </a:solidFill>
              <a:prstDash val="sysDash"/>
              <a:round/>
            </a:ln>
            <a:effectLst/>
          </c:spPr>
          <c:marker>
            <c:symbol val="none"/>
          </c:marker>
          <c:cat>
            <c:numRef>
              <c:f>'1'!$B$15:$AJ$15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'1'!$B$17:$AJ$17</c:f>
              <c:numCache>
                <c:formatCode>0</c:formatCode>
                <c:ptCount val="35"/>
                <c:pt idx="0">
                  <c:v>12885.9</c:v>
                </c:pt>
                <c:pt idx="1">
                  <c:v>12566.8</c:v>
                </c:pt>
                <c:pt idx="2">
                  <c:v>12255.6</c:v>
                </c:pt>
                <c:pt idx="3">
                  <c:v>11952</c:v>
                </c:pt>
                <c:pt idx="4">
                  <c:v>11656</c:v>
                </c:pt>
                <c:pt idx="5">
                  <c:v>11367.3</c:v>
                </c:pt>
                <c:pt idx="6">
                  <c:v>11085.8</c:v>
                </c:pt>
                <c:pt idx="7">
                  <c:v>10811.3</c:v>
                </c:pt>
                <c:pt idx="8">
                  <c:v>10543.5</c:v>
                </c:pt>
                <c:pt idx="9">
                  <c:v>10282.4</c:v>
                </c:pt>
                <c:pt idx="10">
                  <c:v>10027.700000000001</c:v>
                </c:pt>
                <c:pt idx="11">
                  <c:v>9779.36</c:v>
                </c:pt>
                <c:pt idx="12">
                  <c:v>9537.16</c:v>
                </c:pt>
                <c:pt idx="13">
                  <c:v>9300.9599999999991</c:v>
                </c:pt>
                <c:pt idx="14">
                  <c:v>9070.61</c:v>
                </c:pt>
                <c:pt idx="15">
                  <c:v>8845.9599999999991</c:v>
                </c:pt>
                <c:pt idx="16">
                  <c:v>8626.8700000000008</c:v>
                </c:pt>
                <c:pt idx="17">
                  <c:v>8413.2099999999991</c:v>
                </c:pt>
                <c:pt idx="18">
                  <c:v>8204.85</c:v>
                </c:pt>
                <c:pt idx="19">
                  <c:v>8001.64</c:v>
                </c:pt>
                <c:pt idx="20">
                  <c:v>7803.47</c:v>
                </c:pt>
                <c:pt idx="21">
                  <c:v>7610.2</c:v>
                </c:pt>
                <c:pt idx="22">
                  <c:v>7421.72</c:v>
                </c:pt>
                <c:pt idx="23">
                  <c:v>7237.91</c:v>
                </c:pt>
                <c:pt idx="24">
                  <c:v>7058.65</c:v>
                </c:pt>
                <c:pt idx="25">
                  <c:v>6883.84</c:v>
                </c:pt>
                <c:pt idx="26">
                  <c:v>6713.35</c:v>
                </c:pt>
                <c:pt idx="27">
                  <c:v>6547.08</c:v>
                </c:pt>
                <c:pt idx="28">
                  <c:v>6384.93</c:v>
                </c:pt>
                <c:pt idx="29">
                  <c:v>6226.8</c:v>
                </c:pt>
                <c:pt idx="30">
                  <c:v>6072.58</c:v>
                </c:pt>
                <c:pt idx="31">
                  <c:v>5922.18</c:v>
                </c:pt>
                <c:pt idx="32">
                  <c:v>5775.51</c:v>
                </c:pt>
                <c:pt idx="33">
                  <c:v>5632.47</c:v>
                </c:pt>
                <c:pt idx="34">
                  <c:v>4.6406400000000002E-30</c:v>
                </c:pt>
              </c:numCache>
            </c:numRef>
          </c:val>
          <c:smooth val="0"/>
          <c:extLst>
            <c:ext xmlns:c16="http://schemas.microsoft.com/office/drawing/2014/chart" uri="{C3380CC4-5D6E-409C-BE32-E72D297353CC}">
              <c16:uniqueId val="{00000001-5881-4C49-9C9D-E8947332C954}"/>
            </c:ext>
          </c:extLst>
        </c:ser>
        <c:ser>
          <c:idx val="0"/>
          <c:order val="2"/>
          <c:tx>
            <c:strRef>
              <c:f>'1'!$A$18</c:f>
              <c:strCache>
                <c:ptCount val="1"/>
                <c:pt idx="0">
                  <c:v>Medium scenario NW</c:v>
                </c:pt>
              </c:strCache>
            </c:strRef>
          </c:tx>
          <c:spPr>
            <a:ln w="15875" cap="rnd">
              <a:solidFill>
                <a:srgbClr val="5B9BD5">
                  <a:lumMod val="60000"/>
                  <a:lumOff val="40000"/>
                </a:srgbClr>
              </a:solidFill>
              <a:prstDash val="lgDash"/>
              <a:round/>
            </a:ln>
            <a:effectLst/>
          </c:spPr>
          <c:marker>
            <c:symbol val="none"/>
          </c:marker>
          <c:cat>
            <c:numRef>
              <c:f>'1'!$B$15:$AJ$15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'1'!$B$18:$AJ$18</c:f>
              <c:numCache>
                <c:formatCode>0</c:formatCode>
                <c:ptCount val="35"/>
                <c:pt idx="0">
                  <c:v>12885.9</c:v>
                </c:pt>
                <c:pt idx="1">
                  <c:v>12566.8</c:v>
                </c:pt>
                <c:pt idx="2">
                  <c:v>12255.6</c:v>
                </c:pt>
                <c:pt idx="3">
                  <c:v>11952</c:v>
                </c:pt>
                <c:pt idx="4">
                  <c:v>11656</c:v>
                </c:pt>
                <c:pt idx="5">
                  <c:v>10093.1</c:v>
                </c:pt>
                <c:pt idx="6">
                  <c:v>9843.1200000000008</c:v>
                </c:pt>
                <c:pt idx="7">
                  <c:v>9599.34</c:v>
                </c:pt>
                <c:pt idx="8">
                  <c:v>9361.6</c:v>
                </c:pt>
                <c:pt idx="9">
                  <c:v>9129.74</c:v>
                </c:pt>
                <c:pt idx="10">
                  <c:v>7765.01</c:v>
                </c:pt>
                <c:pt idx="11">
                  <c:v>7572.7</c:v>
                </c:pt>
                <c:pt idx="12">
                  <c:v>7385.15</c:v>
                </c:pt>
                <c:pt idx="13">
                  <c:v>7202.24</c:v>
                </c:pt>
                <c:pt idx="14">
                  <c:v>7023.87</c:v>
                </c:pt>
                <c:pt idx="15">
                  <c:v>5832.53</c:v>
                </c:pt>
                <c:pt idx="16">
                  <c:v>5688.08</c:v>
                </c:pt>
                <c:pt idx="17">
                  <c:v>5547.21</c:v>
                </c:pt>
                <c:pt idx="18">
                  <c:v>5409.82</c:v>
                </c:pt>
                <c:pt idx="19">
                  <c:v>5275.84</c:v>
                </c:pt>
                <c:pt idx="20">
                  <c:v>4236.16</c:v>
                </c:pt>
                <c:pt idx="21">
                  <c:v>4131.25</c:v>
                </c:pt>
                <c:pt idx="22">
                  <c:v>4028.93</c:v>
                </c:pt>
                <c:pt idx="23">
                  <c:v>3929.15</c:v>
                </c:pt>
                <c:pt idx="24">
                  <c:v>3831.84</c:v>
                </c:pt>
                <c:pt idx="25">
                  <c:v>2924.78</c:v>
                </c:pt>
                <c:pt idx="26">
                  <c:v>2852.35</c:v>
                </c:pt>
                <c:pt idx="27">
                  <c:v>2781.7</c:v>
                </c:pt>
                <c:pt idx="28">
                  <c:v>2712.81</c:v>
                </c:pt>
                <c:pt idx="29">
                  <c:v>2645.62</c:v>
                </c:pt>
                <c:pt idx="30">
                  <c:v>1854.52</c:v>
                </c:pt>
                <c:pt idx="31">
                  <c:v>1808.59</c:v>
                </c:pt>
                <c:pt idx="32">
                  <c:v>1763.8</c:v>
                </c:pt>
                <c:pt idx="33">
                  <c:v>1720.11</c:v>
                </c:pt>
                <c:pt idx="34">
                  <c:v>1.35053E-29</c:v>
                </c:pt>
              </c:numCache>
            </c:numRef>
          </c:val>
          <c:smooth val="0"/>
          <c:extLst>
            <c:ext xmlns:c16="http://schemas.microsoft.com/office/drawing/2014/chart" uri="{C3380CC4-5D6E-409C-BE32-E72D297353CC}">
              <c16:uniqueId val="{00000002-5881-4C49-9C9D-E8947332C954}"/>
            </c:ext>
          </c:extLst>
        </c:ser>
        <c:ser>
          <c:idx val="2"/>
          <c:order val="3"/>
          <c:tx>
            <c:strRef>
              <c:f>'1'!$A$19</c:f>
              <c:strCache>
                <c:ptCount val="1"/>
                <c:pt idx="0">
                  <c:v>Rapid scenario NW</c:v>
                </c:pt>
              </c:strCache>
            </c:strRef>
          </c:tx>
          <c:spPr>
            <a:ln w="15875" cap="rnd">
              <a:solidFill>
                <a:srgbClr val="70AD47">
                  <a:lumMod val="50000"/>
                </a:srgbClr>
              </a:solidFill>
              <a:prstDash val="lgDashDot"/>
              <a:round/>
            </a:ln>
            <a:effectLst/>
          </c:spPr>
          <c:marker>
            <c:symbol val="none"/>
          </c:marker>
          <c:cat>
            <c:numRef>
              <c:f>'1'!$B$15:$AJ$15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'1'!$B$19:$AJ$19</c:f>
              <c:numCache>
                <c:formatCode>0</c:formatCode>
                <c:ptCount val="35"/>
                <c:pt idx="0">
                  <c:v>12885.9</c:v>
                </c:pt>
                <c:pt idx="1">
                  <c:v>4.6373200000000001E-30</c:v>
                </c:pt>
                <c:pt idx="2">
                  <c:v>2.3647599999999999E-29</c:v>
                </c:pt>
                <c:pt idx="3">
                  <c:v>2.7693099999999999E-29</c:v>
                </c:pt>
                <c:pt idx="4">
                  <c:v>2.3260299999999998E-29</c:v>
                </c:pt>
                <c:pt idx="5">
                  <c:v>1.8055299999999999E-29</c:v>
                </c:pt>
                <c:pt idx="6">
                  <c:v>1.3906599999999999E-29</c:v>
                </c:pt>
                <c:pt idx="7">
                  <c:v>1.0755399999999999E-29</c:v>
                </c:pt>
                <c:pt idx="8">
                  <c:v>8.3446800000000005E-30</c:v>
                </c:pt>
                <c:pt idx="9">
                  <c:v>6.4798199999999993E-30</c:v>
                </c:pt>
                <c:pt idx="10">
                  <c:v>5.0291699999999998E-30</c:v>
                </c:pt>
                <c:pt idx="11">
                  <c:v>3.8994199999999999E-30</c:v>
                </c:pt>
                <c:pt idx="12">
                  <c:v>3.0713500000000001E-30</c:v>
                </c:pt>
                <c:pt idx="13">
                  <c:v>3.4754199999999999E-30</c:v>
                </c:pt>
                <c:pt idx="14">
                  <c:v>4.16333E-30</c:v>
                </c:pt>
                <c:pt idx="15">
                  <c:v>4.9015000000000005E-30</c:v>
                </c:pt>
                <c:pt idx="16">
                  <c:v>5.5836299999999995E-30</c:v>
                </c:pt>
                <c:pt idx="17">
                  <c:v>5.7689599999999998E-30</c:v>
                </c:pt>
                <c:pt idx="18">
                  <c:v>5.96504E-30</c:v>
                </c:pt>
                <c:pt idx="19">
                  <c:v>5.8881900000000001E-30</c:v>
                </c:pt>
                <c:pt idx="20">
                  <c:v>5.68752E-30</c:v>
                </c:pt>
                <c:pt idx="21">
                  <c:v>5.4594600000000002E-30</c:v>
                </c:pt>
                <c:pt idx="22">
                  <c:v>5.26353E-30</c:v>
                </c:pt>
                <c:pt idx="23">
                  <c:v>5.1983799999999995E-30</c:v>
                </c:pt>
                <c:pt idx="24">
                  <c:v>4.88685E-30</c:v>
                </c:pt>
                <c:pt idx="25">
                  <c:v>4.3428400000000001E-30</c:v>
                </c:pt>
                <c:pt idx="26">
                  <c:v>4.0592700000000002E-30</c:v>
                </c:pt>
                <c:pt idx="27">
                  <c:v>4.0333E-30</c:v>
                </c:pt>
                <c:pt idx="28">
                  <c:v>4.0773699999999996E-30</c:v>
                </c:pt>
                <c:pt idx="29">
                  <c:v>4.0983500000000002E-30</c:v>
                </c:pt>
                <c:pt idx="30">
                  <c:v>4.1476499999999996E-30</c:v>
                </c:pt>
                <c:pt idx="31">
                  <c:v>4.1842500000000003E-30</c:v>
                </c:pt>
                <c:pt idx="32">
                  <c:v>4.2217000000000001E-30</c:v>
                </c:pt>
                <c:pt idx="33">
                  <c:v>4.2145800000000004E-30</c:v>
                </c:pt>
                <c:pt idx="34">
                  <c:v>4.1283800000000002E-30</c:v>
                </c:pt>
              </c:numCache>
            </c:numRef>
          </c:val>
          <c:smooth val="0"/>
          <c:extLst>
            <c:ext xmlns:c16="http://schemas.microsoft.com/office/drawing/2014/chart" uri="{C3380CC4-5D6E-409C-BE32-E72D297353CC}">
              <c16:uniqueId val="{00000003-5881-4C49-9C9D-E8947332C954}"/>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t>1000 tonnes</a:t>
                </a:r>
              </a:p>
            </c:rich>
          </c:tx>
          <c:layout>
            <c:manualLayout>
              <c:xMode val="edge"/>
              <c:yMode val="edge"/>
              <c:x val="1.614173228346457E-2"/>
              <c:y val="0.22777631962671332"/>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9796818373673719E-2"/>
          <c:y val="0.87204097874862418"/>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419072615923"/>
          <c:y val="7.407407407407407E-2"/>
          <c:w val="0.82947591614945893"/>
          <c:h val="0.66228163340047597"/>
        </c:manualLayout>
      </c:layout>
      <c:lineChart>
        <c:grouping val="standard"/>
        <c:varyColors val="0"/>
        <c:ser>
          <c:idx val="3"/>
          <c:order val="0"/>
          <c:tx>
            <c:strRef>
              <c:f>'1'!$A$42</c:f>
              <c:strCache>
                <c:ptCount val="1"/>
                <c:pt idx="0">
                  <c:v>GDP : Base-run</c:v>
                </c:pt>
              </c:strCache>
            </c:strRef>
          </c:tx>
          <c:spPr>
            <a:ln w="12700" cap="rnd">
              <a:solidFill>
                <a:sysClr val="windowText" lastClr="000000"/>
              </a:solidFill>
              <a:round/>
            </a:ln>
            <a:effectLst/>
          </c:spPr>
          <c:marker>
            <c:symbol val="none"/>
          </c:marker>
          <c:cat>
            <c:numRef>
              <c:f>'1'!$B$41:$AJ$41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'1'!$B$42:$AJ$42</c:f>
              <c:numCache>
                <c:formatCode>0</c:formatCode>
                <c:ptCount val="35"/>
                <c:pt idx="0">
                  <c:v>3648890</c:v>
                </c:pt>
                <c:pt idx="1">
                  <c:v>3660550</c:v>
                </c:pt>
                <c:pt idx="2">
                  <c:v>3870620</c:v>
                </c:pt>
                <c:pt idx="3">
                  <c:v>4110430</c:v>
                </c:pt>
                <c:pt idx="4">
                  <c:v>4396460</c:v>
                </c:pt>
                <c:pt idx="5">
                  <c:v>4722350</c:v>
                </c:pt>
                <c:pt idx="6">
                  <c:v>5046290</c:v>
                </c:pt>
                <c:pt idx="7">
                  <c:v>5370860</c:v>
                </c:pt>
                <c:pt idx="8">
                  <c:v>5656290</c:v>
                </c:pt>
                <c:pt idx="9">
                  <c:v>5895090</c:v>
                </c:pt>
                <c:pt idx="10">
                  <c:v>6064130</c:v>
                </c:pt>
                <c:pt idx="11">
                  <c:v>6149990</c:v>
                </c:pt>
                <c:pt idx="12">
                  <c:v>6152160</c:v>
                </c:pt>
                <c:pt idx="13">
                  <c:v>6089780</c:v>
                </c:pt>
                <c:pt idx="14">
                  <c:v>5982140</c:v>
                </c:pt>
                <c:pt idx="15">
                  <c:v>5884930</c:v>
                </c:pt>
                <c:pt idx="16">
                  <c:v>5808350</c:v>
                </c:pt>
                <c:pt idx="17">
                  <c:v>5753520</c:v>
                </c:pt>
                <c:pt idx="18">
                  <c:v>5719960</c:v>
                </c:pt>
                <c:pt idx="19">
                  <c:v>5703200</c:v>
                </c:pt>
                <c:pt idx="20">
                  <c:v>5700150</c:v>
                </c:pt>
                <c:pt idx="21">
                  <c:v>5708260</c:v>
                </c:pt>
                <c:pt idx="22">
                  <c:v>5726720</c:v>
                </c:pt>
                <c:pt idx="23">
                  <c:v>5756060</c:v>
                </c:pt>
                <c:pt idx="24">
                  <c:v>5789420</c:v>
                </c:pt>
                <c:pt idx="25">
                  <c:v>5830610</c:v>
                </c:pt>
                <c:pt idx="26">
                  <c:v>5879910</c:v>
                </c:pt>
                <c:pt idx="27">
                  <c:v>5942120</c:v>
                </c:pt>
                <c:pt idx="28">
                  <c:v>6011120</c:v>
                </c:pt>
                <c:pt idx="29">
                  <c:v>6091710</c:v>
                </c:pt>
                <c:pt idx="30">
                  <c:v>6187820</c:v>
                </c:pt>
                <c:pt idx="31">
                  <c:v>6298500</c:v>
                </c:pt>
                <c:pt idx="32">
                  <c:v>6425770</c:v>
                </c:pt>
                <c:pt idx="33">
                  <c:v>6566130</c:v>
                </c:pt>
                <c:pt idx="34">
                  <c:v>6722900</c:v>
                </c:pt>
              </c:numCache>
            </c:numRef>
          </c:val>
          <c:smooth val="0"/>
          <c:extLst>
            <c:ext xmlns:c16="http://schemas.microsoft.com/office/drawing/2014/chart" uri="{C3380CC4-5D6E-409C-BE32-E72D297353CC}">
              <c16:uniqueId val="{00000000-FF97-491C-B099-B802D6F1FB79}"/>
            </c:ext>
          </c:extLst>
        </c:ser>
        <c:ser>
          <c:idx val="4"/>
          <c:order val="1"/>
          <c:tx>
            <c:strRef>
              <c:f>'1'!$A$43</c:f>
              <c:strCache>
                <c:ptCount val="1"/>
                <c:pt idx="0">
                  <c:v>GDP : Moderate</c:v>
                </c:pt>
              </c:strCache>
            </c:strRef>
          </c:tx>
          <c:spPr>
            <a:ln w="15875" cap="rnd">
              <a:solidFill>
                <a:srgbClr val="7030A0"/>
              </a:solidFill>
              <a:prstDash val="sysDash"/>
              <a:round/>
            </a:ln>
            <a:effectLst/>
          </c:spPr>
          <c:marker>
            <c:symbol val="none"/>
          </c:marker>
          <c:cat>
            <c:numRef>
              <c:f>'1'!$B$41:$AJ$41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'1'!$B$43:$AJ$43</c:f>
              <c:numCache>
                <c:formatCode>0</c:formatCode>
                <c:ptCount val="35"/>
                <c:pt idx="0">
                  <c:v>3648890</c:v>
                </c:pt>
                <c:pt idx="1">
                  <c:v>3659810</c:v>
                </c:pt>
                <c:pt idx="2">
                  <c:v>3865840</c:v>
                </c:pt>
                <c:pt idx="3">
                  <c:v>4097240</c:v>
                </c:pt>
                <c:pt idx="4">
                  <c:v>4372510</c:v>
                </c:pt>
                <c:pt idx="5">
                  <c:v>4686610</c:v>
                </c:pt>
                <c:pt idx="6">
                  <c:v>5000530</c:v>
                </c:pt>
                <c:pt idx="7">
                  <c:v>5317440</c:v>
                </c:pt>
                <c:pt idx="8">
                  <c:v>5599400</c:v>
                </c:pt>
                <c:pt idx="9">
                  <c:v>5838800</c:v>
                </c:pt>
                <c:pt idx="10">
                  <c:v>6011200</c:v>
                </c:pt>
                <c:pt idx="11">
                  <c:v>6102300</c:v>
                </c:pt>
                <c:pt idx="12">
                  <c:v>6110010</c:v>
                </c:pt>
                <c:pt idx="13">
                  <c:v>6052150</c:v>
                </c:pt>
                <c:pt idx="14">
                  <c:v>5946530</c:v>
                </c:pt>
                <c:pt idx="15">
                  <c:v>5847540</c:v>
                </c:pt>
                <c:pt idx="16">
                  <c:v>5767520</c:v>
                </c:pt>
                <c:pt idx="17">
                  <c:v>5708290</c:v>
                </c:pt>
                <c:pt idx="18">
                  <c:v>5670530</c:v>
                </c:pt>
                <c:pt idx="19">
                  <c:v>5650270</c:v>
                </c:pt>
                <c:pt idx="20">
                  <c:v>5644800</c:v>
                </c:pt>
                <c:pt idx="21">
                  <c:v>5651390</c:v>
                </c:pt>
                <c:pt idx="22">
                  <c:v>5668930</c:v>
                </c:pt>
                <c:pt idx="23">
                  <c:v>5697590</c:v>
                </c:pt>
                <c:pt idx="24">
                  <c:v>5730390</c:v>
                </c:pt>
                <c:pt idx="25">
                  <c:v>5771470</c:v>
                </c:pt>
                <c:pt idx="26">
                  <c:v>5820610</c:v>
                </c:pt>
                <c:pt idx="27">
                  <c:v>5882440</c:v>
                </c:pt>
                <c:pt idx="28">
                  <c:v>5950400</c:v>
                </c:pt>
                <c:pt idx="29">
                  <c:v>6029440</c:v>
                </c:pt>
                <c:pt idx="30">
                  <c:v>6122900</c:v>
                </c:pt>
                <c:pt idx="31">
                  <c:v>6229480</c:v>
                </c:pt>
                <c:pt idx="32">
                  <c:v>6351400</c:v>
                </c:pt>
                <c:pt idx="33">
                  <c:v>6485450</c:v>
                </c:pt>
                <c:pt idx="34">
                  <c:v>6635460</c:v>
                </c:pt>
              </c:numCache>
            </c:numRef>
          </c:val>
          <c:smooth val="0"/>
          <c:extLst>
            <c:ext xmlns:c16="http://schemas.microsoft.com/office/drawing/2014/chart" uri="{C3380CC4-5D6E-409C-BE32-E72D297353CC}">
              <c16:uniqueId val="{00000001-FF97-491C-B099-B802D6F1FB79}"/>
            </c:ext>
          </c:extLst>
        </c:ser>
        <c:ser>
          <c:idx val="0"/>
          <c:order val="2"/>
          <c:tx>
            <c:strRef>
              <c:f>'1'!$A$44</c:f>
              <c:strCache>
                <c:ptCount val="1"/>
                <c:pt idx="0">
                  <c:v>GDP : Medium</c:v>
                </c:pt>
              </c:strCache>
            </c:strRef>
          </c:tx>
          <c:spPr>
            <a:ln w="15875" cap="rnd">
              <a:solidFill>
                <a:srgbClr val="5B9BD5">
                  <a:lumMod val="60000"/>
                  <a:lumOff val="40000"/>
                </a:srgbClr>
              </a:solidFill>
              <a:prstDash val="lgDash"/>
              <a:round/>
            </a:ln>
            <a:effectLst/>
          </c:spPr>
          <c:marker>
            <c:symbol val="none"/>
          </c:marker>
          <c:cat>
            <c:numRef>
              <c:f>'1'!$B$41:$AJ$41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'1'!$B$44:$AJ$44</c:f>
              <c:numCache>
                <c:formatCode>0</c:formatCode>
                <c:ptCount val="35"/>
                <c:pt idx="0">
                  <c:v>3648890</c:v>
                </c:pt>
                <c:pt idx="1">
                  <c:v>3659810</c:v>
                </c:pt>
                <c:pt idx="2">
                  <c:v>3865840</c:v>
                </c:pt>
                <c:pt idx="3">
                  <c:v>4097240</c:v>
                </c:pt>
                <c:pt idx="4">
                  <c:v>4372510</c:v>
                </c:pt>
                <c:pt idx="5">
                  <c:v>4686650</c:v>
                </c:pt>
                <c:pt idx="6">
                  <c:v>5001850</c:v>
                </c:pt>
                <c:pt idx="7">
                  <c:v>5323020</c:v>
                </c:pt>
                <c:pt idx="8">
                  <c:v>5610200</c:v>
                </c:pt>
                <c:pt idx="9">
                  <c:v>5855340</c:v>
                </c:pt>
                <c:pt idx="10">
                  <c:v>6032860</c:v>
                </c:pt>
                <c:pt idx="11">
                  <c:v>6128380</c:v>
                </c:pt>
                <c:pt idx="12">
                  <c:v>6140240</c:v>
                </c:pt>
                <c:pt idx="13">
                  <c:v>6086150</c:v>
                </c:pt>
                <c:pt idx="14">
                  <c:v>5982580</c:v>
                </c:pt>
                <c:pt idx="15">
                  <c:v>5885720</c:v>
                </c:pt>
                <c:pt idx="16">
                  <c:v>5807040</c:v>
                </c:pt>
                <c:pt idx="17">
                  <c:v>5749130</c:v>
                </c:pt>
                <c:pt idx="18">
                  <c:v>5712550</c:v>
                </c:pt>
                <c:pt idx="19">
                  <c:v>5693250</c:v>
                </c:pt>
                <c:pt idx="20">
                  <c:v>5688280</c:v>
                </c:pt>
                <c:pt idx="21">
                  <c:v>5695150</c:v>
                </c:pt>
                <c:pt idx="22">
                  <c:v>5712850</c:v>
                </c:pt>
                <c:pt idx="23">
                  <c:v>5741750</c:v>
                </c:pt>
                <c:pt idx="24">
                  <c:v>5774770</c:v>
                </c:pt>
                <c:pt idx="25">
                  <c:v>5815680</c:v>
                </c:pt>
                <c:pt idx="26">
                  <c:v>5865190</c:v>
                </c:pt>
                <c:pt idx="27">
                  <c:v>5927730</c:v>
                </c:pt>
                <c:pt idx="28">
                  <c:v>5997050</c:v>
                </c:pt>
                <c:pt idx="29">
                  <c:v>6078300</c:v>
                </c:pt>
                <c:pt idx="30">
                  <c:v>6174360</c:v>
                </c:pt>
                <c:pt idx="31">
                  <c:v>6284030</c:v>
                </c:pt>
                <c:pt idx="32">
                  <c:v>6409510</c:v>
                </c:pt>
                <c:pt idx="33">
                  <c:v>6547460</c:v>
                </c:pt>
                <c:pt idx="34">
                  <c:v>6701440</c:v>
                </c:pt>
              </c:numCache>
            </c:numRef>
          </c:val>
          <c:smooth val="0"/>
          <c:extLst>
            <c:ext xmlns:c16="http://schemas.microsoft.com/office/drawing/2014/chart" uri="{C3380CC4-5D6E-409C-BE32-E72D297353CC}">
              <c16:uniqueId val="{00000002-FF97-491C-B099-B802D6F1FB79}"/>
            </c:ext>
          </c:extLst>
        </c:ser>
        <c:ser>
          <c:idx val="2"/>
          <c:order val="3"/>
          <c:tx>
            <c:strRef>
              <c:f>'1'!$A$45</c:f>
              <c:strCache>
                <c:ptCount val="1"/>
                <c:pt idx="0">
                  <c:v>GDP : Rapid</c:v>
                </c:pt>
              </c:strCache>
            </c:strRef>
          </c:tx>
          <c:spPr>
            <a:ln w="15875" cap="rnd">
              <a:solidFill>
                <a:srgbClr val="70AD47">
                  <a:lumMod val="50000"/>
                </a:srgbClr>
              </a:solidFill>
              <a:prstDash val="lgDashDot"/>
              <a:round/>
            </a:ln>
            <a:effectLst/>
          </c:spPr>
          <c:marker>
            <c:symbol val="none"/>
          </c:marker>
          <c:cat>
            <c:numRef>
              <c:f>'1'!$B$41:$AJ$41</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'1'!$B$45:$AJ$45</c:f>
              <c:numCache>
                <c:formatCode>0</c:formatCode>
                <c:ptCount val="35"/>
                <c:pt idx="0">
                  <c:v>3648890</c:v>
                </c:pt>
                <c:pt idx="1">
                  <c:v>3659820</c:v>
                </c:pt>
                <c:pt idx="2">
                  <c:v>3872980</c:v>
                </c:pt>
                <c:pt idx="3">
                  <c:v>4125250</c:v>
                </c:pt>
                <c:pt idx="4">
                  <c:v>4424130</c:v>
                </c:pt>
                <c:pt idx="5">
                  <c:v>4773770</c:v>
                </c:pt>
                <c:pt idx="6">
                  <c:v>5122690</c:v>
                </c:pt>
                <c:pt idx="7">
                  <c:v>5474200</c:v>
                </c:pt>
                <c:pt idx="8">
                  <c:v>5784780</c:v>
                </c:pt>
                <c:pt idx="9">
                  <c:v>6044010</c:v>
                </c:pt>
                <c:pt idx="10">
                  <c:v>6224510</c:v>
                </c:pt>
                <c:pt idx="11">
                  <c:v>6310780</c:v>
                </c:pt>
                <c:pt idx="12">
                  <c:v>6304680</c:v>
                </c:pt>
                <c:pt idx="13">
                  <c:v>6219410</c:v>
                </c:pt>
                <c:pt idx="14">
                  <c:v>6095660</c:v>
                </c:pt>
                <c:pt idx="15">
                  <c:v>5984100</c:v>
                </c:pt>
                <c:pt idx="16">
                  <c:v>5889960</c:v>
                </c:pt>
                <c:pt idx="17">
                  <c:v>5818640</c:v>
                </c:pt>
                <c:pt idx="18">
                  <c:v>5770470</c:v>
                </c:pt>
                <c:pt idx="19">
                  <c:v>5742310</c:v>
                </c:pt>
                <c:pt idx="20">
                  <c:v>5731070</c:v>
                </c:pt>
                <c:pt idx="21">
                  <c:v>5733670</c:v>
                </c:pt>
                <c:pt idx="22">
                  <c:v>5748830</c:v>
                </c:pt>
                <c:pt idx="23">
                  <c:v>5776560</c:v>
                </c:pt>
                <c:pt idx="24">
                  <c:v>5809340</c:v>
                </c:pt>
                <c:pt idx="25">
                  <c:v>5851080</c:v>
                </c:pt>
                <c:pt idx="26">
                  <c:v>5902140</c:v>
                </c:pt>
                <c:pt idx="27">
                  <c:v>5966980</c:v>
                </c:pt>
                <c:pt idx="28">
                  <c:v>6039280</c:v>
                </c:pt>
                <c:pt idx="29">
                  <c:v>6122730</c:v>
                </c:pt>
                <c:pt idx="30">
                  <c:v>6218490</c:v>
                </c:pt>
                <c:pt idx="31">
                  <c:v>6329140</c:v>
                </c:pt>
                <c:pt idx="32">
                  <c:v>6456360</c:v>
                </c:pt>
                <c:pt idx="33">
                  <c:v>6597330</c:v>
                </c:pt>
                <c:pt idx="34">
                  <c:v>6755860</c:v>
                </c:pt>
              </c:numCache>
            </c:numRef>
          </c:val>
          <c:smooth val="0"/>
          <c:extLst>
            <c:ext xmlns:c16="http://schemas.microsoft.com/office/drawing/2014/chart" uri="{C3380CC4-5D6E-409C-BE32-E72D297353CC}">
              <c16:uniqueId val="{00000003-FF97-491C-B099-B802D6F1FB79}"/>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in val="3400000"/>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t>Mio £</a:t>
                </a:r>
              </a:p>
            </c:rich>
          </c:tx>
          <c:layout>
            <c:manualLayout>
              <c:xMode val="edge"/>
              <c:yMode val="edge"/>
              <c:x val="6.7568541195657424E-3"/>
              <c:y val="0.29912483244085425"/>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9796818373673719E-2"/>
          <c:y val="0.87204097874862418"/>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419072615923"/>
          <c:y val="7.407407407407407E-2"/>
          <c:w val="0.82947591614945893"/>
          <c:h val="0.66228163340047597"/>
        </c:manualLayout>
      </c:layout>
      <c:lineChart>
        <c:grouping val="standard"/>
        <c:varyColors val="0"/>
        <c:ser>
          <c:idx val="3"/>
          <c:order val="0"/>
          <c:tx>
            <c:strRef>
              <c:f>'1) Base-run and noFC'!$A$156</c:f>
              <c:strCache>
                <c:ptCount val="1"/>
                <c:pt idx="0">
                  <c:v>Base-run</c:v>
                </c:pt>
              </c:strCache>
            </c:strRef>
          </c:tx>
          <c:spPr>
            <a:ln w="12700" cap="rnd">
              <a:solidFill>
                <a:sysClr val="windowText" lastClr="000000"/>
              </a:solidFill>
              <a:round/>
            </a:ln>
            <a:effectLst/>
          </c:spPr>
          <c:marker>
            <c:symbol val="none"/>
          </c:marker>
          <c:cat>
            <c:numRef>
              <c:f>'1) Base-run and noFC'!$B$155:$AJ$155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noFC'!$B$156:$AJ$156</c:f>
              <c:numCache>
                <c:formatCode>0</c:formatCode>
                <c:ptCount val="35"/>
                <c:pt idx="0">
                  <c:v>10467.799999999999</c:v>
                </c:pt>
                <c:pt idx="1">
                  <c:v>10675</c:v>
                </c:pt>
                <c:pt idx="2">
                  <c:v>10140</c:v>
                </c:pt>
                <c:pt idx="3">
                  <c:v>9548.9</c:v>
                </c:pt>
                <c:pt idx="4">
                  <c:v>7952.76</c:v>
                </c:pt>
                <c:pt idx="5">
                  <c:v>4218.9399999999996</c:v>
                </c:pt>
                <c:pt idx="6">
                  <c:v>4131.1499999999996</c:v>
                </c:pt>
                <c:pt idx="7">
                  <c:v>4050.11</c:v>
                </c:pt>
                <c:pt idx="8">
                  <c:v>3972.13</c:v>
                </c:pt>
                <c:pt idx="9">
                  <c:v>3896.1</c:v>
                </c:pt>
                <c:pt idx="10">
                  <c:v>3821.65</c:v>
                </c:pt>
                <c:pt idx="11">
                  <c:v>3748.67</c:v>
                </c:pt>
                <c:pt idx="12">
                  <c:v>4400.7700000000004</c:v>
                </c:pt>
                <c:pt idx="13">
                  <c:v>5378.11</c:v>
                </c:pt>
                <c:pt idx="14">
                  <c:v>6336.21</c:v>
                </c:pt>
                <c:pt idx="15">
                  <c:v>7279.23</c:v>
                </c:pt>
                <c:pt idx="16">
                  <c:v>8208.8799999999992</c:v>
                </c:pt>
                <c:pt idx="17">
                  <c:v>9125.83</c:v>
                </c:pt>
                <c:pt idx="18">
                  <c:v>10030.5</c:v>
                </c:pt>
                <c:pt idx="19">
                  <c:v>10923.1</c:v>
                </c:pt>
                <c:pt idx="20">
                  <c:v>11804.1</c:v>
                </c:pt>
                <c:pt idx="21">
                  <c:v>12673.6</c:v>
                </c:pt>
                <c:pt idx="22">
                  <c:v>13532</c:v>
                </c:pt>
                <c:pt idx="23">
                  <c:v>14379.4</c:v>
                </c:pt>
                <c:pt idx="24">
                  <c:v>15216.3</c:v>
                </c:pt>
                <c:pt idx="25">
                  <c:v>16042.7</c:v>
                </c:pt>
                <c:pt idx="26">
                  <c:v>16859</c:v>
                </c:pt>
                <c:pt idx="27">
                  <c:v>17665.400000000001</c:v>
                </c:pt>
                <c:pt idx="28">
                  <c:v>18462.2</c:v>
                </c:pt>
                <c:pt idx="29">
                  <c:v>19249.599999999999</c:v>
                </c:pt>
                <c:pt idx="30">
                  <c:v>20027.8</c:v>
                </c:pt>
                <c:pt idx="31">
                  <c:v>20797</c:v>
                </c:pt>
                <c:pt idx="32">
                  <c:v>21557.5</c:v>
                </c:pt>
                <c:pt idx="33">
                  <c:v>22309.5</c:v>
                </c:pt>
                <c:pt idx="34">
                  <c:v>23052.799999999999</c:v>
                </c:pt>
              </c:numCache>
            </c:numRef>
          </c:val>
          <c:smooth val="0"/>
          <c:extLst>
            <c:ext xmlns:c16="http://schemas.microsoft.com/office/drawing/2014/chart" uri="{C3380CC4-5D6E-409C-BE32-E72D297353CC}">
              <c16:uniqueId val="{00000000-85C4-4D30-BB00-37ADCF14492F}"/>
            </c:ext>
          </c:extLst>
        </c:ser>
        <c:ser>
          <c:idx val="4"/>
          <c:order val="1"/>
          <c:tx>
            <c:strRef>
              <c:f>'1) Base-run and noFC'!$A$157</c:f>
              <c:strCache>
                <c:ptCount val="1"/>
                <c:pt idx="0">
                  <c:v>Moderate scenario</c:v>
                </c:pt>
              </c:strCache>
            </c:strRef>
          </c:tx>
          <c:spPr>
            <a:ln w="15875" cap="rnd">
              <a:solidFill>
                <a:srgbClr val="7030A0"/>
              </a:solidFill>
              <a:prstDash val="sysDash"/>
              <a:round/>
            </a:ln>
            <a:effectLst/>
          </c:spPr>
          <c:marker>
            <c:symbol val="none"/>
          </c:marker>
          <c:cat>
            <c:numRef>
              <c:f>'1) Base-run and noFC'!$B$155:$AJ$155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noFC'!$B$157:$AJ$157</c:f>
              <c:numCache>
                <c:formatCode>0</c:formatCode>
                <c:ptCount val="35"/>
                <c:pt idx="0">
                  <c:v>10467.799999999999</c:v>
                </c:pt>
                <c:pt idx="1">
                  <c:v>10675</c:v>
                </c:pt>
                <c:pt idx="2">
                  <c:v>10140</c:v>
                </c:pt>
                <c:pt idx="3">
                  <c:v>9548.9</c:v>
                </c:pt>
                <c:pt idx="4">
                  <c:v>7952.76</c:v>
                </c:pt>
                <c:pt idx="5">
                  <c:v>4218.9399999999996</c:v>
                </c:pt>
                <c:pt idx="6">
                  <c:v>4131.1499999999996</c:v>
                </c:pt>
                <c:pt idx="7">
                  <c:v>4050.11</c:v>
                </c:pt>
                <c:pt idx="8">
                  <c:v>3972.13</c:v>
                </c:pt>
                <c:pt idx="9">
                  <c:v>3896.1</c:v>
                </c:pt>
                <c:pt idx="10">
                  <c:v>3821.65</c:v>
                </c:pt>
                <c:pt idx="11">
                  <c:v>3748.67</c:v>
                </c:pt>
                <c:pt idx="12">
                  <c:v>4305.3</c:v>
                </c:pt>
                <c:pt idx="13">
                  <c:v>5284.83</c:v>
                </c:pt>
                <c:pt idx="14">
                  <c:v>6244.81</c:v>
                </c:pt>
                <c:pt idx="15">
                  <c:v>7189.48</c:v>
                </c:pt>
                <c:pt idx="16">
                  <c:v>8120.74</c:v>
                </c:pt>
                <c:pt idx="17">
                  <c:v>9039.2900000000009</c:v>
                </c:pt>
                <c:pt idx="18">
                  <c:v>9945.5300000000007</c:v>
                </c:pt>
                <c:pt idx="19">
                  <c:v>10839.8</c:v>
                </c:pt>
                <c:pt idx="20">
                  <c:v>11722.3</c:v>
                </c:pt>
                <c:pt idx="21">
                  <c:v>12593.3</c:v>
                </c:pt>
                <c:pt idx="22">
                  <c:v>13453.2</c:v>
                </c:pt>
                <c:pt idx="23">
                  <c:v>14302.2</c:v>
                </c:pt>
                <c:pt idx="24">
                  <c:v>15140.4</c:v>
                </c:pt>
                <c:pt idx="25">
                  <c:v>15968.3</c:v>
                </c:pt>
                <c:pt idx="26">
                  <c:v>16786</c:v>
                </c:pt>
                <c:pt idx="27">
                  <c:v>17593.8</c:v>
                </c:pt>
                <c:pt idx="28">
                  <c:v>18392</c:v>
                </c:pt>
                <c:pt idx="29">
                  <c:v>19180.7</c:v>
                </c:pt>
                <c:pt idx="30">
                  <c:v>19960.2</c:v>
                </c:pt>
                <c:pt idx="31">
                  <c:v>20730.7</c:v>
                </c:pt>
                <c:pt idx="32">
                  <c:v>21492.5</c:v>
                </c:pt>
                <c:pt idx="33">
                  <c:v>22245.7</c:v>
                </c:pt>
                <c:pt idx="34">
                  <c:v>22990.3</c:v>
                </c:pt>
              </c:numCache>
            </c:numRef>
          </c:val>
          <c:smooth val="0"/>
          <c:extLst>
            <c:ext xmlns:c16="http://schemas.microsoft.com/office/drawing/2014/chart" uri="{C3380CC4-5D6E-409C-BE32-E72D297353CC}">
              <c16:uniqueId val="{00000001-85C4-4D30-BB00-37ADCF14492F}"/>
            </c:ext>
          </c:extLst>
        </c:ser>
        <c:ser>
          <c:idx val="0"/>
          <c:order val="2"/>
          <c:tx>
            <c:strRef>
              <c:f>'1) Base-run and noFC'!$A$158</c:f>
              <c:strCache>
                <c:ptCount val="1"/>
                <c:pt idx="0">
                  <c:v>Medium scenario</c:v>
                </c:pt>
              </c:strCache>
            </c:strRef>
          </c:tx>
          <c:spPr>
            <a:ln w="15875" cap="rnd">
              <a:solidFill>
                <a:srgbClr val="5B9BD5">
                  <a:lumMod val="60000"/>
                  <a:lumOff val="40000"/>
                </a:srgbClr>
              </a:solidFill>
              <a:prstDash val="lgDash"/>
              <a:round/>
            </a:ln>
            <a:effectLst/>
          </c:spPr>
          <c:marker>
            <c:symbol val="none"/>
          </c:marker>
          <c:cat>
            <c:numRef>
              <c:f>'1) Base-run and noFC'!$B$155:$AJ$155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noFC'!$B$158:$AJ$158</c:f>
              <c:numCache>
                <c:formatCode>0</c:formatCode>
                <c:ptCount val="35"/>
                <c:pt idx="0">
                  <c:v>10467.799999999999</c:v>
                </c:pt>
                <c:pt idx="1">
                  <c:v>10675</c:v>
                </c:pt>
                <c:pt idx="2">
                  <c:v>10140</c:v>
                </c:pt>
                <c:pt idx="3">
                  <c:v>9548.9</c:v>
                </c:pt>
                <c:pt idx="4">
                  <c:v>7952.76</c:v>
                </c:pt>
                <c:pt idx="5">
                  <c:v>4218.9399999999996</c:v>
                </c:pt>
                <c:pt idx="6">
                  <c:v>4131.1499999999996</c:v>
                </c:pt>
                <c:pt idx="7">
                  <c:v>4050.11</c:v>
                </c:pt>
                <c:pt idx="8">
                  <c:v>3972.13</c:v>
                </c:pt>
                <c:pt idx="9">
                  <c:v>3896.1</c:v>
                </c:pt>
                <c:pt idx="10">
                  <c:v>3821.65</c:v>
                </c:pt>
                <c:pt idx="11">
                  <c:v>3748.67</c:v>
                </c:pt>
                <c:pt idx="12">
                  <c:v>4444.4399999999996</c:v>
                </c:pt>
                <c:pt idx="13">
                  <c:v>5420.82</c:v>
                </c:pt>
                <c:pt idx="14">
                  <c:v>6378.07</c:v>
                </c:pt>
                <c:pt idx="15">
                  <c:v>7320.32</c:v>
                </c:pt>
                <c:pt idx="16">
                  <c:v>8249.2099999999991</c:v>
                </c:pt>
                <c:pt idx="17">
                  <c:v>9165.42</c:v>
                </c:pt>
                <c:pt idx="18">
                  <c:v>10069.299999999999</c:v>
                </c:pt>
                <c:pt idx="19">
                  <c:v>10961.3</c:v>
                </c:pt>
                <c:pt idx="20">
                  <c:v>11841.5</c:v>
                </c:pt>
                <c:pt idx="21">
                  <c:v>12710.3</c:v>
                </c:pt>
                <c:pt idx="22">
                  <c:v>13568</c:v>
                </c:pt>
                <c:pt idx="23">
                  <c:v>14414.8</c:v>
                </c:pt>
                <c:pt idx="24">
                  <c:v>15250.9</c:v>
                </c:pt>
                <c:pt idx="25">
                  <c:v>16076.7</c:v>
                </c:pt>
                <c:pt idx="26">
                  <c:v>16892.400000000001</c:v>
                </c:pt>
                <c:pt idx="27">
                  <c:v>17698.2</c:v>
                </c:pt>
                <c:pt idx="28">
                  <c:v>18494.3</c:v>
                </c:pt>
                <c:pt idx="29">
                  <c:v>19281.099999999999</c:v>
                </c:pt>
                <c:pt idx="30">
                  <c:v>20058.7</c:v>
                </c:pt>
                <c:pt idx="31">
                  <c:v>20827.400000000001</c:v>
                </c:pt>
                <c:pt idx="32">
                  <c:v>21587.4</c:v>
                </c:pt>
                <c:pt idx="33">
                  <c:v>22338.799999999999</c:v>
                </c:pt>
                <c:pt idx="34">
                  <c:v>23081.599999999999</c:v>
                </c:pt>
              </c:numCache>
            </c:numRef>
          </c:val>
          <c:smooth val="0"/>
          <c:extLst>
            <c:ext xmlns:c16="http://schemas.microsoft.com/office/drawing/2014/chart" uri="{C3380CC4-5D6E-409C-BE32-E72D297353CC}">
              <c16:uniqueId val="{00000002-85C4-4D30-BB00-37ADCF14492F}"/>
            </c:ext>
          </c:extLst>
        </c:ser>
        <c:ser>
          <c:idx val="2"/>
          <c:order val="3"/>
          <c:tx>
            <c:strRef>
              <c:f>'1) Base-run and noFC'!$A$159</c:f>
              <c:strCache>
                <c:ptCount val="1"/>
                <c:pt idx="0">
                  <c:v>Rapid scenario</c:v>
                </c:pt>
              </c:strCache>
            </c:strRef>
          </c:tx>
          <c:spPr>
            <a:ln w="15875" cap="rnd">
              <a:solidFill>
                <a:srgbClr val="70AD47">
                  <a:lumMod val="50000"/>
                </a:srgbClr>
              </a:solidFill>
              <a:prstDash val="lgDashDot"/>
              <a:round/>
            </a:ln>
            <a:effectLst/>
          </c:spPr>
          <c:marker>
            <c:symbol val="none"/>
          </c:marker>
          <c:cat>
            <c:numRef>
              <c:f>'1) Base-run and noFC'!$B$155:$AJ$155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noFC'!$B$159:$AJ$159</c:f>
              <c:numCache>
                <c:formatCode>0</c:formatCode>
                <c:ptCount val="35"/>
                <c:pt idx="0">
                  <c:v>10467.799999999999</c:v>
                </c:pt>
                <c:pt idx="1">
                  <c:v>10675</c:v>
                </c:pt>
                <c:pt idx="2">
                  <c:v>10140</c:v>
                </c:pt>
                <c:pt idx="3">
                  <c:v>9548.9</c:v>
                </c:pt>
                <c:pt idx="4">
                  <c:v>7952.76</c:v>
                </c:pt>
                <c:pt idx="5">
                  <c:v>4218.9399999999996</c:v>
                </c:pt>
                <c:pt idx="6">
                  <c:v>4131.1499999999996</c:v>
                </c:pt>
                <c:pt idx="7">
                  <c:v>4050.11</c:v>
                </c:pt>
                <c:pt idx="8">
                  <c:v>3972.13</c:v>
                </c:pt>
                <c:pt idx="9">
                  <c:v>3896.1</c:v>
                </c:pt>
                <c:pt idx="10">
                  <c:v>3821.65</c:v>
                </c:pt>
                <c:pt idx="11">
                  <c:v>3748.67</c:v>
                </c:pt>
                <c:pt idx="12">
                  <c:v>4474.05</c:v>
                </c:pt>
                <c:pt idx="13">
                  <c:v>5449.87</c:v>
                </c:pt>
                <c:pt idx="14">
                  <c:v>6406.6</c:v>
                </c:pt>
                <c:pt idx="15">
                  <c:v>7348.37</c:v>
                </c:pt>
                <c:pt idx="16">
                  <c:v>8276.7900000000009</c:v>
                </c:pt>
                <c:pt idx="17">
                  <c:v>9192.51</c:v>
                </c:pt>
                <c:pt idx="18">
                  <c:v>10095.9</c:v>
                </c:pt>
                <c:pt idx="19">
                  <c:v>10987.4</c:v>
                </c:pt>
                <c:pt idx="20">
                  <c:v>11867.1</c:v>
                </c:pt>
                <c:pt idx="21">
                  <c:v>12735.5</c:v>
                </c:pt>
                <c:pt idx="22">
                  <c:v>13592.6</c:v>
                </c:pt>
                <c:pt idx="23">
                  <c:v>14438.9</c:v>
                </c:pt>
                <c:pt idx="24">
                  <c:v>15274.6</c:v>
                </c:pt>
                <c:pt idx="25">
                  <c:v>16099.9</c:v>
                </c:pt>
                <c:pt idx="26">
                  <c:v>16915.099999999999</c:v>
                </c:pt>
                <c:pt idx="27">
                  <c:v>17720.5</c:v>
                </c:pt>
                <c:pt idx="28">
                  <c:v>18516.2</c:v>
                </c:pt>
                <c:pt idx="29">
                  <c:v>19302.599999999999</c:v>
                </c:pt>
                <c:pt idx="30">
                  <c:v>20079.8</c:v>
                </c:pt>
                <c:pt idx="31">
                  <c:v>20848</c:v>
                </c:pt>
                <c:pt idx="32">
                  <c:v>21607.5</c:v>
                </c:pt>
                <c:pt idx="33">
                  <c:v>22358.6</c:v>
                </c:pt>
                <c:pt idx="34">
                  <c:v>23101</c:v>
                </c:pt>
              </c:numCache>
            </c:numRef>
          </c:val>
          <c:smooth val="0"/>
          <c:extLst>
            <c:ext xmlns:c16="http://schemas.microsoft.com/office/drawing/2014/chart" uri="{C3380CC4-5D6E-409C-BE32-E72D297353CC}">
              <c16:uniqueId val="{00000003-85C4-4D30-BB00-37ADCF14492F}"/>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max val="23300"/>
          <c:min val="3300"/>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t>1000 People</a:t>
                </a:r>
              </a:p>
            </c:rich>
          </c:tx>
          <c:layout>
            <c:manualLayout>
              <c:xMode val="edge"/>
              <c:yMode val="edge"/>
              <c:x val="1.6141732283464567E-2"/>
              <c:y val="0.32036902900591607"/>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3.3921308973116154E-2"/>
          <c:y val="0.86613672651917906"/>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419072615923"/>
          <c:y val="7.407407407407407E-2"/>
          <c:w val="0.82947591614945893"/>
          <c:h val="0.66228163340047597"/>
        </c:manualLayout>
      </c:layout>
      <c:lineChart>
        <c:grouping val="standard"/>
        <c:varyColors val="0"/>
        <c:ser>
          <c:idx val="3"/>
          <c:order val="0"/>
          <c:tx>
            <c:strRef>
              <c:f>'1) Base-run and noFC'!$A$206</c:f>
              <c:strCache>
                <c:ptCount val="1"/>
                <c:pt idx="0">
                  <c:v>Base-run</c:v>
                </c:pt>
              </c:strCache>
            </c:strRef>
          </c:tx>
          <c:spPr>
            <a:ln w="12700" cap="rnd">
              <a:solidFill>
                <a:sysClr val="windowText" lastClr="000000"/>
              </a:solidFill>
              <a:round/>
            </a:ln>
            <a:effectLst/>
          </c:spPr>
          <c:marker>
            <c:symbol val="none"/>
          </c:marker>
          <c:cat>
            <c:numRef>
              <c:f>'1) Base-run and noFC'!$B$205:$AJ$205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noFC'!$B$206:$AJ$206</c:f>
              <c:numCache>
                <c:formatCode>0</c:formatCode>
                <c:ptCount val="35"/>
                <c:pt idx="0">
                  <c:v>188236</c:v>
                </c:pt>
                <c:pt idx="1">
                  <c:v>191471</c:v>
                </c:pt>
                <c:pt idx="2">
                  <c:v>200727</c:v>
                </c:pt>
                <c:pt idx="3">
                  <c:v>204727</c:v>
                </c:pt>
                <c:pt idx="4">
                  <c:v>204494</c:v>
                </c:pt>
                <c:pt idx="5">
                  <c:v>202326</c:v>
                </c:pt>
                <c:pt idx="6">
                  <c:v>199139</c:v>
                </c:pt>
                <c:pt idx="7">
                  <c:v>195293</c:v>
                </c:pt>
                <c:pt idx="8">
                  <c:v>191868</c:v>
                </c:pt>
                <c:pt idx="9">
                  <c:v>192253</c:v>
                </c:pt>
                <c:pt idx="10">
                  <c:v>195969</c:v>
                </c:pt>
                <c:pt idx="11">
                  <c:v>201487</c:v>
                </c:pt>
                <c:pt idx="12">
                  <c:v>217929</c:v>
                </c:pt>
                <c:pt idx="13">
                  <c:v>249515</c:v>
                </c:pt>
                <c:pt idx="14">
                  <c:v>275944</c:v>
                </c:pt>
                <c:pt idx="15">
                  <c:v>299479</c:v>
                </c:pt>
                <c:pt idx="16">
                  <c:v>324820</c:v>
                </c:pt>
                <c:pt idx="17">
                  <c:v>340916</c:v>
                </c:pt>
                <c:pt idx="18">
                  <c:v>361815</c:v>
                </c:pt>
                <c:pt idx="19">
                  <c:v>380139</c:v>
                </c:pt>
                <c:pt idx="20">
                  <c:v>394176</c:v>
                </c:pt>
                <c:pt idx="21">
                  <c:v>407563</c:v>
                </c:pt>
                <c:pt idx="22">
                  <c:v>421180</c:v>
                </c:pt>
                <c:pt idx="23">
                  <c:v>439362</c:v>
                </c:pt>
                <c:pt idx="24">
                  <c:v>447069</c:v>
                </c:pt>
                <c:pt idx="25">
                  <c:v>441710</c:v>
                </c:pt>
                <c:pt idx="26">
                  <c:v>440725</c:v>
                </c:pt>
                <c:pt idx="27">
                  <c:v>451931</c:v>
                </c:pt>
                <c:pt idx="28">
                  <c:v>467191</c:v>
                </c:pt>
                <c:pt idx="29">
                  <c:v>479766</c:v>
                </c:pt>
                <c:pt idx="30">
                  <c:v>490906</c:v>
                </c:pt>
                <c:pt idx="31">
                  <c:v>500953</c:v>
                </c:pt>
                <c:pt idx="32">
                  <c:v>510690</c:v>
                </c:pt>
                <c:pt idx="33">
                  <c:v>518588</c:v>
                </c:pt>
                <c:pt idx="34">
                  <c:v>522629</c:v>
                </c:pt>
              </c:numCache>
            </c:numRef>
          </c:val>
          <c:smooth val="0"/>
          <c:extLst>
            <c:ext xmlns:c16="http://schemas.microsoft.com/office/drawing/2014/chart" uri="{C3380CC4-5D6E-409C-BE32-E72D297353CC}">
              <c16:uniqueId val="{00000000-1603-408E-9DE4-A7A8AA5E0346}"/>
            </c:ext>
          </c:extLst>
        </c:ser>
        <c:ser>
          <c:idx val="4"/>
          <c:order val="1"/>
          <c:tx>
            <c:strRef>
              <c:f>'1) Base-run and noFC'!$A$207</c:f>
              <c:strCache>
                <c:ptCount val="1"/>
                <c:pt idx="0">
                  <c:v>Moderate scenario</c:v>
                </c:pt>
              </c:strCache>
            </c:strRef>
          </c:tx>
          <c:spPr>
            <a:ln w="15875" cap="rnd">
              <a:solidFill>
                <a:srgbClr val="7030A0"/>
              </a:solidFill>
              <a:prstDash val="sysDash"/>
              <a:round/>
            </a:ln>
            <a:effectLst/>
          </c:spPr>
          <c:marker>
            <c:symbol val="none"/>
          </c:marker>
          <c:cat>
            <c:numRef>
              <c:f>'1) Base-run and noFC'!$B$205:$AJ$205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noFC'!$B$207:$AJ$207</c:f>
              <c:numCache>
                <c:formatCode>0</c:formatCode>
                <c:ptCount val="35"/>
                <c:pt idx="0">
                  <c:v>188236</c:v>
                </c:pt>
                <c:pt idx="1">
                  <c:v>189156</c:v>
                </c:pt>
                <c:pt idx="2">
                  <c:v>196155</c:v>
                </c:pt>
                <c:pt idx="3">
                  <c:v>202377</c:v>
                </c:pt>
                <c:pt idx="4">
                  <c:v>207352</c:v>
                </c:pt>
                <c:pt idx="5">
                  <c:v>210628</c:v>
                </c:pt>
                <c:pt idx="6">
                  <c:v>213031</c:v>
                </c:pt>
                <c:pt idx="7">
                  <c:v>215401</c:v>
                </c:pt>
                <c:pt idx="8">
                  <c:v>218418</c:v>
                </c:pt>
                <c:pt idx="9">
                  <c:v>222573</c:v>
                </c:pt>
                <c:pt idx="10">
                  <c:v>227979</c:v>
                </c:pt>
                <c:pt idx="11">
                  <c:v>235148</c:v>
                </c:pt>
                <c:pt idx="12">
                  <c:v>253386</c:v>
                </c:pt>
                <c:pt idx="13">
                  <c:v>286060</c:v>
                </c:pt>
                <c:pt idx="14">
                  <c:v>315780</c:v>
                </c:pt>
                <c:pt idx="15">
                  <c:v>348077</c:v>
                </c:pt>
                <c:pt idx="16">
                  <c:v>385020</c:v>
                </c:pt>
                <c:pt idx="17">
                  <c:v>416661</c:v>
                </c:pt>
                <c:pt idx="18">
                  <c:v>450595</c:v>
                </c:pt>
                <c:pt idx="19">
                  <c:v>479837</c:v>
                </c:pt>
                <c:pt idx="20">
                  <c:v>503908</c:v>
                </c:pt>
                <c:pt idx="21">
                  <c:v>525154</c:v>
                </c:pt>
                <c:pt idx="22">
                  <c:v>544518</c:v>
                </c:pt>
                <c:pt idx="23">
                  <c:v>565244</c:v>
                </c:pt>
                <c:pt idx="24">
                  <c:v>581348</c:v>
                </c:pt>
                <c:pt idx="25">
                  <c:v>594529</c:v>
                </c:pt>
                <c:pt idx="26">
                  <c:v>596800</c:v>
                </c:pt>
                <c:pt idx="27">
                  <c:v>599480</c:v>
                </c:pt>
                <c:pt idx="28">
                  <c:v>607666</c:v>
                </c:pt>
                <c:pt idx="29">
                  <c:v>617809</c:v>
                </c:pt>
                <c:pt idx="30">
                  <c:v>629345</c:v>
                </c:pt>
                <c:pt idx="31">
                  <c:v>641104</c:v>
                </c:pt>
                <c:pt idx="32">
                  <c:v>652751</c:v>
                </c:pt>
                <c:pt idx="33">
                  <c:v>662930</c:v>
                </c:pt>
                <c:pt idx="34">
                  <c:v>662695</c:v>
                </c:pt>
              </c:numCache>
            </c:numRef>
          </c:val>
          <c:smooth val="0"/>
          <c:extLst>
            <c:ext xmlns:c16="http://schemas.microsoft.com/office/drawing/2014/chart" uri="{C3380CC4-5D6E-409C-BE32-E72D297353CC}">
              <c16:uniqueId val="{00000001-1603-408E-9DE4-A7A8AA5E0346}"/>
            </c:ext>
          </c:extLst>
        </c:ser>
        <c:ser>
          <c:idx val="0"/>
          <c:order val="2"/>
          <c:tx>
            <c:strRef>
              <c:f>'1) Base-run and noFC'!$A$208</c:f>
              <c:strCache>
                <c:ptCount val="1"/>
                <c:pt idx="0">
                  <c:v>Medium scenario</c:v>
                </c:pt>
              </c:strCache>
            </c:strRef>
          </c:tx>
          <c:spPr>
            <a:ln w="15875" cap="rnd">
              <a:solidFill>
                <a:srgbClr val="5B9BD5">
                  <a:lumMod val="60000"/>
                  <a:lumOff val="40000"/>
                </a:srgbClr>
              </a:solidFill>
              <a:prstDash val="lgDash"/>
              <a:round/>
            </a:ln>
            <a:effectLst/>
          </c:spPr>
          <c:marker>
            <c:symbol val="none"/>
          </c:marker>
          <c:cat>
            <c:numRef>
              <c:f>'1) Base-run and noFC'!$B$205:$AJ$205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noFC'!$B$208:$AJ$208</c:f>
              <c:numCache>
                <c:formatCode>0</c:formatCode>
                <c:ptCount val="35"/>
                <c:pt idx="0">
                  <c:v>188236</c:v>
                </c:pt>
                <c:pt idx="1">
                  <c:v>189156</c:v>
                </c:pt>
                <c:pt idx="2">
                  <c:v>196155</c:v>
                </c:pt>
                <c:pt idx="3">
                  <c:v>202377</c:v>
                </c:pt>
                <c:pt idx="4">
                  <c:v>207352</c:v>
                </c:pt>
                <c:pt idx="5">
                  <c:v>207264</c:v>
                </c:pt>
                <c:pt idx="6">
                  <c:v>220304</c:v>
                </c:pt>
                <c:pt idx="7">
                  <c:v>229806</c:v>
                </c:pt>
                <c:pt idx="8">
                  <c:v>235056</c:v>
                </c:pt>
                <c:pt idx="9">
                  <c:v>238718</c:v>
                </c:pt>
                <c:pt idx="10">
                  <c:v>240613</c:v>
                </c:pt>
                <c:pt idx="11">
                  <c:v>262170</c:v>
                </c:pt>
                <c:pt idx="12">
                  <c:v>289722</c:v>
                </c:pt>
                <c:pt idx="13">
                  <c:v>325939</c:v>
                </c:pt>
                <c:pt idx="14">
                  <c:v>355722</c:v>
                </c:pt>
                <c:pt idx="15">
                  <c:v>385625</c:v>
                </c:pt>
                <c:pt idx="16">
                  <c:v>439116</c:v>
                </c:pt>
                <c:pt idx="17">
                  <c:v>479022</c:v>
                </c:pt>
                <c:pt idx="18">
                  <c:v>512619</c:v>
                </c:pt>
                <c:pt idx="19">
                  <c:v>538629</c:v>
                </c:pt>
                <c:pt idx="20">
                  <c:v>558094</c:v>
                </c:pt>
                <c:pt idx="21">
                  <c:v>591592</c:v>
                </c:pt>
                <c:pt idx="22">
                  <c:v>616561</c:v>
                </c:pt>
                <c:pt idx="23">
                  <c:v>636134</c:v>
                </c:pt>
                <c:pt idx="24">
                  <c:v>645912</c:v>
                </c:pt>
                <c:pt idx="25">
                  <c:v>644326</c:v>
                </c:pt>
                <c:pt idx="26">
                  <c:v>659271</c:v>
                </c:pt>
                <c:pt idx="27">
                  <c:v>673511</c:v>
                </c:pt>
                <c:pt idx="28">
                  <c:v>683612</c:v>
                </c:pt>
                <c:pt idx="29">
                  <c:v>691025</c:v>
                </c:pt>
                <c:pt idx="30">
                  <c:v>697823</c:v>
                </c:pt>
                <c:pt idx="31">
                  <c:v>718035</c:v>
                </c:pt>
                <c:pt idx="32">
                  <c:v>733238</c:v>
                </c:pt>
                <c:pt idx="33">
                  <c:v>741958</c:v>
                </c:pt>
                <c:pt idx="34">
                  <c:v>743702</c:v>
                </c:pt>
              </c:numCache>
            </c:numRef>
          </c:val>
          <c:smooth val="0"/>
          <c:extLst>
            <c:ext xmlns:c16="http://schemas.microsoft.com/office/drawing/2014/chart" uri="{C3380CC4-5D6E-409C-BE32-E72D297353CC}">
              <c16:uniqueId val="{00000002-1603-408E-9DE4-A7A8AA5E0346}"/>
            </c:ext>
          </c:extLst>
        </c:ser>
        <c:ser>
          <c:idx val="2"/>
          <c:order val="3"/>
          <c:tx>
            <c:strRef>
              <c:f>'1) Base-run and noFC'!$A$209</c:f>
              <c:strCache>
                <c:ptCount val="1"/>
                <c:pt idx="0">
                  <c:v>Rapid scenario</c:v>
                </c:pt>
              </c:strCache>
            </c:strRef>
          </c:tx>
          <c:spPr>
            <a:ln w="15875" cap="rnd">
              <a:solidFill>
                <a:srgbClr val="70AD47">
                  <a:lumMod val="50000"/>
                </a:srgbClr>
              </a:solidFill>
              <a:prstDash val="lgDashDot"/>
              <a:round/>
            </a:ln>
            <a:effectLst/>
          </c:spPr>
          <c:marker>
            <c:symbol val="none"/>
          </c:marker>
          <c:cat>
            <c:numRef>
              <c:f>'1) Base-run and noFC'!$B$205:$AJ$205</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noFC'!$B$209:$AJ$209</c:f>
              <c:numCache>
                <c:formatCode>0</c:formatCode>
                <c:ptCount val="35"/>
                <c:pt idx="0">
                  <c:v>188236</c:v>
                </c:pt>
                <c:pt idx="1">
                  <c:v>151024</c:v>
                </c:pt>
                <c:pt idx="2">
                  <c:v>230741</c:v>
                </c:pt>
                <c:pt idx="3">
                  <c:v>294193</c:v>
                </c:pt>
                <c:pt idx="4">
                  <c:v>322488</c:v>
                </c:pt>
                <c:pt idx="5">
                  <c:v>333411</c:v>
                </c:pt>
                <c:pt idx="6">
                  <c:v>337217</c:v>
                </c:pt>
                <c:pt idx="7">
                  <c:v>336914</c:v>
                </c:pt>
                <c:pt idx="8">
                  <c:v>333805</c:v>
                </c:pt>
                <c:pt idx="9">
                  <c:v>328705</c:v>
                </c:pt>
                <c:pt idx="10">
                  <c:v>322205</c:v>
                </c:pt>
                <c:pt idx="11">
                  <c:v>314753</c:v>
                </c:pt>
                <c:pt idx="12">
                  <c:v>307387</c:v>
                </c:pt>
                <c:pt idx="13">
                  <c:v>318753</c:v>
                </c:pt>
                <c:pt idx="14">
                  <c:v>342393</c:v>
                </c:pt>
                <c:pt idx="15">
                  <c:v>376114</c:v>
                </c:pt>
                <c:pt idx="16">
                  <c:v>418033</c:v>
                </c:pt>
                <c:pt idx="17">
                  <c:v>453665</c:v>
                </c:pt>
                <c:pt idx="18">
                  <c:v>489345</c:v>
                </c:pt>
                <c:pt idx="19">
                  <c:v>518911</c:v>
                </c:pt>
                <c:pt idx="20">
                  <c:v>542510</c:v>
                </c:pt>
                <c:pt idx="21">
                  <c:v>562928</c:v>
                </c:pt>
                <c:pt idx="22">
                  <c:v>581357</c:v>
                </c:pt>
                <c:pt idx="23">
                  <c:v>601215</c:v>
                </c:pt>
                <c:pt idx="24">
                  <c:v>613839</c:v>
                </c:pt>
                <c:pt idx="25">
                  <c:v>616490</c:v>
                </c:pt>
                <c:pt idx="26">
                  <c:v>620943</c:v>
                </c:pt>
                <c:pt idx="27">
                  <c:v>630498</c:v>
                </c:pt>
                <c:pt idx="28">
                  <c:v>641853</c:v>
                </c:pt>
                <c:pt idx="29">
                  <c:v>652738</c:v>
                </c:pt>
                <c:pt idx="30">
                  <c:v>664141</c:v>
                </c:pt>
                <c:pt idx="31">
                  <c:v>675301</c:v>
                </c:pt>
                <c:pt idx="32">
                  <c:v>686333</c:v>
                </c:pt>
                <c:pt idx="33">
                  <c:v>696128</c:v>
                </c:pt>
                <c:pt idx="34">
                  <c:v>703288</c:v>
                </c:pt>
              </c:numCache>
            </c:numRef>
          </c:val>
          <c:smooth val="0"/>
          <c:extLst>
            <c:ext xmlns:c16="http://schemas.microsoft.com/office/drawing/2014/chart" uri="{C3380CC4-5D6E-409C-BE32-E72D297353CC}">
              <c16:uniqueId val="{00000003-1603-408E-9DE4-A7A8AA5E0346}"/>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t>People</a:t>
                </a:r>
              </a:p>
            </c:rich>
          </c:tx>
          <c:layout>
            <c:manualLayout>
              <c:xMode val="edge"/>
              <c:yMode val="edge"/>
              <c:x val="1.6141648253648121E-2"/>
              <c:y val="0.3481466899970837"/>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9796818373673719E-2"/>
          <c:y val="0.87204097874862418"/>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419072615923"/>
          <c:y val="7.407407407407407E-2"/>
          <c:w val="0.82947591614945893"/>
          <c:h val="0.66228163340047597"/>
        </c:manualLayout>
      </c:layout>
      <c:lineChart>
        <c:grouping val="standard"/>
        <c:varyColors val="0"/>
        <c:ser>
          <c:idx val="3"/>
          <c:order val="0"/>
          <c:tx>
            <c:strRef>
              <c:f>'1) Base-run and noFC'!$A$229</c:f>
              <c:strCache>
                <c:ptCount val="1"/>
                <c:pt idx="0">
                  <c:v>Base-run</c:v>
                </c:pt>
              </c:strCache>
            </c:strRef>
          </c:tx>
          <c:spPr>
            <a:ln w="12700" cap="rnd">
              <a:solidFill>
                <a:sysClr val="windowText" lastClr="000000"/>
              </a:solidFill>
              <a:round/>
            </a:ln>
            <a:effectLst/>
          </c:spPr>
          <c:marker>
            <c:symbol val="none"/>
          </c:marker>
          <c:cat>
            <c:numRef>
              <c:f>'1) Base-run and noFC'!$B$228:$AJ$228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noFC'!$B$229:$AJ$229</c:f>
              <c:numCache>
                <c:formatCode>0</c:formatCode>
                <c:ptCount val="35"/>
                <c:pt idx="0">
                  <c:v>20.381399999999999</c:v>
                </c:pt>
                <c:pt idx="1">
                  <c:v>28.2285</c:v>
                </c:pt>
                <c:pt idx="2">
                  <c:v>33.310099999999998</c:v>
                </c:pt>
                <c:pt idx="3">
                  <c:v>30.724699999999999</c:v>
                </c:pt>
                <c:pt idx="4">
                  <c:v>26.022099999999998</c:v>
                </c:pt>
                <c:pt idx="5">
                  <c:v>21.545300000000001</c:v>
                </c:pt>
                <c:pt idx="6">
                  <c:v>17.726099999999999</c:v>
                </c:pt>
                <c:pt idx="7">
                  <c:v>14.5868</c:v>
                </c:pt>
                <c:pt idx="8">
                  <c:v>13.739599999999999</c:v>
                </c:pt>
                <c:pt idx="9">
                  <c:v>15.501799999999999</c:v>
                </c:pt>
                <c:pt idx="10">
                  <c:v>17.8398</c:v>
                </c:pt>
                <c:pt idx="11">
                  <c:v>21.116299999999999</c:v>
                </c:pt>
                <c:pt idx="12">
                  <c:v>30.522500000000001</c:v>
                </c:pt>
                <c:pt idx="13">
                  <c:v>38.9422</c:v>
                </c:pt>
                <c:pt idx="14">
                  <c:v>40.469000000000001</c:v>
                </c:pt>
                <c:pt idx="15">
                  <c:v>41.789900000000003</c:v>
                </c:pt>
                <c:pt idx="16">
                  <c:v>41.2682</c:v>
                </c:pt>
                <c:pt idx="17">
                  <c:v>37.988500000000002</c:v>
                </c:pt>
                <c:pt idx="18">
                  <c:v>38.811999999999998</c:v>
                </c:pt>
                <c:pt idx="19">
                  <c:v>35.507100000000001</c:v>
                </c:pt>
                <c:pt idx="20">
                  <c:v>33.936199999999999</c:v>
                </c:pt>
                <c:pt idx="21">
                  <c:v>32.076900000000002</c:v>
                </c:pt>
                <c:pt idx="22">
                  <c:v>31.7925</c:v>
                </c:pt>
                <c:pt idx="23">
                  <c:v>31.525200000000002</c:v>
                </c:pt>
                <c:pt idx="24">
                  <c:v>26.3566</c:v>
                </c:pt>
                <c:pt idx="25">
                  <c:v>21.857299999999999</c:v>
                </c:pt>
                <c:pt idx="26">
                  <c:v>22.482800000000001</c:v>
                </c:pt>
                <c:pt idx="27">
                  <c:v>24.582100000000001</c:v>
                </c:pt>
                <c:pt idx="28">
                  <c:v>25.920999999999999</c:v>
                </c:pt>
                <c:pt idx="29">
                  <c:v>26.264900000000001</c:v>
                </c:pt>
                <c:pt idx="30">
                  <c:v>26.835699999999999</c:v>
                </c:pt>
                <c:pt idx="31">
                  <c:v>26.985499999999998</c:v>
                </c:pt>
                <c:pt idx="32">
                  <c:v>26.8752</c:v>
                </c:pt>
                <c:pt idx="33">
                  <c:v>26.096399999999999</c:v>
                </c:pt>
                <c:pt idx="34">
                  <c:v>24.596499999999999</c:v>
                </c:pt>
              </c:numCache>
            </c:numRef>
          </c:val>
          <c:smooth val="0"/>
          <c:extLst>
            <c:ext xmlns:c16="http://schemas.microsoft.com/office/drawing/2014/chart" uri="{C3380CC4-5D6E-409C-BE32-E72D297353CC}">
              <c16:uniqueId val="{00000000-77A5-4C44-AA21-C1065460181B}"/>
            </c:ext>
          </c:extLst>
        </c:ser>
        <c:ser>
          <c:idx val="4"/>
          <c:order val="1"/>
          <c:tx>
            <c:strRef>
              <c:f>'1) Base-run and noFC'!$A$230</c:f>
              <c:strCache>
                <c:ptCount val="1"/>
                <c:pt idx="0">
                  <c:v>Moderate scenario</c:v>
                </c:pt>
              </c:strCache>
            </c:strRef>
          </c:tx>
          <c:spPr>
            <a:ln w="15875" cap="rnd">
              <a:solidFill>
                <a:srgbClr val="7030A0"/>
              </a:solidFill>
              <a:prstDash val="sysDash"/>
              <a:round/>
            </a:ln>
            <a:effectLst/>
          </c:spPr>
          <c:marker>
            <c:symbol val="none"/>
          </c:marker>
          <c:cat>
            <c:numRef>
              <c:f>'1) Base-run and noFC'!$B$228:$AJ$228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noFC'!$B$230:$AJ$230</c:f>
              <c:numCache>
                <c:formatCode>0</c:formatCode>
                <c:ptCount val="35"/>
                <c:pt idx="0">
                  <c:v>5.5847800000000003</c:v>
                </c:pt>
                <c:pt idx="1">
                  <c:v>10.085800000000001</c:v>
                </c:pt>
                <c:pt idx="2">
                  <c:v>15.2524</c:v>
                </c:pt>
                <c:pt idx="3">
                  <c:v>18.087199999999999</c:v>
                </c:pt>
                <c:pt idx="4">
                  <c:v>18.662400000000002</c:v>
                </c:pt>
                <c:pt idx="5">
                  <c:v>17.9239</c:v>
                </c:pt>
                <c:pt idx="6">
                  <c:v>16.853400000000001</c:v>
                </c:pt>
                <c:pt idx="7">
                  <c:v>15.9651</c:v>
                </c:pt>
                <c:pt idx="8">
                  <c:v>15.4588</c:v>
                </c:pt>
                <c:pt idx="9">
                  <c:v>15.2906</c:v>
                </c:pt>
                <c:pt idx="10">
                  <c:v>15.3634</c:v>
                </c:pt>
                <c:pt idx="11">
                  <c:v>16.711200000000002</c:v>
                </c:pt>
                <c:pt idx="12">
                  <c:v>22.064599999999999</c:v>
                </c:pt>
                <c:pt idx="13">
                  <c:v>26.232700000000001</c:v>
                </c:pt>
                <c:pt idx="14">
                  <c:v>28.41</c:v>
                </c:pt>
                <c:pt idx="15">
                  <c:v>31.436399999999999</c:v>
                </c:pt>
                <c:pt idx="16">
                  <c:v>33.426200000000001</c:v>
                </c:pt>
                <c:pt idx="17">
                  <c:v>33.268700000000003</c:v>
                </c:pt>
                <c:pt idx="18">
                  <c:v>34.600299999999997</c:v>
                </c:pt>
                <c:pt idx="19">
                  <c:v>33.052399999999999</c:v>
                </c:pt>
                <c:pt idx="20">
                  <c:v>32.116100000000003</c:v>
                </c:pt>
                <c:pt idx="21">
                  <c:v>30.7776</c:v>
                </c:pt>
                <c:pt idx="22">
                  <c:v>30.222100000000001</c:v>
                </c:pt>
                <c:pt idx="23">
                  <c:v>29.634899999999998</c:v>
                </c:pt>
                <c:pt idx="24">
                  <c:v>27.308800000000002</c:v>
                </c:pt>
                <c:pt idx="25">
                  <c:v>26.580100000000002</c:v>
                </c:pt>
                <c:pt idx="26">
                  <c:v>23.353899999999999</c:v>
                </c:pt>
                <c:pt idx="27">
                  <c:v>22.948699999999999</c:v>
                </c:pt>
                <c:pt idx="28">
                  <c:v>23.1174</c:v>
                </c:pt>
                <c:pt idx="29">
                  <c:v>23.3171</c:v>
                </c:pt>
                <c:pt idx="30">
                  <c:v>23.8032</c:v>
                </c:pt>
                <c:pt idx="31">
                  <c:v>24.187100000000001</c:v>
                </c:pt>
                <c:pt idx="32">
                  <c:v>24.484500000000001</c:v>
                </c:pt>
                <c:pt idx="33">
                  <c:v>24.241099999999999</c:v>
                </c:pt>
                <c:pt idx="34">
                  <c:v>40.915999999999997</c:v>
                </c:pt>
              </c:numCache>
            </c:numRef>
          </c:val>
          <c:smooth val="0"/>
          <c:extLst>
            <c:ext xmlns:c16="http://schemas.microsoft.com/office/drawing/2014/chart" uri="{C3380CC4-5D6E-409C-BE32-E72D297353CC}">
              <c16:uniqueId val="{00000001-77A5-4C44-AA21-C1065460181B}"/>
            </c:ext>
          </c:extLst>
        </c:ser>
        <c:ser>
          <c:idx val="0"/>
          <c:order val="2"/>
          <c:tx>
            <c:strRef>
              <c:f>'1) Base-run and noFC'!$A$231</c:f>
              <c:strCache>
                <c:ptCount val="1"/>
                <c:pt idx="0">
                  <c:v>Medium scenario</c:v>
                </c:pt>
              </c:strCache>
            </c:strRef>
          </c:tx>
          <c:spPr>
            <a:ln w="15875" cap="rnd">
              <a:solidFill>
                <a:srgbClr val="5B9BD5">
                  <a:lumMod val="60000"/>
                  <a:lumOff val="40000"/>
                </a:srgbClr>
              </a:solidFill>
              <a:prstDash val="lgDash"/>
              <a:round/>
            </a:ln>
            <a:effectLst/>
          </c:spPr>
          <c:marker>
            <c:symbol val="none"/>
          </c:marker>
          <c:cat>
            <c:numRef>
              <c:f>'1) Base-run and noFC'!$B$228:$AJ$228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noFC'!$B$231:$AJ$231</c:f>
              <c:numCache>
                <c:formatCode>0</c:formatCode>
                <c:ptCount val="35"/>
                <c:pt idx="0">
                  <c:v>5.5847800000000003</c:v>
                </c:pt>
                <c:pt idx="1">
                  <c:v>10.085800000000001</c:v>
                </c:pt>
                <c:pt idx="2">
                  <c:v>15.2524</c:v>
                </c:pt>
                <c:pt idx="3">
                  <c:v>18.087199999999999</c:v>
                </c:pt>
                <c:pt idx="4">
                  <c:v>18.662400000000002</c:v>
                </c:pt>
                <c:pt idx="5">
                  <c:v>21.3416</c:v>
                </c:pt>
                <c:pt idx="6">
                  <c:v>23.697600000000001</c:v>
                </c:pt>
                <c:pt idx="7">
                  <c:v>22.8</c:v>
                </c:pt>
                <c:pt idx="8">
                  <c:v>20.783200000000001</c:v>
                </c:pt>
                <c:pt idx="9">
                  <c:v>18.8018</c:v>
                </c:pt>
                <c:pt idx="10">
                  <c:v>21.241599999999998</c:v>
                </c:pt>
                <c:pt idx="11">
                  <c:v>24.249300000000002</c:v>
                </c:pt>
                <c:pt idx="12">
                  <c:v>28.4285</c:v>
                </c:pt>
                <c:pt idx="13">
                  <c:v>31.123799999999999</c:v>
                </c:pt>
                <c:pt idx="14">
                  <c:v>31.454899999999999</c:v>
                </c:pt>
                <c:pt idx="15">
                  <c:v>36.9649</c:v>
                </c:pt>
                <c:pt idx="16">
                  <c:v>39.276499999999999</c:v>
                </c:pt>
                <c:pt idx="17">
                  <c:v>37.5364</c:v>
                </c:pt>
                <c:pt idx="18">
                  <c:v>37.514099999999999</c:v>
                </c:pt>
                <c:pt idx="19">
                  <c:v>34.872100000000003</c:v>
                </c:pt>
                <c:pt idx="20">
                  <c:v>36.320999999999998</c:v>
                </c:pt>
                <c:pt idx="21">
                  <c:v>35.903399999999998</c:v>
                </c:pt>
                <c:pt idx="22">
                  <c:v>34.261000000000003</c:v>
                </c:pt>
                <c:pt idx="23">
                  <c:v>32.422499999999999</c:v>
                </c:pt>
                <c:pt idx="24">
                  <c:v>28.453199999999999</c:v>
                </c:pt>
                <c:pt idx="25">
                  <c:v>27.7727</c:v>
                </c:pt>
                <c:pt idx="26">
                  <c:v>28.291399999999999</c:v>
                </c:pt>
                <c:pt idx="27">
                  <c:v>27.3935</c:v>
                </c:pt>
                <c:pt idx="28">
                  <c:v>26.413499999999999</c:v>
                </c:pt>
                <c:pt idx="29">
                  <c:v>25.671299999999999</c:v>
                </c:pt>
                <c:pt idx="30">
                  <c:v>27.824100000000001</c:v>
                </c:pt>
                <c:pt idx="31">
                  <c:v>28.8233</c:v>
                </c:pt>
                <c:pt idx="32">
                  <c:v>28.2058</c:v>
                </c:pt>
                <c:pt idx="33">
                  <c:v>27.002500000000001</c:v>
                </c:pt>
                <c:pt idx="34">
                  <c:v>30.9314</c:v>
                </c:pt>
              </c:numCache>
            </c:numRef>
          </c:val>
          <c:smooth val="0"/>
          <c:extLst>
            <c:ext xmlns:c16="http://schemas.microsoft.com/office/drawing/2014/chart" uri="{C3380CC4-5D6E-409C-BE32-E72D297353CC}">
              <c16:uniqueId val="{00000002-77A5-4C44-AA21-C1065460181B}"/>
            </c:ext>
          </c:extLst>
        </c:ser>
        <c:ser>
          <c:idx val="2"/>
          <c:order val="3"/>
          <c:tx>
            <c:strRef>
              <c:f>'1) Base-run and noFC'!$A$232</c:f>
              <c:strCache>
                <c:ptCount val="1"/>
                <c:pt idx="0">
                  <c:v>Rapid scenario</c:v>
                </c:pt>
              </c:strCache>
            </c:strRef>
          </c:tx>
          <c:spPr>
            <a:ln w="15875" cap="rnd">
              <a:solidFill>
                <a:srgbClr val="70AD47">
                  <a:lumMod val="50000"/>
                </a:srgbClr>
              </a:solidFill>
              <a:prstDash val="lgDashDot"/>
              <a:round/>
            </a:ln>
            <a:effectLst/>
          </c:spPr>
          <c:marker>
            <c:symbol val="none"/>
          </c:marker>
          <c:cat>
            <c:numRef>
              <c:f>'1) Base-run and noFC'!$B$228:$AJ$228</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noFC'!$B$232:$AJ$232</c:f>
              <c:numCache>
                <c:formatCode>0</c:formatCode>
                <c:ptCount val="35"/>
                <c:pt idx="0">
                  <c:v>5.5847800000000003</c:v>
                </c:pt>
                <c:pt idx="1">
                  <c:v>40.716500000000003</c:v>
                </c:pt>
                <c:pt idx="2">
                  <c:v>83.019599999999997</c:v>
                </c:pt>
                <c:pt idx="3">
                  <c:v>89.013300000000001</c:v>
                </c:pt>
                <c:pt idx="4">
                  <c:v>77.425600000000003</c:v>
                </c:pt>
                <c:pt idx="5">
                  <c:v>63.073799999999999</c:v>
                </c:pt>
                <c:pt idx="6">
                  <c:v>49.5503</c:v>
                </c:pt>
                <c:pt idx="7">
                  <c:v>38.078299999999999</c:v>
                </c:pt>
                <c:pt idx="8">
                  <c:v>28.8489</c:v>
                </c:pt>
                <c:pt idx="9">
                  <c:v>21.6477</c:v>
                </c:pt>
                <c:pt idx="10">
                  <c:v>16.1449</c:v>
                </c:pt>
                <c:pt idx="11">
                  <c:v>11.988099999999999</c:v>
                </c:pt>
                <c:pt idx="12">
                  <c:v>10.9002</c:v>
                </c:pt>
                <c:pt idx="13">
                  <c:v>15.6059</c:v>
                </c:pt>
                <c:pt idx="14">
                  <c:v>19.860299999999999</c:v>
                </c:pt>
                <c:pt idx="15">
                  <c:v>25.631399999999999</c:v>
                </c:pt>
                <c:pt idx="16">
                  <c:v>29.539200000000001</c:v>
                </c:pt>
                <c:pt idx="17">
                  <c:v>30.787400000000002</c:v>
                </c:pt>
                <c:pt idx="18">
                  <c:v>32.937399999999997</c:v>
                </c:pt>
                <c:pt idx="19">
                  <c:v>31.969899999999999</c:v>
                </c:pt>
                <c:pt idx="20">
                  <c:v>31.600999999999999</c:v>
                </c:pt>
                <c:pt idx="21">
                  <c:v>30.607199999999999</c:v>
                </c:pt>
                <c:pt idx="22">
                  <c:v>30.267700000000001</c:v>
                </c:pt>
                <c:pt idx="23">
                  <c:v>29.759499999999999</c:v>
                </c:pt>
                <c:pt idx="24">
                  <c:v>26.7974</c:v>
                </c:pt>
                <c:pt idx="25">
                  <c:v>24.2911</c:v>
                </c:pt>
                <c:pt idx="26">
                  <c:v>24.107399999999998</c:v>
                </c:pt>
                <c:pt idx="27">
                  <c:v>24.263100000000001</c:v>
                </c:pt>
                <c:pt idx="28">
                  <c:v>24.4147</c:v>
                </c:pt>
                <c:pt idx="29">
                  <c:v>24.5639</c:v>
                </c:pt>
                <c:pt idx="30">
                  <c:v>24.852900000000002</c:v>
                </c:pt>
                <c:pt idx="31">
                  <c:v>25.057700000000001</c:v>
                </c:pt>
                <c:pt idx="32">
                  <c:v>25.341100000000001</c:v>
                </c:pt>
                <c:pt idx="33">
                  <c:v>25.1174</c:v>
                </c:pt>
                <c:pt idx="34">
                  <c:v>24.515799999999999</c:v>
                </c:pt>
              </c:numCache>
            </c:numRef>
          </c:val>
          <c:smooth val="0"/>
          <c:extLst>
            <c:ext xmlns:c16="http://schemas.microsoft.com/office/drawing/2014/chart" uri="{C3380CC4-5D6E-409C-BE32-E72D297353CC}">
              <c16:uniqueId val="{00000003-77A5-4C44-AA21-C1065460181B}"/>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t>bn £</a:t>
                </a:r>
              </a:p>
            </c:rich>
          </c:tx>
          <c:layout>
            <c:manualLayout>
              <c:xMode val="edge"/>
              <c:yMode val="edge"/>
              <c:x val="4.4632391812977734E-2"/>
              <c:y val="0.35009712618410005"/>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4.8546851758910339E-2"/>
          <c:y val="0.87204104695246432"/>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419072615923"/>
          <c:y val="7.407407407407407E-2"/>
          <c:w val="0.82947591614945893"/>
          <c:h val="0.66228163340047597"/>
        </c:manualLayout>
      </c:layout>
      <c:lineChart>
        <c:grouping val="standard"/>
        <c:varyColors val="0"/>
        <c:ser>
          <c:idx val="3"/>
          <c:order val="0"/>
          <c:tx>
            <c:strRef>
              <c:f>'1) Base-run and noFC'!$A$131</c:f>
              <c:strCache>
                <c:ptCount val="1"/>
                <c:pt idx="0">
                  <c:v>Base-run</c:v>
                </c:pt>
              </c:strCache>
            </c:strRef>
          </c:tx>
          <c:spPr>
            <a:ln w="12700" cap="rnd">
              <a:solidFill>
                <a:sysClr val="windowText" lastClr="000000"/>
              </a:solidFill>
              <a:round/>
            </a:ln>
            <a:effectLst/>
          </c:spPr>
          <c:marker>
            <c:symbol val="none"/>
          </c:marker>
          <c:cat>
            <c:numRef>
              <c:f>'1) Base-run and noFC'!$B$130:$AJ$130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noFC'!$B$131:$AJ$131</c:f>
              <c:numCache>
                <c:formatCode>0.00</c:formatCode>
                <c:ptCount val="35"/>
                <c:pt idx="0">
                  <c:v>1</c:v>
                </c:pt>
                <c:pt idx="1">
                  <c:v>0.98941900000000005</c:v>
                </c:pt>
                <c:pt idx="2">
                  <c:v>1.07724</c:v>
                </c:pt>
                <c:pt idx="3">
                  <c:v>1.089</c:v>
                </c:pt>
                <c:pt idx="4">
                  <c:v>1.1042799999999999</c:v>
                </c:pt>
                <c:pt idx="5">
                  <c:v>1.1304399999999999</c:v>
                </c:pt>
                <c:pt idx="6">
                  <c:v>1.1608000000000001</c:v>
                </c:pt>
                <c:pt idx="7">
                  <c:v>1.1928300000000001</c:v>
                </c:pt>
                <c:pt idx="8">
                  <c:v>1.2470300000000001</c:v>
                </c:pt>
                <c:pt idx="9">
                  <c:v>1.3685799999999999</c:v>
                </c:pt>
                <c:pt idx="10">
                  <c:v>1.4280999999999999</c:v>
                </c:pt>
                <c:pt idx="11">
                  <c:v>1.38428</c:v>
                </c:pt>
                <c:pt idx="12">
                  <c:v>1.3731100000000001</c:v>
                </c:pt>
                <c:pt idx="13">
                  <c:v>1.4300299999999999</c:v>
                </c:pt>
                <c:pt idx="14">
                  <c:v>1.4352499999999999</c:v>
                </c:pt>
                <c:pt idx="15">
                  <c:v>1.4599899999999999</c:v>
                </c:pt>
                <c:pt idx="16">
                  <c:v>1.5059400000000001</c:v>
                </c:pt>
                <c:pt idx="17">
                  <c:v>1.50929</c:v>
                </c:pt>
                <c:pt idx="18">
                  <c:v>1.57256</c:v>
                </c:pt>
                <c:pt idx="19">
                  <c:v>1.59321</c:v>
                </c:pt>
                <c:pt idx="20">
                  <c:v>1.6289400000000001</c:v>
                </c:pt>
                <c:pt idx="21">
                  <c:v>1.6553</c:v>
                </c:pt>
                <c:pt idx="22">
                  <c:v>1.67876</c:v>
                </c:pt>
                <c:pt idx="23">
                  <c:v>1.74214</c:v>
                </c:pt>
                <c:pt idx="24">
                  <c:v>1.7622599999999999</c:v>
                </c:pt>
                <c:pt idx="25">
                  <c:v>1.7616799999999999</c:v>
                </c:pt>
                <c:pt idx="26">
                  <c:v>1.7879700000000001</c:v>
                </c:pt>
                <c:pt idx="27">
                  <c:v>1.8413999999999999</c:v>
                </c:pt>
                <c:pt idx="28">
                  <c:v>1.8834200000000001</c:v>
                </c:pt>
                <c:pt idx="29">
                  <c:v>1.90289</c:v>
                </c:pt>
                <c:pt idx="30">
                  <c:v>1.94106</c:v>
                </c:pt>
                <c:pt idx="31">
                  <c:v>1.9701200000000001</c:v>
                </c:pt>
                <c:pt idx="32">
                  <c:v>2.0075500000000002</c:v>
                </c:pt>
                <c:pt idx="33">
                  <c:v>2.0407000000000002</c:v>
                </c:pt>
                <c:pt idx="34">
                  <c:v>2.0634399999999999</c:v>
                </c:pt>
              </c:numCache>
            </c:numRef>
          </c:val>
          <c:smooth val="0"/>
          <c:extLst>
            <c:ext xmlns:c16="http://schemas.microsoft.com/office/drawing/2014/chart" uri="{C3380CC4-5D6E-409C-BE32-E72D297353CC}">
              <c16:uniqueId val="{00000000-9C06-4AD2-93E4-16A6CF3C85E6}"/>
            </c:ext>
          </c:extLst>
        </c:ser>
        <c:ser>
          <c:idx val="4"/>
          <c:order val="1"/>
          <c:tx>
            <c:strRef>
              <c:f>'1) Base-run and noFC'!$A$132</c:f>
              <c:strCache>
                <c:ptCount val="1"/>
                <c:pt idx="0">
                  <c:v>Moderate scenario</c:v>
                </c:pt>
              </c:strCache>
            </c:strRef>
          </c:tx>
          <c:spPr>
            <a:ln w="15875" cap="rnd">
              <a:solidFill>
                <a:srgbClr val="7030A0"/>
              </a:solidFill>
              <a:prstDash val="sysDash"/>
              <a:round/>
            </a:ln>
            <a:effectLst/>
          </c:spPr>
          <c:marker>
            <c:symbol val="none"/>
          </c:marker>
          <c:cat>
            <c:numRef>
              <c:f>'1) Base-run and noFC'!$B$130:$AJ$130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noFC'!$B$132:$AJ$132</c:f>
              <c:numCache>
                <c:formatCode>0.00</c:formatCode>
                <c:ptCount val="35"/>
                <c:pt idx="0">
                  <c:v>1</c:v>
                </c:pt>
                <c:pt idx="1">
                  <c:v>0.425259</c:v>
                </c:pt>
                <c:pt idx="2">
                  <c:v>0.45572600000000002</c:v>
                </c:pt>
                <c:pt idx="3">
                  <c:v>0.57590300000000005</c:v>
                </c:pt>
                <c:pt idx="4">
                  <c:v>0.74463400000000002</c:v>
                </c:pt>
                <c:pt idx="5">
                  <c:v>0.91533200000000003</c:v>
                </c:pt>
                <c:pt idx="6">
                  <c:v>1.08626</c:v>
                </c:pt>
                <c:pt idx="7">
                  <c:v>1.27498</c:v>
                </c:pt>
                <c:pt idx="8">
                  <c:v>1.4792799999999999</c:v>
                </c:pt>
                <c:pt idx="9">
                  <c:v>1.5488299999999999</c:v>
                </c:pt>
                <c:pt idx="10">
                  <c:v>1.4187399999999999</c:v>
                </c:pt>
                <c:pt idx="11">
                  <c:v>1.232</c:v>
                </c:pt>
                <c:pt idx="12">
                  <c:v>1.1133999999999999</c:v>
                </c:pt>
                <c:pt idx="13">
                  <c:v>1.0686899999999999</c:v>
                </c:pt>
                <c:pt idx="14">
                  <c:v>1.05508</c:v>
                </c:pt>
                <c:pt idx="15">
                  <c:v>1.13931</c:v>
                </c:pt>
                <c:pt idx="16">
                  <c:v>1.26559</c:v>
                </c:pt>
                <c:pt idx="17">
                  <c:v>1.37944</c:v>
                </c:pt>
                <c:pt idx="18">
                  <c:v>1.5004900000000001</c:v>
                </c:pt>
                <c:pt idx="19">
                  <c:v>1.5785800000000001</c:v>
                </c:pt>
                <c:pt idx="20">
                  <c:v>1.6546000000000001</c:v>
                </c:pt>
                <c:pt idx="21">
                  <c:v>1.7048000000000001</c:v>
                </c:pt>
                <c:pt idx="22">
                  <c:v>1.7323200000000001</c:v>
                </c:pt>
                <c:pt idx="23">
                  <c:v>1.79661</c:v>
                </c:pt>
                <c:pt idx="24">
                  <c:v>1.9979199999999999</c:v>
                </c:pt>
                <c:pt idx="25">
                  <c:v>2.0511599999999999</c:v>
                </c:pt>
                <c:pt idx="26">
                  <c:v>2.0045600000000001</c:v>
                </c:pt>
                <c:pt idx="27">
                  <c:v>1.9027700000000001</c:v>
                </c:pt>
                <c:pt idx="28">
                  <c:v>1.8175699999999999</c:v>
                </c:pt>
                <c:pt idx="29">
                  <c:v>1.78955</c:v>
                </c:pt>
                <c:pt idx="30">
                  <c:v>1.8111299999999999</c:v>
                </c:pt>
                <c:pt idx="31">
                  <c:v>1.84616</c:v>
                </c:pt>
                <c:pt idx="32">
                  <c:v>1.9023300000000001</c:v>
                </c:pt>
                <c:pt idx="33">
                  <c:v>1.9636800000000001</c:v>
                </c:pt>
                <c:pt idx="34">
                  <c:v>2.6405400000000001</c:v>
                </c:pt>
              </c:numCache>
            </c:numRef>
          </c:val>
          <c:smooth val="0"/>
          <c:extLst>
            <c:ext xmlns:c16="http://schemas.microsoft.com/office/drawing/2014/chart" uri="{C3380CC4-5D6E-409C-BE32-E72D297353CC}">
              <c16:uniqueId val="{00000001-9C06-4AD2-93E4-16A6CF3C85E6}"/>
            </c:ext>
          </c:extLst>
        </c:ser>
        <c:ser>
          <c:idx val="0"/>
          <c:order val="2"/>
          <c:tx>
            <c:strRef>
              <c:f>'1) Base-run and noFC'!$A$133</c:f>
              <c:strCache>
                <c:ptCount val="1"/>
                <c:pt idx="0">
                  <c:v>Medium scenario</c:v>
                </c:pt>
              </c:strCache>
            </c:strRef>
          </c:tx>
          <c:spPr>
            <a:ln w="15875" cap="rnd">
              <a:solidFill>
                <a:srgbClr val="5B9BD5">
                  <a:lumMod val="60000"/>
                  <a:lumOff val="40000"/>
                </a:srgbClr>
              </a:solidFill>
              <a:prstDash val="lgDash"/>
              <a:round/>
            </a:ln>
            <a:effectLst/>
          </c:spPr>
          <c:marker>
            <c:symbol val="none"/>
          </c:marker>
          <c:cat>
            <c:numRef>
              <c:f>'1) Base-run and noFC'!$B$130:$AJ$130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noFC'!$B$133:$AJ$133</c:f>
              <c:numCache>
                <c:formatCode>0.00</c:formatCode>
                <c:ptCount val="35"/>
                <c:pt idx="0">
                  <c:v>1</c:v>
                </c:pt>
                <c:pt idx="1">
                  <c:v>0.425259</c:v>
                </c:pt>
                <c:pt idx="2">
                  <c:v>0.45572600000000002</c:v>
                </c:pt>
                <c:pt idx="3">
                  <c:v>0.57590300000000005</c:v>
                </c:pt>
                <c:pt idx="4">
                  <c:v>0.74463400000000002</c:v>
                </c:pt>
                <c:pt idx="5">
                  <c:v>0.988429</c:v>
                </c:pt>
                <c:pt idx="6">
                  <c:v>1.4503299999999999</c:v>
                </c:pt>
                <c:pt idx="7">
                  <c:v>1.8516600000000001</c:v>
                </c:pt>
                <c:pt idx="8">
                  <c:v>2.0990899999999999</c:v>
                </c:pt>
                <c:pt idx="9">
                  <c:v>2.03714</c:v>
                </c:pt>
                <c:pt idx="10">
                  <c:v>1.8303799999999999</c:v>
                </c:pt>
                <c:pt idx="11">
                  <c:v>1.7971299999999999</c:v>
                </c:pt>
                <c:pt idx="12">
                  <c:v>1.5666899999999999</c:v>
                </c:pt>
                <c:pt idx="13">
                  <c:v>1.35277</c:v>
                </c:pt>
                <c:pt idx="14">
                  <c:v>1.2255100000000001</c:v>
                </c:pt>
                <c:pt idx="15">
                  <c:v>1.3096000000000001</c:v>
                </c:pt>
                <c:pt idx="16">
                  <c:v>1.51189</c:v>
                </c:pt>
                <c:pt idx="17">
                  <c:v>1.60158</c:v>
                </c:pt>
                <c:pt idx="18">
                  <c:v>1.6705399999999999</c:v>
                </c:pt>
                <c:pt idx="19">
                  <c:v>1.68048</c:v>
                </c:pt>
                <c:pt idx="20">
                  <c:v>1.79077</c:v>
                </c:pt>
                <c:pt idx="21">
                  <c:v>1.97045</c:v>
                </c:pt>
                <c:pt idx="22">
                  <c:v>1.9981500000000001</c:v>
                </c:pt>
                <c:pt idx="23">
                  <c:v>1.96312</c:v>
                </c:pt>
                <c:pt idx="24">
                  <c:v>1.9643999999999999</c:v>
                </c:pt>
                <c:pt idx="25">
                  <c:v>2.1301899999999998</c:v>
                </c:pt>
                <c:pt idx="26">
                  <c:v>2.4081100000000002</c:v>
                </c:pt>
                <c:pt idx="27">
                  <c:v>2.32158</c:v>
                </c:pt>
                <c:pt idx="28">
                  <c:v>2.12934</c:v>
                </c:pt>
                <c:pt idx="29">
                  <c:v>2.0008699999999999</c:v>
                </c:pt>
                <c:pt idx="30">
                  <c:v>2.0177299999999998</c:v>
                </c:pt>
                <c:pt idx="31">
                  <c:v>2.1762100000000002</c:v>
                </c:pt>
                <c:pt idx="32">
                  <c:v>2.22193</c:v>
                </c:pt>
                <c:pt idx="33">
                  <c:v>2.2159900000000001</c:v>
                </c:pt>
                <c:pt idx="34">
                  <c:v>2.3927200000000002</c:v>
                </c:pt>
              </c:numCache>
            </c:numRef>
          </c:val>
          <c:smooth val="0"/>
          <c:extLst>
            <c:ext xmlns:c16="http://schemas.microsoft.com/office/drawing/2014/chart" uri="{C3380CC4-5D6E-409C-BE32-E72D297353CC}">
              <c16:uniqueId val="{00000002-9C06-4AD2-93E4-16A6CF3C85E6}"/>
            </c:ext>
          </c:extLst>
        </c:ser>
        <c:ser>
          <c:idx val="2"/>
          <c:order val="3"/>
          <c:tx>
            <c:strRef>
              <c:f>'1) Base-run and noFC'!$A$134</c:f>
              <c:strCache>
                <c:ptCount val="1"/>
                <c:pt idx="0">
                  <c:v>Rapid scenario</c:v>
                </c:pt>
              </c:strCache>
            </c:strRef>
          </c:tx>
          <c:spPr>
            <a:ln w="15875" cap="rnd">
              <a:solidFill>
                <a:srgbClr val="70AD47">
                  <a:lumMod val="50000"/>
                </a:srgbClr>
              </a:solidFill>
              <a:prstDash val="lgDashDot"/>
              <a:round/>
            </a:ln>
            <a:effectLst/>
          </c:spPr>
          <c:marker>
            <c:symbol val="none"/>
          </c:marker>
          <c:cat>
            <c:numRef>
              <c:f>'1) Base-run and noFC'!$B$130:$AJ$130</c:f>
              <c:numCache>
                <c:formatCode>0</c:formatCode>
                <c:ptCount val="3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pt idx="15">
                  <c:v>2031</c:v>
                </c:pt>
                <c:pt idx="16">
                  <c:v>2032</c:v>
                </c:pt>
                <c:pt idx="17">
                  <c:v>2033</c:v>
                </c:pt>
                <c:pt idx="18">
                  <c:v>2034</c:v>
                </c:pt>
                <c:pt idx="19">
                  <c:v>2035</c:v>
                </c:pt>
                <c:pt idx="20">
                  <c:v>2036</c:v>
                </c:pt>
                <c:pt idx="21">
                  <c:v>2037</c:v>
                </c:pt>
                <c:pt idx="22">
                  <c:v>2038</c:v>
                </c:pt>
                <c:pt idx="23">
                  <c:v>2039</c:v>
                </c:pt>
                <c:pt idx="24">
                  <c:v>2040</c:v>
                </c:pt>
                <c:pt idx="25">
                  <c:v>2041</c:v>
                </c:pt>
                <c:pt idx="26">
                  <c:v>2042</c:v>
                </c:pt>
                <c:pt idx="27">
                  <c:v>2043</c:v>
                </c:pt>
                <c:pt idx="28">
                  <c:v>2044</c:v>
                </c:pt>
                <c:pt idx="29">
                  <c:v>2045</c:v>
                </c:pt>
                <c:pt idx="30">
                  <c:v>2046</c:v>
                </c:pt>
                <c:pt idx="31">
                  <c:v>2047</c:v>
                </c:pt>
                <c:pt idx="32">
                  <c:v>2048</c:v>
                </c:pt>
                <c:pt idx="33">
                  <c:v>2049</c:v>
                </c:pt>
                <c:pt idx="34">
                  <c:v>2050</c:v>
                </c:pt>
              </c:numCache>
            </c:numRef>
          </c:cat>
          <c:val>
            <c:numRef>
              <c:f>'1) Base-run and noFC'!$B$134:$AJ$134</c:f>
              <c:numCache>
                <c:formatCode>0.00</c:formatCode>
                <c:ptCount val="35"/>
                <c:pt idx="0">
                  <c:v>1</c:v>
                </c:pt>
                <c:pt idx="1">
                  <c:v>1.1280699999999999</c:v>
                </c:pt>
                <c:pt idx="2">
                  <c:v>3.4981100000000001</c:v>
                </c:pt>
                <c:pt idx="3">
                  <c:v>4.33521</c:v>
                </c:pt>
                <c:pt idx="4">
                  <c:v>4.2281599999999999</c:v>
                </c:pt>
                <c:pt idx="5">
                  <c:v>3.9082599999999998</c:v>
                </c:pt>
                <c:pt idx="6">
                  <c:v>3.5770200000000001</c:v>
                </c:pt>
                <c:pt idx="7">
                  <c:v>3.2656999999999998</c:v>
                </c:pt>
                <c:pt idx="8">
                  <c:v>2.9263599999999999</c:v>
                </c:pt>
                <c:pt idx="9">
                  <c:v>2.3453599999999999</c:v>
                </c:pt>
                <c:pt idx="10">
                  <c:v>1.6264700000000001</c:v>
                </c:pt>
                <c:pt idx="11">
                  <c:v>1.0471299999999999</c:v>
                </c:pt>
                <c:pt idx="12">
                  <c:v>0.62346699999999999</c:v>
                </c:pt>
                <c:pt idx="13">
                  <c:v>0.533466</c:v>
                </c:pt>
                <c:pt idx="14">
                  <c:v>0.60546299999999997</c:v>
                </c:pt>
                <c:pt idx="15">
                  <c:v>0.78225199999999995</c:v>
                </c:pt>
                <c:pt idx="16">
                  <c:v>0.99607100000000004</c:v>
                </c:pt>
                <c:pt idx="17">
                  <c:v>1.1698299999999999</c:v>
                </c:pt>
                <c:pt idx="18">
                  <c:v>1.34402</c:v>
                </c:pt>
                <c:pt idx="19">
                  <c:v>1.4449000000000001</c:v>
                </c:pt>
                <c:pt idx="20">
                  <c:v>1.55166</c:v>
                </c:pt>
                <c:pt idx="21">
                  <c:v>1.6257200000000001</c:v>
                </c:pt>
                <c:pt idx="22">
                  <c:v>1.6715100000000001</c:v>
                </c:pt>
                <c:pt idx="23">
                  <c:v>1.71248</c:v>
                </c:pt>
                <c:pt idx="24">
                  <c:v>1.77884</c:v>
                </c:pt>
                <c:pt idx="25">
                  <c:v>1.9138200000000001</c:v>
                </c:pt>
                <c:pt idx="26">
                  <c:v>2.01627</c:v>
                </c:pt>
                <c:pt idx="27">
                  <c:v>1.9605600000000001</c:v>
                </c:pt>
                <c:pt idx="28">
                  <c:v>1.87361</c:v>
                </c:pt>
                <c:pt idx="29">
                  <c:v>1.83647</c:v>
                </c:pt>
                <c:pt idx="30">
                  <c:v>1.8490500000000001</c:v>
                </c:pt>
                <c:pt idx="31">
                  <c:v>1.8697299999999999</c:v>
                </c:pt>
                <c:pt idx="32">
                  <c:v>1.9172</c:v>
                </c:pt>
                <c:pt idx="33">
                  <c:v>1.97905</c:v>
                </c:pt>
                <c:pt idx="34">
                  <c:v>2.0549499999999998</c:v>
                </c:pt>
              </c:numCache>
            </c:numRef>
          </c:val>
          <c:smooth val="0"/>
          <c:extLst>
            <c:ext xmlns:c16="http://schemas.microsoft.com/office/drawing/2014/chart" uri="{C3380CC4-5D6E-409C-BE32-E72D297353CC}">
              <c16:uniqueId val="{00000003-9C06-4AD2-93E4-16A6CF3C85E6}"/>
            </c:ext>
          </c:extLst>
        </c:ser>
        <c:dLbls>
          <c:showLegendKey val="0"/>
          <c:showVal val="0"/>
          <c:showCatName val="0"/>
          <c:showSerName val="0"/>
          <c:showPercent val="0"/>
          <c:showBubbleSize val="0"/>
        </c:dLbls>
        <c:smooth val="0"/>
        <c:axId val="869943664"/>
        <c:axId val="869945328"/>
        <c:extLst/>
      </c:lineChart>
      <c:catAx>
        <c:axId val="86994366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69945328"/>
        <c:crosses val="autoZero"/>
        <c:auto val="1"/>
        <c:lblAlgn val="ctr"/>
        <c:lblOffset val="100"/>
        <c:noMultiLvlLbl val="0"/>
      </c:catAx>
      <c:valAx>
        <c:axId val="869945328"/>
        <c:scaling>
          <c:orientation val="minMax"/>
        </c:scaling>
        <c:delete val="0"/>
        <c:axPos val="l"/>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t>Index</a:t>
                </a:r>
              </a:p>
            </c:rich>
          </c:tx>
          <c:layout>
            <c:manualLayout>
              <c:xMode val="edge"/>
              <c:yMode val="edge"/>
              <c:x val="4.790640987892017E-2"/>
              <c:y val="0.37129483814523179"/>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69943664"/>
        <c:crosses val="autoZero"/>
        <c:crossBetween val="between"/>
      </c:valAx>
      <c:spPr>
        <a:noFill/>
        <a:ln>
          <a:noFill/>
        </a:ln>
        <a:effectLst/>
      </c:spPr>
    </c:plotArea>
    <c:legend>
      <c:legendPos val="b"/>
      <c:layout>
        <c:manualLayout>
          <c:xMode val="edge"/>
          <c:yMode val="edge"/>
          <c:x val="5.9796791760396525E-2"/>
          <c:y val="0.87204104695246432"/>
          <c:w val="0.93789599313024874"/>
          <c:h val="0.1279590212513758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tx>
            <c:strRef>
              <c:f>'1) Base-run and noFC'!$D$78</c:f>
              <c:strCache>
                <c:ptCount val="1"/>
                <c:pt idx="0">
                  <c:v>Implicit emission price</c:v>
                </c:pt>
              </c:strCache>
            </c:strRef>
          </c:tx>
          <c:spPr>
            <a:solidFill>
              <a:schemeClr val="accent3"/>
            </a:solidFill>
            <a:ln>
              <a:noFill/>
            </a:ln>
            <a:effectLst/>
          </c:spPr>
          <c:invertIfNegative val="0"/>
          <c:cat>
            <c:strRef>
              <c:f>'1) Base-run and noFC'!$A$79:$A$81</c:f>
              <c:strCache>
                <c:ptCount val="3"/>
                <c:pt idx="0">
                  <c:v>Moderate scenario</c:v>
                </c:pt>
                <c:pt idx="1">
                  <c:v>Medium scenario</c:v>
                </c:pt>
                <c:pt idx="2">
                  <c:v>Rapid scenario</c:v>
                </c:pt>
              </c:strCache>
            </c:strRef>
          </c:cat>
          <c:val>
            <c:numRef>
              <c:f>'1) Base-run and noFC'!$D$79:$D$81</c:f>
              <c:numCache>
                <c:formatCode>0.00</c:formatCode>
                <c:ptCount val="3"/>
                <c:pt idx="0">
                  <c:v>-1170.2073261435473</c:v>
                </c:pt>
                <c:pt idx="1">
                  <c:v>-150.54035917578179</c:v>
                </c:pt>
                <c:pt idx="2">
                  <c:v>352.74767211716261</c:v>
                </c:pt>
              </c:numCache>
            </c:numRef>
          </c:val>
          <c:extLst>
            <c:ext xmlns:c16="http://schemas.microsoft.com/office/drawing/2014/chart" uri="{C3380CC4-5D6E-409C-BE32-E72D297353CC}">
              <c16:uniqueId val="{00000000-5AE2-4073-9E2B-790DDD9DF8F6}"/>
            </c:ext>
          </c:extLst>
        </c:ser>
        <c:dLbls>
          <c:showLegendKey val="0"/>
          <c:showVal val="0"/>
          <c:showCatName val="0"/>
          <c:showSerName val="0"/>
          <c:showPercent val="0"/>
          <c:showBubbleSize val="0"/>
        </c:dLbls>
        <c:gapWidth val="267"/>
        <c:overlap val="-43"/>
        <c:axId val="230815247"/>
        <c:axId val="230818159"/>
      </c:barChart>
      <c:catAx>
        <c:axId val="230815247"/>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15875"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n-US"/>
          </a:p>
        </c:txPr>
        <c:crossAx val="230818159"/>
        <c:crosses val="autoZero"/>
        <c:auto val="1"/>
        <c:lblAlgn val="ctr"/>
        <c:lblOffset val="100"/>
        <c:noMultiLvlLbl val="0"/>
      </c:catAx>
      <c:valAx>
        <c:axId val="230818159"/>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GB"/>
                  <a:t>(£/tonne)</a:t>
                </a:r>
              </a:p>
            </c:rich>
          </c:tx>
          <c:layout>
            <c:manualLayout>
              <c:xMode val="edge"/>
              <c:yMode val="edge"/>
              <c:x val="4.9048873171032625E-2"/>
              <c:y val="0.36836220752125665"/>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230815247"/>
        <c:crosses val="autoZero"/>
        <c:crossBetween val="between"/>
      </c:valAx>
      <c:dTable>
        <c:showHorzBorder val="1"/>
        <c:showVertBorder val="1"/>
        <c:showOutline val="1"/>
        <c:showKeys val="1"/>
        <c:spPr>
          <a:noFill/>
          <a:ln w="9525" cap="flat" cmpd="sng" algn="ctr">
            <a:solidFill>
              <a:schemeClr val="dk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dk1">
                    <a:lumMod val="65000"/>
                    <a:lumOff val="35000"/>
                  </a:schemeClr>
                </a:solidFill>
                <a:latin typeface="+mn-lt"/>
                <a:ea typeface="+mn-ea"/>
                <a:cs typeface="+mn-cs"/>
              </a:defRPr>
            </a:pPr>
            <a:endParaRPr lang="en-US"/>
          </a:p>
        </c:txPr>
      </c:dTable>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56792538092056"/>
          <c:y val="0.112746248445563"/>
          <c:w val="0.48951916685131841"/>
          <c:h val="0.7568345323741007"/>
        </c:manualLayout>
      </c:layout>
      <c:radarChart>
        <c:radarStyle val="marker"/>
        <c:varyColors val="0"/>
        <c:ser>
          <c:idx val="0"/>
          <c:order val="0"/>
          <c:tx>
            <c:strRef>
              <c:f>'1) Base-run and noFC'!$A$61</c:f>
              <c:strCache>
                <c:ptCount val="1"/>
                <c:pt idx="0">
                  <c:v>Moderate scenario</c:v>
                </c:pt>
              </c:strCache>
            </c:strRef>
          </c:tx>
          <c:spPr>
            <a:ln w="28575" cap="rnd">
              <a:solidFill>
                <a:schemeClr val="accent1"/>
              </a:solidFill>
              <a:round/>
            </a:ln>
            <a:effectLst/>
          </c:spPr>
          <c:marker>
            <c:symbol val="none"/>
          </c:marker>
          <c:dPt>
            <c:idx val="0"/>
            <c:marker>
              <c:symbol val="none"/>
            </c:marker>
            <c:bubble3D val="0"/>
            <c:spPr>
              <a:ln w="19050" cap="rnd">
                <a:solidFill>
                  <a:schemeClr val="accent1"/>
                </a:solidFill>
                <a:round/>
              </a:ln>
              <a:effectLst/>
            </c:spPr>
            <c:extLst>
              <c:ext xmlns:c16="http://schemas.microsoft.com/office/drawing/2014/chart" uri="{C3380CC4-5D6E-409C-BE32-E72D297353CC}">
                <c16:uniqueId val="{00000001-A920-420C-BEFF-FB06E110D516}"/>
              </c:ext>
            </c:extLst>
          </c:dPt>
          <c:dPt>
            <c:idx val="1"/>
            <c:marker>
              <c:symbol val="none"/>
            </c:marker>
            <c:bubble3D val="0"/>
            <c:spPr>
              <a:ln w="19050" cap="rnd">
                <a:solidFill>
                  <a:schemeClr val="accent1"/>
                </a:solidFill>
                <a:round/>
              </a:ln>
              <a:effectLst/>
            </c:spPr>
            <c:extLst>
              <c:ext xmlns:c16="http://schemas.microsoft.com/office/drawing/2014/chart" uri="{C3380CC4-5D6E-409C-BE32-E72D297353CC}">
                <c16:uniqueId val="{00000003-A920-420C-BEFF-FB06E110D516}"/>
              </c:ext>
            </c:extLst>
          </c:dPt>
          <c:dPt>
            <c:idx val="3"/>
            <c:marker>
              <c:symbol val="none"/>
            </c:marker>
            <c:bubble3D val="0"/>
            <c:spPr>
              <a:ln w="19050" cap="rnd">
                <a:solidFill>
                  <a:schemeClr val="accent1"/>
                </a:solidFill>
                <a:round/>
              </a:ln>
              <a:effectLst/>
            </c:spPr>
            <c:extLst>
              <c:ext xmlns:c16="http://schemas.microsoft.com/office/drawing/2014/chart" uri="{C3380CC4-5D6E-409C-BE32-E72D297353CC}">
                <c16:uniqueId val="{00000005-A920-420C-BEFF-FB06E110D516}"/>
              </c:ext>
            </c:extLst>
          </c:dPt>
          <c:dPt>
            <c:idx val="4"/>
            <c:marker>
              <c:symbol val="none"/>
            </c:marker>
            <c:bubble3D val="0"/>
            <c:spPr>
              <a:ln w="19050" cap="rnd">
                <a:solidFill>
                  <a:schemeClr val="accent1"/>
                </a:solidFill>
                <a:round/>
              </a:ln>
              <a:effectLst/>
            </c:spPr>
            <c:extLst>
              <c:ext xmlns:c16="http://schemas.microsoft.com/office/drawing/2014/chart" uri="{C3380CC4-5D6E-409C-BE32-E72D297353CC}">
                <c16:uniqueId val="{00000007-A920-420C-BEFF-FB06E110D516}"/>
              </c:ext>
            </c:extLst>
          </c:dPt>
          <c:cat>
            <c:strRef>
              <c:f>'1) Base-run and noFC'!$B$60:$F$60</c:f>
              <c:strCache>
                <c:ptCount val="5"/>
                <c:pt idx="0">
                  <c:v>Emissions (%)</c:v>
                </c:pt>
                <c:pt idx="1">
                  <c:v>GDP (%)</c:v>
                </c:pt>
                <c:pt idx="2">
                  <c:v>Unemployment (%)</c:v>
                </c:pt>
                <c:pt idx="3">
                  <c:v>Direct employment (%)</c:v>
                </c:pt>
                <c:pt idx="4">
                  <c:v>System costs (%)</c:v>
                </c:pt>
              </c:strCache>
            </c:strRef>
          </c:cat>
          <c:val>
            <c:numRef>
              <c:f>'1) Base-run and noFC'!$B$61:$F$61</c:f>
              <c:numCache>
                <c:formatCode>0.00</c:formatCode>
                <c:ptCount val="5"/>
                <c:pt idx="0">
                  <c:v>30.686202953266495</c:v>
                </c:pt>
                <c:pt idx="1">
                  <c:v>-0.86136392232521075</c:v>
                </c:pt>
                <c:pt idx="2">
                  <c:v>0.41496153856173174</c:v>
                </c:pt>
                <c:pt idx="3">
                  <c:v>22.845518431759345</c:v>
                </c:pt>
                <c:pt idx="4">
                  <c:v>15.879429000372166</c:v>
                </c:pt>
              </c:numCache>
            </c:numRef>
          </c:val>
          <c:extLst>
            <c:ext xmlns:c16="http://schemas.microsoft.com/office/drawing/2014/chart" uri="{C3380CC4-5D6E-409C-BE32-E72D297353CC}">
              <c16:uniqueId val="{00000008-A920-420C-BEFF-FB06E110D516}"/>
            </c:ext>
          </c:extLst>
        </c:ser>
        <c:ser>
          <c:idx val="1"/>
          <c:order val="1"/>
          <c:tx>
            <c:strRef>
              <c:f>'1) Base-run and noFC'!$A$62</c:f>
              <c:strCache>
                <c:ptCount val="1"/>
                <c:pt idx="0">
                  <c:v>Medium scenario</c:v>
                </c:pt>
              </c:strCache>
            </c:strRef>
          </c:tx>
          <c:spPr>
            <a:ln w="19050" cap="rnd">
              <a:solidFill>
                <a:schemeClr val="accent3"/>
              </a:solidFill>
              <a:round/>
            </a:ln>
            <a:effectLst/>
          </c:spPr>
          <c:marker>
            <c:symbol val="none"/>
          </c:marker>
          <c:cat>
            <c:strRef>
              <c:f>'1) Base-run and noFC'!$B$60:$F$60</c:f>
              <c:strCache>
                <c:ptCount val="5"/>
                <c:pt idx="0">
                  <c:v>Emissions (%)</c:v>
                </c:pt>
                <c:pt idx="1">
                  <c:v>GDP (%)</c:v>
                </c:pt>
                <c:pt idx="2">
                  <c:v>Unemployment (%)</c:v>
                </c:pt>
                <c:pt idx="3">
                  <c:v>Direct employment (%)</c:v>
                </c:pt>
                <c:pt idx="4">
                  <c:v>System costs (%)</c:v>
                </c:pt>
              </c:strCache>
            </c:strRef>
          </c:cat>
          <c:val>
            <c:numRef>
              <c:f>'1) Base-run and noFC'!$B$62:$F$62</c:f>
              <c:numCache>
                <c:formatCode>0.00</c:formatCode>
                <c:ptCount val="5"/>
                <c:pt idx="0">
                  <c:v>50.663189252030939</c:v>
                </c:pt>
                <c:pt idx="1">
                  <c:v>-0.29253869060101495</c:v>
                </c:pt>
                <c:pt idx="2">
                  <c:v>8.153356030749484E-2</c:v>
                </c:pt>
                <c:pt idx="3">
                  <c:v>35.893935924758274</c:v>
                </c:pt>
                <c:pt idx="4">
                  <c:v>3.3726741900009807</c:v>
                </c:pt>
              </c:numCache>
            </c:numRef>
          </c:val>
          <c:extLst>
            <c:ext xmlns:c16="http://schemas.microsoft.com/office/drawing/2014/chart" uri="{C3380CC4-5D6E-409C-BE32-E72D297353CC}">
              <c16:uniqueId val="{00000009-A920-420C-BEFF-FB06E110D516}"/>
            </c:ext>
          </c:extLst>
        </c:ser>
        <c:ser>
          <c:idx val="3"/>
          <c:order val="3"/>
          <c:tx>
            <c:strRef>
              <c:f>'1) Base-run and noFC'!$A$63</c:f>
              <c:strCache>
                <c:ptCount val="1"/>
                <c:pt idx="0">
                  <c:v>Rapid scenario</c:v>
                </c:pt>
              </c:strCache>
            </c:strRef>
          </c:tx>
          <c:spPr>
            <a:ln w="19050" cap="rnd">
              <a:solidFill>
                <a:schemeClr val="accent1">
                  <a:lumMod val="60000"/>
                </a:schemeClr>
              </a:solidFill>
              <a:round/>
            </a:ln>
            <a:effectLst/>
          </c:spPr>
          <c:marker>
            <c:symbol val="none"/>
          </c:marker>
          <c:cat>
            <c:strRef>
              <c:f>'1) Base-run and noFC'!$B$60:$F$60</c:f>
              <c:strCache>
                <c:ptCount val="5"/>
                <c:pt idx="0">
                  <c:v>Emissions (%)</c:v>
                </c:pt>
                <c:pt idx="1">
                  <c:v>GDP (%)</c:v>
                </c:pt>
                <c:pt idx="2">
                  <c:v>Unemployment (%)</c:v>
                </c:pt>
                <c:pt idx="3">
                  <c:v>Direct employment (%)</c:v>
                </c:pt>
                <c:pt idx="4">
                  <c:v>System costs (%)</c:v>
                </c:pt>
              </c:strCache>
            </c:strRef>
          </c:cat>
          <c:val>
            <c:numRef>
              <c:f>'1) Base-run and noFC'!$B$63:$F$63</c:f>
              <c:numCache>
                <c:formatCode>0.00</c:formatCode>
                <c:ptCount val="5"/>
                <c:pt idx="0">
                  <c:v>99.234107351308424</c:v>
                </c:pt>
                <c:pt idx="1">
                  <c:v>1.0406618294677683</c:v>
                </c:pt>
                <c:pt idx="2">
                  <c:v>-7.7365710579296892E-2</c:v>
                </c:pt>
                <c:pt idx="3">
                  <c:v>38.08144142874756</c:v>
                </c:pt>
                <c:pt idx="4">
                  <c:v>-15.479397039868635</c:v>
                </c:pt>
              </c:numCache>
            </c:numRef>
          </c:val>
          <c:extLst>
            <c:ext xmlns:c16="http://schemas.microsoft.com/office/drawing/2014/chart" uri="{C3380CC4-5D6E-409C-BE32-E72D297353CC}">
              <c16:uniqueId val="{0000000A-A920-420C-BEFF-FB06E110D516}"/>
            </c:ext>
          </c:extLst>
        </c:ser>
        <c:dLbls>
          <c:showLegendKey val="0"/>
          <c:showVal val="0"/>
          <c:showCatName val="0"/>
          <c:showSerName val="0"/>
          <c:showPercent val="0"/>
          <c:showBubbleSize val="0"/>
        </c:dLbls>
        <c:axId val="1794229680"/>
        <c:axId val="1794230512"/>
        <c:extLst>
          <c:ext xmlns:c15="http://schemas.microsoft.com/office/drawing/2012/chart" uri="{02D57815-91ED-43cb-92C2-25804820EDAC}">
            <c15:filteredRadarSeries>
              <c15:ser>
                <c:idx val="2"/>
                <c:order val="2"/>
                <c:tx>
                  <c:strRef>
                    <c:extLst>
                      <c:ext uri="{02D57815-91ED-43cb-92C2-25804820EDAC}">
                        <c15:formulaRef>
                          <c15:sqref>'1) Base-run and noFC (3)'!#REF!</c15:sqref>
                        </c15:formulaRef>
                      </c:ext>
                    </c:extLst>
                    <c:strCache>
                      <c:ptCount val="1"/>
                      <c:pt idx="0">
                        <c:v>#REF!</c:v>
                      </c:pt>
                    </c:strCache>
                  </c:strRef>
                </c:tx>
                <c:spPr>
                  <a:ln w="28575" cap="rnd">
                    <a:solidFill>
                      <a:schemeClr val="accent5"/>
                    </a:solidFill>
                    <a:round/>
                  </a:ln>
                  <a:effectLst/>
                </c:spPr>
                <c:marker>
                  <c:symbol val="none"/>
                </c:marker>
                <c:cat>
                  <c:strRef>
                    <c:extLst>
                      <c:ext uri="{02D57815-91ED-43cb-92C2-25804820EDAC}">
                        <c15:formulaRef>
                          <c15:sqref>'1) Base-run and noFC'!$B$60:$F$60</c15:sqref>
                        </c15:formulaRef>
                      </c:ext>
                    </c:extLst>
                    <c:strCache>
                      <c:ptCount val="5"/>
                      <c:pt idx="0">
                        <c:v>Emissions (%)</c:v>
                      </c:pt>
                      <c:pt idx="1">
                        <c:v>GDP (%)</c:v>
                      </c:pt>
                      <c:pt idx="2">
                        <c:v>Unemployment (%)</c:v>
                      </c:pt>
                      <c:pt idx="3">
                        <c:v>Direct employment (%)</c:v>
                      </c:pt>
                      <c:pt idx="4">
                        <c:v>System costs (%)</c:v>
                      </c:pt>
                    </c:strCache>
                  </c:strRef>
                </c:cat>
                <c:val>
                  <c:numRef>
                    <c:extLst>
                      <c:ext uri="{02D57815-91ED-43cb-92C2-25804820EDAC}">
                        <c15:formulaRef>
                          <c15:sqref>'1) Base-run and noFC (3)'!#REF!</c15:sqref>
                        </c15:formulaRef>
                      </c:ext>
                    </c:extLst>
                    <c:numCache>
                      <c:formatCode>General</c:formatCode>
                      <c:ptCount val="1"/>
                      <c:pt idx="0">
                        <c:v>1</c:v>
                      </c:pt>
                    </c:numCache>
                  </c:numRef>
                </c:val>
                <c:extLst>
                  <c:ext xmlns:c16="http://schemas.microsoft.com/office/drawing/2014/chart" uri="{C3380CC4-5D6E-409C-BE32-E72D297353CC}">
                    <c16:uniqueId val="{0000000B-A920-420C-BEFF-FB06E110D516}"/>
                  </c:ext>
                </c:extLst>
              </c15:ser>
            </c15:filteredRadarSeries>
          </c:ext>
        </c:extLst>
      </c:radarChart>
      <c:catAx>
        <c:axId val="1794229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4230512"/>
        <c:crosses val="autoZero"/>
        <c:auto val="1"/>
        <c:lblAlgn val="ctr"/>
        <c:lblOffset val="100"/>
        <c:noMultiLvlLbl val="0"/>
      </c:catAx>
      <c:valAx>
        <c:axId val="179423051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4229680"/>
        <c:crosses val="autoZero"/>
        <c:crossBetween val="between"/>
      </c:valAx>
      <c:spPr>
        <a:noFill/>
        <a:ln>
          <a:noFill/>
        </a:ln>
        <a:effectLst/>
      </c:spPr>
    </c:plotArea>
    <c:legend>
      <c:legendPos val="t"/>
      <c:layout>
        <c:manualLayout>
          <c:xMode val="edge"/>
          <c:yMode val="edge"/>
          <c:x val="4.1794570715221642E-2"/>
          <c:y val="0.91131117603105349"/>
          <c:w val="0.91946095531803873"/>
          <c:h val="8.721244015352354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6">
  <a:schemeClr val="accent3"/>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8.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062FF-36DC-491B-AAFB-21EC7BA6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9373</Words>
  <Characters>57176</Characters>
  <Application>Microsoft Office Word</Application>
  <DocSecurity>0</DocSecurity>
  <Lines>1361</Lines>
  <Paragraphs>339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Anglia Ruskin University</Company>
  <LinksUpToDate>false</LinksUpToDate>
  <CharactersWithSpaces>66210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Hafner, Sarah</dc:creator>
  <cp:keywords/>
  <dc:description/>
  <cp:lastModifiedBy>Blanshard, Lisa</cp:lastModifiedBy>
  <cp:revision>8</cp:revision>
  <dcterms:created xsi:type="dcterms:W3CDTF">2021-03-15T11:39:00Z</dcterms:created>
  <dcterms:modified xsi:type="dcterms:W3CDTF">2021-05-28T09:10:00Z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etDate">
    <vt:lpwstr>2021-04-14T19:20:05Z</vt:lpwstr>
  </property>
  <property fmtid="{D5CDD505-2E9C-101B-9397-08002B2CF9AE}" pid="4" name="MSIP_Label_10d9bad3-6dac-4e9a-89a3-89f3b8d247b2_Method">
    <vt:lpwstr>Standard</vt:lpwstr>
  </property>
  <property fmtid="{D5CDD505-2E9C-101B-9397-08002B2CF9AE}" pid="5" name="MSIP_Label_10d9bad3-6dac-4e9a-89a3-89f3b8d247b2_Name">
    <vt:lpwstr>10d9bad3-6dac-4e9a-89a3-89f3b8d247b2</vt:lpwstr>
  </property>
  <property fmtid="{D5CDD505-2E9C-101B-9397-08002B2CF9AE}" pid="6" name="MSIP_Label_10d9bad3-6dac-4e9a-89a3-89f3b8d247b2_SiteId">
    <vt:lpwstr>5d1a9f9d-201f-4a10-b983-451cf65cbc1e</vt:lpwstr>
  </property>
  <property fmtid="{D5CDD505-2E9C-101B-9397-08002B2CF9AE}" pid="7" name="MSIP_Label_10d9bad3-6dac-4e9a-89a3-89f3b8d247b2_ActionId">
    <vt:lpwstr>9c6a3df7-e9a8-448c-8afc-ac22d625c0d3</vt:lpwstr>
  </property>
  <property fmtid="{D5CDD505-2E9C-101B-9397-08002B2CF9AE}" pid="8" name="MSIP_Label_10d9bad3-6dac-4e9a-89a3-89f3b8d247b2_ContentBits">
    <vt:lpwstr>0</vt:lpwstr>
  </property>
</Properties>
</file>